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lyw-20240630.htm"/>
      <w:bookmarkStart w:id="1" w:name="ksflyw20240630"/>
      <w:bookmarkEnd w:id="0"/>
      <w:bookmarkEnd w:id="1"/>
      <w:r>
        <w:rPr/>
        <w:t> </w:t>
      </w:r>
    </w:p>
    <w:p>
      <w:pPr>
        <w:pStyle w:val="TextBody"/>
        <w:pBdr>
          <w:top w:val="double" w:sz="6" w:space="1" w:color="000000"/>
        </w:pBdr>
        <w:bidi w:val="0"/>
        <w:jc w:val="left"/>
        <w:rPr/>
      </w:pPr>
      <w:r>
        <w:rPr/>
        <w:t> </w:t>
      </w:r>
    </w:p>
    <w:p>
      <w:pPr>
        <w:pStyle w:val="TextBody"/>
        <w:bidi w:val="0"/>
        <w:spacing w:before="60" w:after="283"/>
        <w:jc w:val="center"/>
        <w:rPr>
          <w:rFonts w:ascii="Times New Roman" w:hAnsi="Times New Roman"/>
          <w:sz w:val="20"/>
        </w:rPr>
      </w:pPr>
      <w:r>
        <w:rPr>
          <w:rFonts w:ascii="Arial" w:hAnsi="Arial"/>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2"/>
        </w:rPr>
        <w:t>WASHINGTON, DC 20549</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34"/>
        </w:rPr>
        <w:t>FORM 10-Q</w:t>
      </w:r>
      <w:r>
        <w:rPr>
          <w:rFonts w:ascii="Times New Roman" w:hAnsi="Times New Roman"/>
          <w:color w:val="000000"/>
          <w:sz w:val="20"/>
        </w:rPr>
        <w:t xml:space="preserve"> </w:t>
      </w:r>
    </w:p>
    <w:p>
      <w:pPr>
        <w:pStyle w:val="TextBody"/>
        <w:bidi w:val="0"/>
        <w:spacing w:before="40" w:after="283"/>
        <w:jc w:val="left"/>
        <w:rPr>
          <w:rFonts w:ascii="Arial" w:hAnsi="Arial"/>
          <w:b/>
          <w:color w:val="000000"/>
          <w:sz w:val="18"/>
        </w:rPr>
      </w:pPr>
      <w:r>
        <w:rPr>
          <w:rFonts w:ascii="Arial" w:hAnsi="Arial"/>
          <w:b/>
          <w:color w:val="000000"/>
          <w:sz w:val="18"/>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8"/>
        </w:rPr>
        <w:t>For the quarterly period ended June 30, 2024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18"/>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18"/>
        </w:rPr>
        <w:t>For the transition period from to</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18"/>
        </w:rPr>
        <w:t>Commission File Number: 001-40430</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46"/>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(Exact Name of Registrant as Specified in its Charter)</w:t>
      </w:r>
      <w:r>
        <w:rPr>
          <w:rFonts w:ascii="Times New Roman" w:hAnsi="Times New Roman"/>
          <w:color w:val="000000"/>
          <w:sz w:val="20"/>
        </w:rPr>
        <w:t xml:space="preserve"> </w:t>
      </w:r>
    </w:p>
    <w:tbl>
      <w:tblPr>
        <w:tblW w:w="4802" w:type="dxa"/>
        <w:jc w:val="left"/>
        <w:tblInd w:w="0" w:type="dxa"/>
        <w:tblLayout w:type="fixed"/>
        <w:tblCellMar>
          <w:top w:w="28" w:type="dxa"/>
          <w:left w:w="28" w:type="dxa"/>
          <w:bottom w:w="28" w:type="dxa"/>
          <w:right w:w="28" w:type="dxa"/>
        </w:tblCellMar>
      </w:tblPr>
      <w:tblGrid>
        <w:gridCol w:w="3226"/>
        <w:gridCol w:w="1576"/>
      </w:tblGrid>
      <w:tr>
        <w:trPr/>
        <w:tc>
          <w:tcPr>
            <w:tcW w:w="32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57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27-0690799</w:t>
            </w:r>
          </w:p>
        </w:tc>
      </w:tr>
      <w:tr>
        <w:trPr/>
        <w:tc>
          <w:tcPr>
            <w:tcW w:w="3226" w:type="dxa"/>
            <w:tcBorders/>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0"/>
              <w:jc w:val="center"/>
              <w:rPr>
                <w:rFonts w:ascii="Arial" w:hAnsi="Arial"/>
                <w:b/>
                <w:color w:val="000000"/>
                <w:sz w:val="16"/>
              </w:rPr>
            </w:pPr>
            <w:r>
              <w:rPr>
                <w:rFonts w:ascii="Arial" w:hAnsi="Arial"/>
                <w:b/>
                <w:color w:val="000000"/>
                <w:sz w:val="16"/>
              </w:rPr>
              <w:t>incorporation or organization)</w:t>
            </w:r>
          </w:p>
        </w:tc>
        <w:tc>
          <w:tcPr>
            <w:tcW w:w="1576" w:type="dxa"/>
            <w:tcBorders/>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0"/>
              <w:jc w:val="center"/>
              <w:rPr>
                <w:rFonts w:ascii="Arial" w:hAnsi="Arial"/>
                <w:b/>
                <w:color w:val="000000"/>
                <w:sz w:val="16"/>
              </w:rPr>
            </w:pPr>
            <w:r>
              <w:rPr>
                <w:rFonts w:ascii="Arial" w:hAnsi="Arial"/>
                <w:b/>
                <w:color w:val="000000"/>
                <w:sz w:val="16"/>
              </w:rPr>
              <w:t>Identification No.)</w:t>
            </w:r>
          </w:p>
        </w:tc>
      </w:tr>
      <w:tr>
        <w:trPr/>
        <w:tc>
          <w:tcPr>
            <w:tcW w:w="322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226" w:type="dxa"/>
            <w:tcBorders/>
            <w:vAlign w:val="center"/>
          </w:tcPr>
          <w:p>
            <w:pPr>
              <w:pStyle w:val="TableContents"/>
              <w:bidi w:val="0"/>
              <w:jc w:val="center"/>
              <w:rPr>
                <w:rFonts w:ascii="Arial" w:hAnsi="Arial"/>
                <w:b/>
                <w:color w:val="000000"/>
                <w:sz w:val="18"/>
              </w:rPr>
            </w:pPr>
            <w:r>
              <w:rPr>
                <w:rFonts w:ascii="Arial" w:hAnsi="Arial"/>
                <w:b/>
                <w:color w:val="000000"/>
                <w:sz w:val="18"/>
              </w:rPr>
              <w:t>141 Tremont St #10</w:t>
            </w:r>
          </w:p>
          <w:p>
            <w:pPr>
              <w:pStyle w:val="TableContents"/>
              <w:bidi w:val="0"/>
              <w:spacing w:before="0" w:after="20"/>
              <w:jc w:val="center"/>
              <w:rPr>
                <w:rFonts w:ascii="Arial" w:hAnsi="Arial"/>
                <w:b/>
                <w:color w:val="000000"/>
                <w:sz w:val="18"/>
              </w:rPr>
            </w:pPr>
            <w:r>
              <w:rPr>
                <w:rFonts w:ascii="Arial" w:hAnsi="Arial"/>
                <w:b/>
                <w:color w:val="000000"/>
                <w:sz w:val="18"/>
              </w:rPr>
              <w:t>Boston, MA</w:t>
            </w:r>
          </w:p>
        </w:tc>
        <w:tc>
          <w:tcPr>
            <w:tcW w:w="157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02111</w:t>
            </w:r>
          </w:p>
        </w:tc>
      </w:tr>
      <w:tr>
        <w:trPr/>
        <w:tc>
          <w:tcPr>
            <w:tcW w:w="322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(Address of principal executive offices)</w:t>
            </w:r>
          </w:p>
        </w:tc>
        <w:tc>
          <w:tcPr>
            <w:tcW w:w="157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(Zip Code)</w:t>
            </w:r>
          </w:p>
        </w:tc>
      </w:tr>
    </w:tbl>
    <w:p>
      <w:pPr>
        <w:pStyle w:val="TextBody"/>
        <w:bidi w:val="0"/>
        <w:spacing w:before="120" w:after="283"/>
        <w:jc w:val="center"/>
        <w:rPr>
          <w:rFonts w:ascii="Times New Roman" w:hAnsi="Times New Roman"/>
          <w:sz w:val="20"/>
        </w:rPr>
      </w:pPr>
      <w:r>
        <w:rPr>
          <w:rFonts w:ascii="Arial" w:hAnsi="Arial"/>
          <w:b/>
          <w:color w:val="000000"/>
          <w:sz w:val="18"/>
        </w:rPr>
        <w:t>Registrant’s telephone number, including area code: (617) 329-4524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Arial" w:hAnsi="Arial"/>
          <w:b/>
          <w:color w:val="000000"/>
          <w:sz w:val="18"/>
        </w:rPr>
        <w:t>Securities registered pursuant to Section 12(b) of the Act:</w:t>
      </w:r>
      <w:r>
        <w:rPr>
          <w:rFonts w:ascii="Times New Roman" w:hAnsi="Times New Roman"/>
          <w:color w:val="000000"/>
          <w:sz w:val="20"/>
        </w:rPr>
        <w:t xml:space="preserve"> </w:t>
      </w:r>
    </w:p>
    <w:tbl>
      <w:tblPr>
        <w:tblW w:w="8118" w:type="dxa"/>
        <w:jc w:val="left"/>
        <w:tblInd w:w="0" w:type="dxa"/>
        <w:tblLayout w:type="fixed"/>
        <w:tblCellMar>
          <w:top w:w="28" w:type="dxa"/>
          <w:left w:w="28" w:type="dxa"/>
          <w:bottom w:w="28" w:type="dxa"/>
          <w:right w:w="28" w:type="dxa"/>
        </w:tblCellMar>
      </w:tblPr>
      <w:tblGrid>
        <w:gridCol w:w="4456"/>
        <w:gridCol w:w="916"/>
        <w:gridCol w:w="2746"/>
      </w:tblGrid>
      <w:tr>
        <w:trPr/>
        <w:tc>
          <w:tcPr>
            <w:tcW w:w="445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91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274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Name of each exchange</w:t>
            </w:r>
          </w:p>
          <w:p>
            <w:pPr>
              <w:pStyle w:val="TableContents"/>
              <w:bidi w:val="0"/>
              <w:spacing w:before="0" w:after="283"/>
              <w:jc w:val="center"/>
              <w:rPr>
                <w:rFonts w:ascii="Arial" w:hAnsi="Arial"/>
                <w:b/>
                <w:color w:val="000000"/>
                <w:sz w:val="16"/>
              </w:rPr>
            </w:pPr>
            <w:r>
              <w:rPr>
                <w:rFonts w:ascii="Arial" w:hAnsi="Arial"/>
                <w:b/>
                <w:color w:val="000000"/>
                <w:sz w:val="16"/>
              </w:rPr>
              <w:t>on which registered</w:t>
            </w:r>
          </w:p>
        </w:tc>
      </w:tr>
      <w:tr>
        <w:trPr/>
        <w:tc>
          <w:tcPr>
            <w:tcW w:w="445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Voting common stock, $0.0001 par value per share</w:t>
            </w:r>
          </w:p>
        </w:tc>
        <w:tc>
          <w:tcPr>
            <w:tcW w:w="91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FLYW</w:t>
            </w:r>
          </w:p>
        </w:tc>
        <w:tc>
          <w:tcPr>
            <w:tcW w:w="274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The Nasdaq Stock Market LLC</w:t>
              <w:br/>
              <w:t>(Nasdaq Global Select Market)</w:t>
            </w:r>
          </w:p>
        </w:tc>
      </w:tr>
    </w:tbl>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No ☐</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939" w:type="dxa"/>
        <w:jc w:val="left"/>
        <w:tblInd w:w="0" w:type="dxa"/>
        <w:tblLayout w:type="fixed"/>
        <w:tblCellMar>
          <w:top w:w="28" w:type="dxa"/>
          <w:left w:w="28" w:type="dxa"/>
          <w:bottom w:w="28" w:type="dxa"/>
          <w:right w:w="28" w:type="dxa"/>
        </w:tblCellMar>
      </w:tblPr>
      <w:tblGrid>
        <w:gridCol w:w="1951"/>
        <w:gridCol w:w="316"/>
        <w:gridCol w:w="2311"/>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95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18"/>
        </w:rPr>
        <w:t>As of August 2, 2024, the registrant had 123,389,828</w:t>
      </w:r>
      <w:r>
        <w:rPr>
          <w:rFonts w:ascii="Times New Roman" w:hAnsi="Times New Roman"/>
          <w:color w:val="000000"/>
          <w:sz w:val="20"/>
        </w:rPr>
        <w:t xml:space="preserve"> </w:t>
      </w:r>
      <w:r>
        <w:rPr>
          <w:rFonts w:ascii="Arial" w:hAnsi="Arial"/>
          <w:color w:val="000000"/>
          <w:sz w:val="18"/>
        </w:rPr>
        <w:t>shares of voting common stock, $0.0001 par value per share, outstanding and 1,873,320</w:t>
      </w:r>
      <w:r>
        <w:rPr>
          <w:rFonts w:ascii="Times New Roman" w:hAnsi="Times New Roman"/>
          <w:color w:val="000000"/>
          <w:sz w:val="20"/>
        </w:rPr>
        <w:t xml:space="preserve"> </w:t>
      </w:r>
      <w:r>
        <w:rPr>
          <w:rFonts w:ascii="Arial" w:hAnsi="Arial"/>
          <w:color w:val="000000"/>
          <w:sz w:val="18"/>
        </w:rPr>
        <w:t>shares of non-voting common stock $0.0001 par value per share, outstanding.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Arial" w:hAnsi="Arial"/>
          <w:b/>
          <w:color w:val="000000"/>
          <w:sz w:val="20"/>
        </w:rPr>
      </w:pPr>
      <w:bookmarkStart w:id="2" w:name="toc_page"/>
      <w:bookmarkEnd w:id="2"/>
      <w:r>
        <w:rPr>
          <w:rFonts w:ascii="Arial" w:hAnsi="Arial"/>
          <w:b/>
          <w:color w:val="000000"/>
          <w:sz w:val="20"/>
        </w:rPr>
        <w:t>Table of Contents</w:t>
      </w:r>
    </w:p>
    <w:tbl>
      <w:tblPr>
        <w:tblW w:w="9732" w:type="dxa"/>
        <w:jc w:val="left"/>
        <w:tblInd w:w="0" w:type="dxa"/>
        <w:tblLayout w:type="fixed"/>
        <w:tblCellMar>
          <w:top w:w="28" w:type="dxa"/>
          <w:left w:w="28" w:type="dxa"/>
          <w:bottom w:w="28" w:type="dxa"/>
          <w:right w:w="28" w:type="dxa"/>
        </w:tblCellMar>
      </w:tblPr>
      <w:tblGrid>
        <w:gridCol w:w="1270"/>
        <w:gridCol w:w="7846"/>
        <w:gridCol w:w="616"/>
      </w:tblGrid>
      <w:tr>
        <w:trPr/>
        <w:tc>
          <w:tcPr>
            <w:tcW w:w="1270"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
              <w:r>
                <w:rPr>
                  <w:rStyle w:val="InternetLink"/>
                  <w:rFonts w:ascii="Arial" w:hAnsi="Arial"/>
                  <w:color w:val="0000FF"/>
                  <w:sz w:val="20"/>
                  <w:u w:val="single"/>
                </w:rPr>
                <w:t>Special Note Regarding Forward-Looking Statements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FF"/>
                  <w:sz w:val="20"/>
                  <w:u w:val="single"/>
                </w:rPr>
                <w:t>PART I</w:t>
              </w:r>
            </w:hyperlink>
            <w:r>
              <w:rPr>
                <w:rFonts w:ascii="Arial" w:hAnsi="Arial"/>
                <w:b/>
                <w:color w:val="000000"/>
                <w:sz w:val="20"/>
              </w:rPr>
              <w:t>.</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color w:val="0000FF"/>
                  <w:sz w:val="20"/>
                  <w:u w:val="single"/>
                </w:rPr>
                <w:t>FINANCIAL INFORMATION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Item 1.</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Arial" w:hAnsi="Arial"/>
                  <w:color w:val="0000FF"/>
                  <w:sz w:val="20"/>
                  <w:u w:val="single"/>
                </w:rPr>
                <w:t>Condensed Consolidated Balance Sheets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operations">
              <w:r>
                <w:rPr>
                  <w:rStyle w:val="InternetLink"/>
                  <w:rFonts w:ascii="Arial" w:hAnsi="Arial"/>
                  <w:color w:val="0000FF"/>
                  <w:sz w:val="20"/>
                  <w:u w:val="single"/>
                </w:rPr>
                <w:t>Condensed Consolidated Statements of Operations and Comprehensive Loss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stockholders_deficit">
              <w:r>
                <w:rPr>
                  <w:rStyle w:val="InternetLink"/>
                  <w:rFonts w:ascii="Arial" w:hAnsi="Arial"/>
                  <w:color w:val="0000FF"/>
                  <w:sz w:val="20"/>
                  <w:u w:val="single"/>
                </w:rPr>
                <w:t>Condensed Consolidated Statements of Stockholders’ Equity</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ash_flows">
              <w:r>
                <w:rPr>
                  <w:rStyle w:val="InternetLink"/>
                  <w:rFonts w:ascii="Arial" w:hAnsi="Arial"/>
                  <w:color w:val="0000FF"/>
                  <w:sz w:val="20"/>
                  <w:u w:val="single"/>
                </w:rPr>
                <w:t>Condensed Consolidated Statements of Cash Flows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s_to_condensed">
              <w:r>
                <w:rPr>
                  <w:rStyle w:val="InternetLink"/>
                  <w:rFonts w:ascii="Arial" w:hAnsi="Arial"/>
                  <w:color w:val="0000FF"/>
                  <w:sz w:val="20"/>
                  <w:u w:val="single"/>
                </w:rPr>
                <w:t>Notes to Condensed Consolidated Financial Statements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9</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note_1">
              <w:r>
                <w:rPr>
                  <w:rStyle w:val="InternetLink"/>
                  <w:rFonts w:ascii="Arial" w:hAnsi="Arial"/>
                  <w:color w:val="0000FF"/>
                  <w:sz w:val="20"/>
                  <w:u w:val="single"/>
                </w:rPr>
                <w:t>Note 1. Business Overview and Summary of Significant Accounting Policies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9</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note_2">
              <w:r>
                <w:rPr>
                  <w:rStyle w:val="InternetLink"/>
                  <w:rFonts w:ascii="Arial" w:hAnsi="Arial"/>
                  <w:color w:val="0000FF"/>
                  <w:sz w:val="20"/>
                  <w:u w:val="single"/>
                </w:rPr>
                <w:t>Note 2. Revenue and Recognition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12</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note3_investments">
              <w:r>
                <w:rPr>
                  <w:rStyle w:val="InternetLink"/>
                  <w:rFonts w:ascii="Arial" w:hAnsi="Arial"/>
                  <w:color w:val="0000FF"/>
                  <w:sz w:val="20"/>
                  <w:u w:val="single"/>
                </w:rPr>
                <w:t>Note 3. Investments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12</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note_4">
              <w:r>
                <w:rPr>
                  <w:rStyle w:val="InternetLink"/>
                  <w:rFonts w:ascii="Arial" w:hAnsi="Arial"/>
                  <w:color w:val="0000FF"/>
                  <w:sz w:val="20"/>
                  <w:u w:val="single"/>
                </w:rPr>
                <w:t>Note 4. Fair Value Measurements</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14</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109"/>
              <w:jc w:val="left"/>
              <w:rPr/>
            </w:pPr>
            <w:r>
              <w:rPr/>
              <w:t> </w:t>
            </w:r>
          </w:p>
        </w:tc>
        <w:tc>
          <w:tcPr>
            <w:tcW w:w="7846" w:type="dxa"/>
            <w:tcBorders/>
            <w:shd w:fill="FFFFFF" w:val="clear"/>
            <w:tcMar>
              <w:top w:w="0" w:type="dxa"/>
              <w:left w:w="0" w:type="dxa"/>
              <w:bottom w:w="0" w:type="dxa"/>
              <w:right w:w="0" w:type="dxa"/>
            </w:tcMar>
            <w:vAlign w:val="center"/>
          </w:tcPr>
          <w:p>
            <w:pPr>
              <w:pStyle w:val="TableContents"/>
              <w:pBdr/>
              <w:bidi w:val="0"/>
              <w:spacing w:before="0" w:after="283"/>
              <w:ind w:left="490" w:right="0" w:hanging="619"/>
              <w:jc w:val="left"/>
              <w:rPr/>
            </w:pPr>
            <w:hyperlink w:anchor="note_5">
              <w:r>
                <w:rPr>
                  <w:rStyle w:val="InternetLink"/>
                  <w:rFonts w:ascii="Arial" w:hAnsi="Arial"/>
                  <w:color w:val="0000FF"/>
                  <w:sz w:val="20"/>
                  <w:u w:val="single"/>
                </w:rPr>
                <w:t>Note 5. Derivative Instruments</w:t>
              </w:r>
            </w:hyperlink>
            <w:hyperlink w:anchor="note_5">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16</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note_6">
              <w:r>
                <w:rPr>
                  <w:rStyle w:val="InternetLink"/>
                  <w:rFonts w:ascii="Arial" w:hAnsi="Arial"/>
                  <w:color w:val="0000FF"/>
                  <w:sz w:val="20"/>
                  <w:u w:val="single"/>
                </w:rPr>
                <w:t>Note 6. Accrued Expenses and Other Current Liabilities</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16</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note_7">
              <w:r>
                <w:rPr>
                  <w:rStyle w:val="InternetLink"/>
                  <w:rFonts w:ascii="Arial" w:hAnsi="Arial"/>
                  <w:color w:val="0000FF"/>
                  <w:sz w:val="20"/>
                  <w:u w:val="single"/>
                </w:rPr>
                <w:t>Note 7. Property and Equipment, net</w:t>
              </w:r>
            </w:hyperlink>
            <w:hyperlink w:anchor="note_7">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note_8">
              <w:r>
                <w:rPr>
                  <w:rStyle w:val="InternetLink"/>
                  <w:rFonts w:ascii="Arial" w:hAnsi="Arial"/>
                  <w:color w:val="0000FF"/>
                  <w:sz w:val="20"/>
                  <w:u w:val="single"/>
                </w:rPr>
                <w:t>Note 8. Business Combinations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17</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note_9">
              <w:r>
                <w:rPr>
                  <w:rStyle w:val="InternetLink"/>
                  <w:rFonts w:ascii="Arial" w:hAnsi="Arial"/>
                  <w:color w:val="0000FF"/>
                  <w:sz w:val="20"/>
                  <w:u w:val="single"/>
                </w:rPr>
                <w:t>Note 9. Goodwill and Acquired Intangible Assets</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19</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note_10">
              <w:r>
                <w:rPr>
                  <w:rStyle w:val="InternetLink"/>
                  <w:rFonts w:ascii="Arial" w:hAnsi="Arial"/>
                  <w:color w:val="0000FF"/>
                  <w:sz w:val="20"/>
                  <w:u w:val="single"/>
                </w:rPr>
                <w:t>Note 10. Debt</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20</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left"/>
              <w:rPr/>
            </w:pPr>
            <w:r>
              <w:rPr/>
              <w:t> </w:t>
            </w:r>
          </w:p>
        </w:tc>
        <w:tc>
          <w:tcPr>
            <w:tcW w:w="7846" w:type="dxa"/>
            <w:tcBorders/>
            <w:shd w:fill="FFFFFF" w:val="clear"/>
            <w:tcMar>
              <w:top w:w="0" w:type="dxa"/>
              <w:left w:w="0" w:type="dxa"/>
              <w:bottom w:w="0" w:type="dxa"/>
              <w:right w:w="0" w:type="dxa"/>
            </w:tcMar>
            <w:vAlign w:val="center"/>
          </w:tcPr>
          <w:p>
            <w:pPr>
              <w:pStyle w:val="TableContents"/>
              <w:pBdr/>
              <w:bidi w:val="0"/>
              <w:spacing w:before="0" w:after="283"/>
              <w:ind w:left="489" w:right="0" w:hanging="490"/>
              <w:jc w:val="left"/>
              <w:rPr/>
            </w:pPr>
            <w:hyperlink w:anchor="note_11">
              <w:r>
                <w:rPr>
                  <w:rStyle w:val="InternetLink"/>
                  <w:rFonts w:ascii="Arial" w:hAnsi="Arial"/>
                  <w:color w:val="0000FF"/>
                  <w:sz w:val="20"/>
                  <w:u w:val="single"/>
                </w:rPr>
                <w:t>Note 11. Stockholders’ Equity</w:t>
              </w:r>
            </w:hyperlink>
            <w:hyperlink w:anchor="note_11">
              <w:r>
                <w:rPr>
                  <w:rStyle w:val="InternetLink"/>
                  <w:rFonts w:ascii="Times New Roman" w:hAnsi="Times New Roman"/>
                  <w:color w:val="0000FF"/>
                  <w:sz w:val="20"/>
                </w:rPr>
                <w:t xml:space="preserve"> </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21</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note_12">
              <w:r>
                <w:rPr>
                  <w:rStyle w:val="InternetLink"/>
                  <w:rFonts w:ascii="Arial" w:hAnsi="Arial"/>
                  <w:color w:val="0000FF"/>
                  <w:sz w:val="20"/>
                  <w:u w:val="single"/>
                </w:rPr>
                <w:t>Note 12. Stock-Based Compensation</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note_13">
              <w:r>
                <w:rPr>
                  <w:rStyle w:val="InternetLink"/>
                  <w:rFonts w:ascii="Arial" w:hAnsi="Arial"/>
                  <w:color w:val="0000FF"/>
                  <w:sz w:val="20"/>
                  <w:u w:val="single"/>
                </w:rPr>
                <w:t>Note 13. Net Loss per Share</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24</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1109"/>
              <w:jc w:val="left"/>
              <w:rPr/>
            </w:pPr>
            <w:r>
              <w:rPr/>
              <w:t> </w:t>
            </w:r>
          </w:p>
        </w:tc>
        <w:tc>
          <w:tcPr>
            <w:tcW w:w="7846" w:type="dxa"/>
            <w:tcBorders/>
            <w:shd w:fill="FFFFFF" w:val="clear"/>
            <w:tcMar>
              <w:top w:w="0" w:type="dxa"/>
              <w:left w:w="0" w:type="dxa"/>
              <w:bottom w:w="0" w:type="dxa"/>
              <w:right w:w="0" w:type="dxa"/>
            </w:tcMar>
            <w:vAlign w:val="center"/>
          </w:tcPr>
          <w:p>
            <w:pPr>
              <w:pStyle w:val="TableContents"/>
              <w:pBdr/>
              <w:bidi w:val="0"/>
              <w:spacing w:before="0" w:after="283"/>
              <w:ind w:left="497" w:right="0" w:hanging="612"/>
              <w:jc w:val="left"/>
              <w:rPr/>
            </w:pPr>
            <w:hyperlink w:anchor="note_14">
              <w:r>
                <w:rPr>
                  <w:rStyle w:val="InternetLink"/>
                  <w:rFonts w:ascii="Arial" w:hAnsi="Arial"/>
                  <w:color w:val="0000FF"/>
                  <w:sz w:val="20"/>
                  <w:u w:val="single"/>
                </w:rPr>
                <w:t>Note 14. Income Taxes</w:t>
              </w:r>
            </w:hyperlink>
            <w:r>
              <w:rPr>
                <w:rFonts w:ascii="Times New Roman" w:hAnsi="Times New Roman"/>
                <w:color w:val="000000"/>
                <w:sz w:val="20"/>
              </w:rPr>
              <w:t xml:space="preserve">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25</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note_16">
              <w:r>
                <w:rPr>
                  <w:rStyle w:val="InternetLink"/>
                  <w:rFonts w:ascii="Arial" w:hAnsi="Arial"/>
                  <w:color w:val="0000FF"/>
                  <w:sz w:val="20"/>
                  <w:u w:val="single"/>
                </w:rPr>
                <w:t>Note 15. Commitments and Contingencies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25</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ind w:left="490" w:right="0" w:firstLine="490"/>
              <w:jc w:val="left"/>
              <w:rPr/>
            </w:pPr>
            <w:hyperlink w:anchor="subsequent_events">
              <w:r>
                <w:rPr>
                  <w:rStyle w:val="InternetLink"/>
                  <w:rFonts w:ascii="Arial" w:hAnsi="Arial"/>
                  <w:color w:val="0000FF"/>
                  <w:sz w:val="20"/>
                  <w:u w:val="single"/>
                </w:rPr>
                <w:t>Note 16. Subsequent Events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
              <w:r>
                <w:rPr>
                  <w:rStyle w:val="InternetLink"/>
                  <w:rFonts w:ascii="Arial" w:hAnsi="Arial"/>
                  <w:color w:val="0000FF"/>
                  <w:sz w:val="20"/>
                  <w:u w:val="single"/>
                </w:rPr>
                <w:t>Item 2.</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
              <w:r>
                <w:rPr>
                  <w:rStyle w:val="InternetLink"/>
                  <w:rFonts w:ascii="Arial" w:hAnsi="Arial"/>
                  <w:color w:val="0000FF"/>
                  <w:sz w:val="20"/>
                  <w:u w:val="single"/>
                </w:rPr>
                <w:t>Management’s Discussion and Analysis of Financial Condition and Results of Operations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
              <w:r>
                <w:rPr>
                  <w:rStyle w:val="InternetLink"/>
                  <w:rFonts w:ascii="Arial" w:hAnsi="Arial"/>
                  <w:color w:val="0000FF"/>
                  <w:sz w:val="20"/>
                  <w:u w:val="single"/>
                </w:rPr>
                <w:t>Item 3.</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
              <w:bookmarkStart w:id="3" w:name="item_3_wantitative"/>
              <w:bookmarkEnd w:id="3"/>
              <w:r>
                <w:rPr>
                  <w:rStyle w:val="InternetLink"/>
                  <w:rFonts w:ascii="Arial" w:hAnsi="Arial"/>
                  <w:color w:val="0000FF"/>
                  <w:sz w:val="20"/>
                  <w:u w:val="single"/>
                </w:rPr>
                <w:t>Quantitative and Qualitative Disclosures About Market Risk</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Arial" w:hAnsi="Arial"/>
                  <w:color w:val="0000FF"/>
                  <w:sz w:val="20"/>
                  <w:u w:val="single"/>
                </w:rPr>
                <w:t>Item 4.</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Arial" w:hAnsi="Arial"/>
                  <w:color w:val="0000FF"/>
                  <w:sz w:val="20"/>
                  <w:u w:val="single"/>
                </w:rPr>
                <w:t>Controls and Procedures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
              <w:r>
                <w:rPr>
                  <w:rStyle w:val="InternetLink"/>
                  <w:rFonts w:ascii="Arial" w:hAnsi="Arial"/>
                  <w:color w:val="0000FF"/>
                  <w:sz w:val="20"/>
                  <w:u w:val="single"/>
                </w:rPr>
                <w:t>PART II.</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ther_info">
              <w:r>
                <w:rPr>
                  <w:rStyle w:val="InternetLink"/>
                  <w:rFonts w:ascii="Arial" w:hAnsi="Arial"/>
                  <w:color w:val="0000FF"/>
                  <w:sz w:val="20"/>
                  <w:u w:val="single"/>
                </w:rPr>
                <w:t>OTHER INFORMATION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Arial" w:hAnsi="Arial"/>
                  <w:color w:val="0000FF"/>
                  <w:sz w:val="20"/>
                  <w:u w:val="single"/>
                </w:rPr>
                <w:t>Item 1.</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
              <w:r>
                <w:rPr>
                  <w:rStyle w:val="InternetLink"/>
                  <w:rFonts w:ascii="Arial" w:hAnsi="Arial"/>
                  <w:color w:val="0000FF"/>
                  <w:sz w:val="20"/>
                  <w:u w:val="single"/>
                </w:rPr>
                <w:t>Legal Proceedings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Arial" w:hAnsi="Arial"/>
                  <w:color w:val="0000FF"/>
                  <w:sz w:val="20"/>
                  <w:u w:val="single"/>
                </w:rPr>
                <w:t>Item 1A.</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Arial" w:hAnsi="Arial"/>
                  <w:color w:val="0000FF"/>
                  <w:sz w:val="20"/>
                  <w:u w:val="single"/>
                </w:rPr>
                <w:t>Risk Factors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Arial" w:hAnsi="Arial"/>
                  <w:color w:val="0000FF"/>
                  <w:sz w:val="20"/>
                  <w:u w:val="single"/>
                </w:rPr>
                <w:t>Item 2.</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Arial" w:hAnsi="Arial"/>
                  <w:color w:val="0000FF"/>
                  <w:sz w:val="20"/>
                  <w:u w:val="single"/>
                </w:rPr>
                <w:t>Unregistered Sales of Equity Securities and Use of Proceeds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Arial" w:hAnsi="Arial"/>
                  <w:color w:val="0000FF"/>
                  <w:sz w:val="20"/>
                  <w:u w:val="single"/>
                </w:rPr>
                <w:t>Item 3.</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Arial" w:hAnsi="Arial"/>
                  <w:color w:val="0000FF"/>
                  <w:sz w:val="20"/>
                  <w:u w:val="single"/>
                </w:rPr>
                <w:t>Defaults Upon Senior Securities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
              <w:r>
                <w:rPr>
                  <w:rStyle w:val="InternetLink"/>
                  <w:rFonts w:ascii="Arial" w:hAnsi="Arial"/>
                  <w:color w:val="0000FF"/>
                  <w:sz w:val="20"/>
                  <w:u w:val="single"/>
                </w:rPr>
                <w:t>Item 4.</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
              <w:r>
                <w:rPr>
                  <w:rStyle w:val="InternetLink"/>
                  <w:rFonts w:ascii="Arial" w:hAnsi="Arial"/>
                  <w:color w:val="0000FF"/>
                  <w:sz w:val="20"/>
                  <w:u w:val="single"/>
                </w:rPr>
                <w:t>Mine Safety Disclosures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Arial" w:hAnsi="Arial"/>
                  <w:color w:val="0000FF"/>
                  <w:sz w:val="20"/>
                  <w:u w:val="single"/>
                </w:rPr>
                <w:t>Item 5.</w:t>
              </w:r>
            </w:hyperlink>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Arial" w:hAnsi="Arial"/>
                  <w:color w:val="0000FF"/>
                  <w:sz w:val="20"/>
                  <w:u w:val="single"/>
                </w:rPr>
                <w:t>Other Information</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r>
      <w:tr>
        <w:trPr/>
        <w:tc>
          <w:tcPr>
            <w:tcW w:w="127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Item 6</w:t>
              </w:r>
            </w:hyperlink>
            <w:r>
              <w:rPr>
                <w:rFonts w:ascii="Arial" w:hAnsi="Arial"/>
                <w:color w:val="000000"/>
                <w:sz w:val="20"/>
              </w:rPr>
              <w:t>.</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Arial" w:hAnsi="Arial"/>
                  <w:color w:val="0000FF"/>
                  <w:sz w:val="20"/>
                  <w:u w:val="single"/>
                </w:rPr>
                <w:t>Exhibits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w:t>
            </w:r>
          </w:p>
        </w:tc>
      </w:tr>
      <w:tr>
        <w:trPr/>
        <w:tc>
          <w:tcPr>
            <w:tcW w:w="91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r>
    </w:tbl>
    <w:p>
      <w:pPr>
        <w:pStyle w:val="TextBody"/>
        <w:bidi w:val="0"/>
        <w:jc w:val="left"/>
        <w:rPr/>
      </w:pPr>
      <w:r>
        <w:rPr/>
        <w:t> </w:t>
      </w:r>
    </w:p>
    <w:p>
      <w:pPr>
        <w:pStyle w:val="TextBody"/>
        <w:bidi w:val="0"/>
        <w:spacing w:before="0" w:after="20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center"/>
        <w:rPr>
          <w:rFonts w:ascii="Times New Roman" w:hAnsi="Times New Roman"/>
          <w:sz w:val="20"/>
        </w:rPr>
      </w:pPr>
      <w:bookmarkStart w:id="4" w:name="special_note_regarding"/>
      <w:bookmarkEnd w:id="4"/>
      <w:r>
        <w:rPr>
          <w:rFonts w:ascii="Arial" w:hAnsi="Arial"/>
          <w:b/>
          <w:color w:val="000000"/>
          <w:sz w:val="20"/>
        </w:rPr>
        <w:t>SPECIAL NOTE REGARDING FORWARD-LOOKING STATEMENTS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r>
        <w:rPr>
          <w:rFonts w:ascii="Times New Roman" w:hAnsi="Times New Roman"/>
          <w:color w:val="000000"/>
          <w:sz w:val="20"/>
        </w:rPr>
        <w:t xml:space="preserve">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business plan and our ability to effectively manage our growth;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cross-border expansion plans and ability to expand internationally;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anticipated trends, growth rates, and challenges in our business and in the markets in which we operate;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the sufficiency of, and ability to access, our cash and cash equivalents to meet our liquidity needs;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political, economic, foreign currency exchange rate, inflation, banking, legal, social and health risks and public health measures that may affect our business or the global economy;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beliefs and objectives for future operations;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ability to develop and protect our brand;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ability to maintain and grow the payment volume that we process;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ability to further attract, retain, and expand our client base;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ability to develop new solutions and services and bring them to market in a timely manner;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expectations concerning relationships with third parties, including financial institutions and strategic partners;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the effects of increased competition in our markets and our ability to compete effectively;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future acquisitions or investments in complementary companies, products, services, or technologies;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ability to enter new client verticals and sub-verticals, including our relatively new business-to-business (B2B) sector;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expectations regarding anticipated technology needs and developments and our ability to address those needs and developments with our solutions;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expectations regarding litigation and legal and regulatory matters;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expectations regarding our ability to meet existing performance obligations and maintain the operability of our solutions;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our expectations regarding the effects of existing and developing laws and regulations, including with respect to payments and other financial services, economic and trade sanctions, anti-money laundering (AML) and countering the financing of terrorism (CFT), taxation, privacy and data protection;</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economic and industry trends, projected growth, or trend analysis; </w:t>
      </w:r>
    </w:p>
    <w:p>
      <w:pPr>
        <w:pStyle w:val="TextBody"/>
        <w:bidi w:val="0"/>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effects of global events and geopolitical conflict, including without limitation the continuing hostilities in Ukraine and involving Israel;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ability to adapt to changes in U.S. federal income or other tax laws or the interpretation of tax laws, including the Inflation Reduction Act of 2022;</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ability to attract and retain qualified employees;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ability to maintain, protect, and enhance our intellectual property;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our ability to maintain the security and availability of our solutions;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the increased expenses associated with being a public company; and </w:t>
      </w:r>
    </w:p>
    <w:p>
      <w:pPr>
        <w:pStyle w:val="TextBody"/>
        <w:bidi w:val="0"/>
        <w:spacing w:before="200" w:after="120"/>
        <w:jc w:val="left"/>
        <w:rPr>
          <w:color w:val="000000"/>
        </w:rPr>
      </w:pPr>
      <w:r>
        <w:rPr>
          <w:color w:val="000000"/>
        </w:rPr>
        <w:t>•</w:t>
      </w:r>
    </w:p>
    <w:p>
      <w:pPr>
        <w:pStyle w:val="TextBody"/>
        <w:bidi w:val="0"/>
        <w:spacing w:before="200" w:after="120"/>
        <w:jc w:val="left"/>
        <w:rPr>
          <w:rFonts w:ascii="Arial" w:hAnsi="Arial"/>
          <w:color w:val="000000"/>
          <w:sz w:val="20"/>
        </w:rPr>
      </w:pPr>
      <w:r>
        <w:rPr>
          <w:rFonts w:ascii="Arial" w:hAnsi="Arial"/>
          <w:color w:val="000000"/>
          <w:sz w:val="20"/>
        </w:rPr>
        <w:t xml:space="preserve">the future market price of our common stock. </w:t>
      </w:r>
    </w:p>
    <w:p>
      <w:pPr>
        <w:pStyle w:val="TextBody"/>
        <w:bidi w:val="0"/>
        <w:spacing w:before="200" w:after="200"/>
        <w:jc w:val="left"/>
        <w:rPr>
          <w:rFonts w:ascii="Times New Roman" w:hAnsi="Times New Roman"/>
          <w:sz w:val="20"/>
        </w:rPr>
      </w:pPr>
      <w:r>
        <w:rPr>
          <w:rFonts w:ascii="Arial" w:hAnsi="Arial"/>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Unless otherwise noted or unless the context provides otherwise, all references in this Quarterly Report on Form 10-Q to our “common stock” refer to our voting common stock.</w:t>
      </w:r>
    </w:p>
    <w:p>
      <w:pPr>
        <w:pStyle w:val="TextBody"/>
        <w:bidi w:val="0"/>
        <w:spacing w:before="200" w:after="200"/>
        <w:jc w:val="left"/>
        <w:rPr>
          <w:rFonts w:ascii="Arial" w:hAnsi="Arial"/>
          <w:color w:val="000000"/>
          <w:sz w:val="20"/>
        </w:rPr>
      </w:pPr>
      <w:r>
        <w:rPr>
          <w:rFonts w:ascii="Arial" w:hAnsi="Arial"/>
          <w:color w:val="000000"/>
          <w:sz w:val="20"/>
        </w:rPr>
        <w:t>Investors, the media, and others should note that we intend to announce material information to the public through filings with the Securities and Exchange Commission (SEC), the investor relations page on our website (https://ir.flywire.com), blog posts on our website (www.flywire.com), press releases, public conference calls, webcasts, and social media channels, including our X (formerly known as Twitter) feed (@flywire), Facebook page (https://www.facebook.com/Flywire) and LinkedIn page (https://www.linkedin.com/company/flywire).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the websites provided above are not incorporated into this filing or in any other report or document we file with the SEC. These website addresses are intended to be inactive textual references only.</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5" w:name="part_i_financial_information"/>
      <w:bookmarkEnd w:id="5"/>
      <w:r>
        <w:rPr>
          <w:rFonts w:ascii="Arial" w:hAnsi="Arial"/>
          <w:b/>
          <w:color w:val="000000"/>
          <w:sz w:val="20"/>
        </w:rPr>
        <w:t>PART I—FINANCIAL INFORMATION</w:t>
      </w:r>
    </w:p>
    <w:p>
      <w:pPr>
        <w:pStyle w:val="TextBody"/>
        <w:bidi w:val="0"/>
        <w:spacing w:before="120" w:after="283"/>
        <w:jc w:val="left"/>
        <w:rPr>
          <w:rFonts w:ascii="Arial" w:hAnsi="Arial"/>
          <w:b/>
          <w:color w:val="000000"/>
          <w:sz w:val="20"/>
        </w:rPr>
      </w:pPr>
      <w:bookmarkStart w:id="6" w:name="item_1_financial_statements"/>
      <w:bookmarkEnd w:id="6"/>
      <w:r>
        <w:rPr>
          <w:rFonts w:ascii="Arial" w:hAnsi="Arial"/>
          <w:b/>
          <w:color w:val="000000"/>
          <w:sz w:val="20"/>
        </w:rPr>
        <w:t>Item 1. Financial Statements</w:t>
      </w:r>
    </w:p>
    <w:p>
      <w:pPr>
        <w:pStyle w:val="TextBody"/>
        <w:bidi w:val="0"/>
        <w:spacing w:before="120" w:after="283"/>
        <w:jc w:val="center"/>
        <w:rPr>
          <w:rFonts w:ascii="Times New Roman" w:hAnsi="Times New Roman"/>
          <w:sz w:val="20"/>
        </w:rPr>
      </w:pPr>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balance_sheets"/>
      <w:bookmarkEnd w:id="7"/>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spacing w:before="0" w:after="200"/>
        <w:jc w:val="center"/>
        <w:rPr>
          <w:rFonts w:ascii="Arial" w:hAnsi="Arial"/>
          <w:color w:val="000000"/>
          <w:sz w:val="20"/>
        </w:rPr>
      </w:pPr>
      <w:r>
        <w:rPr>
          <w:rFonts w:ascii="Arial" w:hAnsi="Arial"/>
          <w:color w:val="000000"/>
          <w:sz w:val="20"/>
        </w:rPr>
        <w:t>(Unaudited) (Amounts in thousands, except par value per share and share amounts)</w:t>
      </w:r>
    </w:p>
    <w:tbl>
      <w:tblPr>
        <w:tblW w:w="10205" w:type="dxa"/>
        <w:jc w:val="left"/>
        <w:tblInd w:w="0" w:type="dxa"/>
        <w:tblLayout w:type="fixed"/>
        <w:tblCellMar>
          <w:top w:w="28" w:type="dxa"/>
          <w:left w:w="28" w:type="dxa"/>
          <w:bottom w:w="28" w:type="dxa"/>
          <w:right w:w="28" w:type="dxa"/>
        </w:tblCellMar>
      </w:tblPr>
      <w:tblGrid>
        <w:gridCol w:w="6877"/>
        <w:gridCol w:w="146"/>
        <w:gridCol w:w="211"/>
        <w:gridCol w:w="856"/>
        <w:gridCol w:w="166"/>
        <w:gridCol w:w="146"/>
        <w:gridCol w:w="211"/>
        <w:gridCol w:w="961"/>
        <w:gridCol w:w="631"/>
      </w:tblGrid>
      <w:tr>
        <w:trPr/>
        <w:tc>
          <w:tcPr>
            <w:tcW w:w="6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687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77"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631" w:type="dxa"/>
            <w:tcBorders/>
            <w:shd w:fill="CFF0FC" w:val="clear"/>
            <w:vAlign w:val="center"/>
          </w:tcPr>
          <w:p>
            <w:pPr>
              <w:pStyle w:val="TableContents"/>
              <w:bidi w:val="0"/>
              <w:spacing w:before="0" w:after="283"/>
              <w:jc w:val="right"/>
              <w:rPr/>
            </w:pPr>
            <w:r>
              <w:rPr/>
              <w:t> </w:t>
            </w:r>
          </w:p>
        </w:tc>
      </w:tr>
      <w:tr>
        <w:trPr/>
        <w:tc>
          <w:tcPr>
            <w:tcW w:w="687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right"/>
              <w:rPr/>
            </w:pPr>
            <w:r>
              <w:rPr/>
              <w:t> </w:t>
            </w:r>
          </w:p>
        </w:tc>
        <w:tc>
          <w:tcPr>
            <w:tcW w:w="631" w:type="dxa"/>
            <w:tcBorders/>
            <w:shd w:fill="FFFFFF" w:val="clear"/>
            <w:vAlign w:val="center"/>
          </w:tcPr>
          <w:p>
            <w:pPr>
              <w:pStyle w:val="TableContents"/>
              <w:bidi w:val="0"/>
              <w:spacing w:before="0" w:after="283"/>
              <w:ind w:left="0" w:right="0" w:firstLine="140"/>
              <w:jc w:val="right"/>
              <w:rPr/>
            </w:pPr>
            <w:r>
              <w:rPr/>
              <w:t> </w:t>
            </w:r>
          </w:p>
        </w:tc>
      </w:tr>
      <w:tr>
        <w:trPr/>
        <w:tc>
          <w:tcPr>
            <w:tcW w:w="6877"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539,300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654,608</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6877"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31,694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6877" w:type="dxa"/>
            <w:tcBorders/>
            <w:shd w:fill="CFF0FC"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Accounts receivable, net of allowance of $386</w:t>
            </w:r>
            <w:r>
              <w:rPr>
                <w:rFonts w:ascii="Times New Roman" w:hAnsi="Times New Roman"/>
                <w:color w:val="000000"/>
                <w:sz w:val="20"/>
              </w:rPr>
              <w:t> </w:t>
            </w:r>
            <w:r>
              <w:rPr>
                <w:rFonts w:ascii="Arial" w:hAnsi="Arial"/>
                <w:color w:val="000000"/>
                <w:sz w:val="20"/>
              </w:rPr>
              <w:t>and $507,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18,215</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6877" w:type="dxa"/>
            <w:tcBorders/>
            <w:shd w:fill="FFFFFF"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Unbilled receivables, net of allowance of $25</w:t>
            </w:r>
            <w:r>
              <w:rPr>
                <w:rFonts w:ascii="Times New Roman" w:hAnsi="Times New Roman"/>
                <w:color w:val="000000"/>
                <w:sz w:val="20"/>
              </w:rPr>
              <w:t> </w:t>
            </w:r>
            <w:r>
              <w:rPr>
                <w:rFonts w:ascii="Arial" w:hAnsi="Arial"/>
                <w:color w:val="000000"/>
                <w:sz w:val="20"/>
              </w:rPr>
              <w:t>and $27,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13,052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10,689</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6877"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Funds receivable from payment partners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84,974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113,945</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6877"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18,227</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877"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710,928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815,684</w:t>
            </w:r>
          </w:p>
        </w:tc>
        <w:tc>
          <w:tcPr>
            <w:tcW w:w="631" w:type="dxa"/>
            <w:tcBorders/>
            <w:shd w:fill="CFF0FC" w:val="clear"/>
            <w:vAlign w:val="center"/>
          </w:tcPr>
          <w:p>
            <w:pPr>
              <w:pStyle w:val="TableContents"/>
              <w:bidi w:val="0"/>
              <w:spacing w:before="0" w:after="283"/>
              <w:jc w:val="left"/>
              <w:rPr/>
            </w:pPr>
            <w:r>
              <w:rPr/>
              <w:t> </w:t>
            </w:r>
          </w:p>
        </w:tc>
      </w:tr>
      <w:tr>
        <w:trPr/>
        <w:tc>
          <w:tcPr>
            <w:tcW w:w="687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26,721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631" w:type="dxa"/>
            <w:tcBorders/>
            <w:shd w:fill="FFFFFF" w:val="clear"/>
            <w:vAlign w:val="center"/>
          </w:tcPr>
          <w:p>
            <w:pPr>
              <w:pStyle w:val="TableContents"/>
              <w:bidi w:val="0"/>
              <w:spacing w:before="0" w:after="283"/>
              <w:jc w:val="left"/>
              <w:rPr/>
            </w:pPr>
            <w:r>
              <w:rPr/>
              <w:t> </w:t>
            </w:r>
          </w:p>
        </w:tc>
      </w:tr>
      <w:tr>
        <w:trPr/>
        <w:tc>
          <w:tcPr>
            <w:tcW w:w="687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17,074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15,134</w:t>
            </w:r>
          </w:p>
        </w:tc>
        <w:tc>
          <w:tcPr>
            <w:tcW w:w="631" w:type="dxa"/>
            <w:tcBorders/>
            <w:shd w:fill="CFF0FC" w:val="clear"/>
            <w:vAlign w:val="center"/>
          </w:tcPr>
          <w:p>
            <w:pPr>
              <w:pStyle w:val="TableContents"/>
              <w:bidi w:val="0"/>
              <w:spacing w:before="0" w:after="283"/>
              <w:jc w:val="left"/>
              <w:rPr/>
            </w:pPr>
            <w:r>
              <w:rPr/>
              <w:t> </w:t>
            </w:r>
          </w:p>
        </w:tc>
      </w:tr>
      <w:tr>
        <w:trPr/>
        <w:tc>
          <w:tcPr>
            <w:tcW w:w="687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101,303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108,178</w:t>
            </w:r>
          </w:p>
        </w:tc>
        <w:tc>
          <w:tcPr>
            <w:tcW w:w="631" w:type="dxa"/>
            <w:tcBorders/>
            <w:shd w:fill="FFFFFF" w:val="clear"/>
            <w:vAlign w:val="center"/>
          </w:tcPr>
          <w:p>
            <w:pPr>
              <w:pStyle w:val="TableContents"/>
              <w:bidi w:val="0"/>
              <w:spacing w:before="0" w:after="283"/>
              <w:jc w:val="left"/>
              <w:rPr/>
            </w:pPr>
            <w:r>
              <w:rPr/>
              <w:t> </w:t>
            </w:r>
          </w:p>
        </w:tc>
      </w:tr>
      <w:tr>
        <w:trPr/>
        <w:tc>
          <w:tcPr>
            <w:tcW w:w="687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120,657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121,646</w:t>
            </w:r>
          </w:p>
        </w:tc>
        <w:tc>
          <w:tcPr>
            <w:tcW w:w="631" w:type="dxa"/>
            <w:tcBorders/>
            <w:shd w:fill="CFF0FC" w:val="clear"/>
            <w:vAlign w:val="center"/>
          </w:tcPr>
          <w:p>
            <w:pPr>
              <w:pStyle w:val="TableContents"/>
              <w:bidi w:val="0"/>
              <w:spacing w:before="0" w:after="283"/>
              <w:jc w:val="left"/>
              <w:rPr/>
            </w:pPr>
            <w:r>
              <w:rPr/>
              <w:t> </w:t>
            </w:r>
          </w:p>
        </w:tc>
      </w:tr>
      <w:tr>
        <w:trPr/>
        <w:tc>
          <w:tcPr>
            <w:tcW w:w="687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19,089</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877"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1,079,731</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7"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right"/>
              <w:rPr/>
            </w:pPr>
            <w:r>
              <w:rPr/>
              <w:t> </w:t>
            </w:r>
          </w:p>
        </w:tc>
        <w:tc>
          <w:tcPr>
            <w:tcW w:w="631" w:type="dxa"/>
            <w:tcBorders/>
            <w:shd w:fill="FFFFFF" w:val="clear"/>
            <w:vAlign w:val="center"/>
          </w:tcPr>
          <w:p>
            <w:pPr>
              <w:pStyle w:val="TableContents"/>
              <w:bidi w:val="0"/>
              <w:spacing w:before="0" w:after="283"/>
              <w:jc w:val="right"/>
              <w:rPr/>
            </w:pPr>
            <w:r>
              <w:rPr/>
              <w:t> </w:t>
            </w:r>
          </w:p>
        </w:tc>
      </w:tr>
      <w:tr>
        <w:trPr/>
        <w:tc>
          <w:tcPr>
            <w:tcW w:w="687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631" w:type="dxa"/>
            <w:tcBorders/>
            <w:shd w:fill="CFF0FC" w:val="clear"/>
            <w:vAlign w:val="center"/>
          </w:tcPr>
          <w:p>
            <w:pPr>
              <w:pStyle w:val="TableContents"/>
              <w:bidi w:val="0"/>
              <w:spacing w:before="0" w:after="283"/>
              <w:ind w:left="0" w:right="0" w:firstLine="140"/>
              <w:jc w:val="right"/>
              <w:rPr/>
            </w:pPr>
            <w:r>
              <w:rPr/>
              <w:t> </w:t>
            </w:r>
          </w:p>
        </w:tc>
      </w:tr>
      <w:tr>
        <w:trPr/>
        <w:tc>
          <w:tcPr>
            <w:tcW w:w="6877"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13,509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12,587</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6877"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Funds payable to clients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116,191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210,922</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6877"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43,536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43,315</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6877"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6,968</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877"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177,419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273,792</w:t>
            </w:r>
          </w:p>
        </w:tc>
        <w:tc>
          <w:tcPr>
            <w:tcW w:w="631" w:type="dxa"/>
            <w:tcBorders/>
            <w:shd w:fill="FFFFFF" w:val="clear"/>
            <w:vAlign w:val="center"/>
          </w:tcPr>
          <w:p>
            <w:pPr>
              <w:pStyle w:val="TableContents"/>
              <w:bidi w:val="0"/>
              <w:spacing w:before="0" w:after="283"/>
              <w:jc w:val="left"/>
              <w:rPr/>
            </w:pPr>
            <w:r>
              <w:rPr/>
              <w:t> </w:t>
            </w:r>
          </w:p>
        </w:tc>
      </w:tr>
      <w:tr>
        <w:trPr/>
        <w:tc>
          <w:tcPr>
            <w:tcW w:w="687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15,391</w:t>
            </w:r>
          </w:p>
        </w:tc>
        <w:tc>
          <w:tcPr>
            <w:tcW w:w="631" w:type="dxa"/>
            <w:tcBorders/>
            <w:shd w:fill="CFF0FC" w:val="clear"/>
            <w:vAlign w:val="center"/>
          </w:tcPr>
          <w:p>
            <w:pPr>
              <w:pStyle w:val="TableContents"/>
              <w:bidi w:val="0"/>
              <w:spacing w:before="0" w:after="283"/>
              <w:jc w:val="left"/>
              <w:rPr/>
            </w:pPr>
            <w:r>
              <w:rPr/>
              <w:t> </w:t>
            </w:r>
          </w:p>
        </w:tc>
      </w:tr>
      <w:tr>
        <w:trPr/>
        <w:tc>
          <w:tcPr>
            <w:tcW w:w="687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4,431</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877"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293,614</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15)</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right"/>
              <w:rPr/>
            </w:pPr>
            <w:r>
              <w:rPr/>
              <w:t> </w:t>
            </w:r>
          </w:p>
        </w:tc>
        <w:tc>
          <w:tcPr>
            <w:tcW w:w="631" w:type="dxa"/>
            <w:tcBorders/>
            <w:shd w:fill="FFFFFF" w:val="clear"/>
            <w:vAlign w:val="center"/>
          </w:tcPr>
          <w:p>
            <w:pPr>
              <w:pStyle w:val="TableContents"/>
              <w:bidi w:val="0"/>
              <w:spacing w:before="0" w:after="283"/>
              <w:jc w:val="right"/>
              <w:rPr/>
            </w:pPr>
            <w:r>
              <w:rPr/>
              <w:t> </w:t>
            </w:r>
          </w:p>
        </w:tc>
      </w:tr>
      <w:tr>
        <w:trPr/>
        <w:tc>
          <w:tcPr>
            <w:tcW w:w="687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631" w:type="dxa"/>
            <w:tcBorders/>
            <w:shd w:fill="CFF0FC" w:val="clear"/>
            <w:vAlign w:val="center"/>
          </w:tcPr>
          <w:p>
            <w:pPr>
              <w:pStyle w:val="TableContents"/>
              <w:bidi w:val="0"/>
              <w:spacing w:before="0" w:after="283"/>
              <w:ind w:left="0" w:right="0" w:firstLine="140"/>
              <w:jc w:val="right"/>
              <w:rPr/>
            </w:pPr>
            <w:r>
              <w:rPr/>
              <w:t> </w:t>
            </w:r>
          </w:p>
        </w:tc>
      </w:tr>
      <w:tr>
        <w:trPr/>
        <w:tc>
          <w:tcPr>
            <w:tcW w:w="6877" w:type="dxa"/>
            <w:tcBorders/>
            <w:shd w:fill="FFFFFF"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 xml:space="preserve">shares authorized as of </w:t>
              <w:br/>
              <w:t>   June 30, 2024 and December 31, 2023; and no</w:t>
            </w:r>
            <w:r>
              <w:rPr>
                <w:rFonts w:ascii="Times New Roman" w:hAnsi="Times New Roman"/>
                <w:color w:val="000000"/>
                <w:sz w:val="20"/>
              </w:rPr>
              <w:t> </w:t>
            </w:r>
            <w:r>
              <w:rPr>
                <w:rFonts w:ascii="Arial" w:hAnsi="Arial"/>
                <w:color w:val="000000"/>
                <w:sz w:val="20"/>
              </w:rPr>
              <w:t xml:space="preserve">shares issued and </w:t>
              <w:br/>
              <w:t>   outstanding as of June 30, 2024 and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6877" w:type="dxa"/>
            <w:tcBorders/>
            <w:shd w:fill="CFF0FC"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Voting common stock, $0.0001</w:t>
            </w:r>
            <w:r>
              <w:rPr>
                <w:rFonts w:ascii="Times New Roman" w:hAnsi="Times New Roman"/>
                <w:color w:val="000000"/>
                <w:sz w:val="20"/>
              </w:rPr>
              <w:t> </w:t>
            </w:r>
            <w:r>
              <w:rPr>
                <w:rFonts w:ascii="Arial" w:hAnsi="Arial"/>
                <w:color w:val="000000"/>
                <w:sz w:val="20"/>
              </w:rPr>
              <w:t>par value; 2,000,000,000</w:t>
            </w:r>
            <w:r>
              <w:rPr>
                <w:rFonts w:ascii="Times New Roman" w:hAnsi="Times New Roman"/>
                <w:color w:val="000000"/>
                <w:sz w:val="20"/>
              </w:rPr>
              <w:t> </w:t>
            </w:r>
            <w:r>
              <w:rPr>
                <w:rFonts w:ascii="Arial" w:hAnsi="Arial"/>
                <w:color w:val="000000"/>
                <w:sz w:val="20"/>
              </w:rPr>
              <w:t xml:space="preserve">shares authorized as </w:t>
              <w:br/>
              <w:t>   of June 30, 2024 and December 31, 2023; 125,528,991</w:t>
            </w:r>
            <w:r>
              <w:rPr>
                <w:rFonts w:ascii="Times New Roman" w:hAnsi="Times New Roman"/>
                <w:color w:val="000000"/>
                <w:sz w:val="20"/>
              </w:rPr>
              <w:t> </w:t>
            </w:r>
            <w:r>
              <w:rPr>
                <w:rFonts w:ascii="Arial" w:hAnsi="Arial"/>
                <w:color w:val="000000"/>
                <w:sz w:val="20"/>
              </w:rPr>
              <w:t>shares issued and</w:t>
              <w:br/>
              <w:t>   123,233,953</w:t>
            </w:r>
            <w:r>
              <w:rPr>
                <w:rFonts w:ascii="Times New Roman" w:hAnsi="Times New Roman"/>
                <w:color w:val="000000"/>
                <w:sz w:val="20"/>
              </w:rPr>
              <w:t> </w:t>
            </w:r>
            <w:r>
              <w:rPr>
                <w:rFonts w:ascii="Arial" w:hAnsi="Arial"/>
                <w:color w:val="000000"/>
                <w:sz w:val="20"/>
              </w:rPr>
              <w:t>shares outstanding as of June 30, 2024; 123,010,207</w:t>
            </w:r>
            <w:r>
              <w:rPr>
                <w:rFonts w:ascii="Times New Roman" w:hAnsi="Times New Roman"/>
                <w:color w:val="000000"/>
                <w:sz w:val="20"/>
              </w:rPr>
              <w:t> </w:t>
            </w:r>
            <w:r>
              <w:rPr>
                <w:rFonts w:ascii="Arial" w:hAnsi="Arial"/>
                <w:color w:val="000000"/>
                <w:sz w:val="20"/>
              </w:rPr>
              <w:t xml:space="preserve">shares </w:t>
              <w:br/>
              <w:t>   issued and 120,695,162</w:t>
            </w:r>
            <w:r>
              <w:rPr>
                <w:rFonts w:ascii="Times New Roman" w:hAnsi="Times New Roman"/>
                <w:color w:val="000000"/>
                <w:sz w:val="20"/>
              </w:rPr>
              <w:t> </w:t>
            </w:r>
            <w:r>
              <w:rPr>
                <w:rFonts w:ascii="Arial" w:hAnsi="Arial"/>
                <w:color w:val="000000"/>
                <w:sz w:val="20"/>
              </w:rPr>
              <w:t>shares outstanding as of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6877" w:type="dxa"/>
            <w:tcBorders/>
            <w:shd w:fill="FFFFFF"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Non-voting common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w:t>
              <w:br/>
              <w:t>   as of June 30, 2024 and December 31, 2023; 1,873,320</w:t>
            </w:r>
            <w:r>
              <w:rPr>
                <w:rFonts w:ascii="Times New Roman" w:hAnsi="Times New Roman"/>
                <w:color w:val="000000"/>
                <w:sz w:val="20"/>
              </w:rPr>
              <w:t> </w:t>
            </w:r>
            <w:r>
              <w:rPr>
                <w:rFonts w:ascii="Arial" w:hAnsi="Arial"/>
                <w:color w:val="000000"/>
                <w:sz w:val="20"/>
              </w:rPr>
              <w:t xml:space="preserve">shares issued </w:t>
              <w:br/>
              <w:t>   and outstanding as of June 30, 2024 and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6877" w:type="dxa"/>
            <w:tcBorders/>
            <w:shd w:fill="CFF0FC" w:val="clear"/>
            <w:vAlign w:val="center"/>
          </w:tcPr>
          <w:p>
            <w:pPr>
              <w:pStyle w:val="TableContents"/>
              <w:bidi w:val="0"/>
              <w:spacing w:before="0" w:after="283"/>
              <w:ind w:left="140" w:right="0" w:firstLine="140"/>
              <w:jc w:val="left"/>
              <w:rPr>
                <w:rFonts w:ascii="Times New Roman" w:hAnsi="Times New Roman"/>
                <w:sz w:val="20"/>
              </w:rPr>
            </w:pPr>
            <w:r>
              <w:rPr>
                <w:rFonts w:ascii="Arial" w:hAnsi="Arial"/>
                <w:color w:val="000000"/>
                <w:sz w:val="20"/>
              </w:rPr>
              <w:t>Treasury voting common stock, 2,295,038</w:t>
            </w:r>
            <w:r>
              <w:rPr>
                <w:rFonts w:ascii="Times New Roman" w:hAnsi="Times New Roman"/>
                <w:color w:val="000000"/>
                <w:sz w:val="20"/>
              </w:rPr>
              <w:t> </w:t>
            </w:r>
            <w:r>
              <w:rPr>
                <w:rFonts w:ascii="Arial" w:hAnsi="Arial"/>
                <w:color w:val="000000"/>
                <w:sz w:val="20"/>
              </w:rPr>
              <w:t>and 2,315,045</w:t>
            </w:r>
            <w:r>
              <w:rPr>
                <w:rFonts w:ascii="Times New Roman" w:hAnsi="Times New Roman"/>
                <w:color w:val="000000"/>
                <w:sz w:val="20"/>
              </w:rPr>
              <w:t> </w:t>
            </w:r>
            <w:r>
              <w:rPr>
                <w:rFonts w:ascii="Arial" w:hAnsi="Arial"/>
                <w:color w:val="000000"/>
                <w:sz w:val="20"/>
              </w:rPr>
              <w:t xml:space="preserve">shares </w:t>
              <w:br/>
              <w:t>   as of June 30, 2024 and December 31, 2023, respectively, held at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(747</w:t>
            </w:r>
          </w:p>
        </w:tc>
        <w:tc>
          <w:tcPr>
            <w:tcW w:w="63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877"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997,057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959,302</w:t>
            </w:r>
          </w:p>
        </w:tc>
        <w:tc>
          <w:tcPr>
            <w:tcW w:w="631" w:type="dxa"/>
            <w:tcBorders/>
            <w:shd w:fill="FFFFFF" w:val="clear"/>
            <w:vAlign w:val="center"/>
          </w:tcPr>
          <w:p>
            <w:pPr>
              <w:pStyle w:val="TableContents"/>
              <w:bidi w:val="0"/>
              <w:spacing w:before="0" w:after="283"/>
              <w:ind w:left="0" w:right="0" w:firstLine="280"/>
              <w:jc w:val="left"/>
              <w:rPr/>
            </w:pPr>
            <w:r>
              <w:rPr/>
              <w:t> </w:t>
            </w:r>
          </w:p>
        </w:tc>
      </w:tr>
      <w:tr>
        <w:trPr/>
        <w:tc>
          <w:tcPr>
            <w:tcW w:w="6877"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other comprehensive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1,320</w:t>
            </w:r>
          </w:p>
        </w:tc>
        <w:tc>
          <w:tcPr>
            <w:tcW w:w="631" w:type="dxa"/>
            <w:tcBorders/>
            <w:shd w:fill="CFF0FC" w:val="clear"/>
            <w:vAlign w:val="center"/>
          </w:tcPr>
          <w:p>
            <w:pPr>
              <w:pStyle w:val="TableContents"/>
              <w:bidi w:val="0"/>
              <w:spacing w:before="0" w:after="283"/>
              <w:ind w:left="0" w:right="0" w:firstLine="280"/>
              <w:jc w:val="left"/>
              <w:rPr/>
            </w:pPr>
            <w:r>
              <w:rPr/>
              <w:t> </w:t>
            </w:r>
          </w:p>
        </w:tc>
      </w:tr>
      <w:tr>
        <w:trPr/>
        <w:tc>
          <w:tcPr>
            <w:tcW w:w="6877"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(173,770</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877"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802,560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786,117</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877"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1,079,731</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Arial" w:hAnsi="Arial"/>
          <w:color w:val="000000"/>
          <w:sz w:val="20"/>
        </w:rPr>
      </w:pPr>
      <w:r>
        <w:rPr>
          <w:rFonts w:ascii="Arial" w:hAnsi="Arial"/>
          <w:color w:val="000000"/>
          <w:sz w:val="20"/>
        </w:rPr>
        <w:t>The accompanying notes are an integral part of these unaudited condensed consolidated financial statements.</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bookmarkStart w:id="8" w:name="fin469729_52"/>
      <w:bookmarkEnd w:id="8"/>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condensed_consolidated_operations"/>
      <w:bookmarkEnd w:id="9"/>
      <w:r>
        <w:rPr>
          <w:rFonts w:ascii="Arial" w:hAnsi="Arial"/>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spacing w:before="0" w:after="200"/>
        <w:jc w:val="center"/>
        <w:rPr>
          <w:rFonts w:ascii="Times New Roman" w:hAnsi="Times New Roman"/>
          <w:sz w:val="20"/>
        </w:rPr>
      </w:pPr>
      <w:r>
        <w:rPr>
          <w:rFonts w:ascii="Arial" w:hAnsi="Arial"/>
          <w:color w:val="000000"/>
          <w:sz w:val="20"/>
        </w:rPr>
        <w:t>(Unaudited) (Amounts in thousands, except share and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124"/>
        <w:gridCol w:w="146"/>
        <w:gridCol w:w="211"/>
        <w:gridCol w:w="1171"/>
        <w:gridCol w:w="166"/>
        <w:gridCol w:w="146"/>
        <w:gridCol w:w="211"/>
        <w:gridCol w:w="1171"/>
        <w:gridCol w:w="166"/>
        <w:gridCol w:w="146"/>
        <w:gridCol w:w="211"/>
        <w:gridCol w:w="1171"/>
        <w:gridCol w:w="166"/>
        <w:gridCol w:w="146"/>
        <w:gridCol w:w="211"/>
        <w:gridCol w:w="1171"/>
        <w:gridCol w:w="471"/>
      </w:tblGrid>
      <w:tr>
        <w:trPr/>
        <w:tc>
          <w:tcPr>
            <w:tcW w:w="3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2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103,676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84,869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217,779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179,226</w:t>
            </w:r>
          </w:p>
        </w:tc>
        <w:tc>
          <w:tcPr>
            <w:tcW w:w="471" w:type="dxa"/>
            <w:tcBorders/>
            <w:shd w:fill="CFF0FC" w:val="clear"/>
            <w:vAlign w:val="center"/>
          </w:tcPr>
          <w:p>
            <w:pPr>
              <w:pStyle w:val="TableContents"/>
              <w:bidi w:val="0"/>
              <w:spacing w:before="0" w:after="283"/>
              <w:jc w:val="left"/>
              <w:rPr/>
            </w:pPr>
            <w:r>
              <w:rPr/>
              <w:t> </w:t>
            </w:r>
          </w:p>
        </w:tc>
      </w:tr>
      <w:tr>
        <w:trPr/>
        <w:tc>
          <w:tcPr>
            <w:tcW w:w="31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Costs and operating expenses:</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140"/>
              <w:jc w:val="right"/>
              <w:rPr/>
            </w:pPr>
            <w:r>
              <w:rPr/>
              <w:t> </w:t>
            </w:r>
          </w:p>
        </w:tc>
      </w:tr>
      <w:tr>
        <w:trPr/>
        <w:tc>
          <w:tcPr>
            <w:tcW w:w="3124"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Payment processing services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39,899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33,804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81,549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67,659</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124"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Technology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15,834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32,571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30,539</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3124"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Selling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31,771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61,854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51,707</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124"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52,697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2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costs and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202,602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(23,376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140"/>
              <w:jc w:val="right"/>
              <w:rPr/>
            </w:pPr>
            <w:r>
              <w:rPr/>
              <w:t> </w:t>
            </w:r>
          </w:p>
        </w:tc>
      </w:tr>
      <w:tr>
        <w:trPr/>
        <w:tc>
          <w:tcPr>
            <w:tcW w:w="3124"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(181</w:t>
            </w:r>
          </w:p>
        </w:tc>
        <w:tc>
          <w:tcPr>
            <w:tcW w:w="47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124"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3,870</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124"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Gain (loss) from remeasurement of foreign currency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2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(9,203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(15,706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(13,805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(18,972</w:t>
            </w:r>
          </w:p>
        </w:tc>
        <w:tc>
          <w:tcPr>
            <w:tcW w:w="47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124"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(20,496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140"/>
              <w:jc w:val="right"/>
              <w:rPr/>
            </w:pPr>
            <w:r>
              <w:rPr/>
              <w:t> </w:t>
            </w:r>
          </w:p>
        </w:tc>
      </w:tr>
      <w:tr>
        <w:trPr/>
        <w:tc>
          <w:tcPr>
            <w:tcW w:w="3124"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2,082</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3124"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 xml:space="preserve">Unrealized losses on available-for-sale </w:t>
              <w:br/>
              <w:t>   debt securities, net of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2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other comprehensive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(18,414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Net loss attributable to common stockholders – basic </w:t>
              <w:br/>
              <w:t>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(20,496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Net loss per share attributable to common </w:t>
              <w:br/>
              <w:t>   stockholders –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1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common shares outstanding – basic</w:t>
              <w:br/>
              <w:t>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124,562,015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111,133,221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123,859,762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110,464,092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 w:hAnsi="Times New Roman"/>
          <w:sz w:val="20"/>
        </w:rPr>
      </w:pPr>
      <w:r>
        <w:rPr>
          <w:rFonts w:ascii="Arial" w:hAnsi="Arial"/>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statements_stockholders_deficit"/>
      <w:bookmarkEnd w:id="10"/>
      <w:r>
        <w:rPr>
          <w:rFonts w:ascii="Arial" w:hAnsi="Arial"/>
          <w:b/>
          <w:color w:val="000000"/>
          <w:sz w:val="20"/>
        </w:rPr>
        <w:t>CONDENSED CONSOLIDATED STATEMENTS OF STOCKHOLDERS’ EQUITY</w:t>
      </w:r>
      <w:r>
        <w:rPr>
          <w:rFonts w:ascii="Times New Roman" w:hAnsi="Times New Roman"/>
          <w:color w:val="000000"/>
          <w:sz w:val="20"/>
        </w:rPr>
        <w:t xml:space="preserve"> </w:t>
      </w:r>
    </w:p>
    <w:p>
      <w:pPr>
        <w:pStyle w:val="TextBody"/>
        <w:bidi w:val="0"/>
        <w:spacing w:before="0" w:after="200"/>
        <w:jc w:val="center"/>
        <w:rPr>
          <w:rFonts w:ascii="Times New Roman" w:hAnsi="Times New Roman"/>
          <w:sz w:val="20"/>
        </w:rPr>
      </w:pPr>
      <w:r>
        <w:rPr>
          <w:rFonts w:ascii="Arial" w:hAnsi="Arial"/>
          <w:color w:val="000000"/>
          <w:sz w:val="20"/>
        </w:rPr>
        <w:t>(Unaudited) (Amounts in thousands, except share amounts)</w:t>
      </w:r>
      <w:r>
        <w:rPr>
          <w:rFonts w:ascii="Times New Roman" w:hAnsi="Times New Roman"/>
          <w:color w:val="000000"/>
          <w:sz w:val="20"/>
        </w:rPr>
        <w:t xml:space="preserve"> </w:t>
      </w:r>
    </w:p>
    <w:tbl>
      <w:tblPr>
        <w:tblW w:w="11806" w:type="dxa"/>
        <w:jc w:val="left"/>
        <w:tblInd w:w="0" w:type="dxa"/>
        <w:tblLayout w:type="fixed"/>
        <w:tblCellMar>
          <w:top w:w="28" w:type="dxa"/>
          <w:left w:w="28" w:type="dxa"/>
          <w:bottom w:w="28" w:type="dxa"/>
          <w:right w:w="28" w:type="dxa"/>
        </w:tblCellMar>
      </w:tblPr>
      <w:tblGrid>
        <w:gridCol w:w="1096"/>
        <w:gridCol w:w="146"/>
        <w:gridCol w:w="146"/>
        <w:gridCol w:w="146"/>
        <w:gridCol w:w="146"/>
        <w:gridCol w:w="706"/>
        <w:gridCol w:w="146"/>
        <w:gridCol w:w="146"/>
        <w:gridCol w:w="185"/>
        <w:gridCol w:w="386"/>
        <w:gridCol w:w="146"/>
        <w:gridCol w:w="146"/>
        <w:gridCol w:w="146"/>
        <w:gridCol w:w="586"/>
        <w:gridCol w:w="146"/>
        <w:gridCol w:w="146"/>
        <w:gridCol w:w="185"/>
        <w:gridCol w:w="386"/>
        <w:gridCol w:w="146"/>
        <w:gridCol w:w="146"/>
        <w:gridCol w:w="146"/>
        <w:gridCol w:w="631"/>
        <w:gridCol w:w="151"/>
        <w:gridCol w:w="146"/>
        <w:gridCol w:w="185"/>
        <w:gridCol w:w="386"/>
        <w:gridCol w:w="151"/>
        <w:gridCol w:w="146"/>
        <w:gridCol w:w="173"/>
        <w:gridCol w:w="518"/>
        <w:gridCol w:w="151"/>
        <w:gridCol w:w="146"/>
        <w:gridCol w:w="316"/>
        <w:gridCol w:w="660"/>
        <w:gridCol w:w="151"/>
        <w:gridCol w:w="146"/>
        <w:gridCol w:w="197"/>
        <w:gridCol w:w="644"/>
        <w:gridCol w:w="151"/>
        <w:gridCol w:w="146"/>
        <w:gridCol w:w="210"/>
        <w:gridCol w:w="631"/>
        <w:gridCol w:w="19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6" w:type="dxa"/>
            <w:gridSpan w:val="38"/>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Three Months Ended June 30, 2024</w:t>
            </w:r>
          </w:p>
        </w:tc>
        <w:tc>
          <w:tcPr>
            <w:tcW w:w="196" w:type="dxa"/>
            <w:tcBorders/>
            <w:shd w:fill="FFFFFF" w:val="cle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Voting</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Non-Voting</w:t>
              <w:b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 xml:space="preserve">Treasury Voting </w:t>
              <w:b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w:t>
              <w:br/>
              <w:t>Paid-In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br/>
              <w:t>Other</w:t>
              <w:br/>
              <w:t>Comprehensive</w:t>
              <w:br/>
              <w:t>(Loss)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Stockholders’</w:t>
            </w:r>
          </w:p>
        </w:tc>
        <w:tc>
          <w:tcPr>
            <w:tcW w:w="196" w:type="dxa"/>
            <w:tcBorders/>
            <w:shd w:fill="FFFFFF" w:val="cle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Balances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124,555,591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1,873,320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(2,300,541</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(742</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18"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977,743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60"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(41</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(179,987</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796,985</w:t>
            </w:r>
          </w:p>
        </w:tc>
        <w:tc>
          <w:tcPr>
            <w:tcW w:w="196"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Issuance of common </w:t>
              <w:br/>
              <w:t xml:space="preserve">   stock upon exercise </w:t>
              <w:br/>
              <w:t>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593,673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1,609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1,609</w:t>
            </w:r>
          </w:p>
        </w:tc>
        <w:tc>
          <w:tcPr>
            <w:tcW w:w="196" w:type="dxa"/>
            <w:tcBorders/>
            <w:shd w:fill="FFFFFF" w:val="cle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Issuance of common </w:t>
              <w:br/>
              <w:t xml:space="preserve">   stock upon settlement </w:t>
              <w:br/>
              <w:t xml:space="preserve">   of restricted stock </w:t>
              <w:br/>
              <w:t>   units</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379,727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Issuance of treasury stock</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5,503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(1</w:t>
            </w:r>
          </w:p>
        </w:tc>
        <w:tc>
          <w:tcPr>
            <w:tcW w:w="151"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Foreign currency translation </w:t>
              <w:br/>
              <w:t>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193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193</w:t>
            </w:r>
          </w:p>
        </w:tc>
        <w:tc>
          <w:tcPr>
            <w:tcW w:w="196"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Unrealized losses on </w:t>
              <w:br/>
              <w:t xml:space="preserve">   available-for-sale debt </w:t>
              <w:br/>
              <w:t>   securities, net of taxes</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60"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(53</w:t>
            </w:r>
          </w:p>
        </w:tc>
        <w:tc>
          <w:tcPr>
            <w:tcW w:w="151"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(53</w:t>
            </w:r>
          </w:p>
        </w:tc>
        <w:tc>
          <w:tcPr>
            <w:tcW w:w="19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109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Stock-based </w:t>
              <w:br/>
              <w:t>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17,706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66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17,706</w:t>
            </w:r>
          </w:p>
        </w:tc>
        <w:tc>
          <w:tcPr>
            <w:tcW w:w="196"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(13,880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(13,880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1096" w:type="dxa"/>
            <w:tcBorders/>
            <w:shd w:fill="CFF0FC" w:val="cle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Balances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125,528,991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1,873,320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(2,295,038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997,057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(193,867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802,560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1621" w:type="dxa"/>
        <w:jc w:val="left"/>
        <w:tblInd w:w="0" w:type="dxa"/>
        <w:tblLayout w:type="fixed"/>
        <w:tblCellMar>
          <w:top w:w="28" w:type="dxa"/>
          <w:left w:w="28" w:type="dxa"/>
          <w:bottom w:w="28" w:type="dxa"/>
          <w:right w:w="28" w:type="dxa"/>
        </w:tblCellMar>
      </w:tblPr>
      <w:tblGrid>
        <w:gridCol w:w="916"/>
        <w:gridCol w:w="146"/>
        <w:gridCol w:w="146"/>
        <w:gridCol w:w="146"/>
        <w:gridCol w:w="146"/>
        <w:gridCol w:w="706"/>
        <w:gridCol w:w="146"/>
        <w:gridCol w:w="146"/>
        <w:gridCol w:w="185"/>
        <w:gridCol w:w="386"/>
        <w:gridCol w:w="146"/>
        <w:gridCol w:w="146"/>
        <w:gridCol w:w="146"/>
        <w:gridCol w:w="586"/>
        <w:gridCol w:w="146"/>
        <w:gridCol w:w="146"/>
        <w:gridCol w:w="185"/>
        <w:gridCol w:w="386"/>
        <w:gridCol w:w="146"/>
        <w:gridCol w:w="146"/>
        <w:gridCol w:w="146"/>
        <w:gridCol w:w="631"/>
        <w:gridCol w:w="151"/>
        <w:gridCol w:w="146"/>
        <w:gridCol w:w="185"/>
        <w:gridCol w:w="386"/>
        <w:gridCol w:w="151"/>
        <w:gridCol w:w="146"/>
        <w:gridCol w:w="173"/>
        <w:gridCol w:w="518"/>
        <w:gridCol w:w="146"/>
        <w:gridCol w:w="146"/>
        <w:gridCol w:w="276"/>
        <w:gridCol w:w="700"/>
        <w:gridCol w:w="151"/>
        <w:gridCol w:w="146"/>
        <w:gridCol w:w="197"/>
        <w:gridCol w:w="644"/>
        <w:gridCol w:w="151"/>
        <w:gridCol w:w="146"/>
        <w:gridCol w:w="210"/>
        <w:gridCol w:w="631"/>
        <w:gridCol w:w="196"/>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1" w:type="dxa"/>
            <w:gridSpan w:val="38"/>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Three Months Ended June 30, 2023</w:t>
            </w:r>
          </w:p>
        </w:tc>
        <w:tc>
          <w:tcPr>
            <w:tcW w:w="196" w:type="dxa"/>
            <w:tcBorders/>
            <w:shd w:fill="FFFFFF" w:val="clear"/>
            <w:vAlign w:val="center"/>
          </w:tcPr>
          <w:p>
            <w:pPr>
              <w:pStyle w:val="TableContents"/>
              <w:bidi w:val="0"/>
              <w:spacing w:before="0" w:after="283"/>
              <w:jc w:val="center"/>
              <w:rPr/>
            </w:pPr>
            <w:r>
              <w:rPr/>
              <w:t> </w:t>
            </w:r>
          </w:p>
        </w:tc>
      </w:tr>
      <w:tr>
        <w:trPr/>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Voting</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Non-Voting</w:t>
              <w:b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 xml:space="preserve">Treasury Voting </w:t>
              <w:b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br/>
              <w:t>Other</w:t>
              <w:br/>
              <w:t>Comprehensive</w:t>
              <w:br/>
              <w:t>Income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Stockholders’</w:t>
            </w:r>
          </w:p>
        </w:tc>
        <w:tc>
          <w:tcPr>
            <w:tcW w:w="196" w:type="dxa"/>
            <w:tcBorders/>
            <w:shd w:fill="FFFFFF" w:val="clear"/>
            <w:vAlign w:val="center"/>
          </w:tcPr>
          <w:p>
            <w:pPr>
              <w:pStyle w:val="TableContents"/>
              <w:bidi w:val="0"/>
              <w:spacing w:before="0" w:after="283"/>
              <w:jc w:val="center"/>
              <w:rPr/>
            </w:pPr>
            <w:r>
              <w:rPr/>
              <w:t> </w:t>
            </w:r>
          </w:p>
        </w:tc>
      </w:tr>
      <w:tr>
        <w:trPr/>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Balances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111,042,997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1,873,320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(2,317,722</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(748</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18"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662,067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00"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(2,279</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(168,887</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490,164</w:t>
            </w:r>
          </w:p>
        </w:tc>
        <w:tc>
          <w:tcPr>
            <w:tcW w:w="196"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Issuance of common </w:t>
              <w:br/>
              <w:t xml:space="preserve">   stock upon exercise </w:t>
              <w:br/>
              <w:t>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942,945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3,900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3,900</w:t>
            </w:r>
          </w:p>
        </w:tc>
        <w:tc>
          <w:tcPr>
            <w:tcW w:w="196" w:type="dxa"/>
            <w:tcBorders/>
            <w:shd w:fill="FFFFFF" w:val="clear"/>
            <w:vAlign w:val="center"/>
          </w:tcPr>
          <w:p>
            <w:pPr>
              <w:pStyle w:val="TableContents"/>
              <w:bidi w:val="0"/>
              <w:spacing w:before="0" w:after="283"/>
              <w:jc w:val="left"/>
              <w:rPr/>
            </w:pPr>
            <w:r>
              <w:rPr/>
              <w:t> </w:t>
            </w:r>
          </w:p>
        </w:tc>
      </w:tr>
      <w:tr>
        <w:trPr/>
        <w:tc>
          <w:tcPr>
            <w:tcW w:w="91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Issuance of common </w:t>
              <w:br/>
              <w:t xml:space="preserve">   stock upon settlement </w:t>
              <w:br/>
              <w:t xml:space="preserve">   of restricted stock </w:t>
              <w:br/>
              <w:t>   units</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243,248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Foreign currency </w:t>
              <w:br/>
              <w:t>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2,449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2,449</w:t>
            </w:r>
          </w:p>
        </w:tc>
        <w:tc>
          <w:tcPr>
            <w:tcW w:w="196" w:type="dxa"/>
            <w:tcBorders/>
            <w:shd w:fill="FFFFFF" w:val="clear"/>
            <w:vAlign w:val="center"/>
          </w:tcPr>
          <w:p>
            <w:pPr>
              <w:pStyle w:val="TableContents"/>
              <w:bidi w:val="0"/>
              <w:spacing w:before="0" w:after="283"/>
              <w:jc w:val="left"/>
              <w:rPr/>
            </w:pPr>
            <w:r>
              <w:rPr/>
              <w:t> </w:t>
            </w:r>
          </w:p>
        </w:tc>
      </w:tr>
      <w:tr>
        <w:trPr/>
        <w:tc>
          <w:tcPr>
            <w:tcW w:w="91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Stock-based </w:t>
              <w:br/>
              <w:t>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11,376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11,376</w:t>
            </w:r>
          </w:p>
        </w:tc>
        <w:tc>
          <w:tcPr>
            <w:tcW w:w="196"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(16,813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(16,813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16" w:type="dxa"/>
            <w:tcBorders/>
            <w:shd w:fill="CFF0FC" w:val="cle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Balances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112,229,190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1,873,320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(2,317,722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677,343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(185,700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491,076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tbl>
      <w:tblPr>
        <w:tblW w:w="11806" w:type="dxa"/>
        <w:jc w:val="left"/>
        <w:tblInd w:w="0" w:type="dxa"/>
        <w:tblLayout w:type="fixed"/>
        <w:tblCellMar>
          <w:top w:w="28" w:type="dxa"/>
          <w:left w:w="28" w:type="dxa"/>
          <w:bottom w:w="28" w:type="dxa"/>
          <w:right w:w="28" w:type="dxa"/>
        </w:tblCellMar>
      </w:tblPr>
      <w:tblGrid>
        <w:gridCol w:w="1096"/>
        <w:gridCol w:w="146"/>
        <w:gridCol w:w="146"/>
        <w:gridCol w:w="146"/>
        <w:gridCol w:w="146"/>
        <w:gridCol w:w="706"/>
        <w:gridCol w:w="146"/>
        <w:gridCol w:w="146"/>
        <w:gridCol w:w="185"/>
        <w:gridCol w:w="386"/>
        <w:gridCol w:w="146"/>
        <w:gridCol w:w="146"/>
        <w:gridCol w:w="146"/>
        <w:gridCol w:w="586"/>
        <w:gridCol w:w="146"/>
        <w:gridCol w:w="146"/>
        <w:gridCol w:w="185"/>
        <w:gridCol w:w="386"/>
        <w:gridCol w:w="146"/>
        <w:gridCol w:w="146"/>
        <w:gridCol w:w="146"/>
        <w:gridCol w:w="631"/>
        <w:gridCol w:w="151"/>
        <w:gridCol w:w="146"/>
        <w:gridCol w:w="185"/>
        <w:gridCol w:w="386"/>
        <w:gridCol w:w="151"/>
        <w:gridCol w:w="146"/>
        <w:gridCol w:w="173"/>
        <w:gridCol w:w="518"/>
        <w:gridCol w:w="151"/>
        <w:gridCol w:w="146"/>
        <w:gridCol w:w="276"/>
        <w:gridCol w:w="700"/>
        <w:gridCol w:w="151"/>
        <w:gridCol w:w="146"/>
        <w:gridCol w:w="197"/>
        <w:gridCol w:w="644"/>
        <w:gridCol w:w="151"/>
        <w:gridCol w:w="146"/>
        <w:gridCol w:w="210"/>
        <w:gridCol w:w="631"/>
        <w:gridCol w:w="196"/>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6" w:type="dxa"/>
            <w:gridSpan w:val="38"/>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Six Months Ended June 30, 2024</w:t>
            </w:r>
          </w:p>
        </w:tc>
        <w:tc>
          <w:tcPr>
            <w:tcW w:w="196" w:type="dxa"/>
            <w:tcBorders/>
            <w:shd w:fill="FFFFFF" w:val="cle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Voting</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Non-Voting</w:t>
              <w:b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 xml:space="preserve">Treasury Voting </w:t>
              <w:b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w:t>
              <w:br/>
              <w:t>Paid-In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br/>
              <w:t>Other</w:t>
              <w:b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Stockholders’</w:t>
            </w:r>
          </w:p>
        </w:tc>
        <w:tc>
          <w:tcPr>
            <w:tcW w:w="196" w:type="dxa"/>
            <w:tcBorders/>
            <w:shd w:fill="FFFFFF" w:val="clear"/>
            <w:vAlign w:val="center"/>
          </w:tcPr>
          <w:p>
            <w:pPr>
              <w:pStyle w:val="TableContents"/>
              <w:bidi w:val="0"/>
              <w:spacing w:before="0" w:after="283"/>
              <w:jc w:val="center"/>
              <w:rPr/>
            </w:pPr>
            <w:r>
              <w:rPr/>
              <w:t> </w:t>
            </w:r>
          </w:p>
        </w:tc>
      </w:tr>
      <w:tr>
        <w:trPr/>
        <w:tc>
          <w:tcPr>
            <w:tcW w:w="1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Balances at</w:t>
              <w:br/>
              <w: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123,010,207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1,873,320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(2,315,045</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(747</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18"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959,302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00"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1,320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(173,770</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786,117</w:t>
            </w:r>
          </w:p>
        </w:tc>
        <w:tc>
          <w:tcPr>
            <w:tcW w:w="196"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Issuance of common </w:t>
              <w:br/>
              <w:t xml:space="preserve">   stock upon exercise </w:t>
              <w:br/>
              <w:t>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1,304,373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3,227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3,227</w:t>
            </w:r>
          </w:p>
        </w:tc>
        <w:tc>
          <w:tcPr>
            <w:tcW w:w="196" w:type="dxa"/>
            <w:tcBorders/>
            <w:shd w:fill="FFFFFF" w:val="cle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Issuance of common </w:t>
              <w:br/>
              <w:t xml:space="preserve">   stock upon settlement </w:t>
              <w:br/>
              <w:t xml:space="preserve">   of restricted stock </w:t>
              <w:br/>
              <w:t>   units</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1,128,349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Issuance of common</w:t>
              <w:br/>
              <w:t>   stock under employee</w:t>
              <w:br/>
              <w:t>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71,896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1,415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1,415</w:t>
            </w:r>
          </w:p>
        </w:tc>
        <w:tc>
          <w:tcPr>
            <w:tcW w:w="196" w:type="dxa"/>
            <w:tcBorders/>
            <w:shd w:fill="FFFFFF" w:val="cle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Issuance of common </w:t>
              <w:br/>
              <w:t xml:space="preserve">   stock for retention </w:t>
              <w:br/>
              <w:t>   bonus</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14,166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324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324</w:t>
            </w:r>
          </w:p>
        </w:tc>
        <w:tc>
          <w:tcPr>
            <w:tcW w:w="196"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Issuance of treasury stock</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20,007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(6</w:t>
            </w:r>
          </w:p>
        </w:tc>
        <w:tc>
          <w:tcPr>
            <w:tcW w:w="151"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109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Foreign currency </w:t>
              <w:br/>
              <w:t>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(1,168</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(1,168</w:t>
            </w:r>
          </w:p>
        </w:tc>
        <w:tc>
          <w:tcPr>
            <w:tcW w:w="19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109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Unrealized losses on </w:t>
              <w:br/>
              <w:t xml:space="preserve">   available-for-sale debt </w:t>
              <w:br/>
              <w:t>   securities, net of taxes</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(53</w:t>
            </w:r>
          </w:p>
        </w:tc>
        <w:tc>
          <w:tcPr>
            <w:tcW w:w="151"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(53</w:t>
            </w:r>
          </w:p>
        </w:tc>
        <w:tc>
          <w:tcPr>
            <w:tcW w:w="19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109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Stock-based </w:t>
              <w:br/>
              <w:t>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32,795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32,795</w:t>
            </w:r>
          </w:p>
        </w:tc>
        <w:tc>
          <w:tcPr>
            <w:tcW w:w="196" w:type="dxa"/>
            <w:tcBorders/>
            <w:shd w:fill="CFF0FC" w:val="clear"/>
            <w:vAlign w:val="center"/>
          </w:tcPr>
          <w:p>
            <w:pPr>
              <w:pStyle w:val="TableContents"/>
              <w:bidi w:val="0"/>
              <w:spacing w:before="0" w:after="283"/>
              <w:jc w:val="left"/>
              <w:rPr/>
            </w:pPr>
            <w:r>
              <w:rPr/>
              <w:t> </w:t>
            </w:r>
          </w:p>
        </w:tc>
      </w:tr>
      <w:tr>
        <w:trPr/>
        <w:tc>
          <w:tcPr>
            <w:tcW w:w="109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(20,097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(20,097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1096" w:type="dxa"/>
            <w:tcBorders/>
            <w:shd w:fill="CFF0FC" w:val="cle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Balances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125,528,991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1,873,320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(2,295,038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997,057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(193,867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802,560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1621" w:type="dxa"/>
        <w:jc w:val="left"/>
        <w:tblInd w:w="0" w:type="dxa"/>
        <w:tblLayout w:type="fixed"/>
        <w:tblCellMar>
          <w:top w:w="28" w:type="dxa"/>
          <w:left w:w="28" w:type="dxa"/>
          <w:bottom w:w="28" w:type="dxa"/>
          <w:right w:w="28" w:type="dxa"/>
        </w:tblCellMar>
      </w:tblPr>
      <w:tblGrid>
        <w:gridCol w:w="916"/>
        <w:gridCol w:w="146"/>
        <w:gridCol w:w="146"/>
        <w:gridCol w:w="146"/>
        <w:gridCol w:w="146"/>
        <w:gridCol w:w="706"/>
        <w:gridCol w:w="146"/>
        <w:gridCol w:w="146"/>
        <w:gridCol w:w="185"/>
        <w:gridCol w:w="386"/>
        <w:gridCol w:w="146"/>
        <w:gridCol w:w="146"/>
        <w:gridCol w:w="146"/>
        <w:gridCol w:w="586"/>
        <w:gridCol w:w="146"/>
        <w:gridCol w:w="146"/>
        <w:gridCol w:w="185"/>
        <w:gridCol w:w="386"/>
        <w:gridCol w:w="146"/>
        <w:gridCol w:w="146"/>
        <w:gridCol w:w="146"/>
        <w:gridCol w:w="631"/>
        <w:gridCol w:w="151"/>
        <w:gridCol w:w="146"/>
        <w:gridCol w:w="185"/>
        <w:gridCol w:w="386"/>
        <w:gridCol w:w="151"/>
        <w:gridCol w:w="146"/>
        <w:gridCol w:w="173"/>
        <w:gridCol w:w="518"/>
        <w:gridCol w:w="146"/>
        <w:gridCol w:w="146"/>
        <w:gridCol w:w="276"/>
        <w:gridCol w:w="700"/>
        <w:gridCol w:w="151"/>
        <w:gridCol w:w="146"/>
        <w:gridCol w:w="197"/>
        <w:gridCol w:w="644"/>
        <w:gridCol w:w="151"/>
        <w:gridCol w:w="146"/>
        <w:gridCol w:w="210"/>
        <w:gridCol w:w="631"/>
        <w:gridCol w:w="196"/>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1" w:type="dxa"/>
            <w:gridSpan w:val="38"/>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Six Months Ended June 30, 2023</w:t>
            </w:r>
          </w:p>
        </w:tc>
        <w:tc>
          <w:tcPr>
            <w:tcW w:w="196" w:type="dxa"/>
            <w:tcBorders/>
            <w:shd w:fill="FFFFFF" w:val="clear"/>
            <w:vAlign w:val="center"/>
          </w:tcPr>
          <w:p>
            <w:pPr>
              <w:pStyle w:val="TableContents"/>
              <w:bidi w:val="0"/>
              <w:spacing w:before="0" w:after="283"/>
              <w:jc w:val="center"/>
              <w:rPr/>
            </w:pPr>
            <w:r>
              <w:rPr/>
              <w:t> </w:t>
            </w:r>
          </w:p>
        </w:tc>
      </w:tr>
      <w:tr>
        <w:trPr/>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Voting</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Non-Voting</w:t>
              <w:b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 xml:space="preserve">Treasury Voting </w:t>
              <w:b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br/>
              <w:t>Other</w:t>
              <w:br/>
              <w:t>Comprehensive</w:t>
              <w:br/>
              <w:t>Income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Total</w:t>
              <w:br/>
              <w:t>Stockholders’</w:t>
            </w:r>
          </w:p>
        </w:tc>
        <w:tc>
          <w:tcPr>
            <w:tcW w:w="196" w:type="dxa"/>
            <w:tcBorders/>
            <w:shd w:fill="FFFFFF" w:val="clear"/>
            <w:vAlign w:val="center"/>
          </w:tcPr>
          <w:p>
            <w:pPr>
              <w:pStyle w:val="TableContents"/>
              <w:bidi w:val="0"/>
              <w:spacing w:before="0" w:after="283"/>
              <w:jc w:val="center"/>
              <w:rPr/>
            </w:pPr>
            <w:r>
              <w:rPr/>
              <w:t> </w:t>
            </w:r>
          </w:p>
        </w:tc>
      </w:tr>
      <w:tr>
        <w:trPr/>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Balances at</w:t>
              <w:br/>
              <w: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109,790,702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1,873,320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(2,317,722</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(748</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18"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649,756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00"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(1,912</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(165,204</w:t>
            </w:r>
          </w:p>
        </w:tc>
        <w:tc>
          <w:tcPr>
            <w:tcW w:w="151"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481,903</w:t>
            </w:r>
          </w:p>
        </w:tc>
        <w:tc>
          <w:tcPr>
            <w:tcW w:w="196"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Issuance of common </w:t>
              <w:br/>
              <w:t xml:space="preserve">   stock upon exercise </w:t>
              <w:br/>
              <w:t>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1,533,199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6,044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6,044</w:t>
            </w:r>
          </w:p>
        </w:tc>
        <w:tc>
          <w:tcPr>
            <w:tcW w:w="196" w:type="dxa"/>
            <w:tcBorders/>
            <w:shd w:fill="FFFFFF" w:val="clear"/>
            <w:vAlign w:val="center"/>
          </w:tcPr>
          <w:p>
            <w:pPr>
              <w:pStyle w:val="TableContents"/>
              <w:bidi w:val="0"/>
              <w:spacing w:before="0" w:after="283"/>
              <w:jc w:val="left"/>
              <w:rPr/>
            </w:pPr>
            <w:r>
              <w:rPr/>
              <w:t> </w:t>
            </w:r>
          </w:p>
        </w:tc>
      </w:tr>
      <w:tr>
        <w:trPr/>
        <w:tc>
          <w:tcPr>
            <w:tcW w:w="91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Issuance of common </w:t>
              <w:br/>
              <w:t xml:space="preserve">   stock upon settlement </w:t>
              <w:br/>
              <w:t xml:space="preserve">   of restricted stock </w:t>
              <w:br/>
              <w:t>   units</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821,725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Issuance of common</w:t>
              <w:br/>
              <w:t>   stock under employee</w:t>
              <w:br/>
              <w:t>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55,232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864</w:t>
            </w:r>
          </w:p>
        </w:tc>
        <w:tc>
          <w:tcPr>
            <w:tcW w:w="196" w:type="dxa"/>
            <w:tcBorders/>
            <w:shd w:fill="FFFFFF" w:val="clear"/>
            <w:vAlign w:val="center"/>
          </w:tcPr>
          <w:p>
            <w:pPr>
              <w:pStyle w:val="TableContents"/>
              <w:bidi w:val="0"/>
              <w:spacing w:before="0" w:after="283"/>
              <w:jc w:val="left"/>
              <w:rPr/>
            </w:pPr>
            <w:r>
              <w:rPr/>
              <w:t> </w:t>
            </w:r>
          </w:p>
        </w:tc>
      </w:tr>
      <w:tr>
        <w:trPr/>
        <w:tc>
          <w:tcPr>
            <w:tcW w:w="91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Issuance of common </w:t>
              <w:br/>
              <w:t xml:space="preserve">   stock for retention </w:t>
              <w:br/>
              <w:t>   bonus</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28,332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700</w:t>
            </w:r>
          </w:p>
        </w:tc>
        <w:tc>
          <w:tcPr>
            <w:tcW w:w="196"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Foreign currency </w:t>
              <w:br/>
              <w:t>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2,082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Arial" w:hAnsi="Arial"/>
                <w:color w:val="000000"/>
                <w:sz w:val="12"/>
              </w:rPr>
            </w:pPr>
            <w:r>
              <w:rPr>
                <w:rFonts w:ascii="Arial" w:hAnsi="Arial"/>
                <w:color w:val="000000"/>
                <w:sz w:val="12"/>
              </w:rPr>
              <w:t>2,082</w:t>
            </w:r>
          </w:p>
        </w:tc>
        <w:tc>
          <w:tcPr>
            <w:tcW w:w="196" w:type="dxa"/>
            <w:tcBorders/>
            <w:shd w:fill="FFFFFF" w:val="clear"/>
            <w:vAlign w:val="center"/>
          </w:tcPr>
          <w:p>
            <w:pPr>
              <w:pStyle w:val="TableContents"/>
              <w:bidi w:val="0"/>
              <w:spacing w:before="0" w:after="283"/>
              <w:jc w:val="left"/>
              <w:rPr/>
            </w:pPr>
            <w:r>
              <w:rPr/>
              <w:t> </w:t>
            </w:r>
          </w:p>
        </w:tc>
      </w:tr>
      <w:tr>
        <w:trPr/>
        <w:tc>
          <w:tcPr>
            <w:tcW w:w="916" w:type="dxa"/>
            <w:tcBorders/>
            <w:shd w:fill="CFF0FC" w:val="clear"/>
            <w:vAlign w:val="center"/>
          </w:tcPr>
          <w:p>
            <w:pPr>
              <w:pStyle w:val="TableContents"/>
              <w:bidi w:val="0"/>
              <w:spacing w:before="0" w:after="283"/>
              <w:jc w:val="left"/>
              <w:rPr>
                <w:rFonts w:ascii="Arial" w:hAnsi="Arial"/>
                <w:color w:val="000000"/>
                <w:sz w:val="12"/>
              </w:rPr>
            </w:pPr>
            <w:r>
              <w:rPr>
                <w:rFonts w:ascii="Arial" w:hAnsi="Arial"/>
                <w:color w:val="000000"/>
                <w:sz w:val="12"/>
              </w:rPr>
              <w:t xml:space="preserve">Stock-based </w:t>
              <w:br/>
              <w:t>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19,979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pPr>
            <w:r>
              <w:rPr/>
              <w:t> </w:t>
            </w:r>
          </w:p>
        </w:tc>
        <w:tc>
          <w:tcPr>
            <w:tcW w:w="700"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Arial" w:hAnsi="Arial"/>
                <w:color w:val="000000"/>
                <w:sz w:val="12"/>
              </w:rPr>
            </w:pPr>
            <w:r>
              <w:rPr>
                <w:rFonts w:ascii="Arial" w:hAnsi="Arial"/>
                <w:color w:val="000000"/>
                <w:sz w:val="12"/>
              </w:rPr>
              <w:t>19,979</w:t>
            </w:r>
          </w:p>
        </w:tc>
        <w:tc>
          <w:tcPr>
            <w:tcW w:w="196"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Arial" w:hAnsi="Arial"/>
                <w:color w:val="000000"/>
                <w:sz w:val="12"/>
              </w:rPr>
            </w:pPr>
            <w:r>
              <w:rPr>
                <w:rFonts w:ascii="Arial" w:hAnsi="Arial"/>
                <w:color w:val="000000"/>
                <w:sz w:val="12"/>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(20,496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(20,496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r>
      <w:tr>
        <w:trPr/>
        <w:tc>
          <w:tcPr>
            <w:tcW w:w="916" w:type="dxa"/>
            <w:tcBorders/>
            <w:shd w:fill="CFF0FC" w:val="clear"/>
            <w:vAlign w:val="center"/>
          </w:tcPr>
          <w:p>
            <w:pPr>
              <w:pStyle w:val="TableContents"/>
              <w:bidi w:val="0"/>
              <w:spacing w:before="0" w:after="283"/>
              <w:jc w:val="left"/>
              <w:rPr>
                <w:rFonts w:ascii="Arial" w:hAnsi="Arial"/>
                <w:b/>
                <w:color w:val="000000"/>
                <w:sz w:val="12"/>
              </w:rPr>
            </w:pPr>
            <w:r>
              <w:rPr>
                <w:rFonts w:ascii="Arial" w:hAnsi="Arial"/>
                <w:b/>
                <w:color w:val="000000"/>
                <w:sz w:val="12"/>
              </w:rPr>
              <w:t>Balances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112,229,190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1,873,320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(2,317,722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(748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5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677,343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170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(185,700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2"/>
              </w:rPr>
            </w:pPr>
            <w:r>
              <w:rPr>
                <w:rFonts w:ascii="Arial" w:hAnsi="Arial"/>
                <w:color w:val="000000"/>
                <w:sz w:val="12"/>
              </w:rPr>
              <w:t>491,076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 w:hAnsi="Times New Roman"/>
          <w:sz w:val="20"/>
        </w:rPr>
      </w:pPr>
      <w:r>
        <w:rPr>
          <w:rFonts w:ascii="Arial" w:hAnsi="Arial"/>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1" w:name="condensed_cash_flows"/>
      <w:bookmarkEnd w:id="11"/>
      <w:r>
        <w:rPr>
          <w:rFonts w:ascii="Arial" w:hAnsi="Arial"/>
          <w:b/>
          <w:color w:val="000000"/>
          <w:sz w:val="20"/>
        </w:rPr>
        <w:t>CONDENSED CONSOLIDATED STATEMENT OF CASH FLOWS</w:t>
      </w:r>
      <w:r>
        <w:rPr>
          <w:rFonts w:ascii="Times New Roman" w:hAnsi="Times New Roman"/>
          <w:color w:val="000000"/>
          <w:sz w:val="20"/>
        </w:rPr>
        <w:t xml:space="preserve"> </w:t>
      </w:r>
    </w:p>
    <w:p>
      <w:pPr>
        <w:pStyle w:val="TextBody"/>
        <w:bidi w:val="0"/>
        <w:spacing w:before="0" w:after="200"/>
        <w:jc w:val="center"/>
        <w:rPr>
          <w:rFonts w:ascii="Times New Roman" w:hAnsi="Times New Roman"/>
          <w:sz w:val="20"/>
        </w:rPr>
      </w:pPr>
      <w:r>
        <w:rPr>
          <w:rFonts w:ascii="Arial" w:hAnsi="Arial"/>
          <w:color w:val="000000"/>
          <w:sz w:val="20"/>
        </w:rPr>
        <w:t>(Unaudited) (Amounts in thousands)</w:t>
      </w:r>
      <w:r>
        <w:rPr>
          <w:rFonts w:ascii="Times New Roman" w:hAnsi="Times New Roman"/>
          <w:color w:val="000000"/>
          <w:sz w:val="20"/>
        </w:rPr>
        <w:t xml:space="preserve"> </w:t>
      </w:r>
    </w:p>
    <w:tbl>
      <w:tblPr>
        <w:tblW w:w="9869" w:type="dxa"/>
        <w:jc w:val="left"/>
        <w:tblInd w:w="0" w:type="dxa"/>
        <w:tblLayout w:type="fixed"/>
        <w:tblCellMar>
          <w:top w:w="28" w:type="dxa"/>
          <w:left w:w="28" w:type="dxa"/>
          <w:bottom w:w="28" w:type="dxa"/>
          <w:right w:w="28" w:type="dxa"/>
        </w:tblCellMar>
      </w:tblPr>
      <w:tblGrid>
        <w:gridCol w:w="6706"/>
        <w:gridCol w:w="146"/>
        <w:gridCol w:w="211"/>
        <w:gridCol w:w="856"/>
        <w:gridCol w:w="166"/>
        <w:gridCol w:w="146"/>
        <w:gridCol w:w="211"/>
        <w:gridCol w:w="796"/>
        <w:gridCol w:w="631"/>
      </w:tblGrid>
      <w:tr>
        <w:trPr/>
        <w:tc>
          <w:tcPr>
            <w:tcW w:w="6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6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631" w:type="dxa"/>
            <w:tcBorders/>
            <w:shd w:fill="CFF0FC" w:val="clear"/>
            <w:vAlign w:val="center"/>
          </w:tcPr>
          <w:p>
            <w:pPr>
              <w:pStyle w:val="TableContents"/>
              <w:bidi w:val="0"/>
              <w:spacing w:before="0" w:after="283"/>
              <w:jc w:val="right"/>
              <w:rPr/>
            </w:pPr>
            <w:r>
              <w:rPr/>
              <w:t> </w:t>
            </w:r>
          </w:p>
        </w:tc>
      </w:tr>
      <w:tr>
        <w:trPr/>
        <w:tc>
          <w:tcPr>
            <w:tcW w:w="67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(20,097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(20,496</w:t>
            </w:r>
          </w:p>
        </w:tc>
        <w:tc>
          <w:tcPr>
            <w:tcW w:w="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631" w:type="dxa"/>
            <w:tcBorders/>
            <w:shd w:fill="CFF0FC" w:val="clear"/>
            <w:vAlign w:val="center"/>
          </w:tcPr>
          <w:p>
            <w:pPr>
              <w:pStyle w:val="TableContents"/>
              <w:bidi w:val="0"/>
              <w:spacing w:before="0" w:after="283"/>
              <w:ind w:left="0" w:right="0" w:firstLine="140"/>
              <w:jc w:val="right"/>
              <w:rPr/>
            </w:pPr>
            <w:r>
              <w:rPr/>
              <w:t> </w:t>
            </w:r>
          </w:p>
        </w:tc>
      </w:tr>
      <w:tr>
        <w:trPr/>
        <w:tc>
          <w:tcPr>
            <w:tcW w:w="670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8,463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7,876</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670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31,903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19,979</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670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Amortization of deferred contract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670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Change in fair value of contingent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410</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670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Deferred tax benefit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(584</w:t>
            </w:r>
          </w:p>
        </w:tc>
        <w:tc>
          <w:tcPr>
            <w:tcW w:w="6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670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Provision for uncollectible accounts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599</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670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Non-cash 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631" w:type="dxa"/>
            <w:tcBorders/>
            <w:shd w:fill="FFFFFF" w:val="clear"/>
            <w:vAlign w:val="center"/>
          </w:tcPr>
          <w:p>
            <w:pPr>
              <w:pStyle w:val="TableContents"/>
              <w:bidi w:val="0"/>
              <w:spacing w:before="0" w:after="283"/>
              <w:ind w:left="0" w:right="0" w:firstLine="140"/>
              <w:jc w:val="left"/>
              <w:rPr/>
            </w:pPr>
            <w:r>
              <w:rPr/>
              <w:t> </w:t>
            </w:r>
          </w:p>
        </w:tc>
      </w:tr>
      <w:tr>
        <w:trPr/>
        <w:tc>
          <w:tcPr>
            <w:tcW w:w="670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Accretion of discounts on investments, net of amortization of premiums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631" w:type="dxa"/>
            <w:tcBorders/>
            <w:shd w:fill="CFF0FC" w:val="clear"/>
            <w:vAlign w:val="center"/>
          </w:tcPr>
          <w:p>
            <w:pPr>
              <w:pStyle w:val="TableContents"/>
              <w:bidi w:val="0"/>
              <w:spacing w:before="0" w:after="283"/>
              <w:ind w:left="0" w:right="0" w:firstLine="140"/>
              <w:jc w:val="left"/>
              <w:rPr/>
            </w:pPr>
            <w:r>
              <w:rPr/>
              <w:t> </w:t>
            </w:r>
          </w:p>
        </w:tc>
      </w:tr>
      <w:tr>
        <w:trPr/>
        <w:tc>
          <w:tcPr>
            <w:tcW w:w="670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Changes in operating assets and liabilities, net of acquisitions:</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631" w:type="dxa"/>
            <w:tcBorders/>
            <w:shd w:fill="FFFFFF" w:val="clear"/>
            <w:vAlign w:val="center"/>
          </w:tcPr>
          <w:p>
            <w:pPr>
              <w:pStyle w:val="TableContents"/>
              <w:bidi w:val="0"/>
              <w:spacing w:before="0" w:after="283"/>
              <w:ind w:left="0" w:right="0" w:firstLine="280"/>
              <w:jc w:val="right"/>
              <w:rPr/>
            </w:pPr>
            <w:r>
              <w:rPr/>
              <w:t> </w:t>
            </w:r>
          </w:p>
        </w:tc>
      </w:tr>
      <w:tr>
        <w:trPr/>
        <w:tc>
          <w:tcPr>
            <w:tcW w:w="67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(1,939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(6,186</w:t>
            </w:r>
          </w:p>
        </w:tc>
        <w:tc>
          <w:tcPr>
            <w:tcW w:w="63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7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Unbilled receivables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(2,363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(1,511</w:t>
            </w:r>
          </w:p>
        </w:tc>
        <w:tc>
          <w:tcPr>
            <w:tcW w:w="63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7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Funds receivable from payment partners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28,971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19,649</w:t>
            </w:r>
          </w:p>
        </w:tc>
        <w:tc>
          <w:tcPr>
            <w:tcW w:w="631" w:type="dxa"/>
            <w:tcBorders/>
            <w:shd w:fill="CFF0FC" w:val="clear"/>
            <w:vAlign w:val="center"/>
          </w:tcPr>
          <w:p>
            <w:pPr>
              <w:pStyle w:val="TableContents"/>
              <w:bidi w:val="0"/>
              <w:spacing w:before="0" w:after="283"/>
              <w:ind w:left="0" w:right="0" w:firstLine="280"/>
              <w:jc w:val="left"/>
              <w:rPr/>
            </w:pPr>
            <w:r>
              <w:rPr/>
              <w:t> </w:t>
            </w:r>
          </w:p>
        </w:tc>
      </w:tr>
      <w:tr>
        <w:trPr/>
        <w:tc>
          <w:tcPr>
            <w:tcW w:w="67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other current assets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(4,421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(1,030</w:t>
            </w:r>
          </w:p>
        </w:tc>
        <w:tc>
          <w:tcPr>
            <w:tcW w:w="63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7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Funds payable to clients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(94,730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(42,347</w:t>
            </w:r>
          </w:p>
        </w:tc>
        <w:tc>
          <w:tcPr>
            <w:tcW w:w="63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7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1,121</w:t>
            </w:r>
          </w:p>
        </w:tc>
        <w:tc>
          <w:tcPr>
            <w:tcW w:w="631" w:type="dxa"/>
            <w:tcBorders/>
            <w:shd w:fill="FFFFFF" w:val="clear"/>
            <w:vAlign w:val="center"/>
          </w:tcPr>
          <w:p>
            <w:pPr>
              <w:pStyle w:val="TableContents"/>
              <w:bidi w:val="0"/>
              <w:spacing w:before="0" w:after="283"/>
              <w:ind w:left="0" w:right="0" w:firstLine="280"/>
              <w:jc w:val="left"/>
              <w:rPr/>
            </w:pPr>
            <w:r>
              <w:rPr/>
              <w:t> </w:t>
            </w:r>
          </w:p>
        </w:tc>
      </w:tr>
      <w:tr>
        <w:trPr/>
        <w:tc>
          <w:tcPr>
            <w:tcW w:w="67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Contingent consideration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(467</w:t>
            </w:r>
          </w:p>
        </w:tc>
        <w:tc>
          <w:tcPr>
            <w:tcW w:w="63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7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(574</w:t>
            </w:r>
          </w:p>
        </w:tc>
        <w:tc>
          <w:tcPr>
            <w:tcW w:w="63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7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(2,463</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706"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(25,652</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0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631" w:type="dxa"/>
            <w:tcBorders/>
            <w:shd w:fill="CFF0FC" w:val="clear"/>
            <w:vAlign w:val="center"/>
          </w:tcPr>
          <w:p>
            <w:pPr>
              <w:pStyle w:val="TableContents"/>
              <w:bidi w:val="0"/>
              <w:spacing w:before="0" w:after="283"/>
              <w:jc w:val="right"/>
              <w:rPr/>
            </w:pPr>
            <w:r>
              <w:rPr/>
              <w:t> </w:t>
            </w:r>
          </w:p>
        </w:tc>
      </w:tr>
      <w:tr>
        <w:trPr/>
        <w:tc>
          <w:tcPr>
            <w:tcW w:w="67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 of short-term and long-term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(58,491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631" w:type="dxa"/>
            <w:tcBorders/>
            <w:shd w:fill="FFFFFF" w:val="clear"/>
            <w:vAlign w:val="center"/>
          </w:tcPr>
          <w:p>
            <w:pPr>
              <w:pStyle w:val="TableContents"/>
              <w:bidi w:val="0"/>
              <w:spacing w:before="0" w:after="283"/>
              <w:jc w:val="left"/>
              <w:rPr/>
            </w:pPr>
            <w:r>
              <w:rPr/>
              <w:t> </w:t>
            </w:r>
          </w:p>
        </w:tc>
      </w:tr>
      <w:tr>
        <w:trPr/>
        <w:tc>
          <w:tcPr>
            <w:tcW w:w="67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sale of 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631" w:type="dxa"/>
            <w:tcBorders/>
            <w:shd w:fill="CFF0FC" w:val="clear"/>
            <w:vAlign w:val="center"/>
          </w:tcPr>
          <w:p>
            <w:pPr>
              <w:pStyle w:val="TableContents"/>
              <w:bidi w:val="0"/>
              <w:spacing w:before="0" w:after="283"/>
              <w:jc w:val="left"/>
              <w:rPr/>
            </w:pPr>
            <w:r>
              <w:rPr/>
              <w:t> </w:t>
            </w:r>
          </w:p>
        </w:tc>
      </w:tr>
      <w:tr>
        <w:trPr/>
        <w:tc>
          <w:tcPr>
            <w:tcW w:w="67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Capitalization of internally developed 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(3,304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(2,812</w:t>
            </w:r>
          </w:p>
        </w:tc>
        <w:tc>
          <w:tcPr>
            <w:tcW w:w="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706"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(3,483</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0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631" w:type="dxa"/>
            <w:tcBorders/>
            <w:shd w:fill="CFF0FC" w:val="clear"/>
            <w:vAlign w:val="center"/>
          </w:tcPr>
          <w:p>
            <w:pPr>
              <w:pStyle w:val="TableContents"/>
              <w:bidi w:val="0"/>
              <w:spacing w:before="0" w:after="283"/>
              <w:jc w:val="right"/>
              <w:rPr/>
            </w:pPr>
            <w:r>
              <w:rPr/>
              <w:t> </w:t>
            </w:r>
          </w:p>
        </w:tc>
      </w:tr>
      <w:tr>
        <w:trPr/>
        <w:tc>
          <w:tcPr>
            <w:tcW w:w="67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Contingent consideration paid for acquisitions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(1,207</w:t>
            </w:r>
          </w:p>
        </w:tc>
        <w:tc>
          <w:tcPr>
            <w:tcW w:w="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Payment of long-term 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(783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631" w:type="dxa"/>
            <w:tcBorders/>
            <w:shd w:fill="CFF0FC" w:val="clear"/>
            <w:vAlign w:val="center"/>
          </w:tcPr>
          <w:p>
            <w:pPr>
              <w:pStyle w:val="TableContents"/>
              <w:bidi w:val="0"/>
              <w:spacing w:before="0" w:after="283"/>
              <w:jc w:val="left"/>
              <w:rPr/>
            </w:pPr>
            <w:r>
              <w:rPr/>
              <w:t> </w:t>
            </w:r>
          </w:p>
        </w:tc>
      </w:tr>
      <w:tr>
        <w:trPr/>
        <w:tc>
          <w:tcPr>
            <w:tcW w:w="67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the issuance of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864</w:t>
            </w:r>
          </w:p>
        </w:tc>
        <w:tc>
          <w:tcPr>
            <w:tcW w:w="631" w:type="dxa"/>
            <w:tcBorders/>
            <w:shd w:fill="FFFFFF" w:val="clear"/>
            <w:vAlign w:val="center"/>
          </w:tcPr>
          <w:p>
            <w:pPr>
              <w:pStyle w:val="TableContents"/>
              <w:bidi w:val="0"/>
              <w:spacing w:before="0" w:after="283"/>
              <w:jc w:val="left"/>
              <w:rPr/>
            </w:pPr>
            <w:r>
              <w:rPr/>
              <w:t> </w:t>
            </w:r>
          </w:p>
        </w:tc>
      </w:tr>
      <w:tr>
        <w:trPr/>
        <w:tc>
          <w:tcPr>
            <w:tcW w:w="67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6,044</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6706"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5,701</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rates changes on 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(115,308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(23,114</w:t>
            </w:r>
          </w:p>
        </w:tc>
        <w:tc>
          <w:tcPr>
            <w:tcW w:w="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0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and cash equivalents,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654,608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351,177</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and cash equivalents, end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539,300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328,063</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center"/>
        <w:rPr>
          <w:rFonts w:ascii="Times New Roman" w:hAnsi="Times New Roman"/>
          <w:sz w:val="20"/>
        </w:rPr>
      </w:pPr>
      <w:r>
        <w:rPr>
          <w:rFonts w:ascii="Arial" w:hAnsi="Arial"/>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 OF CASH FLOWS</w:t>
      </w:r>
      <w:r>
        <w:rPr>
          <w:rFonts w:ascii="Times New Roman" w:hAnsi="Times New Roman"/>
          <w:color w:val="000000"/>
          <w:sz w:val="20"/>
        </w:rPr>
        <w:t xml:space="preserve"> </w:t>
      </w:r>
    </w:p>
    <w:p>
      <w:pPr>
        <w:pStyle w:val="TextBody"/>
        <w:bidi w:val="0"/>
        <w:spacing w:before="0" w:after="200"/>
        <w:jc w:val="center"/>
        <w:rPr>
          <w:rFonts w:ascii="Arial" w:hAnsi="Arial"/>
          <w:color w:val="000000"/>
          <w:sz w:val="20"/>
        </w:rPr>
      </w:pPr>
      <w:r>
        <w:rPr>
          <w:rFonts w:ascii="Arial" w:hAnsi="Arial"/>
          <w:color w:val="000000"/>
          <w:sz w:val="20"/>
        </w:rPr>
        <w:t>(Unaudited) (Amounts in thousands)</w:t>
      </w:r>
    </w:p>
    <w:tbl>
      <w:tblPr>
        <w:tblW w:w="8723" w:type="dxa"/>
        <w:jc w:val="left"/>
        <w:tblInd w:w="0" w:type="dxa"/>
        <w:tblLayout w:type="fixed"/>
        <w:tblCellMar>
          <w:top w:w="28" w:type="dxa"/>
          <w:left w:w="28" w:type="dxa"/>
          <w:bottom w:w="28" w:type="dxa"/>
          <w:right w:w="28" w:type="dxa"/>
        </w:tblCellMar>
      </w:tblPr>
      <w:tblGrid>
        <w:gridCol w:w="6136"/>
        <w:gridCol w:w="146"/>
        <w:gridCol w:w="167"/>
        <w:gridCol w:w="791"/>
        <w:gridCol w:w="167"/>
        <w:gridCol w:w="167"/>
        <w:gridCol w:w="167"/>
        <w:gridCol w:w="791"/>
        <w:gridCol w:w="19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9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Supplemental disclosures of cash flow and noncash information</w:t>
            </w:r>
          </w:p>
        </w:tc>
        <w:tc>
          <w:tcPr>
            <w:tcW w:w="146" w:type="dxa"/>
            <w:tcBorders/>
            <w:shd w:fill="CFF0FC" w:val="clear"/>
            <w:vAlign w:val="center"/>
          </w:tcPr>
          <w:p>
            <w:pPr>
              <w:pStyle w:val="TableContents"/>
              <w:bidi w:val="0"/>
              <w:spacing w:before="0" w:after="283"/>
              <w:jc w:val="left"/>
              <w:rPr/>
            </w:pPr>
            <w:r>
              <w:rPr/>
              <w:t> </w:t>
            </w:r>
          </w:p>
        </w:tc>
        <w:tc>
          <w:tcPr>
            <w:tcW w:w="958"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left"/>
              <w:rPr/>
            </w:pPr>
            <w:r>
              <w:rPr/>
              <w:t> </w:t>
            </w:r>
          </w:p>
        </w:tc>
        <w:tc>
          <w:tcPr>
            <w:tcW w:w="958"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61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 of property and equipment in accounts payable</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9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common stock upon settlement of restricted stock units</w:t>
            </w:r>
          </w:p>
        </w:tc>
        <w:tc>
          <w:tcPr>
            <w:tcW w:w="146"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50,115</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20,423</w:t>
            </w:r>
          </w:p>
        </w:tc>
        <w:tc>
          <w:tcPr>
            <w:tcW w:w="19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common stock for retention bonus</w:t>
            </w:r>
          </w:p>
        </w:tc>
        <w:tc>
          <w:tcPr>
            <w:tcW w:w="146"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324</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700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00" w:after="200"/>
        <w:jc w:val="center"/>
        <w:rPr>
          <w:rFonts w:ascii="Times New Roman" w:hAnsi="Times New Roman"/>
          <w:sz w:val="20"/>
        </w:rPr>
      </w:pPr>
      <w:r>
        <w:rPr>
          <w:rFonts w:ascii="Arial" w:hAnsi="Arial"/>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2" w:name="nots_to_condensed"/>
      <w:bookmarkEnd w:id="12"/>
      <w:r>
        <w:rPr>
          <w:rFonts w:ascii="Arial" w:hAnsi="Arial"/>
          <w:b/>
          <w:color w:val="000000"/>
          <w:sz w:val="20"/>
        </w:rPr>
        <w:t>NOTES TO CONDENSED CONSOLID</w:t>
      </w:r>
      <w:bookmarkStart w:id="13" w:name="notes_to_condensed_consolidated_financia"/>
      <w:bookmarkEnd w:id="13"/>
      <w:r>
        <w:rPr>
          <w:rFonts w:ascii="Arial" w:hAnsi="Arial"/>
          <w:b/>
          <w:color w:val="000000"/>
          <w:sz w:val="20"/>
        </w:rPr>
        <w:t>ATED FINANCIAL STATEMENTS</w:t>
      </w:r>
      <w:r>
        <w:rPr>
          <w:rFonts w:ascii="Times New Roman" w:hAnsi="Times New Roman"/>
          <w:color w:val="000000"/>
          <w:sz w:val="20"/>
        </w:rPr>
        <w:t xml:space="preserve"> </w:t>
      </w:r>
    </w:p>
    <w:p>
      <w:pPr>
        <w:pStyle w:val="TextBody"/>
        <w:bidi w:val="0"/>
        <w:spacing w:before="0" w:after="360"/>
        <w:jc w:val="center"/>
        <w:rPr>
          <w:rFonts w:ascii="Times New Roman" w:hAnsi="Times New Roman"/>
          <w:sz w:val="20"/>
        </w:rPr>
      </w:pPr>
      <w:r>
        <w:rPr>
          <w:rFonts w:ascii="Arial" w:hAnsi="Arial"/>
          <w:color w:val="000000"/>
          <w:sz w:val="20"/>
        </w:rPr>
        <w:t>(Unaudited)</w:t>
      </w:r>
      <w:r>
        <w:rPr>
          <w:rFonts w:ascii="Times New Roman" w:hAnsi="Times New Roman"/>
          <w:color w:val="000000"/>
          <w:sz w:val="20"/>
        </w:rPr>
        <w:t xml:space="preserve"> </w:t>
      </w:r>
    </w:p>
    <w:p>
      <w:pPr>
        <w:pStyle w:val="TextBody"/>
        <w:bidi w:val="0"/>
        <w:jc w:val="left"/>
        <w:rPr>
          <w:rFonts w:ascii="Times New Roman" w:hAnsi="Times New Roman"/>
          <w:sz w:val="20"/>
        </w:rPr>
      </w:pPr>
      <w:bookmarkStart w:id="14" w:name="note_1"/>
      <w:bookmarkEnd w:id="14"/>
      <w:r>
        <w:rPr>
          <w:rFonts w:ascii="Arial" w:hAnsi="Arial"/>
          <w:b/>
          <w:color w:val="000000"/>
          <w:sz w:val="20"/>
        </w:rPr>
        <w:t>Note 1. Business Overview and Summary of Significant Accounting Policies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16 countries across 5 continents.</w:t>
      </w:r>
    </w:p>
    <w:p>
      <w:pPr>
        <w:pStyle w:val="TextBody"/>
        <w:bidi w:val="0"/>
        <w:spacing w:before="200" w:after="200"/>
        <w:jc w:val="left"/>
        <w:rPr>
          <w:rFonts w:ascii="Arial" w:hAnsi="Arial"/>
          <w:color w:val="000000"/>
          <w:sz w:val="20"/>
        </w:rPr>
      </w:pPr>
      <w:r>
        <w:rPr>
          <w:rFonts w:ascii="Arial" w:hAnsi="Arial"/>
          <w:color w:val="000000"/>
          <w:sz w:val="20"/>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p>
    <w:p>
      <w:pPr>
        <w:pStyle w:val="TextBody"/>
        <w:bidi w:val="0"/>
        <w:spacing w:before="200" w:after="200"/>
        <w:jc w:val="left"/>
        <w:rPr>
          <w:rFonts w:ascii="Arial" w:hAnsi="Arial"/>
          <w:b/>
          <w:i/>
          <w:color w:val="000000"/>
          <w:sz w:val="20"/>
        </w:rPr>
      </w:pPr>
      <w:r>
        <w:rPr>
          <w:rFonts w:ascii="Arial" w:hAnsi="Arial"/>
          <w:b/>
          <w:i/>
          <w:color w:val="000000"/>
          <w:sz w:val="20"/>
        </w:rPr>
        <w:t>2023 Follow-On Public Offering</w:t>
      </w:r>
    </w:p>
    <w:p>
      <w:pPr>
        <w:pStyle w:val="TextBody"/>
        <w:bidi w:val="0"/>
        <w:spacing w:before="200" w:after="200"/>
        <w:jc w:val="left"/>
        <w:rPr>
          <w:rFonts w:ascii="Times New Roman" w:hAnsi="Times New Roman"/>
          <w:sz w:val="20"/>
        </w:rPr>
      </w:pPr>
      <w:r>
        <w:rPr>
          <w:rFonts w:ascii="Arial" w:hAnsi="Arial"/>
          <w:color w:val="000000"/>
          <w:sz w:val="20"/>
        </w:rPr>
        <w:t>On August 9, 2023, the Company entered into an Underwriting Agreement with Goldman Sachs &amp; Co. LLC, as the Representative of the several Underwriters, in connection with the offer and sale of 8,000,000</w:t>
      </w:r>
      <w:r>
        <w:rPr>
          <w:rFonts w:ascii="Times New Roman" w:hAnsi="Times New Roman"/>
          <w:color w:val="000000"/>
          <w:sz w:val="20"/>
        </w:rPr>
        <w:t xml:space="preserve"> </w:t>
      </w:r>
      <w:r>
        <w:rPr>
          <w:rFonts w:ascii="Arial" w:hAnsi="Arial"/>
          <w:color w:val="000000"/>
          <w:sz w:val="20"/>
        </w:rPr>
        <w:t>shares of voting common stock, at a price to the public of $32.00</w:t>
      </w:r>
      <w:r>
        <w:rPr>
          <w:rFonts w:ascii="Times New Roman" w:hAnsi="Times New Roman"/>
          <w:color w:val="000000"/>
          <w:sz w:val="20"/>
        </w:rPr>
        <w:t xml:space="preserve"> </w:t>
      </w:r>
      <w:r>
        <w:rPr>
          <w:rFonts w:ascii="Arial" w:hAnsi="Arial"/>
          <w:color w:val="000000"/>
          <w:sz w:val="20"/>
        </w:rPr>
        <w:t>per share (the Primary Offering). In addition, pursuant to the terms of the Underwriting Agreement, the Company granted the Underwriters an option to purchase up to 1,200,000</w:t>
      </w:r>
      <w:r>
        <w:rPr>
          <w:rFonts w:ascii="Times New Roman" w:hAnsi="Times New Roman"/>
          <w:color w:val="000000"/>
          <w:sz w:val="20"/>
        </w:rPr>
        <w:t xml:space="preserve"> </w:t>
      </w:r>
      <w:r>
        <w:rPr>
          <w:rFonts w:ascii="Arial" w:hAnsi="Arial"/>
          <w:color w:val="000000"/>
          <w:sz w:val="20"/>
        </w:rPr>
        <w:t>additional shares of common stock (the Option).</w:t>
      </w:r>
    </w:p>
    <w:p>
      <w:pPr>
        <w:pStyle w:val="TextBody"/>
        <w:bidi w:val="0"/>
        <w:spacing w:before="200" w:after="200"/>
        <w:jc w:val="left"/>
        <w:rPr>
          <w:rFonts w:ascii="Times New Roman" w:hAnsi="Times New Roman"/>
          <w:sz w:val="20"/>
        </w:rPr>
      </w:pPr>
      <w:r>
        <w:rPr>
          <w:rFonts w:ascii="Arial" w:hAnsi="Arial"/>
          <w:color w:val="000000"/>
          <w:sz w:val="20"/>
        </w:rPr>
        <w:t>The Primary Offering closed on August 14, 2023 and on September 12, 2023, the Underwriters exercised the Option in part and purchased an additional 500,000</w:t>
      </w:r>
      <w:r>
        <w:rPr>
          <w:rFonts w:ascii="Times New Roman" w:hAnsi="Times New Roman"/>
          <w:color w:val="000000"/>
          <w:sz w:val="20"/>
        </w:rPr>
        <w:t xml:space="preserve"> </w:t>
      </w:r>
      <w:r>
        <w:rPr>
          <w:rFonts w:ascii="Arial" w:hAnsi="Arial"/>
          <w:color w:val="000000"/>
          <w:sz w:val="20"/>
        </w:rPr>
        <w:t>shares of voting common stock at a price to the public of $32.00</w:t>
      </w:r>
      <w:r>
        <w:rPr>
          <w:rFonts w:ascii="Times New Roman" w:hAnsi="Times New Roman"/>
          <w:color w:val="000000"/>
          <w:sz w:val="20"/>
        </w:rPr>
        <w:t xml:space="preserve"> </w:t>
      </w:r>
      <w:r>
        <w:rPr>
          <w:rFonts w:ascii="Arial" w:hAnsi="Arial"/>
          <w:color w:val="000000"/>
          <w:sz w:val="20"/>
        </w:rPr>
        <w:t>per share (the Public Offering). The Company received $260.1</w:t>
      </w:r>
      <w:r>
        <w:rPr>
          <w:rFonts w:ascii="Times New Roman" w:hAnsi="Times New Roman"/>
          <w:color w:val="000000"/>
          <w:sz w:val="20"/>
        </w:rPr>
        <w:t xml:space="preserve"> </w:t>
      </w:r>
      <w:r>
        <w:rPr>
          <w:rFonts w:ascii="Arial" w:hAnsi="Arial"/>
          <w:color w:val="000000"/>
          <w:sz w:val="20"/>
        </w:rPr>
        <w:t>million in net proceeds from the Public Offering, after deducting underwriting discounts and commissions of $10.9</w:t>
      </w:r>
      <w:r>
        <w:rPr>
          <w:rFonts w:ascii="Times New Roman" w:hAnsi="Times New Roman"/>
          <w:color w:val="000000"/>
          <w:sz w:val="20"/>
        </w:rPr>
        <w:t xml:space="preserve"> </w:t>
      </w:r>
      <w:r>
        <w:rPr>
          <w:rFonts w:ascii="Arial" w:hAnsi="Arial"/>
          <w:color w:val="000000"/>
          <w:sz w:val="20"/>
        </w:rPr>
        <w:t>million and other offering costs of $1.1</w:t>
      </w:r>
      <w:r>
        <w:rPr>
          <w:rFonts w:ascii="Times New Roman" w:hAnsi="Times New Roman"/>
          <w:color w:val="000000"/>
          <w:sz w:val="20"/>
        </w:rPr>
        <w:t xml:space="preserve"> </w:t>
      </w:r>
      <w:r>
        <w:rPr>
          <w:rFonts w:ascii="Arial" w:hAnsi="Arial"/>
          <w:color w:val="000000"/>
          <w:sz w:val="20"/>
        </w:rPr>
        <w:t>million.</w:t>
      </w:r>
    </w:p>
    <w:p>
      <w:pPr>
        <w:pStyle w:val="TextBody"/>
        <w:bidi w:val="0"/>
        <w:spacing w:before="200" w:after="200"/>
        <w:jc w:val="left"/>
        <w:rPr>
          <w:rFonts w:ascii="Arial" w:hAnsi="Arial"/>
          <w:b/>
          <w:i/>
          <w:color w:val="000000"/>
          <w:sz w:val="20"/>
        </w:rPr>
      </w:pPr>
      <w:r>
        <w:rPr>
          <w:rFonts w:ascii="Arial" w:hAnsi="Arial"/>
          <w:b/>
          <w:i/>
          <w:color w:val="000000"/>
          <w:sz w:val="20"/>
        </w:rPr>
        <w:t>Basis of Presentation and Principles of Consolidation</w:t>
      </w:r>
    </w:p>
    <w:p>
      <w:pPr>
        <w:pStyle w:val="TextBody"/>
        <w:bidi w:val="0"/>
        <w:spacing w:before="200" w:after="200"/>
        <w:jc w:val="left"/>
        <w:rPr>
          <w:rFonts w:ascii="Arial" w:hAnsi="Arial"/>
          <w:color w:val="000000"/>
          <w:sz w:val="20"/>
        </w:rPr>
      </w:pPr>
      <w:r>
        <w:rPr>
          <w:rFonts w:ascii="Arial" w:hAnsi="Arial"/>
          <w:color w:val="000000"/>
          <w:sz w:val="20"/>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 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loss, changes in stockholders’ equity, and its cash flows for the periods presented.</w:t>
      </w:r>
    </w:p>
    <w:p>
      <w:pPr>
        <w:pStyle w:val="TextBody"/>
        <w:bidi w:val="0"/>
        <w:spacing w:before="200" w:after="200"/>
        <w:jc w:val="left"/>
        <w:rPr>
          <w:rFonts w:ascii="Times New Roman" w:hAnsi="Times New Roman"/>
          <w:sz w:val="20"/>
        </w:rPr>
      </w:pPr>
      <w:r>
        <w:rPr>
          <w:rFonts w:ascii="Arial" w:hAnsi="Arial"/>
          <w:color w:val="000000"/>
          <w:sz w:val="20"/>
        </w:rPr>
        <w:t>The results of operations for the three and six months ended June 30, 2024, are not necessarily indicative of results to be expected for the year ended December 31, 2024, any other interim periods or any future year or period. The accompanying consolidated balance sheet as of December 31, 2023 was derived from the Company’s audited consolidated financial statements for the year ended December 31, 2023. Certain information and note disclosures normally included in the annual consolidated financial statements prepared in accordance with GAAP have been condensed or omitted from the interim unaudited condensed consolidated financial statements.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These condensed consolidated financial statements should be read in conjunction with the audited consolidated financial statements and notes included in the Company’s Annual Report on Form 10-K for the year ended December 31, 2023.</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condensed consolidated financial statements include the accounts of Flywire and its wholly owned subsidiaries. All intercompany accounts and transactions have been eliminated upon consolidation.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Segment Information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Company has a single</w:t>
      </w:r>
      <w:r>
        <w:rPr>
          <w:rFonts w:ascii="Times New Roman" w:hAnsi="Times New Roman"/>
          <w:color w:val="000000"/>
          <w:sz w:val="20"/>
        </w:rPr>
        <w:t xml:space="preserve"> </w:t>
      </w:r>
      <w:r>
        <w:rPr>
          <w:rFonts w:ascii="Arial" w:hAnsi="Arial"/>
          <w:color w:val="000000"/>
          <w:sz w:val="20"/>
        </w:rPr>
        <w:t xml:space="preserve">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 w:hAnsi="Arial"/>
          <w:i/>
          <w:color w:val="000000"/>
          <w:sz w:val="20"/>
        </w:rPr>
        <w:t>Note 2 - Revenue and Recognition</w:t>
      </w:r>
      <w:r>
        <w:rPr>
          <w:rFonts w:ascii="Times New Roman" w:hAnsi="Times New Roman"/>
          <w:color w:val="000000"/>
          <w:sz w:val="20"/>
        </w:rPr>
        <w:t xml:space="preserve"> </w:t>
      </w:r>
      <w:r>
        <w:rPr>
          <w:rFonts w:ascii="Arial" w:hAnsi="Arial"/>
          <w:color w:val="000000"/>
          <w:sz w:val="20"/>
        </w:rPr>
        <w:t>for information regarding the Company's revenue by geographic area.</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b/>
          <w:i/>
          <w:color w:val="000000"/>
          <w:sz w:val="20"/>
        </w:rPr>
        <w:t>Use of Estimates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preparation of condensed consolidated financial statements in conformity with GAAP requires management to make estimates and assumptions that affect the amounts reported and disclosed in the condensed consolidated financial statements and the accompanying notes. Significant estimates and assumptions reflected in these financial statements include, but are not limited to, the valuation of certain stock-based compensation awards, the valuation of contingent consideration, the valuation of acquired intangible assets and their useful lives, the estimate of credit losses on accounts receivable, unbilled receivables and available-for-sale debt securities, the assessment of other-than-temporary impairment of available-for-sale debt securities, the impairment assessment of goodwill, intangibles and other long-lived assets and the incremental borrowing rates for operating leases.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Impact of Inflation</w:t>
      </w:r>
    </w:p>
    <w:p>
      <w:pPr>
        <w:pStyle w:val="TextBody"/>
        <w:bidi w:val="0"/>
        <w:spacing w:before="200" w:after="200"/>
        <w:jc w:val="left"/>
        <w:rPr>
          <w:rFonts w:ascii="Arial" w:hAnsi="Arial"/>
          <w:color w:val="000000"/>
          <w:sz w:val="20"/>
        </w:rPr>
      </w:pPr>
      <w:r>
        <w:rPr>
          <w:rFonts w:ascii="Arial" w:hAnsi="Arial"/>
          <w:color w:val="000000"/>
          <w:sz w:val="20"/>
        </w:rPr>
        <w:t>Inflation did not have a material effect on the Company's cash flows and results of operations during the three and six months ended June 30, 2024.</w:t>
      </w:r>
    </w:p>
    <w:p>
      <w:pPr>
        <w:pStyle w:val="TextBody"/>
        <w:bidi w:val="0"/>
        <w:spacing w:before="200" w:after="200"/>
        <w:jc w:val="left"/>
        <w:rPr>
          <w:rFonts w:ascii="Times New Roman" w:hAnsi="Times New Roman"/>
          <w:sz w:val="20"/>
        </w:rPr>
      </w:pPr>
      <w:r>
        <w:rPr>
          <w:rFonts w:ascii="Arial" w:hAnsi="Arial"/>
          <w:b/>
          <w:i/>
          <w:color w:val="000000"/>
          <w:sz w:val="20"/>
        </w:rPr>
        <w:t>Concentrations of Credit Risk, Financial Instruments and Significant Clients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Financial instruments that potentially subject the Company to concentration of credit risk consists principally of cash, cash equivalents, investments in available-for-sale debt securities, accounts receivable, unbilled receivables and funds receivable from payment partners.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Company maintains its cash and cash equivalents with financial institutions that management believes are of high credit quality. Our cash equivalents include money market funds, which are AAA-rated and comprised of liquid, high quality debt securities issued by the U.S. government. The Company's cash and cash equivalents deposited with the financial institutions exceed the Federal Deposit Insurance Corporation (FDIC) insurance limit of $250,000. As part of its cash management process, the Company performs periodic reviews of the credit standing of the financial institutions holding its cash and cash equivalents. Additionally, to mitigate credit risk associated with financial institutions, the Company diversifies its cash and cash equivalents across multiple financial institutions and U.S. Treasury Money Market Funds. U.S. Treasuries, by their nature, create a concentration of credit risk with the U.S. Government. Our access to our cash and cash equivalents and client funds could be significantly impacted in volatile markets given our concentration in government money market funds.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To manage credit risk associated with investments in available-for-sale debt securities, the Company monitors credit ratings of the issuers of the securities and diversifies its investments by limiting its holding in any one security or issuer.</w:t>
      </w:r>
    </w:p>
    <w:p>
      <w:pPr>
        <w:pStyle w:val="TextBody"/>
        <w:bidi w:val="0"/>
        <w:spacing w:before="200" w:after="200"/>
        <w:jc w:val="left"/>
        <w:rPr>
          <w:rFonts w:ascii="Arial" w:hAnsi="Arial"/>
          <w:color w:val="000000"/>
          <w:sz w:val="20"/>
        </w:rPr>
      </w:pPr>
      <w:r>
        <w:rPr>
          <w:rFonts w:ascii="Arial" w:hAnsi="Arial"/>
          <w:color w:val="000000"/>
          <w:sz w:val="20"/>
        </w:rPr>
        <w:t>To manage credit risk related to accounts receivable and unbilled receivables, the Company maintains an allowance for credit losses. The allowance is determined by applying a loss-rate method based on an aging schedule using the Company's historical loss rate. The Company also considers reasonable and supportable current and forecasted information in determining its estimated loss rates, such as external forecasts, macroeconomic trends, or other factors that are associated with the credit quality of the Company’s customer base. The Company did not experience any material credit losses for the three and six months ended June 30, 2024 and 2023.</w:t>
      </w:r>
    </w:p>
    <w:p>
      <w:pPr>
        <w:pStyle w:val="TextBody"/>
        <w:bidi w:val="0"/>
        <w:spacing w:before="200" w:after="200"/>
        <w:jc w:val="left"/>
        <w:rPr>
          <w:rFonts w:ascii="Times New Roman" w:hAnsi="Times New Roman"/>
          <w:sz w:val="20"/>
        </w:rPr>
      </w:pPr>
      <w:r>
        <w:rPr>
          <w:rFonts w:ascii="Arial" w:hAnsi="Arial"/>
          <w:color w:val="000000"/>
          <w:sz w:val="20"/>
        </w:rPr>
        <w:t>Accounts receivable are derived from revenue earned from clients located in the U.S. and internationally. Significant clients are those that represent 10% or more of accounts receivable, net as set forth in the following table:</w:t>
      </w:r>
      <w:r>
        <w:rPr>
          <w:rFonts w:ascii="Times New Roman" w:hAnsi="Times New Roman"/>
          <w:color w:val="000000"/>
          <w:sz w:val="20"/>
        </w:rPr>
        <w:t xml:space="preserve"> </w:t>
      </w:r>
    </w:p>
    <w:tbl>
      <w:tblPr>
        <w:tblW w:w="3370" w:type="dxa"/>
        <w:jc w:val="left"/>
        <w:tblInd w:w="0" w:type="dxa"/>
        <w:tblLayout w:type="fixed"/>
        <w:tblCellMar>
          <w:top w:w="28" w:type="dxa"/>
          <w:left w:w="28" w:type="dxa"/>
          <w:bottom w:w="28" w:type="dxa"/>
          <w:right w:w="28" w:type="dxa"/>
        </w:tblCellMar>
      </w:tblPr>
      <w:tblGrid>
        <w:gridCol w:w="811"/>
        <w:gridCol w:w="146"/>
        <w:gridCol w:w="240"/>
        <w:gridCol w:w="525"/>
        <w:gridCol w:w="286"/>
        <w:gridCol w:w="146"/>
        <w:gridCol w:w="1216"/>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r>
      <w:tr>
        <w:trPr/>
        <w:tc>
          <w:tcPr>
            <w:tcW w:w="8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Client A</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21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r>
    </w:tbl>
    <w:p>
      <w:pPr>
        <w:pStyle w:val="TextBody"/>
        <w:bidi w:val="0"/>
        <w:jc w:val="left"/>
        <w:rPr>
          <w:rFonts w:ascii="Arial" w:hAnsi="Arial"/>
          <w:color w:val="000000"/>
          <w:sz w:val="16"/>
        </w:rPr>
      </w:pPr>
      <w:r>
        <w:rPr>
          <w:rFonts w:ascii="Arial" w:hAnsi="Arial"/>
          <w:color w:val="000000"/>
          <w:sz w:val="16"/>
        </w:rPr>
        <w:t>___________________________</w:t>
      </w:r>
    </w:p>
    <w:p>
      <w:pPr>
        <w:pStyle w:val="TextBody"/>
        <w:bidi w:val="0"/>
        <w:jc w:val="left"/>
        <w:rPr>
          <w:rFonts w:ascii="Times New Roman" w:hAnsi="Times New Roman"/>
          <w:sz w:val="20"/>
        </w:rPr>
      </w:pPr>
      <w:r>
        <w:rPr>
          <w:rFonts w:ascii="Arial" w:hAnsi="Arial"/>
          <w:color w:val="000000"/>
          <w:sz w:val="16"/>
        </w:rPr>
        <w:t>* Less than 10% of total balance.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tbl>
      <w:tblPr>
        <w:tblW w:w="3790" w:type="dxa"/>
        <w:jc w:val="left"/>
        <w:tblInd w:w="0" w:type="dxa"/>
        <w:tblLayout w:type="fixed"/>
        <w:tblCellMar>
          <w:top w:w="28" w:type="dxa"/>
          <w:left w:w="28" w:type="dxa"/>
          <w:bottom w:w="28" w:type="dxa"/>
          <w:right w:w="28" w:type="dxa"/>
        </w:tblCellMar>
      </w:tblPr>
      <w:tblGrid>
        <w:gridCol w:w="946"/>
        <w:gridCol w:w="146"/>
        <w:gridCol w:w="240"/>
        <w:gridCol w:w="525"/>
        <w:gridCol w:w="286"/>
        <w:gridCol w:w="146"/>
        <w:gridCol w:w="369"/>
        <w:gridCol w:w="801"/>
        <w:gridCol w:w="33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Partner A</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9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Partner B</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9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Partner C</w:t>
            </w:r>
          </w:p>
        </w:tc>
        <w:tc>
          <w:tcPr>
            <w:tcW w:w="146" w:type="dxa"/>
            <w:tcBorders/>
            <w:shd w:fill="CFF0FC" w:val="clear"/>
            <w:vAlign w:val="center"/>
          </w:tcPr>
          <w:p>
            <w:pPr>
              <w:pStyle w:val="TableContents"/>
              <w:bidi w:val="0"/>
              <w:spacing w:before="0" w:after="283"/>
              <w:jc w:val="left"/>
              <w:rPr/>
            </w:pPr>
            <w:r>
              <w:rPr/>
              <w:t> </w:t>
            </w:r>
          </w:p>
        </w:tc>
        <w:tc>
          <w:tcPr>
            <w:tcW w:w="765"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9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Partner D</w:t>
            </w:r>
          </w:p>
        </w:tc>
        <w:tc>
          <w:tcPr>
            <w:tcW w:w="146" w:type="dxa"/>
            <w:tcBorders/>
            <w:shd w:fill="FFFFFF" w:val="clear"/>
            <w:vAlign w:val="center"/>
          </w:tcPr>
          <w:p>
            <w:pPr>
              <w:pStyle w:val="TableContents"/>
              <w:bidi w:val="0"/>
              <w:spacing w:before="0" w:after="283"/>
              <w:jc w:val="left"/>
              <w:rPr/>
            </w:pPr>
            <w:r>
              <w:rPr/>
              <w:t> </w:t>
            </w:r>
          </w:p>
        </w:tc>
        <w:tc>
          <w:tcPr>
            <w:tcW w:w="765"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9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Partner 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rFonts w:ascii="Arial" w:hAnsi="Arial"/>
          <w:color w:val="000000"/>
          <w:sz w:val="16"/>
        </w:rPr>
      </w:pPr>
      <w:r>
        <w:rPr>
          <w:rFonts w:ascii="Arial" w:hAnsi="Arial"/>
          <w:color w:val="000000"/>
          <w:sz w:val="16"/>
        </w:rPr>
        <w:t>______________________</w:t>
      </w:r>
    </w:p>
    <w:p>
      <w:pPr>
        <w:pStyle w:val="TextBody"/>
        <w:bidi w:val="0"/>
        <w:jc w:val="left"/>
        <w:rPr>
          <w:rFonts w:ascii="Times New Roman" w:hAnsi="Times New Roman"/>
          <w:sz w:val="20"/>
        </w:rPr>
      </w:pPr>
      <w:r>
        <w:rPr>
          <w:rFonts w:ascii="Arial" w:hAnsi="Arial"/>
          <w:color w:val="000000"/>
          <w:sz w:val="16"/>
        </w:rPr>
        <w:t>* Less than 10% of total balance.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During the three and six months ended June 30, 2024 and 2023, no client accounted for 10% or more of total revenue.</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During the three months ended June 30, 2024, revenue from clients located in the United States and Canada (Americas), Europe, the Middle East and Africa (EMEA) and the Asia and Pacific region (APAC) in the aggregate accounted for 40.5%, 41.4% and 18.1% of the Company’s total revenues, respectively. During the three months ended June 30, 2023, revenue from clients located in Americas, EMEA and APAC in the aggregate accounted for 51.0%, 33.6% and 15.4% of the Company’s total revenues, respectively.</w:t>
      </w:r>
    </w:p>
    <w:p>
      <w:pPr>
        <w:pStyle w:val="TextBody"/>
        <w:bidi w:val="0"/>
        <w:spacing w:before="200" w:after="200"/>
        <w:jc w:val="left"/>
        <w:rPr>
          <w:rFonts w:ascii="Arial" w:hAnsi="Arial"/>
          <w:color w:val="000000"/>
          <w:sz w:val="20"/>
        </w:rPr>
      </w:pPr>
      <w:r>
        <w:rPr>
          <w:rFonts w:ascii="Arial" w:hAnsi="Arial"/>
          <w:color w:val="000000"/>
          <w:sz w:val="20"/>
        </w:rPr>
        <w:t>During the six months ended June 30, 2024, revenue from clients located in Americas, EMEA and APAC in the aggregate accounted for 45.8%, 36.3% and 17.9% of the Company’s total revenues, respectively. During the six months ended June 30, 2023, revenue from clients located in Americas, EMEA and APAC in the aggregate accounted for 57.7%, 28.0% and 14.3% of the Company’s total revenues, respectively.</w:t>
      </w:r>
    </w:p>
    <w:p>
      <w:pPr>
        <w:pStyle w:val="TextBody"/>
        <w:bidi w:val="0"/>
        <w:spacing w:before="200" w:after="200"/>
        <w:jc w:val="left"/>
        <w:rPr>
          <w:rFonts w:ascii="Times New Roman" w:hAnsi="Times New Roman"/>
          <w:sz w:val="20"/>
        </w:rPr>
      </w:pPr>
      <w:r>
        <w:rPr>
          <w:rFonts w:ascii="Arial" w:hAnsi="Arial"/>
          <w:b/>
          <w:i/>
          <w:color w:val="000000"/>
          <w:sz w:val="20"/>
        </w:rPr>
        <w:t>Summary of Significant Accounting Policies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 xml:space="preserve">The Company’s significant accounting policies are discussed in </w:t>
      </w:r>
      <w:r>
        <w:rPr>
          <w:rFonts w:ascii="Arial" w:hAnsi="Arial"/>
          <w:i/>
          <w:color w:val="000000"/>
          <w:sz w:val="20"/>
        </w:rPr>
        <w:t>Note 1 - Business Overview and Summary of Significant Accounting Policies</w:t>
      </w:r>
      <w:r>
        <w:rPr>
          <w:rFonts w:ascii="Times New Roman" w:hAnsi="Times New Roman"/>
          <w:color w:val="000000"/>
          <w:sz w:val="20"/>
        </w:rPr>
        <w:t xml:space="preserve"> </w:t>
      </w:r>
      <w:r>
        <w:rPr>
          <w:rFonts w:ascii="Arial" w:hAnsi="Arial"/>
          <w:color w:val="000000"/>
          <w:sz w:val="20"/>
        </w:rPr>
        <w:t xml:space="preserve">in the notes to the audited consolidated financial statements in the Company’s Annual Report on Form 10-K for the year ended December 31, 2023. There have been no material changes to these policies during the three and six months ended June 30, 2024 other than the investments discussed in </w:t>
      </w:r>
      <w:r>
        <w:rPr>
          <w:rFonts w:ascii="Arial" w:hAnsi="Arial"/>
          <w:i/>
          <w:color w:val="000000"/>
          <w:sz w:val="20"/>
        </w:rPr>
        <w:t>Note 3 - Investments</w:t>
      </w:r>
      <w:r>
        <w:rPr>
          <w:rFonts w:ascii="Arial" w:hAnsi="Arial"/>
          <w:color w:val="000000"/>
          <w:sz w:val="20"/>
        </w:rPr>
        <w:t>.</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Advertising Costs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Advertising costs are expensed as incurred and are included in selling and marketing expenses in the condensed consolidated statements of operations and comprehensive loss. Advertising expenses for the three months ended June 30, 2024 and 2023</w:t>
      </w:r>
      <w:r>
        <w:rPr>
          <w:rFonts w:ascii="Times New Roman" w:hAnsi="Times New Roman"/>
          <w:color w:val="000000"/>
          <w:sz w:val="20"/>
        </w:rPr>
        <w:t xml:space="preserve"> </w:t>
      </w:r>
      <w:r>
        <w:rPr>
          <w:rFonts w:ascii="Arial" w:hAnsi="Arial"/>
          <w:color w:val="000000"/>
          <w:sz w:val="20"/>
        </w:rPr>
        <w:t>were $2.1</w:t>
      </w:r>
      <w:r>
        <w:rPr>
          <w:rFonts w:ascii="Times New Roman" w:hAnsi="Times New Roman"/>
          <w:color w:val="000000"/>
          <w:sz w:val="20"/>
        </w:rPr>
        <w:t xml:space="preserve"> </w:t>
      </w:r>
      <w:r>
        <w:rPr>
          <w:rFonts w:ascii="Arial" w:hAnsi="Arial"/>
          <w:color w:val="000000"/>
          <w:sz w:val="20"/>
        </w:rPr>
        <w:t>million and $2.0</w:t>
      </w:r>
      <w:r>
        <w:rPr>
          <w:rFonts w:ascii="Times New Roman" w:hAnsi="Times New Roman"/>
          <w:color w:val="000000"/>
          <w:sz w:val="20"/>
        </w:rPr>
        <w:t xml:space="preserve"> </w:t>
      </w:r>
      <w:r>
        <w:rPr>
          <w:rFonts w:ascii="Arial" w:hAnsi="Arial"/>
          <w:color w:val="000000"/>
          <w:sz w:val="20"/>
        </w:rPr>
        <w:t>million, respectively. Advertising expenses for the six months ended June 30, 2024 and 2023</w:t>
      </w:r>
      <w:r>
        <w:rPr>
          <w:rFonts w:ascii="Times New Roman" w:hAnsi="Times New Roman"/>
          <w:color w:val="000000"/>
          <w:sz w:val="20"/>
        </w:rPr>
        <w:t xml:space="preserve"> </w:t>
      </w:r>
      <w:r>
        <w:rPr>
          <w:rFonts w:ascii="Arial" w:hAnsi="Arial"/>
          <w:color w:val="000000"/>
          <w:sz w:val="20"/>
        </w:rPr>
        <w:t>were $3.7</w:t>
      </w:r>
      <w:r>
        <w:rPr>
          <w:rFonts w:ascii="Times New Roman" w:hAnsi="Times New Roman"/>
          <w:color w:val="000000"/>
          <w:sz w:val="20"/>
        </w:rPr>
        <w:t xml:space="preserve"> </w:t>
      </w:r>
      <w:r>
        <w:rPr>
          <w:rFonts w:ascii="Arial" w:hAnsi="Arial"/>
          <w:color w:val="000000"/>
          <w:sz w:val="20"/>
        </w:rPr>
        <w:t>million and $3.1</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00" w:after="200"/>
        <w:jc w:val="left"/>
        <w:rPr>
          <w:rFonts w:ascii="Times New Roman" w:hAnsi="Times New Roman"/>
          <w:sz w:val="20"/>
        </w:rPr>
      </w:pPr>
      <w:r>
        <w:rPr>
          <w:rFonts w:ascii="Arial" w:hAnsi="Arial"/>
          <w:b/>
          <w:i/>
          <w:color w:val="000000"/>
          <w:sz w:val="20"/>
        </w:rPr>
        <w:t>Recently Adopted Accounting Pronouncements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of June 30, 2024 and for the period then ended, there were no recently adopted Accounting Standards Update (ASUs)</w:t>
      </w:r>
      <w:r>
        <w:rPr>
          <w:rFonts w:ascii="Times New Roman" w:hAnsi="Times New Roman"/>
          <w:color w:val="000000"/>
          <w:sz w:val="20"/>
        </w:rPr>
        <w:t xml:space="preserve"> </w:t>
      </w:r>
      <w:r>
        <w:rPr>
          <w:rFonts w:ascii="Arial" w:hAnsi="Arial"/>
          <w:color w:val="000000"/>
          <w:sz w:val="20"/>
        </w:rPr>
        <w:t>that had a material effect on the Company’s condensed consolidated financial statements and disclosures.</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Accounting Pronouncements Not Yet Adopted</w:t>
      </w:r>
    </w:p>
    <w:p>
      <w:pPr>
        <w:pStyle w:val="TextBody"/>
        <w:bidi w:val="0"/>
        <w:spacing w:before="200" w:after="200"/>
        <w:jc w:val="left"/>
        <w:rPr>
          <w:rFonts w:ascii="Arial" w:hAnsi="Arial"/>
          <w:color w:val="000000"/>
          <w:sz w:val="20"/>
        </w:rPr>
      </w:pPr>
      <w:r>
        <w:rPr>
          <w:rFonts w:ascii="Arial" w:hAnsi="Arial"/>
          <w:color w:val="000000"/>
          <w:sz w:val="20"/>
        </w:rPr>
        <w:t>The following ASUs were issued by the Financial Accounting Standards Board but not yet adopted by Flywire as of June 30, 2024:</w:t>
      </w:r>
    </w:p>
    <w:p>
      <w:pPr>
        <w:pStyle w:val="TextBody"/>
        <w:bidi w:val="0"/>
        <w:spacing w:before="200" w:after="200"/>
        <w:jc w:val="left"/>
        <w:rPr>
          <w:rFonts w:ascii="Times New Roman" w:hAnsi="Times New Roman"/>
          <w:sz w:val="20"/>
        </w:rPr>
      </w:pPr>
      <w:r>
        <w:rPr>
          <w:rFonts w:ascii="Arial" w:hAnsi="Arial"/>
          <w:color w:val="000000"/>
          <w:sz w:val="20"/>
        </w:rPr>
        <w:t xml:space="preserve">ASU 2023-07, </w:t>
      </w:r>
      <w:r>
        <w:rPr>
          <w:rFonts w:ascii="Arial" w:hAnsi="Arial"/>
          <w:i/>
          <w:color w:val="000000"/>
          <w:sz w:val="20"/>
        </w:rPr>
        <w:t>Segment Reporting (Topic 280): Improvements to Reportable Segment Disclosures:</w:t>
      </w:r>
      <w:r>
        <w:rPr>
          <w:rFonts w:ascii="Times New Roman" w:hAnsi="Times New Roman"/>
          <w:color w:val="000000"/>
          <w:sz w:val="20"/>
        </w:rPr>
        <w:t xml:space="preserve"> </w:t>
      </w:r>
      <w:r>
        <w:rPr>
          <w:rFonts w:ascii="Arial" w:hAnsi="Arial"/>
          <w:color w:val="000000"/>
          <w:sz w:val="20"/>
        </w:rPr>
        <w:t>ASU 2023-07 improves reportable segment disclosure requirements, primarily through enhanced disclosures about significant segment expenses. ASU 2023-07 also enhances interim disclosure requirements, clarifies circumstances in which an entity can disclose multiple segment measures of profit or loss, provides new segment disclosure requirements for entities with a single reportable and contains other disclosure requirements. ASU 2023-07 is effective for Flywire for the annual period beginning on January 1, 2024 and interim periods beginning on January 1, 2025. Early adoption is permitted. ASU 2023-07 should be applied retrospectively to all prior periods presented in the financial statements. The Company is evaluating the enhancement of its significant expenses that will be required to be disclosed and does not expect this standard to have an impact on its results of operations, balance sheet or cash flows.</w:t>
      </w:r>
    </w:p>
    <w:p>
      <w:pPr>
        <w:pStyle w:val="TextBody"/>
        <w:bidi w:val="0"/>
        <w:spacing w:before="200" w:after="200"/>
        <w:jc w:val="left"/>
        <w:rPr>
          <w:rFonts w:ascii="Times New Roman" w:hAnsi="Times New Roman"/>
          <w:sz w:val="20"/>
        </w:rPr>
      </w:pPr>
      <w:r>
        <w:rPr>
          <w:rFonts w:ascii="Arial" w:hAnsi="Arial"/>
          <w:color w:val="000000"/>
          <w:sz w:val="20"/>
        </w:rPr>
        <w:t xml:space="preserve">ASU 2023-09, </w:t>
      </w:r>
      <w:r>
        <w:rPr>
          <w:rFonts w:ascii="Arial" w:hAnsi="Arial"/>
          <w:i/>
          <w:color w:val="000000"/>
          <w:sz w:val="20"/>
        </w:rPr>
        <w:t>Income Taxes (Topic 740): Improvements to Income Tax Disclosures:</w:t>
      </w:r>
      <w:r>
        <w:rPr>
          <w:rFonts w:ascii="Times New Roman" w:hAnsi="Times New Roman"/>
          <w:color w:val="000000"/>
          <w:sz w:val="20"/>
        </w:rPr>
        <w:t xml:space="preserve"> </w:t>
      </w:r>
      <w:r>
        <w:rPr>
          <w:rFonts w:ascii="Arial" w:hAnsi="Arial"/>
          <w:color w:val="000000"/>
          <w:sz w:val="20"/>
        </w:rPr>
        <w:t>ASU 2023-09 requires public business entities to disclose on an annual basis additional information in specified categories with respect to the reconciliation of the effective tax rate to the statutory rate for federal, state, and foreign income taxes. It also requires greater detail about individual reconciling items in the rate reconciliation to the extent the impact of those items exceeds a</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specified threshold. In addition, ASU 2023-09 requires disclosure pertaining to taxes paid, net of refunds received, to be disaggregated for federal, state, and foreign taxes and further disaggregated for specific jurisdictions to the extent the related amounts exceed a quantitative threshold. ASU 2023-09 is effective for the Company for the annual period beginning on January 1, 2025. Early adoption is permitted. ASU 2023-09 should be applied on a prospective basis. However, companies have the option to apply the standard retrospectively. The Company is currently evaluating the impact of this standard on its consolidated financial statements and disclosures.</w:t>
      </w:r>
    </w:p>
    <w:p>
      <w:pPr>
        <w:pStyle w:val="TextBody"/>
        <w:bidi w:val="0"/>
        <w:spacing w:before="360" w:after="283"/>
        <w:jc w:val="left"/>
        <w:rPr>
          <w:rFonts w:ascii="Times New Roman" w:hAnsi="Times New Roman"/>
          <w:sz w:val="20"/>
        </w:rPr>
      </w:pPr>
      <w:bookmarkStart w:id="15" w:name="note_2"/>
      <w:bookmarkEnd w:id="15"/>
      <w:r>
        <w:rPr>
          <w:rFonts w:ascii="Arial" w:hAnsi="Arial"/>
          <w:b/>
          <w:color w:val="000000"/>
          <w:sz w:val="20"/>
        </w:rPr>
        <w:t>Note 2. Revenue and Recognition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following table presents revenue disaggregated by geographical area and major solutions. The categorization of revenue by geographical location is determined based on the location of where the client resides.</w:t>
      </w:r>
      <w:r>
        <w:rPr>
          <w:rFonts w:ascii="Times New Roman" w:hAnsi="Times New Roman"/>
          <w:color w:val="000000"/>
          <w:sz w:val="20"/>
        </w:rPr>
        <w:t xml:space="preserve"> </w:t>
      </w:r>
    </w:p>
    <w:tbl>
      <w:tblPr>
        <w:tblW w:w="8342" w:type="dxa"/>
        <w:jc w:val="left"/>
        <w:tblInd w:w="0" w:type="dxa"/>
        <w:tblLayout w:type="fixed"/>
        <w:tblCellMar>
          <w:top w:w="28" w:type="dxa"/>
          <w:left w:w="28" w:type="dxa"/>
          <w:bottom w:w="28" w:type="dxa"/>
          <w:right w:w="28" w:type="dxa"/>
        </w:tblCellMar>
      </w:tblPr>
      <w:tblGrid>
        <w:gridCol w:w="2926"/>
        <w:gridCol w:w="146"/>
        <w:gridCol w:w="211"/>
        <w:gridCol w:w="796"/>
        <w:gridCol w:w="146"/>
        <w:gridCol w:w="146"/>
        <w:gridCol w:w="211"/>
        <w:gridCol w:w="691"/>
        <w:gridCol w:w="146"/>
        <w:gridCol w:w="146"/>
        <w:gridCol w:w="211"/>
        <w:gridCol w:w="796"/>
        <w:gridCol w:w="146"/>
        <w:gridCol w:w="146"/>
        <w:gridCol w:w="211"/>
        <w:gridCol w:w="796"/>
        <w:gridCol w:w="47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Primary geographical markets</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jc w:val="right"/>
              <w:rPr/>
            </w:pPr>
            <w:r>
              <w:rPr/>
              <w:t> </w:t>
            </w:r>
          </w:p>
        </w:tc>
      </w:tr>
      <w:tr>
        <w:trPr/>
        <w:tc>
          <w:tcPr>
            <w:tcW w:w="29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Americas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41,961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43,296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99,827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103,461</w:t>
            </w:r>
          </w:p>
        </w:tc>
        <w:tc>
          <w:tcPr>
            <w:tcW w:w="47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EMEA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42,871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28,534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50,195</w:t>
            </w:r>
          </w:p>
        </w:tc>
        <w:tc>
          <w:tcPr>
            <w:tcW w:w="47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APAC</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25,570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926" w:type="dxa"/>
            <w:tcBorders/>
            <w:shd w:fill="CFF0FC" w:val="clear"/>
            <w:vAlign w:val="center"/>
          </w:tcPr>
          <w:p>
            <w:pPr>
              <w:pStyle w:val="TableContents"/>
              <w:bidi w:val="0"/>
              <w:spacing w:before="0" w:after="283"/>
              <w:ind w:left="280" w:right="0" w:firstLine="280"/>
              <w:jc w:val="left"/>
              <w:rPr>
                <w:rFonts w:ascii="Arial" w:hAnsi="Arial"/>
                <w:b/>
                <w:color w:val="000000"/>
                <w:sz w:val="20"/>
              </w:rPr>
            </w:pPr>
            <w:r>
              <w:rPr>
                <w:rFonts w:ascii="Arial" w:hAnsi="Arial"/>
                <w:b/>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217,779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179,226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Major solutions</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jc w:val="right"/>
              <w:rPr/>
            </w:pPr>
            <w:r>
              <w:rPr/>
              <w:t> </w:t>
            </w:r>
          </w:p>
        </w:tc>
      </w:tr>
      <w:tr>
        <w:trPr/>
        <w:tc>
          <w:tcPr>
            <w:tcW w:w="29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Transactions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85,298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66,847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180,498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143,149</w:t>
            </w:r>
          </w:p>
        </w:tc>
        <w:tc>
          <w:tcPr>
            <w:tcW w:w="47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Platform and other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36,077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926" w:type="dxa"/>
            <w:tcBorders/>
            <w:shd w:fill="CFF0FC" w:val="clear"/>
            <w:vAlign w:val="center"/>
          </w:tcPr>
          <w:p>
            <w:pPr>
              <w:pStyle w:val="TableContents"/>
              <w:bidi w:val="0"/>
              <w:spacing w:before="0" w:after="283"/>
              <w:ind w:left="280" w:right="0" w:firstLine="280"/>
              <w:jc w:val="left"/>
              <w:rPr>
                <w:rFonts w:ascii="Arial" w:hAnsi="Arial"/>
                <w:b/>
                <w:color w:val="000000"/>
                <w:sz w:val="20"/>
              </w:rPr>
            </w:pPr>
            <w:r>
              <w:rPr>
                <w:rFonts w:ascii="Arial" w:hAnsi="Arial"/>
                <w:b/>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103,676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217,779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179,226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Arial" w:hAnsi="Arial"/>
          <w:b/>
          <w:i/>
          <w:color w:val="000000"/>
          <w:sz w:val="20"/>
        </w:rPr>
      </w:pPr>
      <w:r>
        <w:rPr>
          <w:rFonts w:ascii="Arial" w:hAnsi="Arial"/>
          <w:b/>
          <w:i/>
          <w:color w:val="000000"/>
          <w:sz w:val="20"/>
        </w:rPr>
        <w:t>Contract Balances from Contracts with Clients</w:t>
      </w:r>
    </w:p>
    <w:p>
      <w:pPr>
        <w:pStyle w:val="TextBody"/>
        <w:bidi w:val="0"/>
        <w:spacing w:before="200" w:after="200"/>
        <w:jc w:val="left"/>
        <w:rPr>
          <w:rFonts w:ascii="Times New Roman" w:hAnsi="Times New Roman"/>
          <w:sz w:val="20"/>
        </w:rPr>
      </w:pPr>
      <w:r>
        <w:rPr>
          <w:rFonts w:ascii="Arial" w:hAnsi="Arial"/>
          <w:color w:val="000000"/>
          <w:sz w:val="20"/>
        </w:rPr>
        <w:t>The following table provides information about accounts receivable, unbilled receivables and deferred revenue from contracts with clients (in thousands):</w:t>
      </w:r>
      <w:r>
        <w:rPr>
          <w:rFonts w:ascii="Times New Roman" w:hAnsi="Times New Roman"/>
          <w:color w:val="000000"/>
          <w:sz w:val="20"/>
        </w:rPr>
        <w:t xml:space="preserve"> </w:t>
      </w:r>
    </w:p>
    <w:tbl>
      <w:tblPr>
        <w:tblW w:w="5507" w:type="dxa"/>
        <w:jc w:val="left"/>
        <w:tblInd w:w="0" w:type="dxa"/>
        <w:tblLayout w:type="fixed"/>
        <w:tblCellMar>
          <w:top w:w="28" w:type="dxa"/>
          <w:left w:w="28" w:type="dxa"/>
          <w:bottom w:w="28" w:type="dxa"/>
          <w:right w:w="28" w:type="dxa"/>
        </w:tblCellMar>
      </w:tblPr>
      <w:tblGrid>
        <w:gridCol w:w="2806"/>
        <w:gridCol w:w="146"/>
        <w:gridCol w:w="211"/>
        <w:gridCol w:w="691"/>
        <w:gridCol w:w="146"/>
        <w:gridCol w:w="146"/>
        <w:gridCol w:w="273"/>
        <w:gridCol w:w="897"/>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18,215</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Unbilled receivables,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13,052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10,689</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 – 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6,968</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 – non-current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For the three months ended June 30, 2024 and 2023, the Company recognized $1.8</w:t>
      </w:r>
      <w:r>
        <w:rPr>
          <w:rFonts w:ascii="Times New Roman" w:hAnsi="Times New Roman"/>
          <w:color w:val="000000"/>
          <w:sz w:val="20"/>
        </w:rPr>
        <w:t xml:space="preserve"> </w:t>
      </w:r>
      <w:r>
        <w:rPr>
          <w:rFonts w:ascii="Arial" w:hAnsi="Arial"/>
          <w:color w:val="000000"/>
          <w:sz w:val="20"/>
        </w:rPr>
        <w:t>million and $1.5</w:t>
      </w:r>
      <w:r>
        <w:rPr>
          <w:rFonts w:ascii="Times New Roman" w:hAnsi="Times New Roman"/>
          <w:color w:val="000000"/>
          <w:sz w:val="20"/>
        </w:rPr>
        <w:t xml:space="preserve"> </w:t>
      </w:r>
      <w:r>
        <w:rPr>
          <w:rFonts w:ascii="Arial" w:hAnsi="Arial"/>
          <w:color w:val="000000"/>
          <w:sz w:val="20"/>
        </w:rPr>
        <w:t>million in revenue from amounts that were included in deferred revenue as of March 31, 2024 and 2023, respectively. For the six months ended June 30, 2024 and 2023, the Company recognized $4.9</w:t>
      </w:r>
      <w:r>
        <w:rPr>
          <w:rFonts w:ascii="Times New Roman" w:hAnsi="Times New Roman"/>
          <w:color w:val="000000"/>
          <w:sz w:val="20"/>
        </w:rPr>
        <w:t xml:space="preserve"> </w:t>
      </w:r>
      <w:r>
        <w:rPr>
          <w:rFonts w:ascii="Arial" w:hAnsi="Arial"/>
          <w:color w:val="000000"/>
          <w:sz w:val="20"/>
        </w:rPr>
        <w:t>million and $3.7</w:t>
      </w:r>
      <w:r>
        <w:rPr>
          <w:rFonts w:ascii="Times New Roman" w:hAnsi="Times New Roman"/>
          <w:color w:val="000000"/>
          <w:sz w:val="20"/>
        </w:rPr>
        <w:t xml:space="preserve"> </w:t>
      </w:r>
      <w:r>
        <w:rPr>
          <w:rFonts w:ascii="Arial" w:hAnsi="Arial"/>
          <w:color w:val="000000"/>
          <w:sz w:val="20"/>
        </w:rPr>
        <w:t>million in revenue from amounts that were included in deferred revenue as of December 31, 2023 and 2022, respectively.</w:t>
      </w:r>
    </w:p>
    <w:p>
      <w:pPr>
        <w:pStyle w:val="TextBody"/>
        <w:bidi w:val="0"/>
        <w:spacing w:before="200" w:after="200"/>
        <w:jc w:val="left"/>
        <w:rPr>
          <w:rFonts w:ascii="Arial" w:hAnsi="Arial"/>
          <w:b/>
          <w:i/>
          <w:color w:val="000000"/>
          <w:sz w:val="20"/>
        </w:rPr>
      </w:pPr>
      <w:r>
        <w:rPr>
          <w:rFonts w:ascii="Arial" w:hAnsi="Arial"/>
          <w:b/>
          <w:i/>
          <w:color w:val="000000"/>
          <w:sz w:val="20"/>
        </w:rPr>
        <w:t>Remaining Performance Obligations</w:t>
      </w:r>
    </w:p>
    <w:p>
      <w:pPr>
        <w:pStyle w:val="TextBody"/>
        <w:bidi w:val="0"/>
        <w:spacing w:before="200" w:after="200"/>
        <w:jc w:val="left"/>
        <w:rPr>
          <w:rFonts w:ascii="Times New Roman" w:hAnsi="Times New Roman"/>
          <w:sz w:val="20"/>
        </w:rPr>
      </w:pPr>
      <w:r>
        <w:rPr>
          <w:rFonts w:ascii="Arial" w:hAnsi="Arial"/>
          <w:color w:val="000000"/>
          <w:sz w:val="20"/>
        </w:rPr>
        <w:t>The Company has performance obligations associated with certain clients' contracts for future services that have not yet been recognized as revenue. As of June 30, 2024, the aggregate amount of transaction price allocated to performance obligations that are unsatisfied or partially unsatisfied, including deferred revenue, was approximately $11.5</w:t>
      </w:r>
      <w:r>
        <w:rPr>
          <w:rFonts w:ascii="Times New Roman" w:hAnsi="Times New Roman"/>
          <w:color w:val="000000"/>
          <w:sz w:val="20"/>
        </w:rPr>
        <w:t xml:space="preserve"> </w:t>
      </w:r>
      <w:r>
        <w:rPr>
          <w:rFonts w:ascii="Arial" w:hAnsi="Arial"/>
          <w:color w:val="000000"/>
          <w:sz w:val="20"/>
        </w:rPr>
        <w:t>million. Of the total remaining performance obligations, the Company expects to recognize approximately 49.5% within the next year, 29.1% after one year through year</w:t>
      </w:r>
      <w:r>
        <w:rPr>
          <w:rFonts w:ascii="Times New Roman" w:hAnsi="Times New Roman"/>
          <w:color w:val="000000"/>
          <w:sz w:val="20"/>
        </w:rPr>
        <w:t xml:space="preserve"> </w:t>
      </w:r>
      <w:r>
        <w:rPr>
          <w:rFonts w:ascii="Arial" w:hAnsi="Arial"/>
          <w:color w:val="000000"/>
          <w:sz w:val="20"/>
        </w:rPr>
        <w:t>two and 21.4% over the next three to five years thereafter. Actual amounts and timing of revenue recognized may differ due to subsequent contract modifications, renewals and/or terminations.</w:t>
      </w:r>
    </w:p>
    <w:p>
      <w:pPr>
        <w:pStyle w:val="TextBody"/>
        <w:bidi w:val="0"/>
        <w:spacing w:before="360" w:after="283"/>
        <w:jc w:val="left"/>
        <w:rPr>
          <w:rFonts w:ascii="Arial" w:hAnsi="Arial"/>
          <w:b/>
          <w:color w:val="000000"/>
          <w:sz w:val="20"/>
        </w:rPr>
      </w:pPr>
      <w:bookmarkStart w:id="16" w:name="note3_investments"/>
      <w:bookmarkEnd w:id="16"/>
      <w:r>
        <w:rPr>
          <w:rFonts w:ascii="Arial" w:hAnsi="Arial"/>
          <w:b/>
          <w:color w:val="000000"/>
          <w:sz w:val="20"/>
        </w:rPr>
        <w:t>Note 3. Investments</w:t>
      </w:r>
    </w:p>
    <w:p>
      <w:pPr>
        <w:pStyle w:val="TextBody"/>
        <w:bidi w:val="0"/>
        <w:spacing w:before="200" w:after="200"/>
        <w:jc w:val="left"/>
        <w:rPr>
          <w:rFonts w:ascii="Times New Roman" w:hAnsi="Times New Roman"/>
          <w:sz w:val="20"/>
        </w:rPr>
      </w:pPr>
      <w:r>
        <w:rPr>
          <w:rFonts w:ascii="Arial" w:hAnsi="Arial"/>
          <w:color w:val="000000"/>
          <w:sz w:val="20"/>
        </w:rPr>
        <w:t>During the three months ended June 30, 2024, the Company invested in a diversified portfolio of highly rated marketable debt securities, all of which are classified as available-for-sale. Available-for-sale securities with remaining maturities of greater than three months but less than one year and those identified by management at the time of purchase to be used to fund operations within one year are classified as short-term. All other available-for-sale securities are classified as long-term. Available-for-sale debt securities with readily determinable market values are recorded at fair value, and unrealized holding gains and temporary losses are recorded as a component of accumulated other comprehensive income (loss), net of related estimated tax.</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The Company evaluates its available-for-sale debt securities for other-than-temporary impairment on a quarterly basis. When a decline in fair value is determined to be other-than-temporary, the cost of the investment is adjusted to fair value by recording a loss on investments in the condensed consolidated statements of operations and comprehensive loss. Gains and losses on investments are calculated on the basis of specific identification. The Company reviews several factors to determine whether a loss is other-than-temporary, such as the length and extent of the fair value decline, the financial condition and near-term prospects of the issuer, market conditions and trends and whether the Company has the intent to sell or will more likely than not be required to sell before the securities' anticipated recovery, which may be at maturity.</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The following table summarizes the estimated fair value of available-for-sale debt securities included within short-term and long-term investments as of June 30, 2024 (in thousands):</w:t>
      </w:r>
    </w:p>
    <w:tbl>
      <w:tblPr>
        <w:tblW w:w="10205" w:type="dxa"/>
        <w:jc w:val="left"/>
        <w:tblInd w:w="0" w:type="dxa"/>
        <w:tblLayout w:type="fixed"/>
        <w:tblCellMar>
          <w:top w:w="28" w:type="dxa"/>
          <w:left w:w="28" w:type="dxa"/>
          <w:bottom w:w="28" w:type="dxa"/>
          <w:right w:w="28" w:type="dxa"/>
        </w:tblCellMar>
      </w:tblPr>
      <w:tblGrid>
        <w:gridCol w:w="1662"/>
        <w:gridCol w:w="146"/>
        <w:gridCol w:w="247"/>
        <w:gridCol w:w="812"/>
        <w:gridCol w:w="146"/>
        <w:gridCol w:w="146"/>
        <w:gridCol w:w="411"/>
        <w:gridCol w:w="675"/>
        <w:gridCol w:w="146"/>
        <w:gridCol w:w="146"/>
        <w:gridCol w:w="395"/>
        <w:gridCol w:w="705"/>
        <w:gridCol w:w="166"/>
        <w:gridCol w:w="146"/>
        <w:gridCol w:w="424"/>
        <w:gridCol w:w="698"/>
        <w:gridCol w:w="146"/>
        <w:gridCol w:w="146"/>
        <w:gridCol w:w="342"/>
        <w:gridCol w:w="686"/>
        <w:gridCol w:w="146"/>
        <w:gridCol w:w="146"/>
        <w:gridCol w:w="243"/>
        <w:gridCol w:w="800"/>
        <w:gridCol w:w="479"/>
      </w:tblGrid>
      <w:tr>
        <w:trPr/>
        <w:tc>
          <w:tcPr>
            <w:tcW w:w="1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66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91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Allowance for 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Accrued Interest </w:t>
              <w:br/>
              <w:t>Receivable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Fair Value</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2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479" w:type="dxa"/>
            <w:tcBorders/>
            <w:shd w:fill="CFF0FC" w:val="clear"/>
            <w:vAlign w:val="center"/>
          </w:tcPr>
          <w:p>
            <w:pPr>
              <w:pStyle w:val="TableContents"/>
              <w:bidi w:val="0"/>
              <w:spacing w:before="0" w:after="283"/>
              <w:ind w:left="0" w:right="0" w:firstLine="140"/>
              <w:jc w:val="right"/>
              <w:rPr/>
            </w:pPr>
            <w:r>
              <w:rPr/>
              <w:t> </w:t>
            </w:r>
          </w:p>
        </w:tc>
      </w:tr>
      <w:tr>
        <w:trPr/>
        <w:tc>
          <w:tcPr>
            <w:tcW w:w="1662"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16,917</w:t>
            </w:r>
          </w:p>
        </w:tc>
        <w:tc>
          <w:tcPr>
            <w:tcW w:w="479" w:type="dxa"/>
            <w:tcBorders/>
            <w:shd w:fill="FFFFFF" w:val="clear"/>
            <w:vAlign w:val="center"/>
          </w:tcPr>
          <w:p>
            <w:pPr>
              <w:pStyle w:val="TableContents"/>
              <w:bidi w:val="0"/>
              <w:spacing w:before="0" w:after="283"/>
              <w:ind w:left="0" w:right="0" w:firstLine="140"/>
              <w:jc w:val="left"/>
              <w:rPr/>
            </w:pPr>
            <w:r>
              <w:rPr/>
              <w:t> </w:t>
            </w:r>
          </w:p>
        </w:tc>
      </w:tr>
      <w:tr>
        <w:trPr/>
        <w:tc>
          <w:tcPr>
            <w:tcW w:w="1662"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U.S. Government obligations</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24"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2"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14,777</w:t>
            </w:r>
          </w:p>
        </w:tc>
        <w:tc>
          <w:tcPr>
            <w:tcW w:w="479" w:type="dxa"/>
            <w:tcBorders/>
            <w:shd w:fill="CFF0FC" w:val="clear"/>
            <w:vAlign w:val="center"/>
          </w:tcPr>
          <w:p>
            <w:pPr>
              <w:pStyle w:val="TableContents"/>
              <w:bidi w:val="0"/>
              <w:spacing w:before="0" w:after="283"/>
              <w:ind w:left="0" w:right="0" w:firstLine="280"/>
              <w:jc w:val="left"/>
              <w:rPr/>
            </w:pPr>
            <w:r>
              <w:rPr/>
              <w:t> </w:t>
            </w:r>
          </w:p>
        </w:tc>
      </w:tr>
      <w:tr>
        <w:trPr/>
        <w:tc>
          <w:tcPr>
            <w:tcW w:w="166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24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31,520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31,694</w:t>
            </w:r>
          </w:p>
        </w:tc>
        <w:tc>
          <w:tcPr>
            <w:tcW w:w="4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66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105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0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28"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43" w:type="dxa"/>
            <w:gridSpan w:val="2"/>
            <w:tcBorders/>
            <w:shd w:fill="CFF0FC" w:val="clear"/>
            <w:vAlign w:val="center"/>
          </w:tcPr>
          <w:p>
            <w:pPr>
              <w:pStyle w:val="TableContents"/>
              <w:bidi w:val="0"/>
              <w:spacing w:before="0" w:after="283"/>
              <w:jc w:val="right"/>
              <w:rPr/>
            </w:pPr>
            <w:r>
              <w:rPr/>
              <w:t> </w:t>
            </w:r>
          </w:p>
        </w:tc>
        <w:tc>
          <w:tcPr>
            <w:tcW w:w="479" w:type="dxa"/>
            <w:tcBorders/>
            <w:shd w:fill="CFF0FC" w:val="clear"/>
            <w:vAlign w:val="center"/>
          </w:tcPr>
          <w:p>
            <w:pPr>
              <w:pStyle w:val="TableContents"/>
              <w:bidi w:val="0"/>
              <w:spacing w:before="0" w:after="283"/>
              <w:ind w:left="0" w:right="0" w:firstLine="140"/>
              <w:jc w:val="right"/>
              <w:rPr/>
            </w:pPr>
            <w:r>
              <w:rPr/>
              <w:t> </w:t>
            </w:r>
          </w:p>
        </w:tc>
      </w:tr>
      <w:tr>
        <w:trPr/>
        <w:tc>
          <w:tcPr>
            <w:tcW w:w="1662"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19,351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19,549</w:t>
            </w:r>
          </w:p>
        </w:tc>
        <w:tc>
          <w:tcPr>
            <w:tcW w:w="479" w:type="dxa"/>
            <w:tcBorders/>
            <w:shd w:fill="FFFFFF" w:val="clear"/>
            <w:vAlign w:val="center"/>
          </w:tcPr>
          <w:p>
            <w:pPr>
              <w:pStyle w:val="TableContents"/>
              <w:bidi w:val="0"/>
              <w:spacing w:before="0" w:after="283"/>
              <w:ind w:left="0" w:right="0" w:firstLine="140"/>
              <w:jc w:val="left"/>
              <w:rPr/>
            </w:pPr>
            <w:r>
              <w:rPr/>
              <w:t> </w:t>
            </w:r>
          </w:p>
        </w:tc>
      </w:tr>
      <w:tr>
        <w:trPr/>
        <w:tc>
          <w:tcPr>
            <w:tcW w:w="1662"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U.S. Government obligations</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4"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28"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3,654</w:t>
            </w:r>
          </w:p>
        </w:tc>
        <w:tc>
          <w:tcPr>
            <w:tcW w:w="479" w:type="dxa"/>
            <w:tcBorders/>
            <w:shd w:fill="CFF0FC" w:val="clear"/>
            <w:vAlign w:val="center"/>
          </w:tcPr>
          <w:p>
            <w:pPr>
              <w:pStyle w:val="TableContents"/>
              <w:bidi w:val="0"/>
              <w:spacing w:before="0" w:after="283"/>
              <w:ind w:left="0" w:right="0" w:firstLine="140"/>
              <w:jc w:val="left"/>
              <w:rPr/>
            </w:pPr>
            <w:r>
              <w:rPr/>
              <w:t> </w:t>
            </w:r>
          </w:p>
        </w:tc>
      </w:tr>
      <w:tr>
        <w:trPr/>
        <w:tc>
          <w:tcPr>
            <w:tcW w:w="1662"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3,518</w:t>
            </w:r>
          </w:p>
        </w:tc>
        <w:tc>
          <w:tcPr>
            <w:tcW w:w="4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66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long-term investments</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26,721</w:t>
            </w:r>
          </w:p>
        </w:tc>
        <w:tc>
          <w:tcPr>
            <w:tcW w:w="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Arial" w:hAnsi="Arial"/>
          <w:color w:val="000000"/>
          <w:sz w:val="20"/>
        </w:rPr>
      </w:pPr>
      <w:r>
        <w:rPr>
          <w:rFonts w:ascii="Arial" w:hAnsi="Arial"/>
          <w:color w:val="000000"/>
          <w:sz w:val="20"/>
        </w:rPr>
        <w:t>The following table summarizes fair value of the Company's available-for-sale debt securities by remaining contractual maturity as of June 30, 2024 (in thousands):</w:t>
      </w:r>
    </w:p>
    <w:tbl>
      <w:tblPr>
        <w:tblW w:w="5005" w:type="dxa"/>
        <w:jc w:val="left"/>
        <w:tblInd w:w="0" w:type="dxa"/>
        <w:tblLayout w:type="fixed"/>
        <w:tblCellMar>
          <w:top w:w="28" w:type="dxa"/>
          <w:left w:w="28" w:type="dxa"/>
          <w:bottom w:w="28" w:type="dxa"/>
          <w:right w:w="28" w:type="dxa"/>
        </w:tblCellMar>
      </w:tblPr>
      <w:tblGrid>
        <w:gridCol w:w="3486"/>
        <w:gridCol w:w="146"/>
        <w:gridCol w:w="211"/>
        <w:gridCol w:w="691"/>
        <w:gridCol w:w="471"/>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ind w:left="0" w:right="0" w:firstLine="140"/>
              <w:jc w:val="left"/>
              <w:rPr>
                <w:sz w:val="4"/>
                <w:szCs w:val="4"/>
              </w:rPr>
            </w:pPr>
            <w:r>
              <w:rPr>
                <w:sz w:val="4"/>
                <w:szCs w:val="4"/>
              </w:rPr>
            </w:r>
          </w:p>
        </w:tc>
      </w:tr>
      <w:tr>
        <w:trPr/>
        <w:tc>
          <w:tcPr>
            <w:tcW w:w="348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Due within one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31,694</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348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Due after one year through five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26,721</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348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58,415</w:t>
            </w:r>
          </w:p>
        </w:tc>
        <w:tc>
          <w:tcPr>
            <w:tcW w:w="4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As of June 30, 2024, approximately 28</w:t>
      </w:r>
      <w:r>
        <w:rPr>
          <w:rFonts w:ascii="Times New Roman" w:hAnsi="Times New Roman"/>
          <w:color w:val="000000"/>
          <w:sz w:val="20"/>
        </w:rPr>
        <w:t xml:space="preserve"> </w:t>
      </w:r>
      <w:r>
        <w:rPr>
          <w:rFonts w:ascii="Arial" w:hAnsi="Arial"/>
          <w:color w:val="000000"/>
          <w:sz w:val="20"/>
        </w:rPr>
        <w:t>out of approximately 35</w:t>
      </w:r>
      <w:r>
        <w:rPr>
          <w:rFonts w:ascii="Times New Roman" w:hAnsi="Times New Roman"/>
          <w:color w:val="000000"/>
          <w:sz w:val="20"/>
        </w:rPr>
        <w:t xml:space="preserve"> </w:t>
      </w:r>
      <w:r>
        <w:rPr>
          <w:rFonts w:ascii="Arial" w:hAnsi="Arial"/>
          <w:color w:val="000000"/>
          <w:sz w:val="20"/>
        </w:rPr>
        <w:t>investments in available-for-sale debt securities were in an unrealized loss position. The following table shows fair values and gross unrealized losses for available-for-sale debt securities that were in an unrealized loss position, for which an allowance for credit losses has not been recorded, as of June 30, 2024 (in thousands):</w:t>
      </w:r>
    </w:p>
    <w:tbl>
      <w:tblPr>
        <w:tblW w:w="10205" w:type="dxa"/>
        <w:jc w:val="left"/>
        <w:tblInd w:w="0" w:type="dxa"/>
        <w:tblLayout w:type="fixed"/>
        <w:tblCellMar>
          <w:top w:w="28" w:type="dxa"/>
          <w:left w:w="28" w:type="dxa"/>
          <w:bottom w:w="28" w:type="dxa"/>
          <w:right w:w="28" w:type="dxa"/>
        </w:tblCellMar>
      </w:tblPr>
      <w:tblGrid>
        <w:gridCol w:w="1855"/>
        <w:gridCol w:w="146"/>
        <w:gridCol w:w="211"/>
        <w:gridCol w:w="691"/>
        <w:gridCol w:w="146"/>
        <w:gridCol w:w="146"/>
        <w:gridCol w:w="450"/>
        <w:gridCol w:w="803"/>
        <w:gridCol w:w="166"/>
        <w:gridCol w:w="146"/>
        <w:gridCol w:w="244"/>
        <w:gridCol w:w="401"/>
        <w:gridCol w:w="155"/>
        <w:gridCol w:w="155"/>
        <w:gridCol w:w="474"/>
        <w:gridCol w:w="779"/>
        <w:gridCol w:w="146"/>
        <w:gridCol w:w="146"/>
        <w:gridCol w:w="211"/>
        <w:gridCol w:w="691"/>
        <w:gridCol w:w="146"/>
        <w:gridCol w:w="146"/>
        <w:gridCol w:w="450"/>
        <w:gridCol w:w="803"/>
        <w:gridCol w:w="498"/>
      </w:tblGrid>
      <w:tr>
        <w:trPr/>
        <w:tc>
          <w:tcPr>
            <w:tcW w:w="1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85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70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12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Unrealized Losses</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5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12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3" w:type="dxa"/>
            <w:gridSpan w:val="2"/>
            <w:tcBorders/>
            <w:shd w:fill="CFF0FC" w:val="clear"/>
            <w:vAlign w:val="center"/>
          </w:tcPr>
          <w:p>
            <w:pPr>
              <w:pStyle w:val="TableContents"/>
              <w:bidi w:val="0"/>
              <w:spacing w:before="0" w:after="283"/>
              <w:jc w:val="right"/>
              <w:rPr/>
            </w:pPr>
            <w:r>
              <w:rPr/>
              <w:t> </w:t>
            </w:r>
          </w:p>
        </w:tc>
        <w:tc>
          <w:tcPr>
            <w:tcW w:w="498" w:type="dxa"/>
            <w:tcBorders/>
            <w:shd w:fill="CFF0FC" w:val="clear"/>
            <w:vAlign w:val="center"/>
          </w:tcPr>
          <w:p>
            <w:pPr>
              <w:pStyle w:val="TableContents"/>
              <w:bidi w:val="0"/>
              <w:spacing w:before="0" w:after="283"/>
              <w:ind w:left="0" w:right="0" w:firstLine="140"/>
              <w:jc w:val="right"/>
              <w:rPr/>
            </w:pPr>
            <w:r>
              <w:rPr/>
              <w:t> </w:t>
            </w:r>
          </w:p>
        </w:tc>
      </w:tr>
      <w:tr>
        <w:trPr/>
        <w:tc>
          <w:tcPr>
            <w:tcW w:w="1855"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1" w:type="dxa"/>
            <w:tcBorders/>
            <w:shd w:fill="FFFFFF" w:val="clear"/>
            <w:vAlign w:val="center"/>
          </w:tcPr>
          <w:p>
            <w:pPr>
              <w:pStyle w:val="TableContents"/>
              <w:bidi w:val="0"/>
              <w:spacing w:before="0" w:after="283"/>
              <w:jc w:val="right"/>
              <w:rPr>
                <w:color w:val="000000"/>
              </w:rPr>
            </w:pPr>
            <w:r>
              <w:rPr>
                <w:color w:val="000000"/>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15,897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98"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1855"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U.S. Government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right"/>
              <w:rPr>
                <w:color w:val="000000"/>
              </w:rPr>
            </w:pPr>
            <w:r>
              <w:rPr>
                <w:color w:val="000000"/>
              </w:rPr>
              <w:t>—</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14,777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498"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855"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short-term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4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8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5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12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3" w:type="dxa"/>
            <w:gridSpan w:val="2"/>
            <w:tcBorders/>
            <w:shd w:fill="CFF0FC" w:val="clear"/>
            <w:vAlign w:val="center"/>
          </w:tcPr>
          <w:p>
            <w:pPr>
              <w:pStyle w:val="TableContents"/>
              <w:bidi w:val="0"/>
              <w:spacing w:before="0" w:after="283"/>
              <w:jc w:val="right"/>
              <w:rPr/>
            </w:pPr>
            <w:r>
              <w:rPr/>
              <w:t> </w:t>
            </w:r>
          </w:p>
        </w:tc>
        <w:tc>
          <w:tcPr>
            <w:tcW w:w="498" w:type="dxa"/>
            <w:tcBorders/>
            <w:shd w:fill="CFF0FC" w:val="clear"/>
            <w:vAlign w:val="center"/>
          </w:tcPr>
          <w:p>
            <w:pPr>
              <w:pStyle w:val="TableContents"/>
              <w:bidi w:val="0"/>
              <w:spacing w:before="0" w:after="283"/>
              <w:ind w:left="0" w:right="0" w:firstLine="140"/>
              <w:jc w:val="right"/>
              <w:rPr/>
            </w:pPr>
            <w:r>
              <w:rPr/>
              <w:t> </w:t>
            </w:r>
          </w:p>
        </w:tc>
      </w:tr>
      <w:tr>
        <w:trPr/>
        <w:tc>
          <w:tcPr>
            <w:tcW w:w="1855"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Corporate bonds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1" w:type="dxa"/>
            <w:tcBorders/>
            <w:shd w:fill="FFFFFF" w:val="clear"/>
            <w:vAlign w:val="center"/>
          </w:tcPr>
          <w:p>
            <w:pPr>
              <w:pStyle w:val="TableContents"/>
              <w:bidi w:val="0"/>
              <w:spacing w:before="0" w:after="283"/>
              <w:jc w:val="right"/>
              <w:rPr>
                <w:color w:val="000000"/>
              </w:rPr>
            </w:pPr>
            <w:r>
              <w:rPr>
                <w:color w:val="000000"/>
              </w:rPr>
              <w:t>—</w:t>
            </w:r>
          </w:p>
        </w:tc>
        <w:tc>
          <w:tcPr>
            <w:tcW w:w="155"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7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14,677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498"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1855"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U.S. Government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401" w:type="dxa"/>
            <w:tcBorders/>
            <w:shd w:fill="CFF0FC" w:val="clear"/>
            <w:vAlign w:val="center"/>
          </w:tcPr>
          <w:p>
            <w:pPr>
              <w:pStyle w:val="TableContents"/>
              <w:bidi w:val="0"/>
              <w:spacing w:before="0" w:after="283"/>
              <w:jc w:val="right"/>
              <w:rPr>
                <w:color w:val="000000"/>
              </w:rPr>
            </w:pPr>
            <w:r>
              <w:rPr>
                <w:color w:val="000000"/>
              </w:rPr>
              <w:t>—</w:t>
            </w:r>
          </w:p>
        </w:tc>
        <w:tc>
          <w:tcPr>
            <w:tcW w:w="155"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474"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0" w:type="dxa"/>
            <w:tcBorders/>
            <w:shd w:fill="CFF0FC" w:val="clear"/>
            <w:vAlign w:val="center"/>
          </w:tcPr>
          <w:p>
            <w:pPr>
              <w:pStyle w:val="TableContents"/>
              <w:bidi w:val="0"/>
              <w:spacing w:before="0" w:after="283"/>
              <w:jc w:val="left"/>
              <w:rPr/>
            </w:pPr>
            <w:r>
              <w:rPr/>
              <w:t> </w:t>
            </w:r>
          </w:p>
        </w:tc>
        <w:tc>
          <w:tcPr>
            <w:tcW w:w="803" w:type="dxa"/>
            <w:tcBorders/>
            <w:shd w:fill="CFF0FC" w:val="clear"/>
            <w:vAlign w:val="center"/>
          </w:tcPr>
          <w:p>
            <w:pPr>
              <w:pStyle w:val="TableContents"/>
              <w:bidi w:val="0"/>
              <w:spacing w:before="0" w:after="283"/>
              <w:jc w:val="right"/>
              <w:rPr>
                <w:color w:val="000000"/>
              </w:rPr>
            </w:pPr>
            <w:r>
              <w:rPr>
                <w:color w:val="000000"/>
              </w:rPr>
              <w:t>—</w:t>
            </w:r>
          </w:p>
        </w:tc>
        <w:tc>
          <w:tcPr>
            <w:tcW w:w="498" w:type="dxa"/>
            <w:tcBorders/>
            <w:shd w:fill="CFF0FC" w:val="clear"/>
            <w:vAlign w:val="center"/>
          </w:tcPr>
          <w:p>
            <w:pPr>
              <w:pStyle w:val="TableContents"/>
              <w:bidi w:val="0"/>
              <w:spacing w:before="0" w:after="283"/>
              <w:ind w:left="0" w:right="0" w:firstLine="140"/>
              <w:jc w:val="left"/>
              <w:rPr/>
            </w:pPr>
            <w:r>
              <w:rPr/>
              <w:t> </w:t>
            </w:r>
          </w:p>
        </w:tc>
      </w:tr>
      <w:tr>
        <w:trPr/>
        <w:tc>
          <w:tcPr>
            <w:tcW w:w="1855"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1855"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long-term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00" w:after="200"/>
        <w:jc w:val="left"/>
        <w:rPr>
          <w:rFonts w:ascii="Times New Roman" w:hAnsi="Times New Roman"/>
          <w:sz w:val="20"/>
        </w:rPr>
      </w:pPr>
      <w:r>
        <w:rPr>
          <w:rFonts w:ascii="Arial" w:hAnsi="Arial"/>
          <w:color w:val="000000"/>
          <w:sz w:val="20"/>
        </w:rPr>
        <w:t>Unrealized losses have not been recognized into loss as the Company neither intends to sell, nor anticipates that it is more likely than not that the Company will be required to sell, the securities before recovery of their amortized cost basis. The decline in fair value is due primarily to changes in market interest rates, rather than credit losses. Based on the evaluation of available evidence, the Company does not believe any unrealized losses represent other than temporary impairments.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During the three and six months ended June 30, 2024, the Company received $0.2</w:t>
      </w:r>
      <w:r>
        <w:rPr>
          <w:rFonts w:ascii="Times New Roman" w:hAnsi="Times New Roman"/>
          <w:color w:val="000000"/>
          <w:sz w:val="20"/>
        </w:rPr>
        <w:t xml:space="preserve"> </w:t>
      </w:r>
      <w:r>
        <w:rPr>
          <w:rFonts w:ascii="Arial" w:hAnsi="Arial"/>
          <w:color w:val="000000"/>
          <w:sz w:val="20"/>
        </w:rPr>
        <w:t>million from the sale of long-term investments. There have been no</w:t>
      </w:r>
      <w:r>
        <w:rPr>
          <w:rFonts w:ascii="Times New Roman" w:hAnsi="Times New Roman"/>
          <w:color w:val="000000"/>
          <w:sz w:val="20"/>
        </w:rPr>
        <w:t xml:space="preserve"> </w:t>
      </w:r>
      <w:r>
        <w:rPr>
          <w:rFonts w:ascii="Arial" w:hAnsi="Arial"/>
          <w:color w:val="000000"/>
          <w:sz w:val="20"/>
        </w:rPr>
        <w:t>significant realized gains or losses on the sale of long-term investments during the three and six months ended June 30, 2024.</w:t>
      </w:r>
    </w:p>
    <w:p>
      <w:pPr>
        <w:pStyle w:val="TextBody"/>
        <w:bidi w:val="0"/>
        <w:spacing w:before="360" w:after="283"/>
        <w:jc w:val="left"/>
        <w:rPr>
          <w:rFonts w:ascii="Times New Roman" w:hAnsi="Times New Roman"/>
          <w:sz w:val="20"/>
        </w:rPr>
      </w:pPr>
      <w:bookmarkStart w:id="17" w:name="note_4"/>
      <w:bookmarkEnd w:id="17"/>
      <w:r>
        <w:rPr>
          <w:rFonts w:ascii="Arial" w:hAnsi="Arial"/>
          <w:b/>
          <w:color w:val="000000"/>
          <w:sz w:val="20"/>
        </w:rPr>
        <w:t>Note 4. Fair Value Measurements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Certain assets and liabilities are carried at fair value under GAAP. Fair value is defined as the exchange price that would be received for an asset or paid to transfer a liability (an exit price) in an orderly transaction between market participants on the measurement date in the principal or most advantageous market for the asset or liability.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pStyle w:val="TextBody"/>
        <w:bidi w:val="0"/>
        <w:spacing w:before="200" w:after="200"/>
        <w:jc w:val="left"/>
        <w:rPr>
          <w:rFonts w:ascii="Arial" w:hAnsi="Arial"/>
          <w:color w:val="000000"/>
          <w:sz w:val="20"/>
        </w:rPr>
      </w:pPr>
      <w:r>
        <w:rPr>
          <w:rFonts w:ascii="Arial" w:hAnsi="Arial"/>
          <w:color w:val="000000"/>
          <w:sz w:val="20"/>
        </w:rPr>
        <w:t>Level 1 - Quoted prices in active markets for identical assets or liabilities.</w:t>
      </w:r>
    </w:p>
    <w:p>
      <w:pPr>
        <w:pStyle w:val="TextBody"/>
        <w:bidi w:val="0"/>
        <w:spacing w:before="200" w:after="200"/>
        <w:jc w:val="left"/>
        <w:rPr>
          <w:rFonts w:ascii="Arial" w:hAnsi="Arial"/>
          <w:color w:val="000000"/>
          <w:sz w:val="20"/>
        </w:rPr>
      </w:pPr>
      <w:r>
        <w:rPr>
          <w:rFonts w:ascii="Arial" w:hAnsi="Arial"/>
          <w:color w:val="000000"/>
          <w:sz w:val="20"/>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pStyle w:val="TextBody"/>
        <w:bidi w:val="0"/>
        <w:spacing w:before="200" w:after="200"/>
        <w:jc w:val="left"/>
        <w:rPr>
          <w:rFonts w:ascii="Arial" w:hAnsi="Arial"/>
          <w:color w:val="000000"/>
          <w:sz w:val="20"/>
        </w:rPr>
      </w:pPr>
      <w:r>
        <w:rPr>
          <w:rFonts w:ascii="Arial" w:hAnsi="Arial"/>
          <w:color w:val="000000"/>
          <w:sz w:val="20"/>
        </w:rPr>
        <w:t>Level 3 - Unobservable inputs that are supported by little or no market activity and that are significant to determining the fair value of the assets or liabilities, including pricing models, discounted cash flow methodologies and similar techniques.</w:t>
      </w:r>
    </w:p>
    <w:p>
      <w:pPr>
        <w:pStyle w:val="TextBody"/>
        <w:bidi w:val="0"/>
        <w:spacing w:before="200" w:after="200"/>
        <w:jc w:val="left"/>
        <w:rPr>
          <w:rFonts w:ascii="Arial" w:hAnsi="Arial"/>
          <w:color w:val="000000"/>
          <w:sz w:val="20"/>
        </w:rPr>
      </w:pPr>
      <w:r>
        <w:rPr>
          <w:rFonts w:ascii="Arial" w:hAnsi="Arial"/>
          <w:color w:val="000000"/>
          <w:sz w:val="20"/>
        </w:rPr>
        <w:t>The Company’s cash equivalents are carried at fair value (Level 1) as determined according to the fair value hierarchy described above. The Company’s cash equivalents include money market funds, which are measured at fair value using the net asset value (NAV) per share practical expedient. The money market funds, which are AAA-rated are comprised of liquid, high-quality debt securities issued by the U.S. government. Shares in money market funds are purchased and redeemed at the NAV at the time of the purchase or sale, which may be purchased or redeemed on demand, as may be required by the Company. The Company's investments in available-for-sale debt securities are carried at fair value, determined using Level 2 inputs in the fair value hierarchy as quoted prices are available to support the valuation. The carrying values of accounts receivable, funds receivable from payment partners, unbilled receivables, prepaid expenses, accounts payable, funds payable to clients and accrued expenses and other current liabilities approximate their respective fair values due to the short-term nature of these assets and liabilities. The Company’s contingent consideration is carried at fair value, determined using Level 3 inputs in the fair value hierarchy.</w:t>
      </w:r>
    </w:p>
    <w:p>
      <w:pPr>
        <w:pStyle w:val="TextBody"/>
        <w:bidi w:val="0"/>
        <w:spacing w:before="200" w:after="200"/>
        <w:jc w:val="left"/>
        <w:rPr>
          <w:rFonts w:ascii="Times New Roman" w:hAnsi="Times New Roman"/>
          <w:sz w:val="20"/>
        </w:rPr>
      </w:pPr>
      <w:r>
        <w:rPr>
          <w:rFonts w:ascii="Arial" w:hAnsi="Arial"/>
          <w:color w:val="000000"/>
          <w:sz w:val="20"/>
        </w:rPr>
        <w:t>The following tables present the Company’s fair value hierarchy for its financial assets and liabilities that are measured at fair value on a recurring basis as of June 30, 2024 and December 31, 2023 (in thousands):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6"/>
        <w:gridCol w:w="146"/>
        <w:gridCol w:w="557"/>
        <w:gridCol w:w="2107"/>
        <w:gridCol w:w="146"/>
        <w:gridCol w:w="146"/>
        <w:gridCol w:w="243"/>
        <w:gridCol w:w="399"/>
        <w:gridCol w:w="146"/>
        <w:gridCol w:w="146"/>
        <w:gridCol w:w="211"/>
        <w:gridCol w:w="691"/>
        <w:gridCol w:w="146"/>
        <w:gridCol w:w="146"/>
        <w:gridCol w:w="211"/>
        <w:gridCol w:w="586"/>
        <w:gridCol w:w="146"/>
        <w:gridCol w:w="146"/>
        <w:gridCol w:w="211"/>
        <w:gridCol w:w="796"/>
        <w:gridCol w:w="333"/>
      </w:tblGrid>
      <w:tr>
        <w:trPr/>
        <w:tc>
          <w:tcPr>
            <w:tcW w:w="2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64"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Measured at NAV as of June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Measured at Fair Value as of June 30, 2024:</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66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333" w:type="dxa"/>
            <w:tcBorders/>
            <w:shd w:fill="CFF0FC" w:val="clear"/>
            <w:vAlign w:val="center"/>
          </w:tcPr>
          <w:p>
            <w:pPr>
              <w:pStyle w:val="TableContents"/>
              <w:bidi w:val="0"/>
              <w:spacing w:before="0" w:after="283"/>
              <w:jc w:val="right"/>
              <w:rPr/>
            </w:pPr>
            <w:r>
              <w:rPr/>
              <w:t> </w:t>
            </w:r>
          </w:p>
        </w:tc>
      </w:tr>
      <w:tr>
        <w:trPr/>
        <w:tc>
          <w:tcPr>
            <w:tcW w:w="2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266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333" w:type="dxa"/>
            <w:tcBorders/>
            <w:shd w:fill="FFFFFF" w:val="clear"/>
            <w:vAlign w:val="center"/>
          </w:tcPr>
          <w:p>
            <w:pPr>
              <w:pStyle w:val="TableContents"/>
              <w:bidi w:val="0"/>
              <w:spacing w:before="0" w:after="283"/>
              <w:ind w:left="0" w:right="0" w:firstLine="140"/>
              <w:jc w:val="right"/>
              <w:rPr/>
            </w:pPr>
            <w:r>
              <w:rPr/>
              <w:t> </w:t>
            </w:r>
          </w:p>
        </w:tc>
      </w:tr>
      <w:tr>
        <w:trPr/>
        <w:tc>
          <w:tcPr>
            <w:tcW w:w="254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276,807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276,807</w:t>
            </w:r>
          </w:p>
        </w:tc>
        <w:tc>
          <w:tcPr>
            <w:tcW w:w="333" w:type="dxa"/>
            <w:tcBorders/>
            <w:shd w:fill="CFF0FC" w:val="cle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6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333" w:type="dxa"/>
            <w:tcBorders/>
            <w:shd w:fill="FFFFFF" w:val="clear"/>
            <w:vAlign w:val="center"/>
          </w:tcPr>
          <w:p>
            <w:pPr>
              <w:pStyle w:val="TableContents"/>
              <w:bidi w:val="0"/>
              <w:spacing w:before="0" w:after="283"/>
              <w:ind w:left="0" w:right="0" w:firstLine="140"/>
              <w:jc w:val="right"/>
              <w:rPr/>
            </w:pPr>
            <w:r>
              <w:rPr/>
              <w:t> </w:t>
            </w:r>
          </w:p>
        </w:tc>
      </w:tr>
      <w:tr>
        <w:trPr/>
        <w:tc>
          <w:tcPr>
            <w:tcW w:w="254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left"/>
              <w:rPr/>
            </w:pPr>
            <w:r>
              <w:rPr/>
              <w:t> </w:t>
            </w:r>
          </w:p>
        </w:tc>
        <w:tc>
          <w:tcPr>
            <w:tcW w:w="21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16,917</w:t>
            </w:r>
          </w:p>
        </w:tc>
        <w:tc>
          <w:tcPr>
            <w:tcW w:w="333" w:type="dxa"/>
            <w:tcBorders/>
            <w:shd w:fill="CFF0FC" w:val="clear"/>
            <w:vAlign w:val="center"/>
          </w:tcPr>
          <w:p>
            <w:pPr>
              <w:pStyle w:val="TableContents"/>
              <w:bidi w:val="0"/>
              <w:spacing w:before="0" w:after="283"/>
              <w:ind w:left="0" w:right="0" w:firstLine="140"/>
              <w:jc w:val="left"/>
              <w:rPr/>
            </w:pPr>
            <w:r>
              <w:rPr/>
              <w:t> </w:t>
            </w:r>
          </w:p>
        </w:tc>
      </w:tr>
      <w:tr>
        <w:trPr/>
        <w:tc>
          <w:tcPr>
            <w:tcW w:w="254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U.S. Government obligations</w:t>
            </w:r>
          </w:p>
        </w:tc>
        <w:tc>
          <w:tcPr>
            <w:tcW w:w="146"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pPr>
            <w:r>
              <w:rPr/>
              <w:t> </w:t>
            </w:r>
          </w:p>
        </w:tc>
        <w:tc>
          <w:tcPr>
            <w:tcW w:w="21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14,777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14,777</w:t>
            </w:r>
          </w:p>
        </w:tc>
        <w:tc>
          <w:tcPr>
            <w:tcW w:w="333" w:type="dxa"/>
            <w:tcBorders/>
            <w:shd w:fill="FFFFFF" w:val="clear"/>
            <w:vAlign w:val="center"/>
          </w:tcPr>
          <w:p>
            <w:pPr>
              <w:pStyle w:val="TableContents"/>
              <w:bidi w:val="0"/>
              <w:spacing w:before="0" w:after="283"/>
              <w:jc w:val="left"/>
              <w:rPr/>
            </w:pPr>
            <w:r>
              <w:rPr/>
              <w:t> </w:t>
            </w:r>
          </w:p>
        </w:tc>
      </w:tr>
      <w:tr>
        <w:trPr/>
        <w:tc>
          <w:tcPr>
            <w:tcW w:w="2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CFF0FC" w:val="clear"/>
            <w:vAlign w:val="center"/>
          </w:tcPr>
          <w:p>
            <w:pPr>
              <w:pStyle w:val="TableContents"/>
              <w:bidi w:val="0"/>
              <w:spacing w:before="0" w:after="283"/>
              <w:jc w:val="left"/>
              <w:rPr/>
            </w:pPr>
            <w:r>
              <w:rPr/>
              <w:t> </w:t>
            </w:r>
          </w:p>
        </w:tc>
        <w:tc>
          <w:tcPr>
            <w:tcW w:w="5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21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9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31,694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58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31,694</w:t>
            </w:r>
          </w:p>
        </w:tc>
        <w:tc>
          <w:tcPr>
            <w:tcW w:w="33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Long-term investments</w:t>
            </w:r>
          </w:p>
        </w:tc>
        <w:tc>
          <w:tcPr>
            <w:tcW w:w="146" w:type="dxa"/>
            <w:tcBorders/>
            <w:shd w:fill="FFFFFF" w:val="clear"/>
            <w:vAlign w:val="center"/>
          </w:tcPr>
          <w:p>
            <w:pPr>
              <w:pStyle w:val="TableContents"/>
              <w:bidi w:val="0"/>
              <w:spacing w:before="0" w:after="283"/>
              <w:jc w:val="left"/>
              <w:rPr/>
            </w:pPr>
            <w:r>
              <w:rPr/>
              <w:t> </w:t>
            </w:r>
          </w:p>
        </w:tc>
        <w:tc>
          <w:tcPr>
            <w:tcW w:w="266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333" w:type="dxa"/>
            <w:tcBorders/>
            <w:shd w:fill="FFFFFF" w:val="clear"/>
            <w:vAlign w:val="center"/>
          </w:tcPr>
          <w:p>
            <w:pPr>
              <w:pStyle w:val="TableContents"/>
              <w:bidi w:val="0"/>
              <w:spacing w:before="0" w:after="283"/>
              <w:ind w:left="0" w:right="0" w:firstLine="140"/>
              <w:jc w:val="right"/>
              <w:rPr/>
            </w:pPr>
            <w:r>
              <w:rPr/>
              <w:t> </w:t>
            </w:r>
          </w:p>
        </w:tc>
      </w:tr>
      <w:tr>
        <w:trPr/>
        <w:tc>
          <w:tcPr>
            <w:tcW w:w="254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left"/>
              <w:rPr/>
            </w:pPr>
            <w:r>
              <w:rPr/>
              <w:t> </w:t>
            </w:r>
          </w:p>
        </w:tc>
        <w:tc>
          <w:tcPr>
            <w:tcW w:w="21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19,549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19,549</w:t>
            </w:r>
          </w:p>
        </w:tc>
        <w:tc>
          <w:tcPr>
            <w:tcW w:w="333" w:type="dxa"/>
            <w:tcBorders/>
            <w:shd w:fill="CFF0FC" w:val="clear"/>
            <w:vAlign w:val="center"/>
          </w:tcPr>
          <w:p>
            <w:pPr>
              <w:pStyle w:val="TableContents"/>
              <w:bidi w:val="0"/>
              <w:spacing w:before="0" w:after="283"/>
              <w:ind w:left="0" w:right="0" w:firstLine="140"/>
              <w:jc w:val="left"/>
              <w:rPr/>
            </w:pPr>
            <w:r>
              <w:rPr/>
              <w:t> </w:t>
            </w:r>
          </w:p>
        </w:tc>
      </w:tr>
      <w:tr>
        <w:trPr/>
        <w:tc>
          <w:tcPr>
            <w:tcW w:w="254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U.S. Government obligations</w:t>
            </w:r>
          </w:p>
        </w:tc>
        <w:tc>
          <w:tcPr>
            <w:tcW w:w="146"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left"/>
              <w:rPr/>
            </w:pPr>
            <w:r>
              <w:rPr/>
              <w:t> </w:t>
            </w:r>
          </w:p>
        </w:tc>
        <w:tc>
          <w:tcPr>
            <w:tcW w:w="21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3,654</w:t>
            </w:r>
          </w:p>
        </w:tc>
        <w:tc>
          <w:tcPr>
            <w:tcW w:w="333" w:type="dxa"/>
            <w:tcBorders/>
            <w:shd w:fill="FFFFFF" w:val="clear"/>
            <w:vAlign w:val="center"/>
          </w:tcPr>
          <w:p>
            <w:pPr>
              <w:pStyle w:val="TableContents"/>
              <w:bidi w:val="0"/>
              <w:spacing w:before="0" w:after="283"/>
              <w:ind w:left="0" w:right="0" w:firstLine="140"/>
              <w:jc w:val="left"/>
              <w:rPr/>
            </w:pPr>
            <w:r>
              <w:rPr/>
              <w:t> </w:t>
            </w:r>
          </w:p>
        </w:tc>
      </w:tr>
      <w:tr>
        <w:trPr/>
        <w:tc>
          <w:tcPr>
            <w:tcW w:w="254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Asset-backed Securities</w:t>
            </w:r>
          </w:p>
        </w:tc>
        <w:tc>
          <w:tcPr>
            <w:tcW w:w="146" w:type="dxa"/>
            <w:tcBorders/>
            <w:shd w:fill="CFF0FC" w:val="cle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3,518</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long-term investments</w:t>
            </w:r>
          </w:p>
        </w:tc>
        <w:tc>
          <w:tcPr>
            <w:tcW w:w="146" w:type="dxa"/>
            <w:tcBorders/>
            <w:shd w:fill="FFFFFF" w:val="cle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26,721</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276,807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335,222</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FFFFFF" w:val="clear"/>
            <w:vAlign w:val="center"/>
          </w:tcPr>
          <w:p>
            <w:pPr>
              <w:pStyle w:val="TableContents"/>
              <w:bidi w:val="0"/>
              <w:spacing w:before="0" w:after="283"/>
              <w:jc w:val="left"/>
              <w:rPr/>
            </w:pPr>
            <w:r>
              <w:rPr/>
              <w:t> </w:t>
            </w:r>
          </w:p>
        </w:tc>
        <w:tc>
          <w:tcPr>
            <w:tcW w:w="266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333" w:type="dxa"/>
            <w:tcBorders/>
            <w:shd w:fill="FFFFFF" w:val="clear"/>
            <w:vAlign w:val="center"/>
          </w:tcPr>
          <w:p>
            <w:pPr>
              <w:pStyle w:val="TableContents"/>
              <w:bidi w:val="0"/>
              <w:spacing w:before="0" w:after="283"/>
              <w:jc w:val="right"/>
              <w:rPr/>
            </w:pPr>
            <w:r>
              <w:rPr/>
              <w:t> </w:t>
            </w:r>
          </w:p>
        </w:tc>
      </w:tr>
      <w:tr>
        <w:trPr/>
        <w:tc>
          <w:tcPr>
            <w:tcW w:w="2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exchange contracts</w:t>
            </w:r>
          </w:p>
        </w:tc>
        <w:tc>
          <w:tcPr>
            <w:tcW w:w="146"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333" w:type="dxa"/>
            <w:tcBorders/>
            <w:shd w:fill="CFF0FC" w:val="cle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1,917</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CFF0FC" w:val="cle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1,921</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872" w:type="dxa"/>
            <w:gridSpan w:val="20"/>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64"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Measured at NAV as of 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Measured at Fair Value as of December 31, 2023:</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66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333" w:type="dxa"/>
            <w:tcBorders/>
            <w:shd w:fill="CFF0FC" w:val="clear"/>
            <w:vAlign w:val="center"/>
          </w:tcPr>
          <w:p>
            <w:pPr>
              <w:pStyle w:val="TableContents"/>
              <w:bidi w:val="0"/>
              <w:spacing w:before="0" w:after="283"/>
              <w:jc w:val="right"/>
              <w:rPr/>
            </w:pPr>
            <w:r>
              <w:rPr/>
              <w:t> </w:t>
            </w:r>
          </w:p>
        </w:tc>
      </w:tr>
      <w:tr>
        <w:trPr/>
        <w:tc>
          <w:tcPr>
            <w:tcW w:w="2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266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333" w:type="dxa"/>
            <w:tcBorders/>
            <w:shd w:fill="FFFFFF" w:val="clear"/>
            <w:vAlign w:val="center"/>
          </w:tcPr>
          <w:p>
            <w:pPr>
              <w:pStyle w:val="TableContents"/>
              <w:bidi w:val="0"/>
              <w:spacing w:before="0" w:after="283"/>
              <w:ind w:left="0" w:right="0" w:firstLine="140"/>
              <w:jc w:val="right"/>
              <w:rPr/>
            </w:pPr>
            <w:r>
              <w:rPr/>
              <w:t> </w:t>
            </w:r>
          </w:p>
        </w:tc>
      </w:tr>
      <w:tr>
        <w:trPr/>
        <w:tc>
          <w:tcPr>
            <w:tcW w:w="254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55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372,912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372,912</w:t>
            </w:r>
          </w:p>
        </w:tc>
        <w:tc>
          <w:tcPr>
            <w:tcW w:w="333" w:type="dxa"/>
            <w:tcBorders/>
            <w:shd w:fill="CFF0FC" w:val="cle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exchange contracts</w:t>
            </w:r>
          </w:p>
        </w:tc>
        <w:tc>
          <w:tcPr>
            <w:tcW w:w="146" w:type="dxa"/>
            <w:tcBorders/>
            <w:shd w:fill="FFFFFF" w:val="clear"/>
            <w:vAlign w:val="center"/>
          </w:tcPr>
          <w:p>
            <w:pPr>
              <w:pStyle w:val="TableContents"/>
              <w:bidi w:val="0"/>
              <w:spacing w:before="0" w:after="283"/>
              <w:jc w:val="left"/>
              <w:rPr/>
            </w:pPr>
            <w:r>
              <w:rPr/>
              <w:t> </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CFF0FC" w:val="clear"/>
            <w:vAlign w:val="center"/>
          </w:tcPr>
          <w:p>
            <w:pPr>
              <w:pStyle w:val="TableContents"/>
              <w:bidi w:val="0"/>
              <w:spacing w:before="0" w:after="283"/>
              <w:jc w:val="left"/>
              <w:rPr/>
            </w:pPr>
            <w:r>
              <w:rPr/>
              <w:t> </w:t>
            </w:r>
          </w:p>
        </w:tc>
        <w:tc>
          <w:tcPr>
            <w:tcW w:w="5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372,912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372,928</w:t>
            </w:r>
          </w:p>
        </w:tc>
        <w:tc>
          <w:tcPr>
            <w:tcW w:w="3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FFFFFF" w:val="clear"/>
            <w:vAlign w:val="center"/>
          </w:tcPr>
          <w:p>
            <w:pPr>
              <w:pStyle w:val="TableContents"/>
              <w:bidi w:val="0"/>
              <w:spacing w:before="0" w:after="283"/>
              <w:jc w:val="left"/>
              <w:rPr/>
            </w:pPr>
            <w:r>
              <w:rPr/>
              <w:t> </w:t>
            </w:r>
          </w:p>
        </w:tc>
        <w:tc>
          <w:tcPr>
            <w:tcW w:w="266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333" w:type="dxa"/>
            <w:tcBorders/>
            <w:shd w:fill="FFFFFF" w:val="clear"/>
            <w:vAlign w:val="center"/>
          </w:tcPr>
          <w:p>
            <w:pPr>
              <w:pStyle w:val="TableContents"/>
              <w:bidi w:val="0"/>
              <w:spacing w:before="0" w:after="283"/>
              <w:jc w:val="right"/>
              <w:rPr/>
            </w:pPr>
            <w:r>
              <w:rPr/>
              <w:t> </w:t>
            </w:r>
          </w:p>
        </w:tc>
      </w:tr>
      <w:tr>
        <w:trPr/>
        <w:tc>
          <w:tcPr>
            <w:tcW w:w="2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Contingent consideration</w:t>
            </w:r>
          </w:p>
        </w:tc>
        <w:tc>
          <w:tcPr>
            <w:tcW w:w="146" w:type="dxa"/>
            <w:tcBorders/>
            <w:shd w:fill="CFF0FC" w:val="clear"/>
            <w:vAlign w:val="center"/>
          </w:tcPr>
          <w:p>
            <w:pPr>
              <w:pStyle w:val="TableContents"/>
              <w:bidi w:val="0"/>
              <w:spacing w:before="0" w:after="283"/>
              <w:jc w:val="lef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2,882</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2,882</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During the six months ended June 30, 2024 and year ended December 31, 2023, there were no transfers between Level 1, Level 2 or Level 3.</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Contingent consideration</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Learning Information Systems Pty Ltd. (StudyLink)</w:t>
      </w:r>
    </w:p>
    <w:p>
      <w:pPr>
        <w:pStyle w:val="TextBody"/>
        <w:bidi w:val="0"/>
        <w:spacing w:before="200" w:after="200"/>
        <w:jc w:val="left"/>
        <w:rPr>
          <w:rFonts w:ascii="Times New Roman" w:hAnsi="Times New Roman"/>
          <w:sz w:val="20"/>
        </w:rPr>
      </w:pPr>
      <w:r>
        <w:rPr>
          <w:rFonts w:ascii="Arial" w:hAnsi="Arial"/>
          <w:color w:val="000000"/>
          <w:sz w:val="20"/>
        </w:rPr>
        <w:t>The fair value of the contingent consideration related to the revenue milestone from the Company’s acquisition of Learning Information Systems Pty Ltd. (StudyLink) in November 2023 was determined using an option pricing model and the fair value of the contingent consideration related to volume of money movement, the cross-selling and engineering implementation milestones was determined using a scenario-based method. Refer to</w:t>
      </w:r>
      <w:r>
        <w:rPr>
          <w:rFonts w:ascii="Times New Roman" w:hAnsi="Times New Roman"/>
          <w:color w:val="000000"/>
          <w:sz w:val="20"/>
        </w:rPr>
        <w:t xml:space="preserve"> </w:t>
      </w:r>
      <w:r>
        <w:rPr>
          <w:rFonts w:ascii="Arial" w:hAnsi="Arial"/>
          <w:i/>
          <w:color w:val="000000"/>
          <w:sz w:val="20"/>
        </w:rPr>
        <w:t>Note 8 - Business Combinations</w:t>
      </w:r>
      <w:r>
        <w:rPr>
          <w:rFonts w:ascii="Times New Roman" w:hAnsi="Times New Roman"/>
          <w:color w:val="000000"/>
          <w:sz w:val="20"/>
        </w:rPr>
        <w:t xml:space="preserve"> </w:t>
      </w:r>
      <w:r>
        <w:rPr>
          <w:rFonts w:ascii="Arial" w:hAnsi="Arial"/>
          <w:color w:val="000000"/>
          <w:sz w:val="20"/>
        </w:rPr>
        <w:t>for additional details on the StudyLink acquisition. The following table presents the unobservable inputs incorporated into the valuation of contingent consideration as of June 30, 2024 and December 31, 2023.</w:t>
      </w:r>
    </w:p>
    <w:tbl>
      <w:tblPr>
        <w:tblW w:w="6524" w:type="dxa"/>
        <w:jc w:val="left"/>
        <w:tblInd w:w="0" w:type="dxa"/>
        <w:tblLayout w:type="fixed"/>
        <w:tblCellMar>
          <w:top w:w="28" w:type="dxa"/>
          <w:left w:w="28" w:type="dxa"/>
          <w:bottom w:w="28" w:type="dxa"/>
          <w:right w:w="28" w:type="dxa"/>
        </w:tblCellMar>
      </w:tblPr>
      <w:tblGrid>
        <w:gridCol w:w="3571"/>
        <w:gridCol w:w="1186"/>
        <w:gridCol w:w="146"/>
        <w:gridCol w:w="1621"/>
      </w:tblGrid>
      <w:tr>
        <w:trPr/>
        <w:tc>
          <w:tcPr>
            <w:tcW w:w="357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3571"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r>
      <w:tr>
        <w:trPr/>
        <w:tc>
          <w:tcPr>
            <w:tcW w:w="35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w:t>
            </w:r>
          </w:p>
        </w:tc>
        <w:tc>
          <w:tcPr>
            <w:tcW w:w="11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 - 7.6%</w:t>
            </w:r>
          </w:p>
        </w:tc>
        <w:tc>
          <w:tcPr>
            <w:tcW w:w="146" w:type="dxa"/>
            <w:tcBorders/>
            <w:shd w:fill="CFF0FC" w:val="clear"/>
            <w:vAlign w:val="center"/>
          </w:tcPr>
          <w:p>
            <w:pPr>
              <w:pStyle w:val="TableContents"/>
              <w:bidi w:val="0"/>
              <w:spacing w:before="0" w:after="283"/>
              <w:jc w:val="left"/>
              <w:rPr/>
            </w:pPr>
            <w:r>
              <w:rPr/>
              <w:t> </w:t>
            </w:r>
          </w:p>
        </w:tc>
        <w:tc>
          <w:tcPr>
            <w:tcW w:w="16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 - 7.5%</w:t>
            </w:r>
          </w:p>
        </w:tc>
      </w:tr>
      <w:tr>
        <w:trPr/>
        <w:tc>
          <w:tcPr>
            <w:tcW w:w="35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Probability of successful achievement *</w:t>
            </w:r>
          </w:p>
        </w:tc>
        <w:tc>
          <w:tcPr>
            <w:tcW w:w="11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 - 100%</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 - 95%</w:t>
            </w:r>
          </w:p>
        </w:tc>
      </w:tr>
    </w:tbl>
    <w:p>
      <w:pPr>
        <w:pStyle w:val="TextBody"/>
        <w:bidi w:val="0"/>
        <w:spacing w:before="0" w:after="60"/>
        <w:jc w:val="left"/>
        <w:rPr>
          <w:rFonts w:ascii="Arial" w:hAnsi="Arial"/>
          <w:color w:val="000000"/>
          <w:sz w:val="16"/>
        </w:rPr>
      </w:pPr>
      <w:r>
        <w:rPr>
          <w:rFonts w:ascii="Arial" w:hAnsi="Arial"/>
          <w:color w:val="000000"/>
          <w:sz w:val="16"/>
        </w:rPr>
        <w:t>_____________________________</w:t>
      </w:r>
    </w:p>
    <w:p>
      <w:pPr>
        <w:pStyle w:val="TextBody"/>
        <w:bidi w:val="0"/>
        <w:jc w:val="left"/>
        <w:rPr>
          <w:rFonts w:ascii="Arial" w:hAnsi="Arial"/>
          <w:color w:val="000000"/>
          <w:sz w:val="16"/>
        </w:rPr>
      </w:pPr>
      <w:r>
        <w:rPr>
          <w:rFonts w:ascii="Arial" w:hAnsi="Arial"/>
          <w:color w:val="000000"/>
          <w:sz w:val="16"/>
        </w:rPr>
        <w:t>* Probability of successful achievement was set at different targets based on the Company’s estimates on achieving them.</w:t>
      </w:r>
    </w:p>
    <w:p>
      <w:pPr>
        <w:pStyle w:val="TextBody"/>
        <w:bidi w:val="0"/>
        <w:spacing w:before="200" w:after="200"/>
        <w:jc w:val="left"/>
        <w:rPr>
          <w:rFonts w:ascii="Arial" w:hAnsi="Arial"/>
          <w:color w:val="000000"/>
          <w:sz w:val="20"/>
        </w:rPr>
      </w:pPr>
      <w:r>
        <w:rPr>
          <w:rFonts w:ascii="Arial" w:hAnsi="Arial"/>
          <w:color w:val="000000"/>
          <w:sz w:val="20"/>
        </w:rPr>
        <w:t>Increases or decreases in the discount rate would result in a lower or higher fair value measurement, respectively. Increases or decreases in any of the probabilities of success in which the revenue, volume, cross-selling and the engineering implementation milestones are expected to be achieved would result in higher or lower fair value measurement, respectively.</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 xml:space="preserve">Changes in the fair value of contingent consideration are included as a component of general and administrative expense within the condensed consolidated statements of operations and comprehensive loss. The following table summarizes the changes in the carrying value of the contingent consideration for the periods presented (in thousands): </w:t>
      </w:r>
    </w:p>
    <w:tbl>
      <w:tblPr>
        <w:tblW w:w="10205" w:type="dxa"/>
        <w:jc w:val="left"/>
        <w:tblInd w:w="0" w:type="dxa"/>
        <w:tblLayout w:type="fixed"/>
        <w:tblCellMar>
          <w:top w:w="28" w:type="dxa"/>
          <w:left w:w="28" w:type="dxa"/>
          <w:bottom w:w="28" w:type="dxa"/>
          <w:right w:w="28" w:type="dxa"/>
        </w:tblCellMar>
      </w:tblPr>
      <w:tblGrid>
        <w:gridCol w:w="3259"/>
        <w:gridCol w:w="146"/>
        <w:gridCol w:w="397"/>
        <w:gridCol w:w="1102"/>
        <w:gridCol w:w="166"/>
        <w:gridCol w:w="146"/>
        <w:gridCol w:w="559"/>
        <w:gridCol w:w="918"/>
        <w:gridCol w:w="146"/>
        <w:gridCol w:w="146"/>
        <w:gridCol w:w="355"/>
        <w:gridCol w:w="987"/>
        <w:gridCol w:w="166"/>
        <w:gridCol w:w="146"/>
        <w:gridCol w:w="332"/>
        <w:gridCol w:w="1018"/>
        <w:gridCol w:w="216"/>
      </w:tblGrid>
      <w:tr>
        <w:trPr/>
        <w:tc>
          <w:tcPr>
            <w:tcW w:w="32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25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w:t>
              <w:b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w:t>
              <w:br/>
              <w:t>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b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br/>
              <w:t>June 30, 2023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1,332</w:t>
            </w:r>
          </w:p>
        </w:tc>
        <w:tc>
          <w:tcPr>
            <w:tcW w:w="216" w:type="dxa"/>
            <w:tcBorders/>
            <w:shd w:fill="CFF0FC" w:val="clear"/>
            <w:vAlign w:val="center"/>
          </w:tcPr>
          <w:p>
            <w:pPr>
              <w:pStyle w:val="TableContents"/>
              <w:bidi w:val="0"/>
              <w:spacing w:before="0" w:after="283"/>
              <w:jc w:val="left"/>
              <w:rPr/>
            </w:pPr>
            <w:r>
              <w:rPr/>
              <w:t> </w:t>
            </w:r>
          </w:p>
        </w:tc>
      </w:tr>
      <w:tr>
        <w:trPr/>
        <w:tc>
          <w:tcPr>
            <w:tcW w:w="325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Additions</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16" w:type="dxa"/>
            <w:tcBorders/>
            <w:shd w:fill="FFFFFF" w:val="clear"/>
            <w:vAlign w:val="center"/>
          </w:tcPr>
          <w:p>
            <w:pPr>
              <w:pStyle w:val="TableContents"/>
              <w:bidi w:val="0"/>
              <w:spacing w:before="0" w:after="283"/>
              <w:jc w:val="left"/>
              <w:rPr/>
            </w:pPr>
            <w:r>
              <w:rPr/>
              <w:t> </w:t>
            </w:r>
          </w:p>
        </w:tc>
      </w:tr>
      <w:tr>
        <w:trPr/>
        <w:tc>
          <w:tcPr>
            <w:tcW w:w="325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11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59" w:type="dxa"/>
            <w:tcBorders/>
            <w:shd w:fill="CFF0FC" w:val="clear"/>
            <w:vAlign w:val="center"/>
          </w:tcPr>
          <w:p>
            <w:pPr>
              <w:pStyle w:val="TableContents"/>
              <w:bidi w:val="0"/>
              <w:spacing w:before="0" w:after="283"/>
              <w:jc w:val="left"/>
              <w:rPr/>
            </w:pPr>
            <w:r>
              <w:rPr/>
              <w:t> </w:t>
            </w:r>
          </w:p>
        </w:tc>
        <w:tc>
          <w:tcPr>
            <w:tcW w:w="9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10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410</w:t>
            </w:r>
          </w:p>
        </w:tc>
        <w:tc>
          <w:tcPr>
            <w:tcW w:w="216" w:type="dxa"/>
            <w:tcBorders/>
            <w:shd w:fill="CFF0FC" w:val="clear"/>
            <w:vAlign w:val="center"/>
          </w:tcPr>
          <w:p>
            <w:pPr>
              <w:pStyle w:val="TableContents"/>
              <w:bidi w:val="0"/>
              <w:spacing w:before="0" w:after="283"/>
              <w:jc w:val="left"/>
              <w:rPr/>
            </w:pPr>
            <w:r>
              <w:rPr/>
              <w:t> </w:t>
            </w:r>
          </w:p>
        </w:tc>
      </w:tr>
      <w:tr>
        <w:trPr/>
        <w:tc>
          <w:tcPr>
            <w:tcW w:w="325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Contingent consideration paid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10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(1,674</w:t>
            </w:r>
          </w:p>
        </w:tc>
        <w:tc>
          <w:tcPr>
            <w:tcW w:w="2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5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25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00"/>
        <w:jc w:val="left"/>
        <w:rPr>
          <w:rFonts w:ascii="Arial" w:hAnsi="Arial"/>
          <w:color w:val="000000"/>
          <w:sz w:val="16"/>
        </w:rPr>
      </w:pPr>
      <w:r>
        <w:rPr>
          <w:rFonts w:ascii="Arial" w:hAnsi="Arial"/>
          <w:color w:val="000000"/>
          <w:sz w:val="16"/>
        </w:rPr>
        <w:t>* For the six months ended June 30, 2023, contingent consideration paid has been bifurcated between the financing and operating sections of the condensed consolidated statement of cash flows. Amounts paid up to the fair value initially recorded in purchase accounting is reported in the financing section of the condensed consolidated statement of cash flows, while any excess is reported in the operating section of the condensed consolidated statement of cash flows.</w:t>
      </w:r>
    </w:p>
    <w:p>
      <w:pPr>
        <w:pStyle w:val="TextBody"/>
        <w:bidi w:val="0"/>
        <w:spacing w:before="360" w:after="283"/>
        <w:jc w:val="left"/>
        <w:rPr>
          <w:rFonts w:ascii="Times New Roman" w:hAnsi="Times New Roman"/>
          <w:sz w:val="20"/>
        </w:rPr>
      </w:pPr>
      <w:bookmarkStart w:id="18" w:name="note_5"/>
      <w:bookmarkEnd w:id="18"/>
      <w:r>
        <w:rPr>
          <w:rFonts w:ascii="Arial" w:hAnsi="Arial"/>
          <w:b/>
          <w:color w:val="000000"/>
          <w:sz w:val="20"/>
        </w:rPr>
        <w:t>Note 5. Derivative Instruments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condensed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June 30, 2024 and December 31, 2023, the Company had 7,790</w:t>
      </w:r>
      <w:r>
        <w:rPr>
          <w:rFonts w:ascii="Times New Roman" w:hAnsi="Times New Roman"/>
          <w:color w:val="000000"/>
          <w:sz w:val="20"/>
        </w:rPr>
        <w:t xml:space="preserve"> </w:t>
      </w:r>
      <w:r>
        <w:rPr>
          <w:rFonts w:ascii="Arial" w:hAnsi="Arial"/>
          <w:color w:val="000000"/>
          <w:sz w:val="20"/>
        </w:rPr>
        <w:t>and 12,737</w:t>
      </w:r>
      <w:r>
        <w:rPr>
          <w:rFonts w:ascii="Times New Roman" w:hAnsi="Times New Roman"/>
          <w:color w:val="000000"/>
          <w:sz w:val="20"/>
        </w:rPr>
        <w:t xml:space="preserve"> </w:t>
      </w:r>
      <w:r>
        <w:rPr>
          <w:rFonts w:ascii="Arial" w:hAnsi="Arial"/>
          <w:color w:val="000000"/>
          <w:sz w:val="20"/>
        </w:rPr>
        <w:t>open foreign exchange contracts, respectively. As of June 30, 2024 and December 31, 2023, the Company had foreign currency forward contracts outstanding with a notional amount of $26.5</w:t>
      </w:r>
      <w:r>
        <w:rPr>
          <w:rFonts w:ascii="Times New Roman" w:hAnsi="Times New Roman"/>
          <w:color w:val="000000"/>
          <w:sz w:val="20"/>
        </w:rPr>
        <w:t xml:space="preserve"> </w:t>
      </w:r>
      <w:r>
        <w:rPr>
          <w:rFonts w:ascii="Arial" w:hAnsi="Arial"/>
          <w:color w:val="000000"/>
          <w:sz w:val="20"/>
        </w:rPr>
        <w:t>million and $36.1</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Company records all derivative instruments</w:t>
      </w:r>
      <w:r>
        <w:rPr>
          <w:rFonts w:ascii="Times New Roman" w:hAnsi="Times New Roman"/>
          <w:color w:val="000000"/>
          <w:sz w:val="20"/>
        </w:rPr>
        <w:t xml:space="preserve"> </w:t>
      </w:r>
      <w:r>
        <w:rPr>
          <w:rFonts w:ascii="Arial" w:hAnsi="Arial"/>
          <w:color w:val="000000"/>
          <w:sz w:val="20"/>
        </w:rPr>
        <w:t>in the condensed consolidated balance sheets at their fair values. For the six months ended June 30, 2024, the Company recorded a liability of less than $0.1</w:t>
      </w:r>
      <w:r>
        <w:rPr>
          <w:rFonts w:ascii="Times New Roman" w:hAnsi="Times New Roman"/>
          <w:color w:val="000000"/>
          <w:sz w:val="20"/>
        </w:rPr>
        <w:t xml:space="preserve"> </w:t>
      </w:r>
      <w:r>
        <w:rPr>
          <w:rFonts w:ascii="Arial" w:hAnsi="Arial"/>
          <w:color w:val="000000"/>
          <w:sz w:val="20"/>
        </w:rPr>
        <w:t>million and for the year ended December 31, 2023, the Company recorded an asset of less than $0.1</w:t>
      </w:r>
      <w:r>
        <w:rPr>
          <w:rFonts w:ascii="Times New Roman" w:hAnsi="Times New Roman"/>
          <w:color w:val="000000"/>
          <w:sz w:val="20"/>
        </w:rPr>
        <w:t xml:space="preserve"> </w:t>
      </w:r>
      <w:r>
        <w:rPr>
          <w:rFonts w:ascii="Arial" w:hAnsi="Arial"/>
          <w:color w:val="000000"/>
          <w:sz w:val="20"/>
        </w:rPr>
        <w:t>million related to outstanding foreign exchange contracts. The Company recognized a loss of $0.1</w:t>
      </w:r>
      <w:r>
        <w:rPr>
          <w:rFonts w:ascii="Times New Roman" w:hAnsi="Times New Roman"/>
          <w:color w:val="000000"/>
          <w:sz w:val="20"/>
        </w:rPr>
        <w:t xml:space="preserve"> </w:t>
      </w:r>
      <w:r>
        <w:rPr>
          <w:rFonts w:ascii="Arial" w:hAnsi="Arial"/>
          <w:color w:val="000000"/>
          <w:sz w:val="20"/>
        </w:rPr>
        <w:t>million and $0.1</w:t>
      </w:r>
      <w:r>
        <w:rPr>
          <w:rFonts w:ascii="Times New Roman" w:hAnsi="Times New Roman"/>
          <w:color w:val="000000"/>
          <w:sz w:val="20"/>
        </w:rPr>
        <w:t xml:space="preserve"> </w:t>
      </w:r>
      <w:r>
        <w:rPr>
          <w:rFonts w:ascii="Arial" w:hAnsi="Arial"/>
          <w:color w:val="000000"/>
          <w:sz w:val="20"/>
        </w:rPr>
        <w:t>million during the three and six months ended June 30, 2024, respectively. The Company recognized a gain of $0.3</w:t>
      </w:r>
      <w:r>
        <w:rPr>
          <w:rFonts w:ascii="Times New Roman" w:hAnsi="Times New Roman"/>
          <w:color w:val="000000"/>
          <w:sz w:val="20"/>
        </w:rPr>
        <w:t xml:space="preserve"> </w:t>
      </w:r>
      <w:r>
        <w:rPr>
          <w:rFonts w:ascii="Arial" w:hAnsi="Arial"/>
          <w:color w:val="000000"/>
          <w:sz w:val="20"/>
        </w:rPr>
        <w:t>million and a loss of $1.0</w:t>
      </w:r>
      <w:r>
        <w:rPr>
          <w:rFonts w:ascii="Times New Roman" w:hAnsi="Times New Roman"/>
          <w:color w:val="000000"/>
          <w:sz w:val="20"/>
        </w:rPr>
        <w:t xml:space="preserve"> </w:t>
      </w:r>
      <w:r>
        <w:rPr>
          <w:rFonts w:ascii="Arial" w:hAnsi="Arial"/>
          <w:color w:val="000000"/>
          <w:sz w:val="20"/>
        </w:rPr>
        <w:t>million during the three and six months ended June 30, 2023, respectively. Gains and losses are included as a component of general and administrative expense within the condensed consolidated statements of operations and comprehensive loss.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19" w:name="note_6"/>
      <w:bookmarkEnd w:id="19"/>
      <w:r>
        <w:rPr>
          <w:rFonts w:ascii="Arial" w:hAnsi="Arial"/>
          <w:b/>
          <w:color w:val="000000"/>
          <w:sz w:val="20"/>
        </w:rPr>
        <w:t>Note 6. Accrued Expenses and Other Current Liabilities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Accrued expenses and other current liabilities consisted of the following as of the dates presented (in thousands):</w:t>
      </w:r>
      <w:r>
        <w:rPr>
          <w:rFonts w:ascii="Times New Roman" w:hAnsi="Times New Roman"/>
          <w:color w:val="000000"/>
          <w:sz w:val="20"/>
        </w:rPr>
        <w:t xml:space="preserve"> </w:t>
      </w:r>
    </w:p>
    <w:tbl>
      <w:tblPr>
        <w:tblW w:w="7562" w:type="dxa"/>
        <w:jc w:val="left"/>
        <w:tblInd w:w="0" w:type="dxa"/>
        <w:tblLayout w:type="fixed"/>
        <w:tblCellMar>
          <w:top w:w="28" w:type="dxa"/>
          <w:left w:w="28" w:type="dxa"/>
          <w:bottom w:w="28" w:type="dxa"/>
          <w:right w:w="28" w:type="dxa"/>
        </w:tblCellMar>
      </w:tblPr>
      <w:tblGrid>
        <w:gridCol w:w="4861"/>
        <w:gridCol w:w="146"/>
        <w:gridCol w:w="211"/>
        <w:gridCol w:w="691"/>
        <w:gridCol w:w="146"/>
        <w:gridCol w:w="146"/>
        <w:gridCol w:w="273"/>
        <w:gridCol w:w="897"/>
        <w:gridCol w:w="191"/>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employee compensation and related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15,930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19,748</w:t>
            </w:r>
          </w:p>
        </w:tc>
        <w:tc>
          <w:tcPr>
            <w:tcW w:w="191" w:type="dxa"/>
            <w:tcBorders/>
            <w:shd w:fill="CFF0FC" w:val="clear"/>
            <w:vAlign w:val="center"/>
          </w:tcPr>
          <w:p>
            <w:pPr>
              <w:pStyle w:val="TableContents"/>
              <w:bidi w:val="0"/>
              <w:spacing w:before="0" w:after="283"/>
              <w:jc w:val="left"/>
              <w:rPr/>
            </w:pPr>
            <w:r>
              <w:rPr/>
              <w:t> </w:t>
            </w:r>
          </w:p>
        </w:tc>
      </w:tr>
      <w:tr>
        <w:trPr/>
        <w:tc>
          <w:tcPr>
            <w:tcW w:w="48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vendor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4,193</w:t>
            </w:r>
          </w:p>
        </w:tc>
        <w:tc>
          <w:tcPr>
            <w:tcW w:w="191" w:type="dxa"/>
            <w:tcBorders/>
            <w:shd w:fill="FFFFFF" w:val="clear"/>
            <w:vAlign w:val="center"/>
          </w:tcPr>
          <w:p>
            <w:pPr>
              <w:pStyle w:val="TableContents"/>
              <w:bidi w:val="0"/>
              <w:spacing w:before="0" w:after="283"/>
              <w:jc w:val="left"/>
              <w:rPr/>
            </w:pPr>
            <w:r>
              <w:rPr/>
              <w:t> </w:t>
            </w:r>
          </w:p>
        </w:tc>
      </w:tr>
      <w:tr>
        <w:trPr/>
        <w:tc>
          <w:tcPr>
            <w:tcW w:w="48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income and other non-employee related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6,270</w:t>
            </w:r>
          </w:p>
        </w:tc>
        <w:tc>
          <w:tcPr>
            <w:tcW w:w="191" w:type="dxa"/>
            <w:tcBorders/>
            <w:shd w:fill="CFF0FC" w:val="clear"/>
            <w:vAlign w:val="center"/>
          </w:tcPr>
          <w:p>
            <w:pPr>
              <w:pStyle w:val="TableContents"/>
              <w:bidi w:val="0"/>
              <w:spacing w:before="0" w:after="283"/>
              <w:jc w:val="left"/>
              <w:rPr/>
            </w:pPr>
            <w:r>
              <w:rPr/>
              <w:t> </w:t>
            </w:r>
          </w:p>
        </w:tc>
      </w:tr>
      <w:tr>
        <w:trPr/>
        <w:tc>
          <w:tcPr>
            <w:tcW w:w="48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2,139</w:t>
            </w:r>
          </w:p>
        </w:tc>
        <w:tc>
          <w:tcPr>
            <w:tcW w:w="191" w:type="dxa"/>
            <w:tcBorders/>
            <w:shd w:fill="FFFFFF" w:val="clear"/>
            <w:vAlign w:val="center"/>
          </w:tcPr>
          <w:p>
            <w:pPr>
              <w:pStyle w:val="TableContents"/>
              <w:bidi w:val="0"/>
              <w:spacing w:before="0" w:after="283"/>
              <w:jc w:val="left"/>
              <w:rPr/>
            </w:pPr>
            <w:r>
              <w:rPr/>
              <w:t> </w:t>
            </w:r>
          </w:p>
        </w:tc>
      </w:tr>
      <w:tr>
        <w:trPr/>
        <w:tc>
          <w:tcPr>
            <w:tcW w:w="48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portion of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1,465</w:t>
            </w:r>
          </w:p>
        </w:tc>
        <w:tc>
          <w:tcPr>
            <w:tcW w:w="191" w:type="dxa"/>
            <w:tcBorders/>
            <w:shd w:fill="CFF0FC" w:val="clear"/>
            <w:vAlign w:val="center"/>
          </w:tcPr>
          <w:p>
            <w:pPr>
              <w:pStyle w:val="TableContents"/>
              <w:bidi w:val="0"/>
              <w:spacing w:before="0" w:after="283"/>
              <w:jc w:val="left"/>
              <w:rPr/>
            </w:pPr>
            <w:r>
              <w:rPr/>
              <w:t> </w:t>
            </w:r>
          </w:p>
        </w:tc>
      </w:tr>
      <w:tr>
        <w:trPr/>
        <w:tc>
          <w:tcPr>
            <w:tcW w:w="48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accrued expenses and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6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20" w:name="note_7"/>
      <w:bookmarkEnd w:id="20"/>
      <w:r>
        <w:rPr>
          <w:rFonts w:ascii="Arial" w:hAnsi="Arial"/>
          <w:b/>
          <w:color w:val="000000"/>
          <w:sz w:val="20"/>
        </w:rPr>
        <w:t>Note 7. Property and Equipment, net</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Property and equipment, net consisted of the following as of the dates presented (in thousands):</w:t>
      </w:r>
      <w:r>
        <w:rPr>
          <w:rFonts w:ascii="Times New Roman" w:hAnsi="Times New Roman"/>
          <w:color w:val="000000"/>
          <w:sz w:val="20"/>
        </w:rPr>
        <w:t xml:space="preserve"> </w:t>
      </w:r>
    </w:p>
    <w:tbl>
      <w:tblPr>
        <w:tblW w:w="7287" w:type="dxa"/>
        <w:jc w:val="left"/>
        <w:tblInd w:w="0" w:type="dxa"/>
        <w:tblLayout w:type="fixed"/>
        <w:tblCellMar>
          <w:top w:w="28" w:type="dxa"/>
          <w:left w:w="28" w:type="dxa"/>
          <w:bottom w:w="28" w:type="dxa"/>
          <w:right w:w="28" w:type="dxa"/>
        </w:tblCellMar>
      </w:tblPr>
      <w:tblGrid>
        <w:gridCol w:w="4486"/>
        <w:gridCol w:w="146"/>
        <w:gridCol w:w="211"/>
        <w:gridCol w:w="751"/>
        <w:gridCol w:w="166"/>
        <w:gridCol w:w="146"/>
        <w:gridCol w:w="256"/>
        <w:gridCol w:w="914"/>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Computer equipment and software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3,681</w:t>
            </w:r>
          </w:p>
        </w:tc>
        <w:tc>
          <w:tcPr>
            <w:tcW w:w="211" w:type="dxa"/>
            <w:tcBorders/>
            <w:shd w:fill="CFF0FC"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Internal-use 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18,135</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912</w:t>
            </w:r>
          </w:p>
        </w:tc>
        <w:tc>
          <w:tcPr>
            <w:tcW w:w="211" w:type="dxa"/>
            <w:tcBorders/>
            <w:shd w:fill="CFF0FC" w:val="cle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5,431</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Construction in progress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28,159</w:t>
            </w:r>
          </w:p>
        </w:tc>
        <w:tc>
          <w:tcPr>
            <w:tcW w:w="211" w:type="dxa"/>
            <w:tcBorders/>
            <w:shd w:fill="FFFFFF" w:val="clear"/>
            <w:vAlign w:val="center"/>
          </w:tcPr>
          <w:p>
            <w:pPr>
              <w:pStyle w:val="TableContents"/>
              <w:bidi w:val="0"/>
              <w:spacing w:before="0" w:after="283"/>
              <w:jc w:val="left"/>
              <w:rPr/>
            </w:pPr>
            <w:r>
              <w:rPr/>
              <w:t> </w:t>
            </w:r>
          </w:p>
        </w:tc>
      </w:tr>
      <w:tr>
        <w:trPr/>
        <w:tc>
          <w:tcPr>
            <w:tcW w:w="44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00"/>
        <w:jc w:val="left"/>
        <w:rPr>
          <w:rFonts w:ascii="Arial" w:hAnsi="Arial"/>
          <w:color w:val="000000"/>
          <w:sz w:val="16"/>
        </w:rPr>
      </w:pPr>
      <w:r>
        <w:rPr>
          <w:rFonts w:ascii="Arial" w:hAnsi="Arial"/>
          <w:color w:val="000000"/>
          <w:sz w:val="16"/>
        </w:rPr>
        <w:t>* For the six months ended June 30, 2024, accumulated depreciation and amortization expense included $(276) thousand of computer disposals and $(158) thousand of foreign currency translation adjustments. For the six months ended June 30, 2023, accumulated depreciation and amortization expense included $(93) thousand of computer disposals and $(99) thousand of foreign currency translation adjustments.</w:t>
      </w:r>
    </w:p>
    <w:p>
      <w:pPr>
        <w:pStyle w:val="TextBody"/>
        <w:bidi w:val="0"/>
        <w:spacing w:before="200" w:after="200"/>
        <w:jc w:val="left"/>
        <w:rPr>
          <w:rFonts w:ascii="Times New Roman" w:hAnsi="Times New Roman"/>
          <w:sz w:val="20"/>
        </w:rPr>
      </w:pPr>
      <w:r>
        <w:rPr>
          <w:rFonts w:ascii="Arial" w:hAnsi="Arial"/>
          <w:color w:val="000000"/>
          <w:sz w:val="20"/>
        </w:rPr>
        <w:t>Depreciation of property and equipment and amortization of internal-use software for the three months ended June 30, 2024 and 2023</w:t>
      </w:r>
      <w:r>
        <w:rPr>
          <w:rFonts w:ascii="Times New Roman" w:hAnsi="Times New Roman"/>
          <w:color w:val="000000"/>
          <w:sz w:val="20"/>
        </w:rPr>
        <w:t xml:space="preserve"> </w:t>
      </w:r>
      <w:r>
        <w:rPr>
          <w:rFonts w:ascii="Arial" w:hAnsi="Arial"/>
          <w:color w:val="000000"/>
          <w:sz w:val="20"/>
        </w:rPr>
        <w:t>was $1.2</w:t>
      </w:r>
      <w:r>
        <w:rPr>
          <w:rFonts w:ascii="Times New Roman" w:hAnsi="Times New Roman"/>
          <w:color w:val="000000"/>
          <w:sz w:val="20"/>
        </w:rPr>
        <w:t xml:space="preserve"> </w:t>
      </w:r>
      <w:r>
        <w:rPr>
          <w:rFonts w:ascii="Arial" w:hAnsi="Arial"/>
          <w:color w:val="000000"/>
          <w:sz w:val="20"/>
        </w:rPr>
        <w:t>million and $1.2</w:t>
      </w:r>
      <w:r>
        <w:rPr>
          <w:rFonts w:ascii="Times New Roman" w:hAnsi="Times New Roman"/>
          <w:color w:val="000000"/>
          <w:sz w:val="20"/>
        </w:rPr>
        <w:t xml:space="preserve"> </w:t>
      </w:r>
      <w:r>
        <w:rPr>
          <w:rFonts w:ascii="Arial" w:hAnsi="Arial"/>
          <w:color w:val="000000"/>
          <w:sz w:val="20"/>
        </w:rPr>
        <w:t>million, respectively. Depreciation of property and equipment and amortization of internal-use software for the six months ended June 30, 2024 and 2023</w:t>
      </w:r>
      <w:r>
        <w:rPr>
          <w:rFonts w:ascii="Times New Roman" w:hAnsi="Times New Roman"/>
          <w:color w:val="000000"/>
          <w:sz w:val="20"/>
        </w:rPr>
        <w:t xml:space="preserve"> </w:t>
      </w:r>
      <w:r>
        <w:rPr>
          <w:rFonts w:ascii="Arial" w:hAnsi="Arial"/>
          <w:color w:val="000000"/>
          <w:sz w:val="20"/>
        </w:rPr>
        <w:t>was $2.5</w:t>
      </w:r>
      <w:r>
        <w:rPr>
          <w:rFonts w:ascii="Times New Roman" w:hAnsi="Times New Roman"/>
          <w:color w:val="000000"/>
          <w:sz w:val="20"/>
        </w:rPr>
        <w:t xml:space="preserve"> </w:t>
      </w:r>
      <w:r>
        <w:rPr>
          <w:rFonts w:ascii="Arial" w:hAnsi="Arial"/>
          <w:color w:val="000000"/>
          <w:sz w:val="20"/>
        </w:rPr>
        <w:t>million and $2.1</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00" w:after="200"/>
        <w:jc w:val="left"/>
        <w:rPr>
          <w:rFonts w:ascii="Times New Roman" w:hAnsi="Times New Roman"/>
          <w:sz w:val="20"/>
        </w:rPr>
      </w:pPr>
      <w:r>
        <w:rPr>
          <w:rFonts w:ascii="Arial" w:hAnsi="Arial"/>
          <w:color w:val="000000"/>
          <w:sz w:val="20"/>
        </w:rPr>
        <w:t>The Company capitalized $3.9</w:t>
      </w:r>
      <w:r>
        <w:rPr>
          <w:rFonts w:ascii="Times New Roman" w:hAnsi="Times New Roman"/>
          <w:color w:val="000000"/>
          <w:sz w:val="20"/>
        </w:rPr>
        <w:t xml:space="preserve"> </w:t>
      </w:r>
      <w:r>
        <w:rPr>
          <w:rFonts w:ascii="Arial" w:hAnsi="Arial"/>
          <w:color w:val="000000"/>
          <w:sz w:val="20"/>
        </w:rPr>
        <w:t>million and $2.8</w:t>
      </w:r>
      <w:r>
        <w:rPr>
          <w:rFonts w:ascii="Times New Roman" w:hAnsi="Times New Roman"/>
          <w:color w:val="000000"/>
          <w:sz w:val="20"/>
        </w:rPr>
        <w:t xml:space="preserve"> </w:t>
      </w:r>
      <w:r>
        <w:rPr>
          <w:rFonts w:ascii="Arial" w:hAnsi="Arial"/>
          <w:color w:val="000000"/>
          <w:sz w:val="20"/>
        </w:rPr>
        <w:t>million in costs related to internal-use software during the six months ended June 30, 2024 and 2023, respectively. Software developed for internal use is amortized on a straight-line basis over its estimated useful life of five years.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of June 30, 2024 and December 31, 2023, the carrying value of internal-use software was $14.8</w:t>
      </w:r>
      <w:r>
        <w:rPr>
          <w:rFonts w:ascii="Times New Roman" w:hAnsi="Times New Roman"/>
          <w:color w:val="000000"/>
          <w:sz w:val="20"/>
        </w:rPr>
        <w:t xml:space="preserve"> </w:t>
      </w:r>
      <w:r>
        <w:rPr>
          <w:rFonts w:ascii="Arial" w:hAnsi="Arial"/>
          <w:color w:val="000000"/>
          <w:sz w:val="20"/>
        </w:rPr>
        <w:t>million and $12.7</w:t>
      </w:r>
      <w:r>
        <w:rPr>
          <w:rFonts w:ascii="Times New Roman" w:hAnsi="Times New Roman"/>
          <w:color w:val="000000"/>
          <w:sz w:val="20"/>
        </w:rPr>
        <w:t xml:space="preserve"> </w:t>
      </w:r>
      <w:r>
        <w:rPr>
          <w:rFonts w:ascii="Arial" w:hAnsi="Arial"/>
          <w:color w:val="000000"/>
          <w:sz w:val="20"/>
        </w:rPr>
        <w:t>million, respectively. Amortization expense related to internal-use software for the three months ended June 30, 2024 and 2023</w:t>
      </w:r>
      <w:r>
        <w:rPr>
          <w:rFonts w:ascii="Times New Roman" w:hAnsi="Times New Roman"/>
          <w:color w:val="000000"/>
          <w:sz w:val="20"/>
        </w:rPr>
        <w:t xml:space="preserve"> </w:t>
      </w:r>
      <w:r>
        <w:rPr>
          <w:rFonts w:ascii="Arial" w:hAnsi="Arial"/>
          <w:color w:val="000000"/>
          <w:sz w:val="20"/>
        </w:rPr>
        <w:t>was $0.9</w:t>
      </w:r>
      <w:r>
        <w:rPr>
          <w:rFonts w:ascii="Times New Roman" w:hAnsi="Times New Roman"/>
          <w:color w:val="000000"/>
          <w:sz w:val="20"/>
        </w:rPr>
        <w:t xml:space="preserve"> </w:t>
      </w:r>
      <w:r>
        <w:rPr>
          <w:rFonts w:ascii="Arial" w:hAnsi="Arial"/>
          <w:color w:val="000000"/>
          <w:sz w:val="20"/>
        </w:rPr>
        <w:t>million and $0.8</w:t>
      </w:r>
      <w:r>
        <w:rPr>
          <w:rFonts w:ascii="Times New Roman" w:hAnsi="Times New Roman"/>
          <w:color w:val="000000"/>
          <w:sz w:val="20"/>
        </w:rPr>
        <w:t xml:space="preserve"> </w:t>
      </w:r>
      <w:r>
        <w:rPr>
          <w:rFonts w:ascii="Arial" w:hAnsi="Arial"/>
          <w:color w:val="000000"/>
          <w:sz w:val="20"/>
        </w:rPr>
        <w:t>million, respectively. Amortization expense related to internal-use software for the six months ended June 30, 2024 and 2023</w:t>
      </w:r>
      <w:r>
        <w:rPr>
          <w:rFonts w:ascii="Times New Roman" w:hAnsi="Times New Roman"/>
          <w:color w:val="000000"/>
          <w:sz w:val="20"/>
        </w:rPr>
        <w:t xml:space="preserve"> </w:t>
      </w:r>
      <w:r>
        <w:rPr>
          <w:rFonts w:ascii="Arial" w:hAnsi="Arial"/>
          <w:color w:val="000000"/>
          <w:sz w:val="20"/>
        </w:rPr>
        <w:t>was $1.8</w:t>
      </w:r>
      <w:r>
        <w:rPr>
          <w:rFonts w:ascii="Times New Roman" w:hAnsi="Times New Roman"/>
          <w:color w:val="000000"/>
          <w:sz w:val="20"/>
        </w:rPr>
        <w:t xml:space="preserve"> </w:t>
      </w:r>
      <w:r>
        <w:rPr>
          <w:rFonts w:ascii="Arial" w:hAnsi="Arial"/>
          <w:color w:val="000000"/>
          <w:sz w:val="20"/>
        </w:rPr>
        <w:t>million and $1.3</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200" w:after="283"/>
        <w:jc w:val="left"/>
        <w:rPr>
          <w:rFonts w:ascii="Arial" w:hAnsi="Arial"/>
          <w:b/>
          <w:color w:val="000000"/>
          <w:sz w:val="20"/>
        </w:rPr>
      </w:pPr>
      <w:bookmarkStart w:id="21" w:name="note_8"/>
      <w:bookmarkEnd w:id="21"/>
      <w:r>
        <w:rPr>
          <w:rFonts w:ascii="Arial" w:hAnsi="Arial"/>
          <w:b/>
          <w:color w:val="000000"/>
          <w:sz w:val="20"/>
        </w:rPr>
        <w:t>Note 8. Business Combinations</w:t>
      </w:r>
    </w:p>
    <w:p>
      <w:pPr>
        <w:pStyle w:val="TextBody"/>
        <w:bidi w:val="0"/>
        <w:spacing w:before="200" w:after="283"/>
        <w:jc w:val="left"/>
        <w:rPr>
          <w:rFonts w:ascii="Arial" w:hAnsi="Arial"/>
          <w:b/>
          <w:i/>
          <w:color w:val="000000"/>
          <w:sz w:val="20"/>
        </w:rPr>
      </w:pPr>
      <w:r>
        <w:rPr>
          <w:rFonts w:ascii="Arial" w:hAnsi="Arial"/>
          <w:b/>
          <w:i/>
          <w:color w:val="000000"/>
          <w:sz w:val="20"/>
        </w:rPr>
        <w:t>StudyLink</w:t>
      </w:r>
    </w:p>
    <w:p>
      <w:pPr>
        <w:pStyle w:val="TextBody"/>
        <w:bidi w:val="0"/>
        <w:spacing w:before="200" w:after="283"/>
        <w:jc w:val="left"/>
        <w:rPr>
          <w:rFonts w:ascii="Arial" w:hAnsi="Arial"/>
          <w:color w:val="000000"/>
          <w:sz w:val="20"/>
        </w:rPr>
      </w:pPr>
      <w:r>
        <w:rPr>
          <w:rFonts w:ascii="Arial" w:hAnsi="Arial"/>
          <w:color w:val="000000"/>
          <w:sz w:val="20"/>
        </w:rPr>
        <w:t>On November 3, 2023, Flywire, through one if its Australian subsidiaries Flywire Pacific Pty Ltd., acquired all of the issued and outstanding shares of StudyLink, an Australian-based software as a service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the Company's growth in the Australian higher education market and enhance the Company's value proposition to payers, universities and agents in the higher education ecosystem. The acquisition of StudyLink has been accounted for as a business combination.</w:t>
      </w:r>
    </w:p>
    <w:p>
      <w:pPr>
        <w:pStyle w:val="TextBody"/>
        <w:bidi w:val="0"/>
        <w:spacing w:before="200" w:after="200"/>
        <w:jc w:val="left"/>
        <w:rPr>
          <w:rFonts w:ascii="Times New Roman" w:hAnsi="Times New Roman"/>
          <w:sz w:val="20"/>
        </w:rPr>
      </w:pPr>
      <w:r>
        <w:rPr>
          <w:rFonts w:ascii="Arial" w:hAnsi="Arial"/>
          <w:color w:val="000000"/>
          <w:sz w:val="20"/>
        </w:rPr>
        <w:t>During the first quarter of 2024, the Company completed its purchase accounting and recorded an immaterial net working capital adjustment.</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Pursuant to the terms of the business combination agreement, the Company acquired StudyLink for estimated total purchase consideration of approximately $37.6</w:t>
      </w:r>
      <w:r>
        <w:rPr>
          <w:rFonts w:ascii="Times New Roman" w:hAnsi="Times New Roman"/>
          <w:color w:val="000000"/>
          <w:sz w:val="20"/>
        </w:rPr>
        <w:t xml:space="preserve"> </w:t>
      </w:r>
      <w:r>
        <w:rPr>
          <w:rFonts w:ascii="Arial" w:hAnsi="Arial"/>
          <w:color w:val="000000"/>
          <w:sz w:val="20"/>
        </w:rPr>
        <w:t>million or $35.5</w:t>
      </w:r>
      <w:r>
        <w:rPr>
          <w:rFonts w:ascii="Times New Roman" w:hAnsi="Times New Roman"/>
          <w:color w:val="000000"/>
          <w:sz w:val="20"/>
        </w:rPr>
        <w:t xml:space="preserve"> </w:t>
      </w:r>
      <w:r>
        <w:rPr>
          <w:rFonts w:ascii="Arial" w:hAnsi="Arial"/>
          <w:color w:val="000000"/>
          <w:sz w:val="20"/>
        </w:rPr>
        <w:t>million, net of cash acquired, which consisted of (in thousands):</w:t>
      </w:r>
    </w:p>
    <w:tbl>
      <w:tblPr>
        <w:tblW w:w="6315" w:type="dxa"/>
        <w:jc w:val="left"/>
        <w:tblInd w:w="0" w:type="dxa"/>
        <w:tblLayout w:type="fixed"/>
        <w:tblCellMar>
          <w:top w:w="28" w:type="dxa"/>
          <w:left w:w="28" w:type="dxa"/>
          <w:bottom w:w="28" w:type="dxa"/>
          <w:right w:w="28" w:type="dxa"/>
        </w:tblCellMar>
      </w:tblPr>
      <w:tblGrid>
        <w:gridCol w:w="4796"/>
        <w:gridCol w:w="146"/>
        <w:gridCol w:w="211"/>
        <w:gridCol w:w="691"/>
        <w:gridCol w:w="471"/>
      </w:tblGrid>
      <w:tr>
        <w:trPr/>
        <w:tc>
          <w:tcPr>
            <w:tcW w:w="4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7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consideration, net of cash acquired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32,764</w:t>
            </w:r>
          </w:p>
        </w:tc>
        <w:tc>
          <w:tcPr>
            <w:tcW w:w="471" w:type="dxa"/>
            <w:tcBorders/>
            <w:shd w:fill="CFF0FC" w:val="clear"/>
            <w:vAlign w:val="center"/>
          </w:tcPr>
          <w:p>
            <w:pPr>
              <w:pStyle w:val="TableContents"/>
              <w:bidi w:val="0"/>
              <w:spacing w:before="0" w:after="283"/>
              <w:jc w:val="left"/>
              <w:rPr/>
            </w:pPr>
            <w:r>
              <w:rPr/>
              <w:t> </w:t>
            </w:r>
          </w:p>
        </w:tc>
      </w:tr>
      <w:tr>
        <w:trPr/>
        <w:tc>
          <w:tcPr>
            <w:tcW w:w="47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Estimated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79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purchase consideration, net of cash acquired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35,465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Arial" w:hAnsi="Arial"/>
          <w:color w:val="000000"/>
          <w:sz w:val="20"/>
        </w:rPr>
        <w:t>Contingent consideration, which totals up to approximately $2.7</w:t>
      </w:r>
      <w:r>
        <w:rPr>
          <w:rFonts w:ascii="Times New Roman" w:hAnsi="Times New Roman"/>
          <w:color w:val="000000"/>
          <w:sz w:val="20"/>
        </w:rPr>
        <w:t xml:space="preserve"> </w:t>
      </w:r>
      <w:r>
        <w:rPr>
          <w:rFonts w:ascii="Arial" w:hAnsi="Arial"/>
          <w:color w:val="000000"/>
          <w:sz w:val="20"/>
        </w:rPr>
        <w:t>million, represents additional payments that Flywire may be required to make in the future which are dependent upon StudyLink's successful achievement of revenue, volume, cross-selling and engineering implementation milestones and is subject to exchange rate fluctuation adjustment between the U.S. Dollar and Australian Dollar. A portion of contingent consideration can be paid in the form of cash or shares of common stock, at the Company's option.</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83"/>
        <w:jc w:val="left"/>
        <w:rPr>
          <w:rFonts w:ascii="Times New Roman" w:hAnsi="Times New Roman"/>
          <w:sz w:val="20"/>
        </w:rPr>
      </w:pPr>
      <w:r>
        <w:rPr>
          <w:rFonts w:ascii="Arial" w:hAnsi="Arial"/>
          <w:color w:val="000000"/>
          <w:sz w:val="20"/>
        </w:rPr>
        <w:t>Additional payments in the form of shares of common stock will be made based on the continuing employment of a key employee; accordingly, the fair value of $2.4</w:t>
      </w:r>
      <w:r>
        <w:rPr>
          <w:rFonts w:ascii="Times New Roman" w:hAnsi="Times New Roman"/>
          <w:color w:val="000000"/>
          <w:sz w:val="20"/>
        </w:rPr>
        <w:t xml:space="preserve"> </w:t>
      </w:r>
      <w:r>
        <w:rPr>
          <w:rFonts w:ascii="Arial" w:hAnsi="Arial"/>
          <w:color w:val="000000"/>
          <w:sz w:val="20"/>
        </w:rPr>
        <w:t>million, or approximately 84,000</w:t>
      </w:r>
      <w:r>
        <w:rPr>
          <w:rFonts w:ascii="Times New Roman" w:hAnsi="Times New Roman"/>
          <w:color w:val="000000"/>
          <w:sz w:val="20"/>
        </w:rPr>
        <w:t xml:space="preserve"> </w:t>
      </w:r>
      <w:r>
        <w:rPr>
          <w:rFonts w:ascii="Arial" w:hAnsi="Arial"/>
          <w:color w:val="000000"/>
          <w:sz w:val="20"/>
        </w:rPr>
        <w:t>shares of common stock, have been excluded from the purchase consideration. These shares were fixed on the date of acquisition and payable only in common stock, therefore are equity-classified. During the three and six months ended June 30, 2024, the Company expensed $0.3</w:t>
      </w:r>
      <w:r>
        <w:rPr>
          <w:rFonts w:ascii="Times New Roman" w:hAnsi="Times New Roman"/>
          <w:color w:val="000000"/>
          <w:sz w:val="20"/>
        </w:rPr>
        <w:t xml:space="preserve"> </w:t>
      </w:r>
      <w:r>
        <w:rPr>
          <w:rFonts w:ascii="Arial" w:hAnsi="Arial"/>
          <w:color w:val="000000"/>
          <w:sz w:val="20"/>
        </w:rPr>
        <w:t>million and $0.6</w:t>
      </w:r>
      <w:r>
        <w:rPr>
          <w:rFonts w:ascii="Times New Roman" w:hAnsi="Times New Roman"/>
          <w:color w:val="000000"/>
          <w:sz w:val="20"/>
        </w:rPr>
        <w:t xml:space="preserve"> </w:t>
      </w:r>
      <w:r>
        <w:rPr>
          <w:rFonts w:ascii="Arial" w:hAnsi="Arial"/>
          <w:color w:val="000000"/>
          <w:sz w:val="20"/>
        </w:rPr>
        <w:t>million, respectively, in stock-based compensation associated with retention of the key employee. The stock-based compensation expense is included in the Company’s condensed consolidated statements of operations and comprehensive loss and additional paid-in capital on the condensed consolidated balance sheet.</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The table summarizes the allocation of the purchase consideration to the assets acquired and liabilities assumed (in thousands):</w:t>
      </w:r>
    </w:p>
    <w:tbl>
      <w:tblPr>
        <w:tblW w:w="5600" w:type="dxa"/>
        <w:jc w:val="left"/>
        <w:tblInd w:w="0" w:type="dxa"/>
        <w:tblLayout w:type="fixed"/>
        <w:tblCellMar>
          <w:top w:w="28" w:type="dxa"/>
          <w:left w:w="28" w:type="dxa"/>
          <w:bottom w:w="28" w:type="dxa"/>
          <w:right w:w="28" w:type="dxa"/>
        </w:tblCellMar>
      </w:tblPr>
      <w:tblGrid>
        <w:gridCol w:w="4081"/>
        <w:gridCol w:w="146"/>
        <w:gridCol w:w="211"/>
        <w:gridCol w:w="691"/>
        <w:gridCol w:w="471"/>
      </w:tblGrid>
      <w:tr>
        <w:trPr/>
        <w:tc>
          <w:tcPr>
            <w:tcW w:w="4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0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2,108</w:t>
            </w:r>
          </w:p>
        </w:tc>
        <w:tc>
          <w:tcPr>
            <w:tcW w:w="471" w:type="dxa"/>
            <w:tcBorders/>
            <w:shd w:fill="CFF0FC"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2,762</w:t>
            </w:r>
          </w:p>
        </w:tc>
        <w:tc>
          <w:tcPr>
            <w:tcW w:w="471" w:type="dxa"/>
            <w:tcBorders/>
            <w:shd w:fill="FFFFFF" w:val="cle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432</w:t>
            </w:r>
          </w:p>
        </w:tc>
        <w:tc>
          <w:tcPr>
            <w:tcW w:w="471" w:type="dxa"/>
            <w:tcBorders/>
            <w:shd w:fill="CFF0FC"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471" w:type="dxa"/>
            <w:tcBorders/>
            <w:shd w:fill="FFFFFF" w:val="cle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20,705</w:t>
            </w:r>
          </w:p>
        </w:tc>
        <w:tc>
          <w:tcPr>
            <w:tcW w:w="471" w:type="dxa"/>
            <w:tcBorders/>
            <w:shd w:fill="CFF0FC"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Identifiable 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19,553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assets acquired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45,753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2,663</w:t>
            </w:r>
          </w:p>
        </w:tc>
        <w:tc>
          <w:tcPr>
            <w:tcW w:w="471" w:type="dxa"/>
            <w:tcBorders/>
            <w:shd w:fill="FFFFFF" w:val="cle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2,654</w:t>
            </w:r>
          </w:p>
        </w:tc>
        <w:tc>
          <w:tcPr>
            <w:tcW w:w="471" w:type="dxa"/>
            <w:tcBorders/>
            <w:shd w:fill="CFF0FC" w:val="clear"/>
            <w:vAlign w:val="center"/>
          </w:tcPr>
          <w:p>
            <w:pPr>
              <w:pStyle w:val="TableContents"/>
              <w:bidi w:val="0"/>
              <w:spacing w:before="0" w:after="283"/>
              <w:jc w:val="left"/>
              <w:rPr/>
            </w:pPr>
            <w:r>
              <w:rPr/>
              <w:t> </w:t>
            </w:r>
          </w:p>
        </w:tc>
      </w:tr>
      <w:tr>
        <w:trPr/>
        <w:tc>
          <w:tcPr>
            <w:tcW w:w="40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859</w:t>
            </w:r>
          </w:p>
        </w:tc>
        <w:tc>
          <w:tcPr>
            <w:tcW w:w="471" w:type="dxa"/>
            <w:tcBorders/>
            <w:shd w:fill="FFFFFF" w:val="cle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0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liabilities assumed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assets acquired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37,573</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08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Less: cash acquired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assets, less cash acquired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35,465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Arial" w:hAnsi="Arial"/>
          <w:color w:val="000000"/>
          <w:sz w:val="20"/>
        </w:rPr>
        <w:t>Goodwill arising from the acquisition of $20.7</w:t>
      </w:r>
      <w:r>
        <w:rPr>
          <w:rFonts w:ascii="Times New Roman" w:hAnsi="Times New Roman"/>
          <w:color w:val="000000"/>
          <w:sz w:val="20"/>
        </w:rPr>
        <w:t xml:space="preserve"> </w:t>
      </w:r>
      <w:r>
        <w:rPr>
          <w:rFonts w:ascii="Arial" w:hAnsi="Arial"/>
          <w:color w:val="000000"/>
          <w:sz w:val="20"/>
        </w:rPr>
        <w:t>million was attributable to the assembled workforce of StudyLink and the synergies expected to arise from the acquisition. No</w:t>
      </w:r>
      <w:r>
        <w:rPr>
          <w:rFonts w:ascii="Times New Roman" w:hAnsi="Times New Roman"/>
          <w:color w:val="000000"/>
          <w:sz w:val="20"/>
        </w:rPr>
        <w:t xml:space="preserve"> </w:t>
      </w:r>
      <w:r>
        <w:rPr>
          <w:rFonts w:ascii="Arial" w:hAnsi="Arial"/>
          <w:color w:val="000000"/>
          <w:sz w:val="20"/>
        </w:rPr>
        <w:t>goodwill from this acquisition will be deductible for income tax purposes.</w:t>
      </w:r>
    </w:p>
    <w:p>
      <w:pPr>
        <w:pStyle w:val="TextBody"/>
        <w:bidi w:val="0"/>
        <w:spacing w:before="200" w:after="200"/>
        <w:jc w:val="left"/>
        <w:rPr>
          <w:rFonts w:ascii="Arial" w:hAnsi="Arial"/>
          <w:color w:val="000000"/>
          <w:sz w:val="20"/>
        </w:rPr>
      </w:pPr>
      <w:r>
        <w:rPr>
          <w:rFonts w:ascii="Arial" w:hAnsi="Arial"/>
          <w:color w:val="000000"/>
          <w:sz w:val="20"/>
        </w:rPr>
        <w:t>The following table reflects the fair values of the identified intangible assets of StudyLink and their respective weighted-average amortization periods.</w:t>
      </w:r>
    </w:p>
    <w:tbl>
      <w:tblPr>
        <w:tblW w:w="5641" w:type="dxa"/>
        <w:jc w:val="left"/>
        <w:tblInd w:w="0" w:type="dxa"/>
        <w:tblLayout w:type="fixed"/>
        <w:tblCellMar>
          <w:top w:w="28" w:type="dxa"/>
          <w:left w:w="28" w:type="dxa"/>
          <w:bottom w:w="28" w:type="dxa"/>
          <w:right w:w="28" w:type="dxa"/>
        </w:tblCellMar>
      </w:tblPr>
      <w:tblGrid>
        <w:gridCol w:w="2176"/>
        <w:gridCol w:w="146"/>
        <w:gridCol w:w="297"/>
        <w:gridCol w:w="978"/>
        <w:gridCol w:w="146"/>
        <w:gridCol w:w="146"/>
        <w:gridCol w:w="493"/>
        <w:gridCol w:w="1068"/>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Weighted-Average</w:t>
              <w:br/>
              <w:t>Amortization</w:t>
              <w:br/>
              <w:t>Periods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6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(years)</w:t>
            </w:r>
          </w:p>
        </w:tc>
        <w:tc>
          <w:tcPr>
            <w:tcW w:w="191" w:type="dxa"/>
            <w:tcBorders/>
            <w:shd w:fill="FFFFFF" w:val="clear"/>
            <w:vAlign w:val="center"/>
          </w:tcPr>
          <w:p>
            <w:pPr>
              <w:pStyle w:val="TableContents"/>
              <w:bidi w:val="0"/>
              <w:spacing w:before="0" w:after="283"/>
              <w:jc w:val="center"/>
              <w:rPr/>
            </w:pPr>
            <w:r>
              <w:rPr/>
              <w:t> </w:t>
            </w:r>
          </w:p>
        </w:tc>
      </w:tr>
      <w:tr>
        <w:trPr/>
        <w:tc>
          <w:tcPr>
            <w:tcW w:w="21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9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106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91" w:type="dxa"/>
            <w:tcBorders/>
            <w:shd w:fill="FFFFFF" w:val="clear"/>
            <w:vAlign w:val="center"/>
          </w:tcPr>
          <w:p>
            <w:pPr>
              <w:pStyle w:val="TableContents"/>
              <w:bidi w:val="0"/>
              <w:spacing w:before="0" w:after="283"/>
              <w:jc w:val="left"/>
              <w:rPr/>
            </w:pPr>
            <w:r>
              <w:rPr/>
              <w:t> </w:t>
            </w:r>
          </w:p>
        </w:tc>
      </w:tr>
      <w:tr>
        <w:trPr/>
        <w:tc>
          <w:tcPr>
            <w:tcW w:w="21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Trade Name/Trademark</w:t>
            </w:r>
          </w:p>
        </w:tc>
        <w:tc>
          <w:tcPr>
            <w:tcW w:w="146" w:type="dxa"/>
            <w:tcBorders/>
            <w:shd w:fill="CFF0FC" w:val="cle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c>
          <w:tcPr>
            <w:tcW w:w="106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9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6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Times New Roman" w:hAnsi="Times New Roman"/>
          <w:sz w:val="20"/>
        </w:rPr>
      </w:pPr>
      <w:r>
        <w:rPr>
          <w:rFonts w:ascii="Arial" w:hAnsi="Arial"/>
          <w:color w:val="000000"/>
          <w:sz w:val="20"/>
        </w:rPr>
        <w:t>The results of StudyLink have been included in the condensed consolidated financial statements since the date of the acquisition. StudyLink contributed $1.6</w:t>
      </w:r>
      <w:r>
        <w:rPr>
          <w:rFonts w:ascii="Times New Roman" w:hAnsi="Times New Roman"/>
          <w:color w:val="000000"/>
          <w:sz w:val="20"/>
        </w:rPr>
        <w:t xml:space="preserve"> </w:t>
      </w:r>
      <w:r>
        <w:rPr>
          <w:rFonts w:ascii="Arial" w:hAnsi="Arial"/>
          <w:color w:val="000000"/>
          <w:sz w:val="20"/>
        </w:rPr>
        <w:t>million and $3.7</w:t>
      </w:r>
      <w:r>
        <w:rPr>
          <w:rFonts w:ascii="Times New Roman" w:hAnsi="Times New Roman"/>
          <w:color w:val="000000"/>
          <w:sz w:val="20"/>
        </w:rPr>
        <w:t xml:space="preserve"> </w:t>
      </w:r>
      <w:r>
        <w:rPr>
          <w:rFonts w:ascii="Arial" w:hAnsi="Arial"/>
          <w:color w:val="000000"/>
          <w:sz w:val="20"/>
        </w:rPr>
        <w:t>million in platform revenue during the three and six months ended June 30, 2024, respectively. The Company has not disclosed net income or loss since the acquisition date as the business was fully integrated into the condensed consolidated Company’s operations and therefore it was impracticable to determine this amount.</w:t>
      </w:r>
    </w:p>
    <w:p>
      <w:pPr>
        <w:pStyle w:val="TextBody"/>
        <w:bidi w:val="0"/>
        <w:spacing w:before="200" w:after="283"/>
        <w:jc w:val="left"/>
        <w:rPr>
          <w:rFonts w:ascii="Arial" w:hAnsi="Arial"/>
          <w:color w:val="000000"/>
          <w:sz w:val="20"/>
        </w:rPr>
      </w:pPr>
      <w:r>
        <w:rPr>
          <w:rFonts w:ascii="Arial" w:hAnsi="Arial"/>
          <w:color w:val="000000"/>
          <w:sz w:val="20"/>
        </w:rPr>
        <w:t>Unaudited Pro Forma Financial Information</w:t>
      </w:r>
    </w:p>
    <w:p>
      <w:pPr>
        <w:pStyle w:val="TextBody"/>
        <w:bidi w:val="0"/>
        <w:spacing w:before="200" w:after="120"/>
        <w:jc w:val="left"/>
        <w:rPr>
          <w:rFonts w:ascii="Arial" w:hAnsi="Arial"/>
          <w:color w:val="000000"/>
          <w:sz w:val="20"/>
        </w:rPr>
      </w:pPr>
      <w:r>
        <w:rPr>
          <w:rFonts w:ascii="Arial" w:hAnsi="Arial"/>
          <w:color w:val="000000"/>
          <w:sz w:val="20"/>
        </w:rPr>
        <w:t>The following unaudited pro forma financial information shows the results of the Company’s operations for the three and six months ended June 30, 2023 as if the acquisition had occurred on January 1, 2022.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StudyLink. The unaudited pro forma information reflects the effects of applying the Company’s accounting policies and certain pro forma adjustments to the combined historical financial information of the Company and StudyLink. The pro forma adjustments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incremental amortization expense associated with the estimated fair value of identified intangible assets;</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incremental employee compensation expense for StudyLink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transaction costs; and</w:t>
      </w:r>
    </w:p>
    <w:p>
      <w:pPr>
        <w:pStyle w:val="TextBody"/>
        <w:bidi w:val="0"/>
        <w:spacing w:before="120" w:after="200"/>
        <w:jc w:val="left"/>
        <w:rPr>
          <w:color w:val="000000"/>
        </w:rPr>
      </w:pPr>
      <w:r>
        <w:rPr>
          <w:color w:val="000000"/>
        </w:rPr>
        <w:t>•</w:t>
      </w:r>
    </w:p>
    <w:p>
      <w:pPr>
        <w:pStyle w:val="TextBody"/>
        <w:bidi w:val="0"/>
        <w:spacing w:before="120" w:after="200"/>
        <w:jc w:val="left"/>
        <w:rPr>
          <w:rFonts w:ascii="Arial" w:hAnsi="Arial"/>
          <w:color w:val="000000"/>
          <w:sz w:val="20"/>
        </w:rPr>
      </w:pPr>
      <w:r>
        <w:rPr>
          <w:rFonts w:ascii="Arial" w:hAnsi="Arial"/>
          <w:color w:val="000000"/>
          <w:sz w:val="20"/>
        </w:rPr>
        <w:t>the estimated tax impact of the above items.</w:t>
      </w:r>
    </w:p>
    <w:tbl>
      <w:tblPr>
        <w:tblW w:w="7084" w:type="dxa"/>
        <w:jc w:val="left"/>
        <w:tblInd w:w="0" w:type="dxa"/>
        <w:tblLayout w:type="fixed"/>
        <w:tblCellMar>
          <w:top w:w="28" w:type="dxa"/>
          <w:left w:w="28" w:type="dxa"/>
          <w:bottom w:w="28" w:type="dxa"/>
          <w:right w:w="28" w:type="dxa"/>
        </w:tblCellMar>
      </w:tblPr>
      <w:tblGrid>
        <w:gridCol w:w="901"/>
        <w:gridCol w:w="146"/>
        <w:gridCol w:w="270"/>
        <w:gridCol w:w="962"/>
        <w:gridCol w:w="212"/>
        <w:gridCol w:w="187"/>
        <w:gridCol w:w="270"/>
        <w:gridCol w:w="962"/>
        <w:gridCol w:w="166"/>
        <w:gridCol w:w="146"/>
        <w:gridCol w:w="240"/>
        <w:gridCol w:w="908"/>
        <w:gridCol w:w="189"/>
        <w:gridCol w:w="166"/>
        <w:gridCol w:w="240"/>
        <w:gridCol w:w="908"/>
        <w:gridCol w:w="211"/>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Actual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Pro Forma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Actual</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Pro Forma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826"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9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84,869</w:t>
            </w:r>
          </w:p>
        </w:tc>
        <w:tc>
          <w:tcPr>
            <w:tcW w:w="212"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179,226</w:t>
            </w:r>
          </w:p>
        </w:tc>
        <w:tc>
          <w:tcPr>
            <w:tcW w:w="189"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182,714</w:t>
            </w:r>
          </w:p>
        </w:tc>
        <w:tc>
          <w:tcPr>
            <w:tcW w:w="211" w:type="dxa"/>
            <w:tcBorders/>
            <w:shd w:fill="CFF0FC" w:val="clear"/>
            <w:vAlign w:val="center"/>
          </w:tcPr>
          <w:p>
            <w:pPr>
              <w:pStyle w:val="TableContents"/>
              <w:bidi w:val="0"/>
              <w:spacing w:before="0" w:after="283"/>
              <w:jc w:val="left"/>
              <w:rPr/>
            </w:pPr>
            <w:r>
              <w:rPr/>
              <w:t> </w:t>
            </w:r>
          </w:p>
        </w:tc>
      </w:tr>
      <w:tr>
        <w:trPr/>
        <w:tc>
          <w:tcPr>
            <w:tcW w:w="9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(16,813</w:t>
            </w:r>
          </w:p>
        </w:tc>
        <w:tc>
          <w:tcPr>
            <w:tcW w:w="2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7"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(17,543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(20,496</w:t>
            </w:r>
          </w:p>
        </w:tc>
        <w:tc>
          <w:tcPr>
            <w:tcW w:w="18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(21,600</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00" w:after="283"/>
        <w:jc w:val="left"/>
        <w:rPr/>
      </w:pPr>
      <w:r>
        <w:rPr/>
        <w:t> </w:t>
      </w:r>
    </w:p>
    <w:p>
      <w:pPr>
        <w:pStyle w:val="TextBody"/>
        <w:bidi w:val="0"/>
        <w:spacing w:before="360" w:after="283"/>
        <w:jc w:val="left"/>
        <w:rPr>
          <w:rFonts w:ascii="Times New Roman" w:hAnsi="Times New Roman"/>
          <w:sz w:val="20"/>
        </w:rPr>
      </w:pPr>
      <w:bookmarkStart w:id="22" w:name="note_9"/>
      <w:bookmarkEnd w:id="22"/>
      <w:r>
        <w:rPr>
          <w:rFonts w:ascii="Arial" w:hAnsi="Arial"/>
          <w:b/>
          <w:color w:val="000000"/>
          <w:sz w:val="20"/>
        </w:rPr>
        <w:t>Note 9. Goodwill and Acquired Intangible Assets</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Goodwill</w:t>
      </w:r>
    </w:p>
    <w:p>
      <w:pPr>
        <w:pStyle w:val="TextBody"/>
        <w:bidi w:val="0"/>
        <w:spacing w:before="200" w:after="200"/>
        <w:jc w:val="left"/>
        <w:rPr>
          <w:rFonts w:ascii="Times New Roman" w:hAnsi="Times New Roman"/>
          <w:sz w:val="20"/>
        </w:rPr>
      </w:pPr>
      <w:r>
        <w:rPr>
          <w:rFonts w:ascii="Arial" w:hAnsi="Arial"/>
          <w:color w:val="000000"/>
          <w:sz w:val="20"/>
        </w:rPr>
        <w:t>The following table summarizes the changes in the carrying amount of goodwill as of the dates presented (in thousands):</w:t>
      </w:r>
      <w:r>
        <w:rPr>
          <w:rFonts w:ascii="Times New Roman" w:hAnsi="Times New Roman"/>
          <w:color w:val="000000"/>
          <w:sz w:val="20"/>
        </w:rPr>
        <w:t xml:space="preserve"> </w:t>
      </w:r>
    </w:p>
    <w:tbl>
      <w:tblPr>
        <w:tblW w:w="6950" w:type="dxa"/>
        <w:jc w:val="left"/>
        <w:tblInd w:w="0" w:type="dxa"/>
        <w:tblLayout w:type="fixed"/>
        <w:tblCellMar>
          <w:top w:w="28" w:type="dxa"/>
          <w:left w:w="28" w:type="dxa"/>
          <w:bottom w:w="28" w:type="dxa"/>
          <w:right w:w="28" w:type="dxa"/>
        </w:tblCellMar>
      </w:tblPr>
      <w:tblGrid>
        <w:gridCol w:w="3556"/>
        <w:gridCol w:w="146"/>
        <w:gridCol w:w="245"/>
        <w:gridCol w:w="925"/>
        <w:gridCol w:w="166"/>
        <w:gridCol w:w="146"/>
        <w:gridCol w:w="330"/>
        <w:gridCol w:w="1245"/>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121,646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97,766</w:t>
            </w:r>
          </w:p>
        </w:tc>
        <w:tc>
          <w:tcPr>
            <w:tcW w:w="19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Goodwill related to acquisitions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12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20,705</w:t>
            </w:r>
          </w:p>
        </w:tc>
        <w:tc>
          <w:tcPr>
            <w:tcW w:w="19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Arial" w:hAnsi="Arial"/>
          <w:b/>
          <w:i/>
          <w:color w:val="000000"/>
          <w:sz w:val="20"/>
        </w:rPr>
      </w:pPr>
      <w:r>
        <w:rPr>
          <w:rFonts w:ascii="Arial" w:hAnsi="Arial"/>
          <w:b/>
          <w:i/>
          <w:color w:val="000000"/>
          <w:sz w:val="20"/>
        </w:rPr>
        <w:t>Acquired Intangible Assets</w:t>
      </w:r>
    </w:p>
    <w:p>
      <w:pPr>
        <w:pStyle w:val="TextBody"/>
        <w:bidi w:val="0"/>
        <w:spacing w:before="200" w:after="200"/>
        <w:jc w:val="left"/>
        <w:rPr>
          <w:rFonts w:ascii="Times New Roman" w:hAnsi="Times New Roman"/>
          <w:sz w:val="20"/>
        </w:rPr>
      </w:pPr>
      <w:r>
        <w:rPr>
          <w:rFonts w:ascii="Arial" w:hAnsi="Arial"/>
          <w:color w:val="000000"/>
          <w:sz w:val="20"/>
        </w:rPr>
        <w:t>Acquired intangible assets subject to amortization consisted of the following (dollars in thousands):</w:t>
      </w:r>
      <w:r>
        <w:rPr>
          <w:rFonts w:ascii="Times New Roman" w:hAnsi="Times New Roman"/>
          <w:color w:val="000000"/>
          <w:sz w:val="20"/>
        </w:rPr>
        <w:t xml:space="preserve"> </w:t>
      </w:r>
    </w:p>
    <w:tbl>
      <w:tblPr>
        <w:tblW w:w="7732" w:type="dxa"/>
        <w:jc w:val="left"/>
        <w:tblInd w:w="0" w:type="dxa"/>
        <w:tblLayout w:type="fixed"/>
        <w:tblCellMar>
          <w:top w:w="28" w:type="dxa"/>
          <w:left w:w="28" w:type="dxa"/>
          <w:bottom w:w="28" w:type="dxa"/>
          <w:right w:w="28" w:type="dxa"/>
        </w:tblCellMar>
      </w:tblPr>
      <w:tblGrid>
        <w:gridCol w:w="2176"/>
        <w:gridCol w:w="146"/>
        <w:gridCol w:w="211"/>
        <w:gridCol w:w="796"/>
        <w:gridCol w:w="146"/>
        <w:gridCol w:w="146"/>
        <w:gridCol w:w="275"/>
        <w:gridCol w:w="985"/>
        <w:gridCol w:w="166"/>
        <w:gridCol w:w="146"/>
        <w:gridCol w:w="229"/>
        <w:gridCol w:w="866"/>
        <w:gridCol w:w="146"/>
        <w:gridCol w:w="146"/>
        <w:gridCol w:w="191"/>
        <w:gridCol w:w="770"/>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96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(23,894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4.31</w:t>
            </w:r>
          </w:p>
        </w:tc>
        <w:tc>
          <w:tcPr>
            <w:tcW w:w="19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Acquired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(17,573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85,764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10.48</w:t>
            </w:r>
          </w:p>
        </w:tc>
        <w:tc>
          <w:tcPr>
            <w:tcW w:w="191" w:type="dxa"/>
            <w:tcBorders/>
            <w:shd w:fill="FFFFFF" w:val="clear"/>
            <w:vAlign w:val="center"/>
          </w:tcPr>
          <w:p>
            <w:pPr>
              <w:pStyle w:val="TableContents"/>
              <w:bidi w:val="0"/>
              <w:spacing w:before="0" w:after="283"/>
              <w:jc w:val="left"/>
              <w:rPr/>
            </w:pPr>
            <w:r>
              <w:rPr/>
              <w:t> </w:t>
            </w:r>
          </w:p>
        </w:tc>
      </w:tr>
      <w:tr>
        <w:trPr/>
        <w:tc>
          <w:tcPr>
            <w:tcW w:w="21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Trade Name/Trademark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19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16"/>
        </w:rPr>
      </w:pPr>
      <w:r>
        <w:rPr>
          <w:rFonts w:ascii="Arial" w:hAnsi="Arial"/>
          <w:color w:val="000000"/>
          <w:sz w:val="16"/>
        </w:rPr>
        <w:t>* Includes $(1,670) thousand of foreign currency translation adjustments.</w:t>
      </w:r>
    </w:p>
    <w:p>
      <w:pPr>
        <w:pStyle w:val="TextBody"/>
        <w:bidi w:val="0"/>
        <w:spacing w:before="40" w:after="200"/>
        <w:jc w:val="left"/>
        <w:rPr>
          <w:rFonts w:ascii="Times New Roman" w:hAnsi="Times New Roman"/>
          <w:sz w:val="20"/>
        </w:rPr>
      </w:pPr>
      <w:r>
        <w:rPr>
          <w:rFonts w:ascii="Arial" w:hAnsi="Arial"/>
          <w:color w:val="000000"/>
          <w:sz w:val="16"/>
        </w:rPr>
        <w:t>** Includes $59</w:t>
      </w:r>
      <w:r>
        <w:rPr>
          <w:rFonts w:ascii="Times New Roman" w:hAnsi="Times New Roman"/>
          <w:color w:val="000000"/>
          <w:sz w:val="20"/>
        </w:rPr>
        <w:t xml:space="preserve"> </w:t>
      </w:r>
      <w:r>
        <w:rPr>
          <w:rFonts w:ascii="Arial" w:hAnsi="Arial"/>
          <w:color w:val="000000"/>
          <w:sz w:val="16"/>
        </w:rPr>
        <w:t>thousand of foreign currency translation adjustments.</w:t>
      </w:r>
    </w:p>
    <w:tbl>
      <w:tblPr>
        <w:tblW w:w="7644" w:type="dxa"/>
        <w:jc w:val="left"/>
        <w:tblInd w:w="0" w:type="dxa"/>
        <w:tblLayout w:type="fixed"/>
        <w:tblCellMar>
          <w:top w:w="28" w:type="dxa"/>
          <w:left w:w="28" w:type="dxa"/>
          <w:bottom w:w="28" w:type="dxa"/>
          <w:right w:w="28" w:type="dxa"/>
        </w:tblCellMar>
      </w:tblPr>
      <w:tblGrid>
        <w:gridCol w:w="2176"/>
        <w:gridCol w:w="146"/>
        <w:gridCol w:w="211"/>
        <w:gridCol w:w="796"/>
        <w:gridCol w:w="146"/>
        <w:gridCol w:w="146"/>
        <w:gridCol w:w="275"/>
        <w:gridCol w:w="985"/>
        <w:gridCol w:w="166"/>
        <w:gridCol w:w="146"/>
        <w:gridCol w:w="211"/>
        <w:gridCol w:w="796"/>
        <w:gridCol w:w="146"/>
        <w:gridCol w:w="146"/>
        <w:gridCol w:w="191"/>
        <w:gridCol w:w="770"/>
        <w:gridCol w:w="1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87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Life</w:t>
              <w:br/>
              <w:t>(Years)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Developed Technology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(21,446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18,178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19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Acquired Relationships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104,007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(14,143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89,864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7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11.04</w:t>
            </w:r>
          </w:p>
        </w:tc>
        <w:tc>
          <w:tcPr>
            <w:tcW w:w="191" w:type="dxa"/>
            <w:tcBorders/>
            <w:shd w:fill="FFFFFF" w:val="clear"/>
            <w:vAlign w:val="center"/>
          </w:tcPr>
          <w:p>
            <w:pPr>
              <w:pStyle w:val="TableContents"/>
              <w:bidi w:val="0"/>
              <w:spacing w:before="0" w:after="283"/>
              <w:jc w:val="left"/>
              <w:rPr/>
            </w:pPr>
            <w:r>
              <w:rPr/>
              <w:t> </w:t>
            </w:r>
          </w:p>
        </w:tc>
      </w:tr>
      <w:tr>
        <w:trPr/>
        <w:tc>
          <w:tcPr>
            <w:tcW w:w="217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Trade Name/Trademark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77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1.83</w:t>
            </w:r>
          </w:p>
        </w:tc>
        <w:tc>
          <w:tcPr>
            <w:tcW w:w="191"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143,767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108,178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16"/>
        </w:rPr>
      </w:pPr>
      <w:r>
        <w:rPr>
          <w:rFonts w:ascii="Arial" w:hAnsi="Arial"/>
          <w:color w:val="000000"/>
          <w:sz w:val="16"/>
        </w:rPr>
        <w:t>* Includes $(750) thousand of foreign currency translation adjustments.</w:t>
      </w:r>
    </w:p>
    <w:p>
      <w:pPr>
        <w:pStyle w:val="TextBody"/>
        <w:bidi w:val="0"/>
        <w:spacing w:before="40" w:after="283"/>
        <w:jc w:val="left"/>
        <w:rPr>
          <w:rFonts w:ascii="Times New Roman" w:hAnsi="Times New Roman"/>
          <w:sz w:val="20"/>
        </w:rPr>
      </w:pPr>
      <w:r>
        <w:rPr>
          <w:rFonts w:ascii="Arial" w:hAnsi="Arial"/>
          <w:color w:val="000000"/>
          <w:sz w:val="16"/>
        </w:rPr>
        <w:t>** Includes $(41) thousand of foreign currency translation adjustments.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Amortization expense for the three months ended June 30, 2024 and 2023</w:t>
      </w:r>
      <w:r>
        <w:rPr>
          <w:rFonts w:ascii="Times New Roman" w:hAnsi="Times New Roman"/>
          <w:color w:val="000000"/>
          <w:sz w:val="20"/>
        </w:rPr>
        <w:t xml:space="preserve"> </w:t>
      </w:r>
      <w:r>
        <w:rPr>
          <w:rFonts w:ascii="Arial" w:hAnsi="Arial"/>
          <w:color w:val="000000"/>
          <w:sz w:val="20"/>
        </w:rPr>
        <w:t>was $3.0</w:t>
      </w:r>
      <w:r>
        <w:rPr>
          <w:rFonts w:ascii="Times New Roman" w:hAnsi="Times New Roman"/>
          <w:color w:val="000000"/>
          <w:sz w:val="20"/>
        </w:rPr>
        <w:t xml:space="preserve"> </w:t>
      </w:r>
      <w:r>
        <w:rPr>
          <w:rFonts w:ascii="Arial" w:hAnsi="Arial"/>
          <w:color w:val="000000"/>
          <w:sz w:val="20"/>
        </w:rPr>
        <w:t>million and $3.0</w:t>
      </w:r>
      <w:r>
        <w:rPr>
          <w:rFonts w:ascii="Times New Roman" w:hAnsi="Times New Roman"/>
          <w:color w:val="000000"/>
          <w:sz w:val="20"/>
        </w:rPr>
        <w:t xml:space="preserve"> </w:t>
      </w:r>
      <w:r>
        <w:rPr>
          <w:rFonts w:ascii="Arial" w:hAnsi="Arial"/>
          <w:color w:val="000000"/>
          <w:sz w:val="20"/>
        </w:rPr>
        <w:t>million, respectively. Amortization expense for the six months ended June 30, 2024 and 2023</w:t>
      </w:r>
      <w:r>
        <w:rPr>
          <w:rFonts w:ascii="Times New Roman" w:hAnsi="Times New Roman"/>
          <w:color w:val="000000"/>
          <w:sz w:val="20"/>
        </w:rPr>
        <w:t xml:space="preserve"> </w:t>
      </w:r>
      <w:r>
        <w:rPr>
          <w:rFonts w:ascii="Arial" w:hAnsi="Arial"/>
          <w:color w:val="000000"/>
          <w:sz w:val="20"/>
        </w:rPr>
        <w:t>was $5.9</w:t>
      </w:r>
      <w:r>
        <w:rPr>
          <w:rFonts w:ascii="Times New Roman" w:hAnsi="Times New Roman"/>
          <w:color w:val="000000"/>
          <w:sz w:val="20"/>
        </w:rPr>
        <w:t xml:space="preserve"> </w:t>
      </w:r>
      <w:r>
        <w:rPr>
          <w:rFonts w:ascii="Arial" w:hAnsi="Arial"/>
          <w:color w:val="000000"/>
          <w:sz w:val="20"/>
        </w:rPr>
        <w:t>million and $5.8</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As of June 30, 2024, the estimated annual amortization expense of intangible assets for each of the next five years and thereafter is expected to be as follows (in thousands):</w:t>
      </w:r>
      <w:r>
        <w:rPr>
          <w:rFonts w:ascii="Times New Roman" w:hAnsi="Times New Roman"/>
          <w:color w:val="000000"/>
          <w:sz w:val="20"/>
        </w:rPr>
        <w:t xml:space="preserve"> </w:t>
      </w:r>
    </w:p>
    <w:tbl>
      <w:tblPr>
        <w:tblW w:w="4179" w:type="dxa"/>
        <w:jc w:val="left"/>
        <w:tblInd w:w="0" w:type="dxa"/>
        <w:tblLayout w:type="fixed"/>
        <w:tblCellMar>
          <w:top w:w="28" w:type="dxa"/>
          <w:left w:w="28" w:type="dxa"/>
          <w:bottom w:w="28" w:type="dxa"/>
          <w:right w:w="28" w:type="dxa"/>
        </w:tblCellMar>
      </w:tblPr>
      <w:tblGrid>
        <w:gridCol w:w="2701"/>
        <w:gridCol w:w="146"/>
        <w:gridCol w:w="239"/>
        <w:gridCol w:w="902"/>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br/>
              <w:t>Amortization</w:t>
              <w:b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Remaining of fiscal year 2024</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5,949</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12,153</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11,427</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10,854</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10,508</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2029</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9,674</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101,303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bookmarkStart w:id="23" w:name="note_10"/>
      <w:bookmarkEnd w:id="23"/>
      <w:r>
        <w:rPr>
          <w:rFonts w:ascii="Arial" w:hAnsi="Arial"/>
          <w:b/>
          <w:color w:val="000000"/>
          <w:sz w:val="20"/>
        </w:rPr>
        <w:t>Note 10. Debt</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2024 Revolving Credit Facility</w:t>
      </w:r>
    </w:p>
    <w:p>
      <w:pPr>
        <w:pStyle w:val="TextBody"/>
        <w:bidi w:val="0"/>
        <w:spacing w:before="200" w:after="200"/>
        <w:jc w:val="left"/>
        <w:rPr>
          <w:rFonts w:ascii="Times New Roman" w:hAnsi="Times New Roman"/>
          <w:sz w:val="20"/>
        </w:rPr>
      </w:pPr>
      <w:r>
        <w:rPr>
          <w:rFonts w:ascii="Arial" w:hAnsi="Arial"/>
          <w:color w:val="000000"/>
          <w:sz w:val="20"/>
        </w:rPr>
        <w:t>On February 23, 2024, the Company entered into an Amended and Restated Credit Agreement for a five-year senior secured revolving credit syndication loan (2024 Revolving Credit Facility) with four banks for a total commitment of $125.0</w:t>
      </w:r>
      <w:r>
        <w:rPr>
          <w:rFonts w:ascii="Times New Roman" w:hAnsi="Times New Roman"/>
          <w:color w:val="000000"/>
          <w:sz w:val="20"/>
        </w:rPr>
        <w:t xml:space="preserve"> </w:t>
      </w:r>
      <w:r>
        <w:rPr>
          <w:rFonts w:ascii="Arial" w:hAnsi="Arial"/>
          <w:color w:val="000000"/>
          <w:sz w:val="20"/>
        </w:rPr>
        <w:t>million. The 2024 Revolving Credit Facility provides for an incremental facility in an amount equal to $50.0</w:t>
      </w:r>
      <w:r>
        <w:rPr>
          <w:rFonts w:ascii="Times New Roman" w:hAnsi="Times New Roman"/>
          <w:color w:val="000000"/>
          <w:sz w:val="20"/>
        </w:rPr>
        <w:t xml:space="preserve"> </w:t>
      </w:r>
      <w:r>
        <w:rPr>
          <w:rFonts w:ascii="Arial" w:hAnsi="Arial"/>
          <w:color w:val="000000"/>
          <w:sz w:val="20"/>
        </w:rPr>
        <w:t>million plus 100% of Consolidated Adjusted EBITDA based on the most recent consolidated financial information. In addition, the 2024 Revolving Credit Facility includes a $10.0</w:t>
      </w:r>
      <w:r>
        <w:rPr>
          <w:rFonts w:ascii="Times New Roman" w:hAnsi="Times New Roman"/>
          <w:color w:val="000000"/>
          <w:sz w:val="20"/>
        </w:rPr>
        <w:t xml:space="preserve"> </w:t>
      </w:r>
      <w:r>
        <w:rPr>
          <w:rFonts w:ascii="Arial" w:hAnsi="Arial"/>
          <w:color w:val="000000"/>
          <w:sz w:val="20"/>
        </w:rPr>
        <w:t>million letter of credit sub-facility and a $5.0</w:t>
      </w:r>
      <w:r>
        <w:rPr>
          <w:rFonts w:ascii="Times New Roman" w:hAnsi="Times New Roman"/>
          <w:color w:val="000000"/>
          <w:sz w:val="20"/>
        </w:rPr>
        <w:t xml:space="preserve"> </w:t>
      </w:r>
      <w:r>
        <w:rPr>
          <w:rFonts w:ascii="Arial" w:hAnsi="Arial"/>
          <w:color w:val="000000"/>
          <w:sz w:val="20"/>
        </w:rPr>
        <w:t>million swingline sub-facility, with available borrowings under the 2024 Revolving Credit Facility reduced by the amount of any letters of credit and swingline borrowings outstanding from time to time. The 2024 Revolving Credit Facility is guaranteed by Flywire’s current and future material domestic subsidiaries.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2024 Revolving Credit Facility replaced the three-year senior secured revolving credit syndication loan (2021 Revolving Credit Facility) of $50.0</w:t>
      </w:r>
      <w:r>
        <w:rPr>
          <w:rFonts w:ascii="Times New Roman" w:hAnsi="Times New Roman"/>
          <w:color w:val="000000"/>
          <w:sz w:val="20"/>
        </w:rPr>
        <w:t xml:space="preserve"> </w:t>
      </w:r>
      <w:r>
        <w:rPr>
          <w:rFonts w:ascii="Arial" w:hAnsi="Arial"/>
          <w:color w:val="000000"/>
          <w:sz w:val="20"/>
        </w:rPr>
        <w:t>million entered into in July 2021, under which $50.0</w:t>
      </w:r>
      <w:r>
        <w:rPr>
          <w:rFonts w:ascii="Times New Roman" w:hAnsi="Times New Roman"/>
          <w:color w:val="000000"/>
          <w:sz w:val="20"/>
        </w:rPr>
        <w:t xml:space="preserve"> </w:t>
      </w:r>
      <w:r>
        <w:rPr>
          <w:rFonts w:ascii="Arial" w:hAnsi="Arial"/>
          <w:color w:val="000000"/>
          <w:sz w:val="20"/>
        </w:rPr>
        <w:t>million was available to Flywire as of December 31, 2023. Three of the lenders under the 2024 Revolving Credit Facility were existing lenders under the 2021 Revolving Credit Facility.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connection with the 2024 Revolving Credit Facility, the Company incurred debt issuance costs of $0.8</w:t>
      </w:r>
      <w:r>
        <w:rPr>
          <w:rFonts w:ascii="Times New Roman" w:hAnsi="Times New Roman"/>
          <w:color w:val="000000"/>
          <w:sz w:val="20"/>
        </w:rPr>
        <w:t xml:space="preserve"> </w:t>
      </w:r>
      <w:r>
        <w:rPr>
          <w:rFonts w:ascii="Arial" w:hAnsi="Arial"/>
          <w:color w:val="000000"/>
          <w:sz w:val="20"/>
        </w:rPr>
        <w:t>million. Debt issuance costs related to the 2024 Revolving Credit Facility are amortized on a straight-line basis over the contractual term of the agreement and are presented as a component of other assets on the Company's condensed consolidated balance sheets. Debt issuance costs of $0.1</w:t>
      </w:r>
      <w:r>
        <w:rPr>
          <w:rFonts w:ascii="Times New Roman" w:hAnsi="Times New Roman"/>
          <w:color w:val="000000"/>
          <w:sz w:val="20"/>
        </w:rPr>
        <w:t xml:space="preserve"> </w:t>
      </w:r>
      <w:r>
        <w:rPr>
          <w:rFonts w:ascii="Arial" w:hAnsi="Arial"/>
          <w:color w:val="000000"/>
          <w:sz w:val="20"/>
        </w:rPr>
        <w:t>million related to the 2021 Revolving Credit Facility will continue to be amortized on a straight-line basis over the contractual term of the new agreement and are presented as a component of other assets on the Company's condensed consolidated balance sheets. The exchange of the 2021 Revolving Credit Facility with the 2024 Revolving Credit Facility from the same lenders was accounted for as a modification.</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The 2024 Revolving Credit Facility consists of Alternate Base Rate (ABR) borrowings or Term Secured Overnight Financing Rate (SOFR) borrowings, at the Company’s option.</w:t>
      </w:r>
    </w:p>
    <w:p>
      <w:pPr>
        <w:pStyle w:val="TextBody"/>
        <w:bidi w:val="0"/>
        <w:spacing w:before="200" w:after="200"/>
        <w:jc w:val="left"/>
        <w:rPr>
          <w:rFonts w:ascii="Times New Roman" w:hAnsi="Times New Roman"/>
          <w:sz w:val="20"/>
        </w:rPr>
      </w:pPr>
      <w:r>
        <w:rPr>
          <w:rFonts w:ascii="Arial" w:hAnsi="Arial"/>
          <w:color w:val="000000"/>
          <w:sz w:val="20"/>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the Company’s consolidated total net leverage ratio as of the most recent consolidated financial information and ranges from 1.0% to 2.5%.</w:t>
      </w:r>
      <w:r>
        <w:rPr>
          <w:rFonts w:ascii="Times New Roman" w:hAnsi="Times New Roman"/>
          <w:color w:val="000000"/>
          <w:sz w:val="20"/>
        </w:rPr>
        <w:t xml:space="preserve"> </w:t>
      </w:r>
      <w:r>
        <w:rPr>
          <w:rFonts w:ascii="Arial" w:hAnsi="Arial"/>
          <w:color w:val="000000"/>
          <w:sz w:val="20"/>
        </w:rPr>
        <w:t>The 2024 Revolving Credit Facility incurs a commitment fee ranging from 0.25% to 0.35% based upon the Company’s consolidated total net leverage ratio as of the most recent consolidated financial information assessed on the average available commitment.</w:t>
      </w:r>
    </w:p>
    <w:p>
      <w:pPr>
        <w:pStyle w:val="TextBody"/>
        <w:bidi w:val="0"/>
        <w:spacing w:before="200" w:after="200"/>
        <w:jc w:val="left"/>
        <w:rPr>
          <w:rFonts w:ascii="Times New Roman" w:hAnsi="Times New Roman"/>
          <w:sz w:val="20"/>
        </w:rPr>
      </w:pPr>
      <w:r>
        <w:rPr>
          <w:rFonts w:ascii="Arial" w:hAnsi="Arial"/>
          <w:color w:val="000000"/>
          <w:sz w:val="20"/>
        </w:rPr>
        <w:t>The 2024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balance of the 2024 Revolving Credit Facility becoming immediately due and payable and termination of the commitments. The Company was in compliance with all covenants associated with the 2024 Revolving Credit Facility as of June 30, 2024.</w:t>
      </w:r>
    </w:p>
    <w:p>
      <w:pPr>
        <w:pStyle w:val="TextBody"/>
        <w:bidi w:val="0"/>
        <w:spacing w:before="200" w:after="200"/>
        <w:jc w:val="left"/>
        <w:rPr>
          <w:rFonts w:ascii="Arial" w:hAnsi="Arial"/>
          <w:b/>
          <w:i/>
          <w:color w:val="000000"/>
          <w:sz w:val="20"/>
        </w:rPr>
      </w:pPr>
      <w:r>
        <w:rPr>
          <w:rFonts w:ascii="Arial" w:hAnsi="Arial"/>
          <w:b/>
          <w:i/>
          <w:color w:val="000000"/>
          <w:sz w:val="20"/>
        </w:rPr>
        <w:t>2021 Revolving Credit Facility</w:t>
      </w:r>
    </w:p>
    <w:p>
      <w:pPr>
        <w:pStyle w:val="TextBody"/>
        <w:bidi w:val="0"/>
        <w:spacing w:before="200" w:after="200"/>
        <w:jc w:val="left"/>
        <w:rPr>
          <w:rFonts w:ascii="Times New Roman" w:hAnsi="Times New Roman"/>
          <w:sz w:val="20"/>
        </w:rPr>
      </w:pPr>
      <w:r>
        <w:rPr>
          <w:rFonts w:ascii="Arial" w:hAnsi="Arial"/>
          <w:color w:val="000000"/>
          <w:sz w:val="20"/>
        </w:rPr>
        <w:t>On July 29, 2021, the Company entered into the 2021 Revolving Credit Facility with three banks for a total commitment of $50.0</w:t>
      </w:r>
      <w:r>
        <w:rPr>
          <w:rFonts w:ascii="Times New Roman" w:hAnsi="Times New Roman"/>
          <w:color w:val="000000"/>
          <w:sz w:val="20"/>
        </w:rPr>
        <w:t xml:space="preserve"> </w:t>
      </w:r>
      <w:r>
        <w:rPr>
          <w:rFonts w:ascii="Arial" w:hAnsi="Arial"/>
          <w:color w:val="000000"/>
          <w:sz w:val="20"/>
        </w:rPr>
        <w:t>million. The 2021 Revolving Credit Facility included a $5.0</w:t>
      </w:r>
      <w:r>
        <w:rPr>
          <w:rFonts w:ascii="Times New Roman" w:hAnsi="Times New Roman"/>
          <w:color w:val="000000"/>
          <w:sz w:val="20"/>
        </w:rPr>
        <w:t xml:space="preserve"> </w:t>
      </w:r>
      <w:r>
        <w:rPr>
          <w:rFonts w:ascii="Arial" w:hAnsi="Arial"/>
          <w:color w:val="000000"/>
          <w:sz w:val="20"/>
        </w:rPr>
        <w:t>million letter of credit sub-facility and a $5.0</w:t>
      </w:r>
      <w:r>
        <w:rPr>
          <w:rFonts w:ascii="Times New Roman" w:hAnsi="Times New Roman"/>
          <w:color w:val="000000"/>
          <w:sz w:val="20"/>
        </w:rPr>
        <w:t xml:space="preserve"> </w:t>
      </w:r>
      <w:r>
        <w:rPr>
          <w:rFonts w:ascii="Arial" w:hAnsi="Arial"/>
          <w:color w:val="000000"/>
          <w:sz w:val="20"/>
        </w:rPr>
        <w:t>million swingline sub-facility, with available borrowings under the 2021 Revolving Credit Facility reduced by the amount of any letters of credit and swingline borrowings outstanding from time to time. The 2021 Revolving Credit Facility was guaranteed by Flywire’s material domestic subsidiaries.</w:t>
      </w:r>
    </w:p>
    <w:p>
      <w:pPr>
        <w:pStyle w:val="TextBody"/>
        <w:bidi w:val="0"/>
        <w:spacing w:before="200" w:after="200"/>
        <w:jc w:val="left"/>
        <w:rPr>
          <w:rFonts w:ascii="Arial" w:hAnsi="Arial"/>
          <w:color w:val="000000"/>
          <w:sz w:val="20"/>
        </w:rPr>
      </w:pPr>
      <w:r>
        <w:rPr>
          <w:rFonts w:ascii="Arial" w:hAnsi="Arial"/>
          <w:color w:val="000000"/>
          <w:sz w:val="20"/>
        </w:rPr>
        <w:t>The 2021 Revolving Credit Facility consisted of ABR loans or Eurodollar Borrowings, at the Company’s option.</w:t>
      </w:r>
    </w:p>
    <w:p>
      <w:pPr>
        <w:pStyle w:val="TextBody"/>
        <w:bidi w:val="0"/>
        <w:spacing w:before="200" w:after="200"/>
        <w:jc w:val="left"/>
        <w:rPr>
          <w:rFonts w:ascii="Arial" w:hAnsi="Arial"/>
          <w:color w:val="000000"/>
          <w:sz w:val="20"/>
        </w:rPr>
      </w:pPr>
      <w:r>
        <w:rPr>
          <w:rFonts w:ascii="Arial" w:hAnsi="Arial"/>
          <w:color w:val="000000"/>
          <w:sz w:val="20"/>
        </w:rPr>
        <w:t>On June 23, 2023, the Company executed the First Amendment to the 2021 Revolving Credit Facility to transition determination of the interest rate from the LIBOR benchmark rate to the SOFR benchmark rate effective June 30, 2023.</w:t>
      </w:r>
    </w:p>
    <w:p>
      <w:pPr>
        <w:pStyle w:val="TextBody"/>
        <w:bidi w:val="0"/>
        <w:spacing w:before="200" w:after="200"/>
        <w:jc w:val="left"/>
        <w:rPr>
          <w:rFonts w:ascii="Times New Roman" w:hAnsi="Times New Roman"/>
          <w:sz w:val="20"/>
        </w:rPr>
      </w:pPr>
      <w:r>
        <w:rPr>
          <w:rFonts w:ascii="Arial" w:hAnsi="Arial"/>
          <w:color w:val="000000"/>
          <w:sz w:val="20"/>
        </w:rPr>
        <w:t>As of June 30, 2024 and December 31, 2023, there was no</w:t>
      </w:r>
      <w:r>
        <w:rPr>
          <w:rFonts w:ascii="Times New Roman" w:hAnsi="Times New Roman"/>
          <w:color w:val="000000"/>
          <w:sz w:val="20"/>
        </w:rPr>
        <w:t xml:space="preserve"> </w:t>
      </w:r>
      <w:r>
        <w:rPr>
          <w:rFonts w:ascii="Arial" w:hAnsi="Arial"/>
          <w:color w:val="000000"/>
          <w:sz w:val="20"/>
        </w:rPr>
        <w:t>outstanding indebtedness under the 2024 Revolving Credit Facility or the 2021 Revolving Credit Facility.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Interest expense for each of the three months ended June 30, 2024 and 2023</w:t>
      </w:r>
      <w:r>
        <w:rPr>
          <w:rFonts w:ascii="Times New Roman" w:hAnsi="Times New Roman"/>
          <w:color w:val="000000"/>
          <w:sz w:val="20"/>
        </w:rPr>
        <w:t xml:space="preserve"> </w:t>
      </w:r>
      <w:r>
        <w:rPr>
          <w:rFonts w:ascii="Arial" w:hAnsi="Arial"/>
          <w:color w:val="000000"/>
          <w:sz w:val="20"/>
        </w:rPr>
        <w:t>was $0.1</w:t>
      </w:r>
      <w:r>
        <w:rPr>
          <w:rFonts w:ascii="Times New Roman" w:hAnsi="Times New Roman"/>
          <w:color w:val="000000"/>
          <w:sz w:val="20"/>
        </w:rPr>
        <w:t xml:space="preserve"> </w:t>
      </w:r>
      <w:r>
        <w:rPr>
          <w:rFonts w:ascii="Arial" w:hAnsi="Arial"/>
          <w:color w:val="000000"/>
          <w:sz w:val="20"/>
        </w:rPr>
        <w:t>million. Included in interest expense for each of the three months ended June 30, 2024 and 2023</w:t>
      </w:r>
      <w:r>
        <w:rPr>
          <w:rFonts w:ascii="Times New Roman" w:hAnsi="Times New Roman"/>
          <w:color w:val="000000"/>
          <w:sz w:val="20"/>
        </w:rPr>
        <w:t xml:space="preserve"> </w:t>
      </w:r>
      <w:r>
        <w:rPr>
          <w:rFonts w:ascii="Arial" w:hAnsi="Arial"/>
          <w:color w:val="000000"/>
          <w:sz w:val="20"/>
        </w:rPr>
        <w:t>is less than $0.1</w:t>
      </w:r>
      <w:r>
        <w:rPr>
          <w:rFonts w:ascii="Times New Roman" w:hAnsi="Times New Roman"/>
          <w:color w:val="000000"/>
          <w:sz w:val="20"/>
        </w:rPr>
        <w:t xml:space="preserve"> </w:t>
      </w:r>
      <w:r>
        <w:rPr>
          <w:rFonts w:ascii="Arial" w:hAnsi="Arial"/>
          <w:color w:val="000000"/>
          <w:sz w:val="20"/>
        </w:rPr>
        <w:t>million of amortization of debt issuance costs. Interest expense for the six months ended June 30, 2024 and 2023</w:t>
      </w:r>
      <w:r>
        <w:rPr>
          <w:rFonts w:ascii="Times New Roman" w:hAnsi="Times New Roman"/>
          <w:color w:val="000000"/>
          <w:sz w:val="20"/>
        </w:rPr>
        <w:t xml:space="preserve"> </w:t>
      </w:r>
      <w:r>
        <w:rPr>
          <w:rFonts w:ascii="Arial" w:hAnsi="Arial"/>
          <w:color w:val="000000"/>
          <w:sz w:val="20"/>
        </w:rPr>
        <w:t>was $0.3</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respectively. Included in interest expense for each of the six months ended June 30, 2024 and 2023</w:t>
      </w:r>
      <w:r>
        <w:rPr>
          <w:rFonts w:ascii="Times New Roman" w:hAnsi="Times New Roman"/>
          <w:color w:val="000000"/>
          <w:sz w:val="20"/>
        </w:rPr>
        <w:t xml:space="preserve"> </w:t>
      </w:r>
      <w:r>
        <w:rPr>
          <w:rFonts w:ascii="Arial" w:hAnsi="Arial"/>
          <w:color w:val="000000"/>
          <w:sz w:val="20"/>
        </w:rPr>
        <w:t>is $0.1</w:t>
      </w:r>
      <w:r>
        <w:rPr>
          <w:rFonts w:ascii="Times New Roman" w:hAnsi="Times New Roman"/>
          <w:color w:val="000000"/>
          <w:sz w:val="20"/>
        </w:rPr>
        <w:t xml:space="preserve"> </w:t>
      </w:r>
      <w:r>
        <w:rPr>
          <w:rFonts w:ascii="Arial" w:hAnsi="Arial"/>
          <w:color w:val="000000"/>
          <w:sz w:val="20"/>
        </w:rPr>
        <w:t>million of amortization of debt issuance costs.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Letter of Credit</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of June 30, 2024 and December 31, 2023, the Company had an outstanding and unused letter of credit in the amount of approximately $2.7</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respectively, for the purpose of protecting a third-party service provider against default on payroll payments. The letter of credit may be terminated at any time by the Company upon notice.</w:t>
      </w:r>
    </w:p>
    <w:p>
      <w:pPr>
        <w:pStyle w:val="TextBody"/>
        <w:bidi w:val="0"/>
        <w:spacing w:before="360" w:after="283"/>
        <w:jc w:val="left"/>
        <w:rPr>
          <w:rFonts w:ascii="Times New Roman" w:hAnsi="Times New Roman"/>
          <w:sz w:val="20"/>
        </w:rPr>
      </w:pPr>
      <w:bookmarkStart w:id="24" w:name="note_11"/>
      <w:bookmarkEnd w:id="24"/>
      <w:r>
        <w:rPr>
          <w:rFonts w:ascii="Arial" w:hAnsi="Arial"/>
          <w:b/>
          <w:color w:val="000000"/>
          <w:sz w:val="20"/>
        </w:rPr>
        <w:t>Note 11. Stockholders’ Equity</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Preferred Stock</w:t>
      </w:r>
    </w:p>
    <w:p>
      <w:pPr>
        <w:pStyle w:val="TextBody"/>
        <w:bidi w:val="0"/>
        <w:spacing w:before="200" w:after="200"/>
        <w:jc w:val="left"/>
        <w:rPr>
          <w:rFonts w:ascii="Times New Roman" w:hAnsi="Times New Roman"/>
          <w:sz w:val="20"/>
        </w:rPr>
      </w:pPr>
      <w:r>
        <w:rPr>
          <w:rFonts w:ascii="Arial" w:hAnsi="Arial"/>
          <w:color w:val="000000"/>
          <w:sz w:val="20"/>
        </w:rPr>
        <w:t>The Company’s current amended and restated certificate of incorporation, which was filed on May 28, 2021, authorizes the issuance of 10,000,000</w:t>
      </w:r>
      <w:r>
        <w:rPr>
          <w:rFonts w:ascii="Times New Roman" w:hAnsi="Times New Roman"/>
          <w:color w:val="000000"/>
          <w:sz w:val="20"/>
        </w:rPr>
        <w:t xml:space="preserve"> </w:t>
      </w:r>
      <w:r>
        <w:rPr>
          <w:rFonts w:ascii="Arial" w:hAnsi="Arial"/>
          <w:color w:val="000000"/>
          <w:sz w:val="20"/>
        </w:rPr>
        <w:t>shares of undesignated preferred stock with a par value of $0.0001</w:t>
      </w:r>
      <w:r>
        <w:rPr>
          <w:rFonts w:ascii="Times New Roman" w:hAnsi="Times New Roman"/>
          <w:color w:val="000000"/>
          <w:sz w:val="20"/>
        </w:rPr>
        <w:t xml:space="preserve"> </w:t>
      </w:r>
      <w:r>
        <w:rPr>
          <w:rFonts w:ascii="Arial" w:hAnsi="Arial"/>
          <w:color w:val="000000"/>
          <w:sz w:val="20"/>
        </w:rPr>
        <w:t>per share with rights and preferences, including voting rights, designated from time to time by the board of directors.</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Common Stock</w:t>
      </w:r>
    </w:p>
    <w:p>
      <w:pPr>
        <w:pStyle w:val="TextBody"/>
        <w:bidi w:val="0"/>
        <w:spacing w:before="200" w:after="200"/>
        <w:jc w:val="left"/>
        <w:rPr>
          <w:rFonts w:ascii="Times New Roman" w:hAnsi="Times New Roman"/>
          <w:sz w:val="20"/>
        </w:rPr>
      </w:pPr>
      <w:r>
        <w:rPr>
          <w:rFonts w:ascii="Arial" w:hAnsi="Arial"/>
          <w:color w:val="000000"/>
          <w:sz w:val="20"/>
        </w:rPr>
        <w:t>The Company’s current amended and restated certificate of incorporation authorizes the issuance of 2,000,000,000</w:t>
      </w:r>
      <w:r>
        <w:rPr>
          <w:rFonts w:ascii="Times New Roman" w:hAnsi="Times New Roman"/>
          <w:color w:val="000000"/>
          <w:sz w:val="20"/>
        </w:rPr>
        <w:t xml:space="preserve"> </w:t>
      </w:r>
      <w:r>
        <w:rPr>
          <w:rFonts w:ascii="Arial" w:hAnsi="Arial"/>
          <w:color w:val="000000"/>
          <w:sz w:val="20"/>
        </w:rPr>
        <w:t>shares of voting common stock with a par value of $0.0001</w:t>
      </w:r>
      <w:r>
        <w:rPr>
          <w:rFonts w:ascii="Times New Roman" w:hAnsi="Times New Roman"/>
          <w:color w:val="000000"/>
          <w:sz w:val="20"/>
        </w:rPr>
        <w:t xml:space="preserve"> </w:t>
      </w:r>
      <w:r>
        <w:rPr>
          <w:rFonts w:ascii="Arial" w:hAnsi="Arial"/>
          <w:color w:val="000000"/>
          <w:sz w:val="20"/>
        </w:rPr>
        <w:t>per share and 10,000,000</w:t>
      </w:r>
      <w:r>
        <w:rPr>
          <w:rFonts w:ascii="Times New Roman" w:hAnsi="Times New Roman"/>
          <w:color w:val="000000"/>
          <w:sz w:val="20"/>
        </w:rPr>
        <w:t xml:space="preserve"> </w:t>
      </w:r>
      <w:r>
        <w:rPr>
          <w:rFonts w:ascii="Arial" w:hAnsi="Arial"/>
          <w:color w:val="000000"/>
          <w:sz w:val="20"/>
        </w:rPr>
        <w:t>shares of non-voting common stock with a par value of $0.0001</w:t>
      </w:r>
      <w:r>
        <w:rPr>
          <w:rFonts w:ascii="Times New Roman" w:hAnsi="Times New Roman"/>
          <w:color w:val="000000"/>
          <w:sz w:val="20"/>
        </w:rPr>
        <w:t xml:space="preserve"> </w:t>
      </w:r>
      <w:r>
        <w:rPr>
          <w:rFonts w:ascii="Arial" w:hAnsi="Arial"/>
          <w:color w:val="000000"/>
          <w:sz w:val="20"/>
        </w:rPr>
        <w:t>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 xml:space="preserve">Holders of the Company's voting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transferred by the holder. Other than in the event of such transfers, shares of non-voting common stock shall not be convertible into any other security.</w:t>
      </w:r>
    </w:p>
    <w:p>
      <w:pPr>
        <w:pStyle w:val="TextBody"/>
        <w:bidi w:val="0"/>
        <w:spacing w:before="200" w:after="200"/>
        <w:jc w:val="left"/>
        <w:rPr>
          <w:rFonts w:ascii="Arial" w:hAnsi="Arial"/>
          <w:b/>
          <w:i/>
          <w:color w:val="000000"/>
          <w:sz w:val="20"/>
        </w:rPr>
      </w:pPr>
      <w:r>
        <w:rPr>
          <w:rFonts w:ascii="Arial" w:hAnsi="Arial"/>
          <w:b/>
          <w:i/>
          <w:color w:val="000000"/>
          <w:sz w:val="20"/>
        </w:rPr>
        <w:t>Treasury Stock</w:t>
      </w:r>
    </w:p>
    <w:p>
      <w:pPr>
        <w:pStyle w:val="TextBody"/>
        <w:bidi w:val="0"/>
        <w:spacing w:before="200" w:after="200"/>
        <w:jc w:val="left"/>
        <w:rPr>
          <w:rFonts w:ascii="Times New Roman" w:hAnsi="Times New Roman"/>
          <w:sz w:val="20"/>
        </w:rPr>
      </w:pPr>
      <w:r>
        <w:rPr>
          <w:rFonts w:ascii="Arial" w:hAnsi="Arial"/>
          <w:color w:val="000000"/>
          <w:sz w:val="20"/>
        </w:rPr>
        <w:t>The Company may issue treasury stock to cover the exercise of stock options and vesting of restricted stock units related to equity incentive plans. The Company issued 5,503</w:t>
      </w:r>
      <w:r>
        <w:rPr>
          <w:rFonts w:ascii="Times New Roman" w:hAnsi="Times New Roman"/>
          <w:color w:val="000000"/>
          <w:sz w:val="20"/>
        </w:rPr>
        <w:t xml:space="preserve"> </w:t>
      </w:r>
      <w:r>
        <w:rPr>
          <w:rFonts w:ascii="Arial" w:hAnsi="Arial"/>
          <w:color w:val="000000"/>
          <w:sz w:val="20"/>
        </w:rPr>
        <w:t>and 20,007</w:t>
      </w:r>
      <w:r>
        <w:rPr>
          <w:rFonts w:ascii="Times New Roman" w:hAnsi="Times New Roman"/>
          <w:color w:val="000000"/>
          <w:sz w:val="20"/>
        </w:rPr>
        <w:t xml:space="preserve"> </w:t>
      </w:r>
      <w:r>
        <w:rPr>
          <w:rFonts w:ascii="Arial" w:hAnsi="Arial"/>
          <w:color w:val="000000"/>
          <w:sz w:val="20"/>
        </w:rPr>
        <w:t>treasury shares at an average cost of $0.32</w:t>
      </w:r>
      <w:r>
        <w:rPr>
          <w:rFonts w:ascii="Times New Roman" w:hAnsi="Times New Roman"/>
          <w:color w:val="000000"/>
          <w:sz w:val="20"/>
        </w:rPr>
        <w:t xml:space="preserve"> </w:t>
      </w:r>
      <w:r>
        <w:rPr>
          <w:rFonts w:ascii="Arial" w:hAnsi="Arial"/>
          <w:color w:val="000000"/>
          <w:sz w:val="20"/>
        </w:rPr>
        <w:t>per share during the three and six months ended June 30, 2024, respectively. The Company did not issue any treasury shares during the three and six months ended June 30, 2023. The Company intends to issue treasury shares as long as an adequate number of those shares are available.</w:t>
      </w:r>
    </w:p>
    <w:p>
      <w:pPr>
        <w:pStyle w:val="TextBody"/>
        <w:bidi w:val="0"/>
        <w:spacing w:before="200" w:after="200"/>
        <w:jc w:val="left"/>
        <w:rPr>
          <w:rFonts w:ascii="Arial" w:hAnsi="Arial"/>
          <w:b/>
          <w:i/>
          <w:color w:val="000000"/>
          <w:sz w:val="20"/>
        </w:rPr>
      </w:pPr>
      <w:r>
        <w:rPr>
          <w:rFonts w:ascii="Arial" w:hAnsi="Arial"/>
          <w:b/>
          <w:i/>
          <w:color w:val="000000"/>
          <w:sz w:val="20"/>
        </w:rPr>
        <w:t>Comprehensive Loss</w:t>
      </w:r>
    </w:p>
    <w:p>
      <w:pPr>
        <w:pStyle w:val="TextBody"/>
        <w:bidi w:val="0"/>
        <w:spacing w:before="200" w:after="200"/>
        <w:jc w:val="left"/>
        <w:rPr>
          <w:rFonts w:ascii="Arial" w:hAnsi="Arial"/>
          <w:color w:val="000000"/>
          <w:sz w:val="20"/>
        </w:rPr>
      </w:pPr>
      <w:r>
        <w:rPr>
          <w:rFonts w:ascii="Arial" w:hAnsi="Arial"/>
          <w:color w:val="000000"/>
          <w:sz w:val="20"/>
        </w:rPr>
        <w:t>Comprehensive loss includes all changes in equity during the period and is comprised of net loss and other comprehensive income (loss). Accumulated other comprehensive income (AOCI) reported on the Company's condensed consolidated balance sheets for the period ending June 30, 2024 consists of foreign currency translation adjustment and the unrealized gains and losses, net of applicable taxes, on available-for-sale debt securities.</w:t>
      </w:r>
    </w:p>
    <w:p>
      <w:pPr>
        <w:pStyle w:val="TextBody"/>
        <w:bidi w:val="0"/>
        <w:spacing w:before="200" w:after="200"/>
        <w:jc w:val="left"/>
        <w:rPr>
          <w:rFonts w:ascii="Arial" w:hAnsi="Arial"/>
          <w:color w:val="000000"/>
          <w:sz w:val="20"/>
        </w:rPr>
      </w:pPr>
      <w:r>
        <w:rPr>
          <w:rFonts w:ascii="Arial" w:hAnsi="Arial"/>
          <w:color w:val="000000"/>
          <w:sz w:val="20"/>
        </w:rPr>
        <w:t>The following table summarizes the changes in AOCI for the three months ended June 30, 2024 (in thousands):</w:t>
      </w:r>
    </w:p>
    <w:tbl>
      <w:tblPr>
        <w:tblW w:w="10205" w:type="dxa"/>
        <w:jc w:val="left"/>
        <w:tblInd w:w="0" w:type="dxa"/>
        <w:tblLayout w:type="fixed"/>
        <w:tblCellMar>
          <w:top w:w="28" w:type="dxa"/>
          <w:left w:w="28" w:type="dxa"/>
          <w:bottom w:w="28" w:type="dxa"/>
          <w:right w:w="28" w:type="dxa"/>
        </w:tblCellMar>
      </w:tblPr>
      <w:tblGrid>
        <w:gridCol w:w="3937"/>
        <w:gridCol w:w="146"/>
        <w:gridCol w:w="647"/>
        <w:gridCol w:w="1157"/>
        <w:gridCol w:w="166"/>
        <w:gridCol w:w="146"/>
        <w:gridCol w:w="440"/>
        <w:gridCol w:w="883"/>
        <w:gridCol w:w="166"/>
        <w:gridCol w:w="146"/>
        <w:gridCol w:w="420"/>
        <w:gridCol w:w="691"/>
        <w:gridCol w:w="146"/>
        <w:gridCol w:w="146"/>
        <w:gridCol w:w="211"/>
        <w:gridCol w:w="421"/>
        <w:gridCol w:w="336"/>
      </w:tblGrid>
      <w:tr>
        <w:trPr/>
        <w:tc>
          <w:tcPr>
            <w:tcW w:w="3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br/>
              <w:t>(Losses) on Available-for-</w:t>
              <w:br/>
              <w:t>sale Debt</w:t>
              <w:br/>
              <w:t>Securities,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Foreign Currency</w:t>
              <w:br/>
              <w:t>Translation</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Tax</w:t>
              <w:br/>
              <w:t>(Expense)</w:t>
              <w:br/>
              <w:t>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6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3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 before reclassifications</w:t>
            </w:r>
          </w:p>
        </w:tc>
        <w:tc>
          <w:tcPr>
            <w:tcW w:w="146"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4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0"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336" w:type="dxa"/>
            <w:tcBorders/>
            <w:shd w:fill="FFFFFF" w:val="clear"/>
            <w:vAlign w:val="center"/>
          </w:tcPr>
          <w:p>
            <w:pPr>
              <w:pStyle w:val="TableContents"/>
              <w:bidi w:val="0"/>
              <w:spacing w:before="0" w:after="283"/>
              <w:ind w:left="0" w:right="0" w:firstLine="140"/>
              <w:jc w:val="left"/>
              <w:rPr/>
            </w:pPr>
            <w:r>
              <w:rPr/>
              <w:t> </w:t>
            </w:r>
          </w:p>
        </w:tc>
      </w:tr>
      <w:tr>
        <w:trPr/>
        <w:tc>
          <w:tcPr>
            <w:tcW w:w="3937"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Less: Amount of gain (loss) reclassified from AOCI</w:t>
            </w:r>
          </w:p>
        </w:tc>
        <w:tc>
          <w:tcPr>
            <w:tcW w:w="146" w:type="dxa"/>
            <w:tcBorders/>
            <w:shd w:fill="CFF0FC" w:val="cle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income (loss)</w:t>
            </w:r>
          </w:p>
        </w:tc>
        <w:tc>
          <w:tcPr>
            <w:tcW w:w="146" w:type="dxa"/>
            <w:tcBorders/>
            <w:shd w:fill="FFFFFF" w:val="cle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Arial" w:hAnsi="Arial"/>
          <w:color w:val="000000"/>
          <w:sz w:val="20"/>
        </w:rPr>
      </w:pPr>
      <w:r>
        <w:rPr>
          <w:rFonts w:ascii="Arial" w:hAnsi="Arial"/>
          <w:color w:val="000000"/>
          <w:sz w:val="20"/>
        </w:rPr>
        <w:t>The following table summarizes the changes in AOCI for the six months ended June 30, 2024 (in thousands):</w:t>
      </w:r>
    </w:p>
    <w:tbl>
      <w:tblPr>
        <w:tblW w:w="10205" w:type="dxa"/>
        <w:jc w:val="left"/>
        <w:tblInd w:w="0" w:type="dxa"/>
        <w:tblLayout w:type="fixed"/>
        <w:tblCellMar>
          <w:top w:w="28" w:type="dxa"/>
          <w:left w:w="28" w:type="dxa"/>
          <w:bottom w:w="28" w:type="dxa"/>
          <w:right w:w="28" w:type="dxa"/>
        </w:tblCellMar>
      </w:tblPr>
      <w:tblGrid>
        <w:gridCol w:w="3647"/>
        <w:gridCol w:w="146"/>
        <w:gridCol w:w="657"/>
        <w:gridCol w:w="1174"/>
        <w:gridCol w:w="166"/>
        <w:gridCol w:w="146"/>
        <w:gridCol w:w="328"/>
        <w:gridCol w:w="1007"/>
        <w:gridCol w:w="166"/>
        <w:gridCol w:w="146"/>
        <w:gridCol w:w="423"/>
        <w:gridCol w:w="696"/>
        <w:gridCol w:w="146"/>
        <w:gridCol w:w="146"/>
        <w:gridCol w:w="211"/>
        <w:gridCol w:w="646"/>
        <w:gridCol w:w="354"/>
      </w:tblGrid>
      <w:tr>
        <w:trPr/>
        <w:tc>
          <w:tcPr>
            <w:tcW w:w="3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br/>
              <w:t>(Losses) on Available-for-</w:t>
              <w:br/>
              <w:t>sale Debt</w:t>
              <w:br/>
              <w:t>Securities, net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Foreign Currency</w:t>
              <w:br/>
              <w:t>Translation</w:t>
              <w:br/>
              <w:t>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Tax</w:t>
              <w:br/>
              <w:t>(Expense)</w:t>
              <w:br/>
              <w:t>Benefit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Beginning balance</w:t>
            </w:r>
          </w:p>
        </w:tc>
        <w:tc>
          <w:tcPr>
            <w:tcW w:w="146" w:type="dxa"/>
            <w:tcBorders/>
            <w:shd w:fill="CFF0FC" w:val="clear"/>
            <w:vAlign w:val="center"/>
          </w:tcPr>
          <w:p>
            <w:pPr>
              <w:pStyle w:val="TableContents"/>
              <w:bidi w:val="0"/>
              <w:spacing w:before="0" w:after="283"/>
              <w:jc w:val="left"/>
              <w:rPr/>
            </w:pPr>
            <w:r>
              <w:rPr/>
              <w:t> </w:t>
            </w:r>
          </w:p>
        </w:tc>
        <w:tc>
          <w:tcPr>
            <w:tcW w:w="65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1,320</w:t>
            </w:r>
          </w:p>
        </w:tc>
        <w:tc>
          <w:tcPr>
            <w:tcW w:w="354" w:type="dxa"/>
            <w:tcBorders/>
            <w:shd w:fill="CFF0FC" w:val="clear"/>
            <w:vAlign w:val="center"/>
          </w:tcPr>
          <w:p>
            <w:pPr>
              <w:pStyle w:val="TableContents"/>
              <w:bidi w:val="0"/>
              <w:spacing w:before="0" w:after="283"/>
              <w:jc w:val="left"/>
              <w:rPr/>
            </w:pPr>
            <w:r>
              <w:rPr/>
              <w:t> </w:t>
            </w:r>
          </w:p>
        </w:tc>
      </w:tr>
      <w:tr>
        <w:trPr/>
        <w:tc>
          <w:tcPr>
            <w:tcW w:w="364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 before reclassifications</w:t>
            </w:r>
          </w:p>
        </w:tc>
        <w:tc>
          <w:tcPr>
            <w:tcW w:w="146"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8"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23"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(1,221</w:t>
            </w:r>
          </w:p>
        </w:tc>
        <w:tc>
          <w:tcPr>
            <w:tcW w:w="354"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3647"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Less: Amount of gain (loss) reclassified from AOCI</w:t>
            </w:r>
          </w:p>
        </w:tc>
        <w:tc>
          <w:tcPr>
            <w:tcW w:w="146" w:type="dxa"/>
            <w:tcBorders/>
            <w:shd w:fill="CFF0FC" w:val="cle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current period other comprehensive loss</w:t>
            </w:r>
          </w:p>
        </w:tc>
        <w:tc>
          <w:tcPr>
            <w:tcW w:w="146" w:type="dxa"/>
            <w:tcBorders/>
            <w:shd w:fill="FFFFFF" w:val="cle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(1,221</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6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Ending balance</w:t>
            </w:r>
          </w:p>
        </w:tc>
        <w:tc>
          <w:tcPr>
            <w:tcW w:w="146" w:type="dxa"/>
            <w:tcBorders/>
            <w:shd w:fill="CFF0FC" w:val="clear"/>
            <w:vAlign w:val="center"/>
          </w:tcPr>
          <w:p>
            <w:pPr>
              <w:pStyle w:val="TableContents"/>
              <w:bidi w:val="0"/>
              <w:spacing w:before="0" w:after="283"/>
              <w:jc w:val="left"/>
              <w:rPr/>
            </w:pPr>
            <w:r>
              <w:rPr/>
              <w:t> </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Arial" w:hAnsi="Arial"/>
          <w:color w:val="000000"/>
          <w:sz w:val="20"/>
        </w:rPr>
      </w:pPr>
      <w:r>
        <w:rPr>
          <w:rFonts w:ascii="Arial" w:hAnsi="Arial"/>
          <w:color w:val="000000"/>
          <w:sz w:val="20"/>
        </w:rPr>
        <w:t>Changes in AOCI for the three and six months ended June 30, 2023 consisted of foreign currency translation adjustment only. Refer to the Company's condensed consolidated statements of stockholders’ equity for the changes in AOCI for the three and six months ended June 30, 2023.</w:t>
      </w:r>
    </w:p>
    <w:p>
      <w:pPr>
        <w:pStyle w:val="TextBody"/>
        <w:bidi w:val="0"/>
        <w:spacing w:before="200" w:after="200"/>
        <w:jc w:val="left"/>
        <w:rPr>
          <w:rFonts w:ascii="Arial" w:hAnsi="Arial"/>
          <w:b/>
          <w:i/>
          <w:color w:val="000000"/>
          <w:sz w:val="20"/>
        </w:rPr>
      </w:pPr>
      <w:r>
        <w:rPr>
          <w:rFonts w:ascii="Arial" w:hAnsi="Arial"/>
          <w:b/>
          <w:i/>
          <w:color w:val="000000"/>
          <w:sz w:val="20"/>
        </w:rPr>
        <w:t>Reserved Shares of Common Stock for Future Issuance</w:t>
      </w:r>
    </w:p>
    <w:p>
      <w:pPr>
        <w:pStyle w:val="TextBody"/>
        <w:bidi w:val="0"/>
        <w:spacing w:before="200" w:after="200"/>
        <w:jc w:val="left"/>
        <w:rPr>
          <w:rFonts w:ascii="Arial" w:hAnsi="Arial"/>
          <w:color w:val="000000"/>
          <w:sz w:val="20"/>
        </w:rPr>
      </w:pPr>
      <w:r>
        <w:rPr>
          <w:rFonts w:ascii="Arial" w:hAnsi="Arial"/>
          <w:color w:val="000000"/>
          <w:sz w:val="20"/>
        </w:rPr>
        <w:t>As of June 30, 2024, the Company had reserved shares of common stock for future issuance as follows:</w:t>
      </w:r>
    </w:p>
    <w:tbl>
      <w:tblPr>
        <w:tblW w:w="6819" w:type="dxa"/>
        <w:jc w:val="left"/>
        <w:tblInd w:w="0" w:type="dxa"/>
        <w:tblLayout w:type="fixed"/>
        <w:tblCellMar>
          <w:top w:w="28" w:type="dxa"/>
          <w:left w:w="28" w:type="dxa"/>
          <w:bottom w:w="28" w:type="dxa"/>
          <w:right w:w="28" w:type="dxa"/>
        </w:tblCellMar>
      </w:tblPr>
      <w:tblGrid>
        <w:gridCol w:w="5416"/>
        <w:gridCol w:w="146"/>
        <w:gridCol w:w="1066"/>
        <w:gridCol w:w="19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Issued and outstanding stock options</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6,750,469</w:t>
            </w:r>
          </w:p>
        </w:tc>
        <w:tc>
          <w:tcPr>
            <w:tcW w:w="191" w:type="dxa"/>
            <w:tcBorders/>
            <w:shd w:fill="CFF0FC"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Issued and outstanding restricted stock units</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6,327,473</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Available for issuance under the 2021 Equity Incentive Plan</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17,725,359</w:t>
            </w:r>
          </w:p>
        </w:tc>
        <w:tc>
          <w:tcPr>
            <w:tcW w:w="191" w:type="dxa"/>
            <w:tcBorders/>
            <w:shd w:fill="CFF0FC"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Available for issuance under Employee Stock Purchase Plan</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4,720,458</w:t>
            </w:r>
          </w:p>
        </w:tc>
        <w:tc>
          <w:tcPr>
            <w:tcW w:w="191" w:type="dxa"/>
            <w:tcBorders/>
            <w:shd w:fill="FFFFFF" w:val="clear"/>
            <w:vAlign w:val="center"/>
          </w:tcPr>
          <w:p>
            <w:pPr>
              <w:pStyle w:val="TableContents"/>
              <w:bidi w:val="0"/>
              <w:spacing w:before="0" w:after="283"/>
              <w:jc w:val="left"/>
              <w:rPr/>
            </w:pPr>
            <w:r>
              <w:rPr/>
              <w:t> </w:t>
            </w:r>
          </w:p>
        </w:tc>
      </w:tr>
      <w:tr>
        <w:trPr/>
        <w:tc>
          <w:tcPr>
            <w:tcW w:w="54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Committed to settling employee retention</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83,996</w:t>
            </w:r>
          </w:p>
        </w:tc>
        <w:tc>
          <w:tcPr>
            <w:tcW w:w="191" w:type="dxa"/>
            <w:tcBorders/>
            <w:shd w:fill="CFF0FC" w:val="clear"/>
            <w:vAlign w:val="center"/>
          </w:tcPr>
          <w:p>
            <w:pPr>
              <w:pStyle w:val="TableContents"/>
              <w:bidi w:val="0"/>
              <w:spacing w:before="0" w:after="283"/>
              <w:jc w:val="left"/>
              <w:rPr/>
            </w:pPr>
            <w:r>
              <w:rPr/>
              <w:t> </w:t>
            </w:r>
          </w:p>
        </w:tc>
      </w:tr>
      <w:tr>
        <w:trPr/>
        <w:tc>
          <w:tcPr>
            <w:tcW w:w="54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Available for conversion of non-voting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1,873,320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37,481,075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25" w:name="note_12"/>
      <w:bookmarkEnd w:id="25"/>
      <w:r>
        <w:rPr>
          <w:rFonts w:ascii="Arial" w:hAnsi="Arial"/>
          <w:b/>
          <w:color w:val="000000"/>
          <w:sz w:val="20"/>
        </w:rPr>
        <w:t>Note 12.</w:t>
      </w:r>
      <w:r>
        <w:rPr>
          <w:rFonts w:ascii="Times New Roman" w:hAnsi="Times New Roman"/>
          <w:color w:val="000000"/>
          <w:sz w:val="20"/>
        </w:rPr>
        <w:t xml:space="preserve"> </w:t>
      </w:r>
      <w:r>
        <w:rPr>
          <w:rFonts w:ascii="Arial" w:hAnsi="Arial"/>
          <w:b/>
          <w:color w:val="000000"/>
          <w:sz w:val="20"/>
        </w:rPr>
        <w:t>Stock-Based Compensation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Equity Incentive Plan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April 2021, the Company’s board of directors adopted, and in May 2021 its stockholders approved the 2021 Equity Incentive Plan (the 2021 Plan).</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No further awards are being made under the Company’s 2009 Equity Incentive Plan, as amended (the 2009 Plan) or the Company’s 2018 Stock Incentive Plan (the 2018 Plan); however, awards outstanding under each of the 2009 Plan and 2018 Plan will continue to be governed by their existing terms. With the establishment of the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pStyle w:val="TextBody"/>
        <w:bidi w:val="0"/>
        <w:spacing w:before="200" w:after="200"/>
        <w:jc w:val="left"/>
        <w:rPr>
          <w:rFonts w:ascii="Times New Roman" w:hAnsi="Times New Roman"/>
          <w:sz w:val="20"/>
        </w:rPr>
      </w:pPr>
      <w:r>
        <w:rPr>
          <w:rFonts w:ascii="Arial" w:hAnsi="Arial"/>
          <w:color w:val="000000"/>
          <w:sz w:val="20"/>
        </w:rPr>
        <w:t>The 2021 Plan provides for the grant of incentive stock options, nonqualified stock options, stock appreciation rights, restricted stock awards, restricted stock units, performance awards and other forms of equity compensation (collectively, equity awards). A total of 26,116,754</w:t>
      </w:r>
      <w:r>
        <w:rPr>
          <w:rFonts w:ascii="Times New Roman" w:hAnsi="Times New Roman"/>
          <w:color w:val="000000"/>
          <w:sz w:val="20"/>
        </w:rPr>
        <w:t xml:space="preserve"> </w:t>
      </w:r>
      <w:r>
        <w:rPr>
          <w:rFonts w:ascii="Arial" w:hAnsi="Arial"/>
          <w:color w:val="000000"/>
          <w:sz w:val="20"/>
        </w:rPr>
        <w:t>shares of the Company’s common stock have been reserved for issuance under the 2021 Plan in addition to (i) any annual automatic evergreen increases in the number of shares of common stock reserved for issuance under the 2021 Plan and (ii) upon the expiration, forfeiture, cancellation, or reacquisition of any stock-based awards granted under the 2009 Plan or 2018 Plan, an equal number of shares of common stock will become available under the 2021 Plan.</w:t>
      </w:r>
    </w:p>
    <w:p>
      <w:pPr>
        <w:pStyle w:val="TextBody"/>
        <w:bidi w:val="0"/>
        <w:spacing w:before="200" w:after="200"/>
        <w:jc w:val="left"/>
        <w:rPr>
          <w:rFonts w:ascii="Times New Roman" w:hAnsi="Times New Roman"/>
          <w:sz w:val="20"/>
        </w:rPr>
      </w:pPr>
      <w:r>
        <w:rPr>
          <w:rFonts w:ascii="Arial" w:hAnsi="Arial"/>
          <w:color w:val="000000"/>
          <w:sz w:val="20"/>
        </w:rPr>
        <w:t>As of June 30, 2024, a total of 17,725,359</w:t>
      </w:r>
      <w:r>
        <w:rPr>
          <w:rFonts w:ascii="Times New Roman" w:hAnsi="Times New Roman"/>
          <w:color w:val="000000"/>
          <w:sz w:val="20"/>
        </w:rPr>
        <w:t xml:space="preserve"> </w:t>
      </w:r>
      <w:r>
        <w:rPr>
          <w:rFonts w:ascii="Arial" w:hAnsi="Arial"/>
          <w:color w:val="000000"/>
          <w:sz w:val="20"/>
        </w:rPr>
        <w:t>shares of the Company's common stock were available for future issuance under the 2021 Plan.</w:t>
      </w:r>
    </w:p>
    <w:p>
      <w:pPr>
        <w:pStyle w:val="TextBody"/>
        <w:bidi w:val="0"/>
        <w:spacing w:before="200" w:after="200"/>
        <w:jc w:val="left"/>
        <w:rPr>
          <w:rFonts w:ascii="Times New Roman" w:hAnsi="Times New Roman"/>
          <w:sz w:val="20"/>
        </w:rPr>
      </w:pPr>
      <w:r>
        <w:rPr>
          <w:rFonts w:ascii="Arial" w:hAnsi="Arial"/>
          <w:b/>
          <w:i/>
          <w:color w:val="000000"/>
          <w:sz w:val="20"/>
        </w:rPr>
        <w:t>Stock Options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Stock options granted under the 2009 Plan, 2018 Plan and the 2021 Plan generally vest based on continued service over four years</w:t>
      </w:r>
      <w:r>
        <w:rPr>
          <w:rFonts w:ascii="Times New Roman" w:hAnsi="Times New Roman"/>
          <w:color w:val="000000"/>
          <w:sz w:val="20"/>
        </w:rPr>
        <w:t xml:space="preserve"> </w:t>
      </w:r>
      <w:r>
        <w:rPr>
          <w:rFonts w:ascii="Arial" w:hAnsi="Arial"/>
          <w:color w:val="000000"/>
          <w:sz w:val="20"/>
        </w:rPr>
        <w:t>and expire within ten years</w:t>
      </w:r>
      <w:r>
        <w:rPr>
          <w:rFonts w:ascii="Times New Roman" w:hAnsi="Times New Roman"/>
          <w:color w:val="000000"/>
          <w:sz w:val="20"/>
        </w:rPr>
        <w:t xml:space="preserve"> </w:t>
      </w:r>
      <w:r>
        <w:rPr>
          <w:rFonts w:ascii="Arial" w:hAnsi="Arial"/>
          <w:color w:val="000000"/>
          <w:sz w:val="20"/>
        </w:rPr>
        <w:t>from the date of grant. Any options that are canceled or forfeited before expiration become available for future grants.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The Company did not grant any options to purchase shares of common stock during the three and six months ended June 30, 2024.</w:t>
      </w:r>
    </w:p>
    <w:p>
      <w:pPr>
        <w:pStyle w:val="TextBody"/>
        <w:bidi w:val="0"/>
        <w:spacing w:before="200" w:after="200"/>
        <w:jc w:val="left"/>
        <w:rPr>
          <w:rFonts w:ascii="Times New Roman" w:hAnsi="Times New Roman"/>
          <w:sz w:val="20"/>
        </w:rPr>
      </w:pPr>
      <w:r>
        <w:rPr>
          <w:rFonts w:ascii="Arial" w:hAnsi="Arial"/>
          <w:color w:val="000000"/>
          <w:sz w:val="20"/>
        </w:rPr>
        <w:t>As of June 30, 2024, there was $6.4</w:t>
      </w:r>
      <w:r>
        <w:rPr>
          <w:rFonts w:ascii="Times New Roman" w:hAnsi="Times New Roman"/>
          <w:color w:val="000000"/>
          <w:sz w:val="20"/>
        </w:rPr>
        <w:t xml:space="preserve"> </w:t>
      </w:r>
      <w:r>
        <w:rPr>
          <w:rFonts w:ascii="Arial" w:hAnsi="Arial"/>
          <w:color w:val="000000"/>
          <w:sz w:val="20"/>
        </w:rPr>
        <w:t>million of total unrecognized compensation expense related to unvested stock options, which is expected to be recognized over a weighted-average period of 0.96 years.</w:t>
      </w:r>
    </w:p>
    <w:p>
      <w:pPr>
        <w:pStyle w:val="TextBody"/>
        <w:bidi w:val="0"/>
        <w:spacing w:before="200" w:after="200"/>
        <w:jc w:val="left"/>
        <w:rPr>
          <w:rFonts w:ascii="Times New Roman" w:hAnsi="Times New Roman"/>
          <w:sz w:val="20"/>
        </w:rPr>
      </w:pPr>
      <w:r>
        <w:rPr>
          <w:rFonts w:ascii="Arial" w:hAnsi="Arial"/>
          <w:b/>
          <w:i/>
          <w:color w:val="000000"/>
          <w:sz w:val="20"/>
        </w:rPr>
        <w:t>Restricted Stock Units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Starting in 2021, the Company awarded restricted stock units to employees and certain non-employee board members under the 2021 Plan. During the three and six months ended June 30, 2024, the Company awarded restricted stock units covering an aggregate of 130,608</w:t>
      </w:r>
      <w:r>
        <w:rPr>
          <w:rFonts w:ascii="Times New Roman" w:hAnsi="Times New Roman"/>
          <w:color w:val="000000"/>
          <w:sz w:val="20"/>
        </w:rPr>
        <w:t xml:space="preserve"> </w:t>
      </w:r>
      <w:r>
        <w:rPr>
          <w:rFonts w:ascii="Arial" w:hAnsi="Arial"/>
          <w:color w:val="000000"/>
          <w:sz w:val="20"/>
        </w:rPr>
        <w:t>and 3,297,377</w:t>
      </w:r>
      <w:r>
        <w:rPr>
          <w:rFonts w:ascii="Times New Roman" w:hAnsi="Times New Roman"/>
          <w:color w:val="000000"/>
          <w:sz w:val="20"/>
        </w:rPr>
        <w:t xml:space="preserve"> </w:t>
      </w:r>
      <w:r>
        <w:rPr>
          <w:rFonts w:ascii="Arial" w:hAnsi="Arial"/>
          <w:color w:val="000000"/>
          <w:sz w:val="20"/>
        </w:rPr>
        <w:t>shares of common stock, respectively. The fair value of each restricted stock unit is estimated based on the fair value of the Company's common stock on the date of the grant. The restricted stock units vest over the requisite service period, which range between one</w:t>
      </w:r>
      <w:r>
        <w:rPr>
          <w:rFonts w:ascii="Times New Roman" w:hAnsi="Times New Roman"/>
          <w:color w:val="000000"/>
          <w:sz w:val="20"/>
        </w:rPr>
        <w:t xml:space="preserve"> </w:t>
      </w:r>
      <w:r>
        <w:rPr>
          <w:rFonts w:ascii="Arial" w:hAnsi="Arial"/>
          <w:color w:val="000000"/>
          <w:sz w:val="20"/>
        </w:rPr>
        <w:t>and four years</w:t>
      </w:r>
      <w:r>
        <w:rPr>
          <w:rFonts w:ascii="Times New Roman" w:hAnsi="Times New Roman"/>
          <w:color w:val="000000"/>
          <w:sz w:val="20"/>
        </w:rPr>
        <w:t xml:space="preserve"> </w:t>
      </w:r>
      <w:r>
        <w:rPr>
          <w:rFonts w:ascii="Arial" w:hAnsi="Arial"/>
          <w:color w:val="000000"/>
          <w:sz w:val="20"/>
        </w:rPr>
        <w:t>from the date of the grant, subject to the continued employment of the employees and service of the non-employee board members.</w:t>
      </w:r>
    </w:p>
    <w:p>
      <w:pPr>
        <w:pStyle w:val="TextBody"/>
        <w:bidi w:val="0"/>
        <w:spacing w:before="200" w:after="200"/>
        <w:jc w:val="left"/>
        <w:rPr>
          <w:rFonts w:ascii="Times New Roman" w:hAnsi="Times New Roman"/>
          <w:sz w:val="20"/>
        </w:rPr>
      </w:pPr>
      <w:r>
        <w:rPr>
          <w:rFonts w:ascii="Arial" w:hAnsi="Arial"/>
          <w:color w:val="000000"/>
          <w:sz w:val="20"/>
        </w:rPr>
        <w:t>As of June 30, 2024, there was $142.7</w:t>
      </w:r>
      <w:r>
        <w:rPr>
          <w:rFonts w:ascii="Times New Roman" w:hAnsi="Times New Roman"/>
          <w:color w:val="000000"/>
          <w:sz w:val="20"/>
        </w:rPr>
        <w:t xml:space="preserve"> </w:t>
      </w:r>
      <w:r>
        <w:rPr>
          <w:rFonts w:ascii="Arial" w:hAnsi="Arial"/>
          <w:color w:val="000000"/>
          <w:sz w:val="20"/>
        </w:rPr>
        <w:t>million of total unrecognized compensation expense related to unvested restricted stock units, which is expected to be recognized over a weighted-average period of 3.11 years.</w:t>
      </w:r>
    </w:p>
    <w:p>
      <w:pPr>
        <w:pStyle w:val="TextBody"/>
        <w:bidi w:val="0"/>
        <w:spacing w:before="200" w:after="200"/>
        <w:jc w:val="left"/>
        <w:rPr>
          <w:rFonts w:ascii="Arial" w:hAnsi="Arial"/>
          <w:b/>
          <w:i/>
          <w:color w:val="000000"/>
          <w:sz w:val="20"/>
        </w:rPr>
      </w:pPr>
      <w:r>
        <w:rPr>
          <w:rFonts w:ascii="Arial" w:hAnsi="Arial"/>
          <w:b/>
          <w:i/>
          <w:color w:val="000000"/>
          <w:sz w:val="20"/>
        </w:rPr>
        <w:t>Employee Stock Purchase Plan</w:t>
      </w:r>
    </w:p>
    <w:p>
      <w:pPr>
        <w:pStyle w:val="TextBody"/>
        <w:bidi w:val="0"/>
        <w:spacing w:before="200" w:after="200"/>
        <w:jc w:val="left"/>
        <w:rPr>
          <w:rFonts w:ascii="Times New Roman" w:hAnsi="Times New Roman"/>
          <w:sz w:val="20"/>
        </w:rPr>
      </w:pPr>
      <w:r>
        <w:rPr>
          <w:rFonts w:ascii="Arial" w:hAnsi="Arial"/>
          <w:color w:val="000000"/>
          <w:sz w:val="20"/>
        </w:rPr>
        <w:t>In April 2021, the Company’s board of directors adopted, and in May 2021 its stockholders approved, the 2021 Employee Stock Purchase Plan (ESPP), which became effective on May 28, 2021. The ESPP authorizes the issuance of shares of common stock pursuant to purchase rights granted to "eligible employees". A total of 5,082,470</w:t>
      </w:r>
      <w:r>
        <w:rPr>
          <w:rFonts w:ascii="Times New Roman" w:hAnsi="Times New Roman"/>
          <w:color w:val="000000"/>
          <w:sz w:val="20"/>
        </w:rPr>
        <w:t xml:space="preserve"> </w:t>
      </w:r>
      <w:r>
        <w:rPr>
          <w:rFonts w:ascii="Arial" w:hAnsi="Arial"/>
          <w:color w:val="000000"/>
          <w:sz w:val="20"/>
        </w:rPr>
        <w:t>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15% of their eligible compensation. Offering periods are generally 6 months long.</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As of June 30, 2024, a total of 4,720,458</w:t>
      </w:r>
      <w:r>
        <w:rPr>
          <w:rFonts w:ascii="Times New Roman" w:hAnsi="Times New Roman"/>
          <w:color w:val="000000"/>
          <w:sz w:val="20"/>
        </w:rPr>
        <w:t xml:space="preserve"> </w:t>
      </w:r>
      <w:r>
        <w:rPr>
          <w:rFonts w:ascii="Arial" w:hAnsi="Arial"/>
          <w:color w:val="000000"/>
          <w:sz w:val="20"/>
        </w:rPr>
        <w:t>shares of the Company's common stock were available for future issuance under the ESPP.</w:t>
      </w:r>
    </w:p>
    <w:p>
      <w:pPr>
        <w:pStyle w:val="TextBody"/>
        <w:bidi w:val="0"/>
        <w:spacing w:before="200" w:after="200"/>
        <w:jc w:val="left"/>
        <w:rPr>
          <w:rFonts w:ascii="Times New Roman" w:hAnsi="Times New Roman"/>
          <w:sz w:val="20"/>
        </w:rPr>
      </w:pPr>
      <w:r>
        <w:rPr>
          <w:rFonts w:ascii="Arial" w:hAnsi="Arial"/>
          <w:color w:val="000000"/>
          <w:sz w:val="20"/>
        </w:rPr>
        <w:t>As of June 30, 2024, there was no</w:t>
      </w:r>
      <w:r>
        <w:rPr>
          <w:rFonts w:ascii="Times New Roman" w:hAnsi="Times New Roman"/>
          <w:color w:val="000000"/>
          <w:sz w:val="20"/>
        </w:rPr>
        <w:t xml:space="preserve"> </w:t>
      </w:r>
      <w:r>
        <w:rPr>
          <w:rFonts w:ascii="Arial" w:hAnsi="Arial"/>
          <w:color w:val="000000"/>
          <w:sz w:val="20"/>
        </w:rPr>
        <w:t>unrecognized compensation expense related to the ESPP.</w:t>
      </w:r>
    </w:p>
    <w:p>
      <w:pPr>
        <w:pStyle w:val="TextBody"/>
        <w:bidi w:val="0"/>
        <w:spacing w:before="200" w:after="200"/>
        <w:jc w:val="left"/>
        <w:rPr>
          <w:rFonts w:ascii="Arial" w:hAnsi="Arial"/>
          <w:b/>
          <w:i/>
          <w:color w:val="000000"/>
          <w:sz w:val="20"/>
        </w:rPr>
      </w:pPr>
      <w:r>
        <w:rPr>
          <w:rFonts w:ascii="Arial" w:hAnsi="Arial"/>
          <w:b/>
          <w:i/>
          <w:color w:val="000000"/>
          <w:sz w:val="20"/>
        </w:rPr>
        <w:t>Stock-Based Compensation Costs</w:t>
      </w:r>
    </w:p>
    <w:p>
      <w:pPr>
        <w:pStyle w:val="TextBody"/>
        <w:bidi w:val="0"/>
        <w:spacing w:before="200" w:after="200"/>
        <w:jc w:val="left"/>
        <w:rPr>
          <w:rFonts w:ascii="Times New Roman" w:hAnsi="Times New Roman"/>
          <w:sz w:val="20"/>
        </w:rPr>
      </w:pPr>
      <w:r>
        <w:rPr>
          <w:rFonts w:ascii="Arial" w:hAnsi="Arial"/>
          <w:color w:val="000000"/>
          <w:sz w:val="20"/>
        </w:rPr>
        <w:t>The following table summarizes the stock-based compensation expense for (i) stock options and restricted stock units granted to employees and non-employee board members and (ii) ESPP shares that were purchased by employees that were recorded in the Company’s condensed consolidated statements of operations and comprehensive loss</w:t>
      </w:r>
      <w:r>
        <w:rPr>
          <w:rFonts w:ascii="Times New Roman" w:hAnsi="Times New Roman"/>
          <w:color w:val="000000"/>
          <w:sz w:val="20"/>
        </w:rPr>
        <w:t xml:space="preserve"> </w:t>
      </w:r>
      <w:r>
        <w:rPr>
          <w:rFonts w:ascii="Arial" w:hAnsi="Arial"/>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3841"/>
        <w:gridCol w:w="146"/>
        <w:gridCol w:w="292"/>
        <w:gridCol w:w="960"/>
        <w:gridCol w:w="146"/>
        <w:gridCol w:w="146"/>
        <w:gridCol w:w="292"/>
        <w:gridCol w:w="960"/>
        <w:gridCol w:w="146"/>
        <w:gridCol w:w="146"/>
        <w:gridCol w:w="292"/>
        <w:gridCol w:w="960"/>
        <w:gridCol w:w="146"/>
        <w:gridCol w:w="146"/>
        <w:gridCol w:w="292"/>
        <w:gridCol w:w="960"/>
        <w:gridCol w:w="334"/>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w:t>
              <w:br/>
              <w:t>Months Ended</w:t>
              <w:b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w:t>
              <w:br/>
              <w:t>Months Ended</w:t>
              <w:br/>
              <w:t>June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w:t>
              <w:br/>
              <w:t>Months Ended</w:t>
              <w:b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w:t>
              <w:br/>
              <w:t>Months Ended</w:t>
              <w:br/>
              <w:t>June 30, 2023</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Technology and development</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3,968</w:t>
            </w:r>
          </w:p>
        </w:tc>
        <w:tc>
          <w:tcPr>
            <w:tcW w:w="334" w:type="dxa"/>
            <w:tcBorders/>
            <w:shd w:fill="CFF0FC"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Selling and marketing</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4,660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9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5,731</w:t>
            </w:r>
          </w:p>
        </w:tc>
        <w:tc>
          <w:tcPr>
            <w:tcW w:w="334"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10,280</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384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19,979</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Arial" w:hAnsi="Arial"/>
          <w:color w:val="000000"/>
          <w:sz w:val="20"/>
        </w:rPr>
        <w:t>On November 6, 2023, the Company entered into a Transition Agreement with its previous Chief Financial Officer (Prior CFO). Pursuant to the terms of the Transition Agreement (including the receipt by the Company of a release from the Prior CFO), the Company agreed to modify its Prior CFO's outstanding stock options and restricted stock units to (i) accelerate vesting for nine months from the date of the termination of the Prior CFOs employment with the Company (the Separation Date), and (ii) extend the exercise period of his vested nonqualified stock options from ninety days to one year following the Separation Date. To receive these benefits, the Prior CFO had to remain employed through March 31, 2024. As a result of this modification, the Company recognized additional compensation expense of $1.3</w:t>
      </w:r>
      <w:r>
        <w:rPr>
          <w:rFonts w:ascii="Times New Roman" w:hAnsi="Times New Roman"/>
          <w:color w:val="000000"/>
          <w:sz w:val="20"/>
        </w:rPr>
        <w:t xml:space="preserve"> </w:t>
      </w:r>
      <w:r>
        <w:rPr>
          <w:rFonts w:ascii="Arial" w:hAnsi="Arial"/>
          <w:color w:val="000000"/>
          <w:sz w:val="20"/>
        </w:rPr>
        <w:t>million during the three and six months ended June 30, 2024.</w:t>
      </w:r>
    </w:p>
    <w:p>
      <w:pPr>
        <w:pStyle w:val="TextBody"/>
        <w:bidi w:val="0"/>
        <w:spacing w:before="360" w:after="283"/>
        <w:jc w:val="left"/>
        <w:rPr>
          <w:rFonts w:ascii="Times New Roman" w:hAnsi="Times New Roman"/>
          <w:sz w:val="20"/>
        </w:rPr>
      </w:pPr>
      <w:bookmarkStart w:id="26" w:name="note_13"/>
      <w:bookmarkEnd w:id="26"/>
      <w:r>
        <w:rPr>
          <w:rFonts w:ascii="Arial" w:hAnsi="Arial"/>
          <w:b/>
          <w:color w:val="000000"/>
          <w:sz w:val="20"/>
        </w:rPr>
        <w:t>Note 13. Net Loss per Share</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Basic net loss per share attributable to common stockholders is computed by dividing the net loss attributable to common stockholders by the weighted-average number of shares of common stock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weighted-average number of common shares outstanding, including all potentially dilutive common shares, if the effect of such shares is dilutive.</w:t>
      </w:r>
    </w:p>
    <w:p>
      <w:pPr>
        <w:pStyle w:val="TextBody"/>
        <w:bidi w:val="0"/>
        <w:spacing w:before="200" w:after="200"/>
        <w:jc w:val="left"/>
        <w:rPr>
          <w:rFonts w:ascii="Arial" w:hAnsi="Arial"/>
          <w:color w:val="000000"/>
          <w:sz w:val="20"/>
        </w:rPr>
      </w:pPr>
      <w:r>
        <w:rPr>
          <w:rFonts w:ascii="Arial" w:hAnsi="Arial"/>
          <w:color w:val="000000"/>
          <w:sz w:val="20"/>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three and six months ended June 30, 2024 and 2023; accordingly, basic net loss per share attributable to common stockholders was the same as diluted net loss per share attributable to common stockholders.</w:t>
      </w:r>
    </w:p>
    <w:p>
      <w:pPr>
        <w:pStyle w:val="TextBody"/>
        <w:bidi w:val="0"/>
        <w:spacing w:before="200" w:after="200"/>
        <w:jc w:val="left"/>
        <w:rPr>
          <w:rFonts w:ascii="Arial" w:hAnsi="Arial"/>
          <w:color w:val="000000"/>
          <w:sz w:val="20"/>
        </w:rPr>
      </w:pPr>
      <w:r>
        <w:rPr>
          <w:rFonts w:ascii="Arial" w:hAnsi="Arial"/>
          <w:color w:val="000000"/>
          <w:sz w:val="20"/>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loss per share attributable to common stockholders are, therefore, the same for both voting and non-voting common stock on both individual and combined basis.</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Basic and diluted net loss per share attributable to common stockholders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104"/>
        <w:gridCol w:w="146"/>
        <w:gridCol w:w="211"/>
        <w:gridCol w:w="1171"/>
        <w:gridCol w:w="166"/>
        <w:gridCol w:w="146"/>
        <w:gridCol w:w="211"/>
        <w:gridCol w:w="1171"/>
        <w:gridCol w:w="166"/>
        <w:gridCol w:w="146"/>
        <w:gridCol w:w="211"/>
        <w:gridCol w:w="1171"/>
        <w:gridCol w:w="166"/>
        <w:gridCol w:w="146"/>
        <w:gridCol w:w="211"/>
        <w:gridCol w:w="1171"/>
        <w:gridCol w:w="491"/>
      </w:tblGrid>
      <w:tr>
        <w:trPr/>
        <w:tc>
          <w:tcPr>
            <w:tcW w:w="3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10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Numerator:</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82"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80"/>
              <w:jc w:val="right"/>
              <w:rPr/>
            </w:pPr>
            <w:r>
              <w:rPr/>
              <w:t> </w:t>
            </w:r>
          </w:p>
        </w:tc>
      </w:tr>
      <w:tr>
        <w:trPr/>
        <w:tc>
          <w:tcPr>
            <w:tcW w:w="3104" w:type="dxa"/>
            <w:tcBorders/>
            <w:shd w:fill="FFFFFF" w:val="clear"/>
            <w:vAlign w:val="center"/>
          </w:tcPr>
          <w:p>
            <w:pPr>
              <w:pStyle w:val="TableContents"/>
              <w:bidi w:val="0"/>
              <w:spacing w:before="0" w:after="283"/>
              <w:ind w:left="280" w:right="0" w:firstLine="280"/>
              <w:jc w:val="left"/>
              <w:rPr>
                <w:rFonts w:ascii="Arial" w:hAnsi="Arial"/>
                <w:color w:val="000000"/>
                <w:sz w:val="19"/>
              </w:rPr>
            </w:pPr>
            <w:r>
              <w:rPr>
                <w:rFonts w:ascii="Arial" w:hAnsi="Arial"/>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(20,496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3104" w:type="dxa"/>
            <w:tcBorders/>
            <w:shd w:fill="CFF0FC" w:val="clear"/>
            <w:vAlign w:val="center"/>
          </w:tcPr>
          <w:p>
            <w:pPr>
              <w:pStyle w:val="TableContents"/>
              <w:bidi w:val="0"/>
              <w:spacing w:before="0" w:after="283"/>
              <w:ind w:left="280" w:right="0" w:firstLine="280"/>
              <w:jc w:val="left"/>
              <w:rPr>
                <w:rFonts w:ascii="Arial" w:hAnsi="Arial"/>
                <w:color w:val="000000"/>
                <w:sz w:val="19"/>
              </w:rPr>
            </w:pPr>
            <w:r>
              <w:rPr>
                <w:rFonts w:ascii="Arial" w:hAnsi="Arial"/>
                <w:color w:val="000000"/>
                <w:sz w:val="19"/>
              </w:rPr>
              <w:t xml:space="preserve">Net loss attributable to common stockholders - basic </w:t>
              <w:br/>
              <w:t>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(16,813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(20,097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(20,496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104"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Denominator:</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82"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80"/>
              <w:jc w:val="right"/>
              <w:rPr/>
            </w:pPr>
            <w:r>
              <w:rPr/>
              <w:t> </w:t>
            </w:r>
          </w:p>
        </w:tc>
      </w:tr>
      <w:tr>
        <w:trPr/>
        <w:tc>
          <w:tcPr>
            <w:tcW w:w="3104" w:type="dxa"/>
            <w:tcBorders/>
            <w:shd w:fill="CFF0FC" w:val="clear"/>
            <w:vAlign w:val="center"/>
          </w:tcPr>
          <w:p>
            <w:pPr>
              <w:pStyle w:val="TableContents"/>
              <w:bidi w:val="0"/>
              <w:spacing w:before="0" w:after="283"/>
              <w:ind w:left="280" w:right="0" w:firstLine="280"/>
              <w:jc w:val="left"/>
              <w:rPr>
                <w:rFonts w:ascii="Arial" w:hAnsi="Arial"/>
                <w:color w:val="000000"/>
                <w:sz w:val="19"/>
              </w:rPr>
            </w:pPr>
            <w:r>
              <w:rPr>
                <w:rFonts w:ascii="Arial" w:hAnsi="Arial"/>
                <w:color w:val="000000"/>
                <w:sz w:val="19"/>
              </w:rPr>
              <w:t>Weighted average common shares outstanding -</w:t>
              <w:br/>
              <w:t>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124,562,015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111,133,221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123,859,762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110,464,092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04" w:type="dxa"/>
            <w:tcBorders/>
            <w:shd w:fill="FFFFFF" w:val="clear"/>
            <w:vAlign w:val="center"/>
          </w:tcPr>
          <w:p>
            <w:pPr>
              <w:pStyle w:val="TableContents"/>
              <w:bidi w:val="0"/>
              <w:spacing w:before="0" w:after="283"/>
              <w:ind w:left="280" w:right="0" w:firstLine="280"/>
              <w:jc w:val="left"/>
              <w:rPr>
                <w:rFonts w:ascii="Arial" w:hAnsi="Arial"/>
                <w:color w:val="000000"/>
                <w:sz w:val="19"/>
              </w:rPr>
            </w:pPr>
            <w:r>
              <w:rPr>
                <w:rFonts w:ascii="Arial" w:hAnsi="Arial"/>
                <w:color w:val="000000"/>
                <w:sz w:val="19"/>
              </w:rPr>
              <w:t>Net loss per share attributable to common</w:t>
              <w:br/>
              <w:t>   stockholders -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(0.19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bl>
    <w:p>
      <w:pPr>
        <w:pStyle w:val="TextBody"/>
        <w:bidi w:val="0"/>
        <w:spacing w:before="200" w:after="200"/>
        <w:jc w:val="left"/>
        <w:rPr>
          <w:rFonts w:ascii="Arial" w:hAnsi="Arial"/>
          <w:color w:val="000000"/>
          <w:sz w:val="20"/>
        </w:rPr>
      </w:pPr>
      <w:r>
        <w:rPr>
          <w:rFonts w:ascii="Arial" w:hAnsi="Arial"/>
          <w:color w:val="000000"/>
          <w:sz w:val="20"/>
        </w:rPr>
        <w:t>Outstanding potentially dilutive securities, which were excluded from the diluted net loss per share calculations because they would have been antidilutive were as follows as of the dates presented:</w:t>
      </w:r>
    </w:p>
    <w:tbl>
      <w:tblPr>
        <w:tblW w:w="6804" w:type="dxa"/>
        <w:jc w:val="left"/>
        <w:tblInd w:w="0" w:type="dxa"/>
        <w:tblLayout w:type="fixed"/>
        <w:tblCellMar>
          <w:top w:w="28" w:type="dxa"/>
          <w:left w:w="28" w:type="dxa"/>
          <w:bottom w:w="28" w:type="dxa"/>
          <w:right w:w="28" w:type="dxa"/>
        </w:tblCellMar>
      </w:tblPr>
      <w:tblGrid>
        <w:gridCol w:w="3751"/>
        <w:gridCol w:w="146"/>
        <w:gridCol w:w="146"/>
        <w:gridCol w:w="1066"/>
        <w:gridCol w:w="146"/>
        <w:gridCol w:w="146"/>
        <w:gridCol w:w="146"/>
        <w:gridCol w:w="1066"/>
        <w:gridCol w:w="1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Unvested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6,327,473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4,518,964</w:t>
            </w:r>
          </w:p>
        </w:tc>
        <w:tc>
          <w:tcPr>
            <w:tcW w:w="19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Stock options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6,750,469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10,430,580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13,077,942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14,949,544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bookmarkStart w:id="27" w:name="note_14"/>
      <w:bookmarkEnd w:id="27"/>
      <w:r>
        <w:rPr>
          <w:rFonts w:ascii="Arial" w:hAnsi="Arial"/>
          <w:b/>
          <w:color w:val="000000"/>
          <w:sz w:val="20"/>
        </w:rPr>
        <w:t>Note 14. Income Taxes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Company’s provision for income taxes during the interim periods is determined using an estimate of the Company’s annual effective tax rate, which is adjusted for certain discrete tax items during the interim period. The Company recorded an income tax expense of $4.7</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for the three months ended June 30, 2024 and 2023, respectively. The income tax expense for the three months ended June 30, 2024 and 2023 was primarily attributable to activity in the Company's foreign subsidiaries and U.S. state taxes. The Company recorded an income tax expense of $6.3</w:t>
      </w:r>
      <w:r>
        <w:rPr>
          <w:rFonts w:ascii="Times New Roman" w:hAnsi="Times New Roman"/>
          <w:color w:val="000000"/>
          <w:sz w:val="20"/>
        </w:rPr>
        <w:t xml:space="preserve"> </w:t>
      </w:r>
      <w:r>
        <w:rPr>
          <w:rFonts w:ascii="Arial" w:hAnsi="Arial"/>
          <w:color w:val="000000"/>
          <w:sz w:val="20"/>
        </w:rPr>
        <w:t>million and $1.5</w:t>
      </w:r>
      <w:r>
        <w:rPr>
          <w:rFonts w:ascii="Times New Roman" w:hAnsi="Times New Roman"/>
          <w:color w:val="000000"/>
          <w:sz w:val="20"/>
        </w:rPr>
        <w:t xml:space="preserve"> </w:t>
      </w:r>
      <w:r>
        <w:rPr>
          <w:rFonts w:ascii="Arial" w:hAnsi="Arial"/>
          <w:color w:val="000000"/>
          <w:sz w:val="20"/>
        </w:rPr>
        <w:t>million for the six months ended June 30, 2024 and 2023, respectively. The income tax expense for the six months ended June 30, 2024 and 2023 was primarily attributable to activity in the Company's foreign subsidiaries and U.S. state taxes.</w:t>
      </w:r>
    </w:p>
    <w:p>
      <w:pPr>
        <w:pStyle w:val="TextBody"/>
        <w:bidi w:val="0"/>
        <w:spacing w:before="200" w:after="200"/>
        <w:jc w:val="left"/>
        <w:rPr>
          <w:rFonts w:ascii="Arial" w:hAnsi="Arial"/>
          <w:color w:val="000000"/>
          <w:sz w:val="20"/>
        </w:rPr>
      </w:pPr>
      <w:r>
        <w:rPr>
          <w:rFonts w:ascii="Arial" w:hAnsi="Arial"/>
          <w:color w:val="000000"/>
          <w:sz w:val="20"/>
        </w:rPr>
        <w:t>The Company’s effective tax rate differs from the U.S. federal statutory rate primarily due to the change in valuation allowance in the U.S. The Company is open to future tax examinations from 2018 to the present; however, carryforward attributes that were generated prior to 2018 may still be adjusted upon examination by federal, state or local tax authorities to the extent they will be used in a future period.</w:t>
      </w:r>
    </w:p>
    <w:p>
      <w:pPr>
        <w:pStyle w:val="TextBody"/>
        <w:bidi w:val="0"/>
        <w:spacing w:before="200" w:after="200"/>
        <w:jc w:val="left"/>
        <w:rPr>
          <w:rFonts w:ascii="Arial" w:hAnsi="Arial"/>
          <w:color w:val="000000"/>
          <w:sz w:val="20"/>
        </w:rPr>
      </w:pPr>
      <w:r>
        <w:rPr>
          <w:rFonts w:ascii="Arial" w:hAnsi="Arial"/>
          <w:color w:val="000000"/>
          <w:sz w:val="20"/>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June 30, 2024, the Company continues to maintain a full valuation allowance of the U.S. and United Kingdom net deferred tax assets.</w:t>
      </w:r>
    </w:p>
    <w:p>
      <w:pPr>
        <w:pStyle w:val="TextBody"/>
        <w:bidi w:val="0"/>
        <w:spacing w:before="360" w:after="283"/>
        <w:jc w:val="left"/>
        <w:rPr>
          <w:rFonts w:ascii="Arial" w:hAnsi="Arial"/>
          <w:b/>
          <w:color w:val="000000"/>
          <w:sz w:val="20"/>
        </w:rPr>
      </w:pPr>
      <w:bookmarkStart w:id="28" w:name="note_16"/>
      <w:bookmarkEnd w:id="28"/>
      <w:r>
        <w:rPr>
          <w:rFonts w:ascii="Arial" w:hAnsi="Arial"/>
          <w:b/>
          <w:color w:val="000000"/>
          <w:sz w:val="20"/>
        </w:rPr>
        <w:t>Note 15. Commitments and Contingencies</w:t>
      </w:r>
    </w:p>
    <w:p>
      <w:pPr>
        <w:pStyle w:val="TextBody"/>
        <w:bidi w:val="0"/>
        <w:spacing w:before="200" w:after="200"/>
        <w:jc w:val="left"/>
        <w:rPr>
          <w:rFonts w:ascii="Times New Roman" w:hAnsi="Times New Roman"/>
          <w:sz w:val="20"/>
        </w:rPr>
      </w:pPr>
      <w:r>
        <w:rPr>
          <w:rFonts w:ascii="Arial" w:hAnsi="Arial"/>
          <w:b/>
          <w:i/>
          <w:color w:val="000000"/>
          <w:sz w:val="20"/>
        </w:rPr>
        <w:t>Legal proceedings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As of June 30, 2024, the Company was not a party to any litigation the outcome of which, the Company believes, if determined adversely to it, would individually or in the aggregate, have a material adverse effect on its financial position, results of operations, or cash flows.</w:t>
      </w:r>
    </w:p>
    <w:p>
      <w:pPr>
        <w:pStyle w:val="TextBody"/>
        <w:bidi w:val="0"/>
        <w:spacing w:before="200" w:after="200"/>
        <w:jc w:val="left"/>
        <w:rPr>
          <w:rFonts w:ascii="Arial" w:hAnsi="Arial"/>
          <w:color w:val="000000"/>
          <w:sz w:val="20"/>
        </w:rPr>
      </w:pPr>
      <w:r>
        <w:rPr>
          <w:rFonts w:ascii="Arial" w:hAnsi="Arial"/>
          <w:color w:val="000000"/>
          <w:sz w:val="20"/>
        </w:rPr>
        <w:t>In the course of implementing geolocation data-based sanctions screening measures, the Company identified certain payments which, based on geolocation data and other factors, appear to have been initiated from Cuba, Iran, Syria or the Crimea region of Ukraine, in potential violation of applicable sanctions regimes. Although Flywire continues to evaluate whether these or other transactions constitute potential violations of sanctions promulgated by the U.S. Treasury Department’s Office of Foreign Assets Control (OFAC) (including whether certain of these payments may have been authorized by general licenses or license exemptions under the relevant sanctions regulations), in August 2023, Flywire made a voluntary submission to OFAC to report the potential violations, and in April 2024 filed a supplemental submission with OFAC. Flywire is currently engaging with OFAC to resolve these matters. Based upon the results of the internal investigation completed to date, the Company does not believe that the amount of any loss incurred as a result of this matter would be material to its business, financial condition, results of operations or cash flows.</w:t>
      </w:r>
    </w:p>
    <w:p>
      <w:pPr>
        <w:pStyle w:val="TextBody"/>
        <w:bidi w:val="0"/>
        <w:spacing w:before="200" w:after="200"/>
        <w:jc w:val="left"/>
        <w:rPr>
          <w:rFonts w:ascii="Times New Roman" w:hAnsi="Times New Roman"/>
          <w:sz w:val="20"/>
        </w:rPr>
      </w:pPr>
      <w:r>
        <w:rPr>
          <w:rFonts w:ascii="Arial" w:hAnsi="Arial"/>
          <w:b/>
          <w:i/>
          <w:color w:val="000000"/>
          <w:sz w:val="20"/>
        </w:rPr>
        <w:t>Indemnification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aware of any pending indemnification matters or claims, individually or in the aggregate, that are expected to have a material adverse effect on its financial position, results of operations, or cash flows and had not accrued any liabilities related to such obligations in its condensed consolidated financial statements for the periods ended June 30, 2024 and December 31, 2023.</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bookmarkStart w:id="29" w:name="subsequent_events"/>
      <w:bookmarkEnd w:id="29"/>
      <w:r>
        <w:rPr>
          <w:rFonts w:ascii="Arial" w:hAnsi="Arial"/>
          <w:b/>
          <w:color w:val="000000"/>
          <w:sz w:val="20"/>
        </w:rPr>
        <w:t>Note 16. Subsequent Events</w:t>
      </w:r>
    </w:p>
    <w:p>
      <w:pPr>
        <w:pStyle w:val="TextBody"/>
        <w:bidi w:val="0"/>
        <w:spacing w:before="200" w:after="200"/>
        <w:jc w:val="left"/>
        <w:rPr>
          <w:rFonts w:ascii="Arial" w:hAnsi="Arial"/>
          <w:b/>
          <w:i/>
          <w:color w:val="000000"/>
          <w:sz w:val="20"/>
        </w:rPr>
      </w:pPr>
      <w:r>
        <w:rPr>
          <w:rFonts w:ascii="Arial" w:hAnsi="Arial"/>
          <w:b/>
          <w:i/>
          <w:color w:val="000000"/>
          <w:sz w:val="20"/>
        </w:rPr>
        <w:t>Share Repurchase Program</w:t>
      </w:r>
    </w:p>
    <w:p>
      <w:pPr>
        <w:pStyle w:val="TextBody"/>
        <w:bidi w:val="0"/>
        <w:spacing w:before="200" w:after="200"/>
        <w:jc w:val="left"/>
        <w:rPr>
          <w:rFonts w:ascii="Times New Roman" w:hAnsi="Times New Roman"/>
          <w:sz w:val="20"/>
        </w:rPr>
      </w:pPr>
      <w:r>
        <w:rPr>
          <w:rFonts w:ascii="Arial" w:hAnsi="Arial"/>
          <w:color w:val="000000"/>
          <w:sz w:val="20"/>
        </w:rPr>
        <w:t>On August 6, 2024, the Company announced a share repurchase program of up to $150</w:t>
      </w:r>
      <w:r>
        <w:rPr>
          <w:rFonts w:ascii="Times New Roman" w:hAnsi="Times New Roman"/>
          <w:color w:val="000000"/>
          <w:sz w:val="20"/>
        </w:rPr>
        <w:t xml:space="preserve"> </w:t>
      </w:r>
      <w:r>
        <w:rPr>
          <w:rFonts w:ascii="Arial" w:hAnsi="Arial"/>
          <w:color w:val="000000"/>
          <w:sz w:val="20"/>
        </w:rPr>
        <w:t>million of outstanding voting and non-voting common stock for an indefinite period as part of the Company’s capital deployment strategy (Repurchase Program).</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Repurchases under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and may be modified, suspended or terminated at any time without notice at the Company’s discretion.</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Invoiced Inc. Acquisition</w:t>
      </w:r>
    </w:p>
    <w:p>
      <w:pPr>
        <w:pStyle w:val="TextBody"/>
        <w:bidi w:val="0"/>
        <w:spacing w:before="200" w:after="200"/>
        <w:jc w:val="left"/>
        <w:rPr>
          <w:rFonts w:ascii="Times New Roman" w:hAnsi="Times New Roman"/>
          <w:sz w:val="20"/>
        </w:rPr>
      </w:pPr>
      <w:r>
        <w:rPr>
          <w:rFonts w:ascii="Arial" w:hAnsi="Arial"/>
          <w:color w:val="000000"/>
          <w:sz w:val="20"/>
        </w:rPr>
        <w:t>On August 2, 2024, Flywire acquired all of the issued and outstanding shares of Invoiced Inc. (Invoiced), a U.S.-based SaaS company for an estimated total aggregate purchase price of approximately $55.0</w:t>
      </w:r>
      <w:r>
        <w:rPr>
          <w:rFonts w:ascii="Times New Roman" w:hAnsi="Times New Roman"/>
          <w:color w:val="000000"/>
          <w:sz w:val="20"/>
        </w:rPr>
        <w:t xml:space="preserve"> </w:t>
      </w:r>
      <w:r>
        <w:rPr>
          <w:rFonts w:ascii="Arial" w:hAnsi="Arial"/>
          <w:color w:val="000000"/>
          <w:sz w:val="20"/>
        </w:rPr>
        <w:t>million, consisting of approximately $47.5</w:t>
      </w:r>
      <w:r>
        <w:rPr>
          <w:rFonts w:ascii="Times New Roman" w:hAnsi="Times New Roman"/>
          <w:color w:val="000000"/>
          <w:sz w:val="20"/>
        </w:rPr>
        <w:t xml:space="preserve"> </w:t>
      </w:r>
      <w:r>
        <w:rPr>
          <w:rFonts w:ascii="Arial" w:hAnsi="Arial"/>
          <w:color w:val="000000"/>
          <w:sz w:val="20"/>
        </w:rPr>
        <w:t>million in cash and up to approximately $7.5</w:t>
      </w:r>
      <w:r>
        <w:rPr>
          <w:rFonts w:ascii="Times New Roman" w:hAnsi="Times New Roman"/>
          <w:color w:val="000000"/>
          <w:sz w:val="20"/>
        </w:rPr>
        <w:t xml:space="preserve"> </w:t>
      </w:r>
      <w:r>
        <w:rPr>
          <w:rFonts w:ascii="Arial" w:hAnsi="Arial"/>
          <w:color w:val="000000"/>
          <w:sz w:val="20"/>
        </w:rPr>
        <w:t>million in contingent consideration. Purchase consideration is also subject to certain adjustments as specified in the acquisition agreement, including a net working capital adjustment. The estimated total aggregate purchase price of approximately $55.0</w:t>
      </w:r>
      <w:r>
        <w:rPr>
          <w:rFonts w:ascii="Times New Roman" w:hAnsi="Times New Roman"/>
          <w:color w:val="000000"/>
          <w:sz w:val="20"/>
        </w:rPr>
        <w:t xml:space="preserve"> </w:t>
      </w:r>
      <w:r>
        <w:rPr>
          <w:rFonts w:ascii="Arial" w:hAnsi="Arial"/>
          <w:color w:val="000000"/>
          <w:sz w:val="20"/>
        </w:rPr>
        <w:t>million is subject to change based on the fair value of $7.5</w:t>
      </w:r>
      <w:r>
        <w:rPr>
          <w:rFonts w:ascii="Times New Roman" w:hAnsi="Times New Roman"/>
          <w:color w:val="000000"/>
          <w:sz w:val="20"/>
        </w:rPr>
        <w:t xml:space="preserve"> </w:t>
      </w:r>
      <w:r>
        <w:rPr>
          <w:rFonts w:ascii="Arial" w:hAnsi="Arial"/>
          <w:color w:val="000000"/>
          <w:sz w:val="20"/>
        </w:rPr>
        <w:t>million of contingent consideration that will be assessed in purchase accounting. The contingent consideration represents additional payments that Flywire may be required to make in the future dependent on the successful achievement of certain client acquisition, revenue and engineering implementation milestones.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Invoiced provides accounts receivable software that automates all aspects of billing, collections, payments, reporting and forecasting within a single online platform. The acquisition of Invoiced is intended to accelerate the Company's global expansion in its B2B vertical.</w:t>
      </w:r>
    </w:p>
    <w:p>
      <w:pPr>
        <w:pStyle w:val="TextBody"/>
        <w:bidi w:val="0"/>
        <w:spacing w:before="200" w:after="200"/>
        <w:jc w:val="left"/>
        <w:rPr>
          <w:rFonts w:ascii="Arial" w:hAnsi="Arial"/>
          <w:color w:val="000000"/>
          <w:sz w:val="20"/>
        </w:rPr>
      </w:pPr>
      <w:r>
        <w:rPr>
          <w:rFonts w:ascii="Arial" w:hAnsi="Arial"/>
          <w:color w:val="000000"/>
          <w:sz w:val="20"/>
        </w:rPr>
        <w:t>The Company is currently in the process of finalizing the accounting for this transaction and expects to complete its preliminary allocation of the purchase consideration to the assets and liabilities assumed by the end of the third quarter of 2024.</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30" w:name="item_2_management"/>
      <w:bookmarkEnd w:id="30"/>
      <w:r>
        <w:rPr>
          <w:rFonts w:ascii="Arial" w:hAnsi="Arial"/>
          <w:b/>
          <w:color w:val="000000"/>
          <w:sz w:val="20"/>
        </w:rPr>
        <w:t>Ite</w:t>
      </w:r>
      <w:bookmarkStart w:id="31" w:name="item_2_managements_discussion"/>
      <w:bookmarkEnd w:id="31"/>
      <w:r>
        <w:rPr>
          <w:rFonts w:ascii="Arial" w:hAnsi="Arial"/>
          <w:b/>
          <w:color w:val="000000"/>
          <w:sz w:val="20"/>
        </w:rPr>
        <w:t>m 2. Management’s Discussion and Analysis of Financial Condition and Results of Operations</w:t>
      </w:r>
    </w:p>
    <w:p>
      <w:pPr>
        <w:pStyle w:val="TextBody"/>
        <w:bidi w:val="0"/>
        <w:spacing w:before="200" w:after="200"/>
        <w:jc w:val="left"/>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pStyle w:val="TextBody"/>
        <w:bidi w:val="0"/>
        <w:spacing w:before="200" w:after="200"/>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pStyle w:val="TextBody"/>
        <w:bidi w:val="0"/>
        <w:spacing w:before="200" w:after="200"/>
        <w:jc w:val="left"/>
        <w:rPr>
          <w:rFonts w:ascii="Times New Roman" w:hAnsi="Times New Roman"/>
          <w:sz w:val="20"/>
        </w:rPr>
      </w:pPr>
      <w:r>
        <w:rPr>
          <w:rFonts w:ascii="Arial" w:hAnsi="Arial"/>
          <w:color w:val="000000"/>
          <w:sz w:val="20"/>
        </w:rPr>
        <w:t xml:space="preserve">Our </w:t>
      </w:r>
      <w:r>
        <w:rPr>
          <w:rFonts w:ascii="Arial" w:hAnsi="Arial"/>
          <w:i/>
          <w:color w:val="000000"/>
          <w:sz w:val="20"/>
        </w:rPr>
        <w:t>Flywire Advantage</w:t>
      </w:r>
      <w:r>
        <w:rPr>
          <w:rFonts w:ascii="Times New Roman" w:hAnsi="Times New Roman"/>
          <w:color w:val="000000"/>
          <w:sz w:val="20"/>
        </w:rPr>
        <w:t xml:space="preserve"> </w:t>
      </w:r>
      <w:r>
        <w:rPr>
          <w:rFonts w:ascii="Arial" w:hAnsi="Arial"/>
          <w:color w:val="000000"/>
          <w:sz w:val="20"/>
        </w:rPr>
        <w:t xml:space="preserve">is derived from three core elements: (i) our next-gen payments platform; (ii) our proprietary global payment network; and (iii) our vertical-specific software backed by our deep industry expertise. With our </w:t>
      </w:r>
      <w:r>
        <w:rPr>
          <w:rFonts w:ascii="Arial" w:hAnsi="Arial"/>
          <w:i/>
          <w:color w:val="000000"/>
          <w:sz w:val="20"/>
        </w:rPr>
        <w:t>Flywire Advantage</w:t>
      </w:r>
      <w:r>
        <w:rPr>
          <w:rFonts w:ascii="Arial" w:hAnsi="Arial"/>
          <w:color w:val="000000"/>
          <w:sz w:val="20"/>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pStyle w:val="TextBody"/>
        <w:bidi w:val="0"/>
        <w:spacing w:before="200" w:after="200"/>
        <w:jc w:val="left"/>
        <w:rPr>
          <w:rFonts w:ascii="Arial" w:hAnsi="Arial"/>
          <w:color w:val="000000"/>
          <w:sz w:val="20"/>
        </w:rPr>
      </w:pPr>
      <w:r>
        <w:rPr>
          <w:rFonts w:ascii="Arial" w:hAnsi="Arial"/>
          <w:color w:val="000000"/>
          <w:sz w:val="20"/>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40" w:after="283"/>
        <w:jc w:val="center"/>
        <w:rPr/>
      </w:pPr>
      <w:r>
        <w:rPr/>
        <w:drawing>
          <wp:inline distT="0" distB="0" distL="0" distR="0">
            <wp:extent cx="6467475" cy="436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67475" cy="4362450"/>
                    </a:xfrm>
                    <a:prstGeom prst="rect">
                      <a:avLst/>
                    </a:prstGeom>
                  </pic:spPr>
                </pic:pic>
              </a:graphicData>
            </a:graphic>
          </wp:inline>
        </w:drawing>
      </w:r>
      <w:r>
        <w:rPr/>
        <w:t> </w:t>
      </w:r>
    </w:p>
    <w:p>
      <w:pPr>
        <w:pStyle w:val="TextBody"/>
        <w:bidi w:val="0"/>
        <w:spacing w:before="200" w:after="200"/>
        <w:jc w:val="left"/>
        <w:rPr>
          <w:rFonts w:ascii="Times New Roman" w:hAnsi="Times New Roman"/>
          <w:sz w:val="20"/>
        </w:rPr>
      </w:pPr>
      <w:r>
        <w:rPr>
          <w:rFonts w:ascii="Arial" w:hAnsi="Arial"/>
          <w:color w:val="000000"/>
          <w:sz w:val="20"/>
        </w:rPr>
        <w:t>The combination of our differentiated solution and efficient go-to-market strategy has resulted in strong and consistent client growth.</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Arial" w:hAnsi="Arial"/>
          <w:b/>
          <w:i/>
          <w:color w:val="000000"/>
          <w:sz w:val="20"/>
        </w:rPr>
        <w:t>Rapid domestic and international payments volume growth</w:t>
      </w:r>
      <w:r>
        <w:rPr>
          <w:rFonts w:ascii="Arial" w:hAnsi="Arial"/>
          <w:i/>
          <w:color w:val="000000"/>
          <w:sz w:val="20"/>
        </w:rPr>
        <w:t xml:space="preserve">. </w:t>
      </w:r>
      <w:r>
        <w:rPr>
          <w:rFonts w:ascii="Arial" w:hAnsi="Arial"/>
          <w:color w:val="000000"/>
          <w:sz w:val="20"/>
        </w:rPr>
        <w:t>We have grown our total payment volume by approximately 19% period-over-period from $4.1 billion during the three months ended June 30, 2023 to $4.9 billion during the three months ended June 30, 2024. We have grown our total payment volume by approximately 21% period-over-period from $9.8 billion during the six months ended June 30, 2023 to $11.8 billion during the six months ended June 30, 2024.</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Arial" w:hAnsi="Arial"/>
          <w:b/>
          <w:i/>
          <w:color w:val="000000"/>
          <w:sz w:val="20"/>
        </w:rPr>
        <w:t>Expanded global payments network</w:t>
      </w:r>
      <w:r>
        <w:rPr>
          <w:rFonts w:ascii="Arial" w:hAnsi="Arial"/>
          <w:i/>
          <w:color w:val="000000"/>
          <w:sz w:val="20"/>
        </w:rPr>
        <w:t xml:space="preserve">. </w:t>
      </w:r>
      <w:r>
        <w:rPr>
          <w:rFonts w:ascii="Arial" w:hAnsi="Arial"/>
          <w:color w:val="000000"/>
          <w:sz w:val="20"/>
        </w:rPr>
        <w:t>We have continued to add to the capabilities of our payment network by means of new local bank accounts and payment partners, and have expanded our global reach to over 240 countries and territories and more than 140 currencies.</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Arial" w:hAnsi="Arial"/>
          <w:b/>
          <w:i/>
          <w:color w:val="000000"/>
          <w:sz w:val="20"/>
        </w:rPr>
        <w:t>Enjoyable and personalized user experience</w:t>
      </w:r>
      <w:r>
        <w:rPr>
          <w:rFonts w:ascii="Arial" w:hAnsi="Arial"/>
          <w:i/>
          <w:color w:val="000000"/>
          <w:sz w:val="20"/>
        </w:rPr>
        <w:t>.</w:t>
      </w:r>
      <w:r>
        <w:rPr>
          <w:color w:val="000000"/>
        </w:rPr>
        <w:t xml:space="preserve"> </w:t>
      </w:r>
      <w:r>
        <w:rPr>
          <w:rFonts w:ascii="Arial" w:hAnsi="Arial"/>
          <w:color w:val="000000"/>
          <w:sz w:val="20"/>
        </w:rPr>
        <w:t>Our net promoter score of 62 in fiscal year 2022 demonstrates a strong affinity among our clients for our platform.</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Arial" w:hAnsi="Arial"/>
          <w:b/>
          <w:i/>
          <w:color w:val="000000"/>
          <w:sz w:val="20"/>
        </w:rPr>
        <w:t>Strong dollar-based net retention</w:t>
      </w:r>
      <w:r>
        <w:rPr>
          <w:rFonts w:ascii="Arial" w:hAnsi="Arial"/>
          <w:i/>
          <w:color w:val="000000"/>
          <w:sz w:val="20"/>
        </w:rPr>
        <w:t xml:space="preserve">. </w:t>
      </w:r>
      <w:r>
        <w:rPr>
          <w:rFonts w:ascii="Arial" w:hAnsi="Arial"/>
          <w:color w:val="000000"/>
          <w:sz w:val="20"/>
        </w:rPr>
        <w:t xml:space="preserve">For the year ended December 31, 2023, our annual net dollar-based retention rate was approximately 125%.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 </w:t>
      </w:r>
    </w:p>
    <w:p>
      <w:pPr>
        <w:pStyle w:val="TextBody"/>
        <w:bidi w:val="0"/>
        <w:spacing w:before="200" w:after="200"/>
        <w:jc w:val="left"/>
        <w:rPr>
          <w:rFonts w:ascii="Arial" w:hAnsi="Arial"/>
          <w:color w:val="000000"/>
          <w:sz w:val="20"/>
        </w:rPr>
      </w:pPr>
      <w:r>
        <w:rPr>
          <w:rFonts w:ascii="Arial" w:hAnsi="Arial"/>
          <w:color w:val="000000"/>
          <w:sz w:val="20"/>
        </w:rPr>
        <w:t>As of June 30, 2024, we serve over 4,000 clients around the world. In education, we serve more than 2,950 institutions. In healthcare, we power more than 90 healthcare systems, including four of the top 10 healthcare systems in the United States ranked by hospital size as of December 31, 2023. In our newer payment verticals of travel and B2B payments, we have a growing portfolio of more than 1,100 clients as of June 30, 2024.</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Our success in building our client base around the world and expanding utilization by our clients’ customers has allowed us to achieve significant scale. We enabled over $24.0 billion and approximately $11.8 billion in total payment volume during the year ended December 31, 2023 and six months ended June 30, 2024, respectively. We generated revenue of $403.1 million and $289.4 million for the years ended December 31, 2023 and 2022, respectively, and incurred net losses of $8.6 million and $39.3 million, respectively, for the same years. We generated revenue of $217.8 million and $179.2 million for the six months ended June 30, 2024 and 2023, respectively, and incurred net loss of $20.1 million and $20.5 million, respectively, for the same periods.</w:t>
      </w:r>
    </w:p>
    <w:p>
      <w:pPr>
        <w:pStyle w:val="TextBody"/>
        <w:bidi w:val="0"/>
        <w:spacing w:before="200" w:after="200"/>
        <w:jc w:val="left"/>
        <w:rPr>
          <w:rFonts w:ascii="Arial" w:hAnsi="Arial"/>
          <w:color w:val="000000"/>
          <w:sz w:val="20"/>
        </w:rPr>
      </w:pPr>
      <w:r>
        <w:rPr>
          <w:rFonts w:ascii="Arial" w:hAnsi="Arial"/>
          <w:color w:val="000000"/>
          <w:sz w:val="20"/>
        </w:rPr>
        <w:t>We believe that the growth of our business and our operating results will be dependent upon many factors, including our ability to add new clients, expand the usage of our solutions by our existing clients and their customers, integrate the businesses and technology platforms that we acquire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pStyle w:val="TextBody"/>
        <w:bidi w:val="0"/>
        <w:spacing w:before="200" w:after="200"/>
        <w:jc w:val="left"/>
        <w:rPr>
          <w:rFonts w:ascii="Times New Roman" w:hAnsi="Times New Roman"/>
          <w:sz w:val="20"/>
        </w:rPr>
      </w:pPr>
      <w:r>
        <w:rPr>
          <w:rFonts w:ascii="Arial" w:hAnsi="Arial"/>
          <w:color w:val="000000"/>
          <w:sz w:val="20"/>
        </w:rPr>
        <w:t>While we have experienced significant growth and increased demand for our solutions over recent periods, we may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(IT) and financial infrastructure, our operating and administrative systems and controls, and our ability to manage headcount, capital, and processes in an efficient manner. Additionally, we face intense competition in our markets, and to succeed, we need to innovate and offer solutions that are differentiated from legacy payment solutions. We must also effectively hire, retain, train, and motivate qualified personnel and senior management. There are also circumstances beyond our control which can materially impact our business that we need to respond to, including, but not limited to fluctuations in exchange rates. If we are unable to successfully address these challenges, our business, operating results, and prospects could be adversely affected.</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We had 1,281 full-time FlyMates as of June 30, 2024, compared to 1,073 full-time FlyMates as of June 30, 2023, an increase of 19.4%.</w:t>
      </w:r>
    </w:p>
    <w:p>
      <w:pPr>
        <w:pStyle w:val="TextBody"/>
        <w:bidi w:val="0"/>
        <w:spacing w:before="200" w:after="200"/>
        <w:jc w:val="left"/>
        <w:rPr>
          <w:rFonts w:ascii="Arial" w:hAnsi="Arial"/>
          <w:b/>
          <w:color w:val="000000"/>
          <w:sz w:val="20"/>
        </w:rPr>
      </w:pPr>
      <w:r>
        <w:rPr>
          <w:rFonts w:ascii="Arial" w:hAnsi="Arial"/>
          <w:b/>
          <w:color w:val="000000"/>
          <w:sz w:val="20"/>
        </w:rPr>
        <w:t>2023 Follow-On Public Offering</w:t>
      </w:r>
    </w:p>
    <w:p>
      <w:pPr>
        <w:pStyle w:val="TextBody"/>
        <w:bidi w:val="0"/>
        <w:spacing w:before="200" w:after="200"/>
        <w:jc w:val="left"/>
        <w:rPr>
          <w:rFonts w:ascii="Arial" w:hAnsi="Arial"/>
          <w:color w:val="000000"/>
          <w:sz w:val="20"/>
        </w:rPr>
      </w:pPr>
      <w:r>
        <w:rPr>
          <w:rFonts w:ascii="Arial" w:hAnsi="Arial"/>
          <w:color w:val="000000"/>
          <w:sz w:val="20"/>
        </w:rPr>
        <w:t>On August 9, 2023, we entered into an Underwriting Agreement with Goldman Sachs &amp; Co. LLC, as the Representative of the several Underwriters, in connection with the offer and sale of 8,000,000 shares of voting common stock, at a price to the public of $32.00 per share (the Primary Offering). In addition, pursuant to the terms of the Underwriting Agreement, we granted the underwriters an option to purchase up to 1,200,000 additional shares of common stock (the Option).</w:t>
      </w:r>
    </w:p>
    <w:p>
      <w:pPr>
        <w:pStyle w:val="TextBody"/>
        <w:bidi w:val="0"/>
        <w:spacing w:before="200" w:after="200"/>
        <w:jc w:val="left"/>
        <w:rPr>
          <w:rFonts w:ascii="Arial" w:hAnsi="Arial"/>
          <w:color w:val="000000"/>
          <w:sz w:val="20"/>
        </w:rPr>
      </w:pPr>
      <w:r>
        <w:rPr>
          <w:rFonts w:ascii="Arial" w:hAnsi="Arial"/>
          <w:color w:val="000000"/>
          <w:sz w:val="20"/>
        </w:rPr>
        <w:t>The Primary Offering closed on August 14, 2023 and on September 12, 2023, the Underwriters exercised the Option in part and purchased an additional 500,000 shares of voting common stock at a price to the public of $32.00 per share (the Public Offering). We received $260.1 million in net proceeds from the Public Offering, after deducting underwriting discounts and commissions of $10.9 million and other offering costs of $1.1 million.</w:t>
      </w:r>
    </w:p>
    <w:p>
      <w:pPr>
        <w:pStyle w:val="TextBody"/>
        <w:bidi w:val="0"/>
        <w:spacing w:before="200" w:after="200"/>
        <w:jc w:val="left"/>
        <w:rPr>
          <w:rFonts w:ascii="Arial" w:hAnsi="Arial"/>
          <w:b/>
          <w:color w:val="000000"/>
          <w:sz w:val="20"/>
        </w:rPr>
      </w:pPr>
      <w:r>
        <w:rPr>
          <w:rFonts w:ascii="Arial" w:hAnsi="Arial"/>
          <w:b/>
          <w:color w:val="000000"/>
          <w:sz w:val="20"/>
        </w:rPr>
        <w:t>Recent Acquisition</w:t>
      </w:r>
    </w:p>
    <w:p>
      <w:pPr>
        <w:pStyle w:val="TextBody"/>
        <w:bidi w:val="0"/>
        <w:spacing w:before="200" w:after="200"/>
        <w:jc w:val="left"/>
        <w:rPr>
          <w:rFonts w:ascii="Times New Roman" w:hAnsi="Times New Roman"/>
          <w:sz w:val="20"/>
        </w:rPr>
      </w:pPr>
      <w:r>
        <w:rPr>
          <w:rFonts w:ascii="Arial" w:hAnsi="Arial"/>
          <w:color w:val="000000"/>
          <w:sz w:val="20"/>
        </w:rPr>
        <w:t>In November 2023, we acquired all of the issued and outstanding shares of StudyLink for an estimated total aggregate purchase price of approximately $35.5 million, consisting of approximately $32.8 million in cash consideration, net of cash acquired and up to approximately $2.7 million in contingent consideration. The contingent consideration represents additional payments that we may be required to make in the future dependent on the successful achievement of revenue, volume, cross-selling and engineering implementation milestones, a portion of which can be paid in the form of cash or shares of common stock, at our option, and is subject to exchange rate fluctuation adjustment between the U.S. Dollar and Australian Dollar. Additional payments in the form of shares of common stock will be made based on the continuing employment of a key employee; accordingly, the fair value of $2.4 million, approximately 84,000 shares of common stock, have been excluded from the purchase consideration. During the three and six months ended June 30, 2024, we expensed $0.3 million and $0.6 million, respectively, in stock based compensation associated with retention of the key employee. StudyLink is an Australian-based SaaS education company that provides platforms to education providers to support their student admissions systems and processes, including features such as eligibility assessment, offer generation, recruitment agent and commission management and acceptance processing. The acquisition of StudyLink was intended to accelerate our growth in the Australian higher education market and enhance our value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proposition to payers, universities and agents in the higher education ecosystem. StudyLink contributed $1.6 million and $3.7 million in platform revenue during the three and six months ended June 30, 2024, respectively.</w:t>
      </w:r>
    </w:p>
    <w:p>
      <w:pPr>
        <w:pStyle w:val="TextBody"/>
        <w:bidi w:val="0"/>
        <w:spacing w:before="200" w:after="200"/>
        <w:jc w:val="left"/>
        <w:rPr>
          <w:rFonts w:ascii="Times New Roman" w:hAnsi="Times New Roman"/>
          <w:sz w:val="20"/>
        </w:rPr>
      </w:pPr>
      <w:r>
        <w:rPr>
          <w:rFonts w:ascii="Arial" w:hAnsi="Arial"/>
          <w:b/>
          <w:color w:val="000000"/>
          <w:sz w:val="20"/>
        </w:rPr>
        <w:t>Our Revenue Model</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We generate revenue from transactions and from platform and other fees as described below.</w:t>
      </w:r>
    </w:p>
    <w:p>
      <w:pPr>
        <w:pStyle w:val="TextBody"/>
        <w:bidi w:val="0"/>
        <w:spacing w:before="200" w:after="200"/>
        <w:jc w:val="left"/>
        <w:rPr>
          <w:rFonts w:ascii="Times New Roman" w:hAnsi="Times New Roman"/>
          <w:sz w:val="20"/>
        </w:rPr>
      </w:pPr>
      <w:r>
        <w:rPr>
          <w:rFonts w:ascii="Arial" w:hAnsi="Arial"/>
          <w:i/>
          <w:color w:val="000000"/>
          <w:sz w:val="20"/>
        </w:rPr>
        <w:t>Transaction revenue</w:t>
      </w:r>
      <w:r>
        <w:rPr>
          <w:rFonts w:ascii="Times New Roman" w:hAnsi="Times New Roman"/>
          <w:color w:val="000000"/>
          <w:sz w:val="20"/>
        </w:rPr>
        <w:t xml:space="preserve"> </w:t>
      </w:r>
      <w:r>
        <w:rPr>
          <w:rFonts w:ascii="Arial" w:hAnsi="Arial"/>
          <w:color w:val="000000"/>
          <w:sz w:val="20"/>
        </w:rPr>
        <w:t>includes (i) fees earned from payment processing services provided to our clients. The fee is generally earned on each transaction through a rate applied to the total payment value of the transaction, which can vary based on the payment method, currency pairs being converted and the geographic region in which our clients and their customers reside. Payment processing services also include fixed fees per transaction, which generally relate to domestic payments processed. It also includes (ii) marketing fees from credit card service providers for marketing arrangements in which we perform certain marketing activities to increase the awareness of the credit card provider and promote certain methods of payments, which we consider to be ancillary to the payment processing solutions we provide to our clients.</w:t>
      </w:r>
    </w:p>
    <w:p>
      <w:pPr>
        <w:pStyle w:val="TextBody"/>
        <w:bidi w:val="0"/>
        <w:spacing w:before="200" w:after="200"/>
        <w:jc w:val="left"/>
        <w:rPr>
          <w:rFonts w:ascii="Times New Roman" w:hAnsi="Times New Roman"/>
          <w:sz w:val="20"/>
        </w:rPr>
      </w:pPr>
      <w:r>
        <w:rPr>
          <w:rFonts w:ascii="Arial" w:hAnsi="Arial"/>
          <w:i/>
          <w:color w:val="000000"/>
          <w:sz w:val="20"/>
        </w:rPr>
        <w:t>Platform and other revenues</w:t>
      </w:r>
      <w:r>
        <w:rPr>
          <w:rFonts w:ascii="Times New Roman" w:hAnsi="Times New Roman"/>
          <w:color w:val="000000"/>
          <w:sz w:val="20"/>
        </w:rPr>
        <w:t xml:space="preserve"> </w:t>
      </w:r>
      <w:r>
        <w:rPr>
          <w:rFonts w:ascii="Arial" w:hAnsi="Arial"/>
          <w:color w:val="000000"/>
          <w:sz w:val="20"/>
        </w:rPr>
        <w:t>primarily include (i) fees earned for the utilization of our platforms to optimize cash collections and student application processing, which include revenue earned from software subscription fees and usage-based fees, (ii) fees for the establishment of payment plans on our payment platform, (iii) fees related to printing, mailing, and other services which we consider to be ancillary to the solutions we provide to our clients, (iv) commissions from insurance providers when an end-user purchases an insurance policy, and (v) revenue from interest earned on funds held for customers in interest-bearing accounts. Platform and other revenues has been referred to as platform and usage-based fee revenue in prior filings.</w:t>
      </w:r>
    </w:p>
    <w:p>
      <w:pPr>
        <w:pStyle w:val="TextBody"/>
        <w:bidi w:val="0"/>
        <w:spacing w:before="200" w:after="200"/>
        <w:jc w:val="left"/>
        <w:rPr>
          <w:rFonts w:ascii="Times New Roman" w:hAnsi="Times New Roman"/>
          <w:sz w:val="20"/>
        </w:rPr>
      </w:pPr>
      <w:r>
        <w:rPr>
          <w:rFonts w:ascii="Arial" w:hAnsi="Arial"/>
          <w:b/>
          <w:color w:val="000000"/>
          <w:sz w:val="20"/>
        </w:rPr>
        <w:t>Key Operating Metrics and Non-GAAP Financial Measures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To supplement our condensed consolidated financial statements, which are prepared in accordance with generally accepted accounting principles in the United States (GAAP), we use certain non-GAAP financial measures. The following table sets forth our key operating metrics and non-GAAP measures for the periods presented. All dollar amounts are rounded and as a result, certain amounts may not recalculate using the rounded amounts provided.</w:t>
      </w:r>
    </w:p>
    <w:tbl>
      <w:tblPr>
        <w:tblW w:w="8727" w:type="dxa"/>
        <w:jc w:val="left"/>
        <w:tblInd w:w="0" w:type="dxa"/>
        <w:tblLayout w:type="fixed"/>
        <w:tblCellMar>
          <w:top w:w="28" w:type="dxa"/>
          <w:left w:w="28" w:type="dxa"/>
          <w:bottom w:w="28" w:type="dxa"/>
          <w:right w:w="28" w:type="dxa"/>
        </w:tblCellMar>
      </w:tblPr>
      <w:tblGrid>
        <w:gridCol w:w="3001"/>
        <w:gridCol w:w="146"/>
        <w:gridCol w:w="211"/>
        <w:gridCol w:w="751"/>
        <w:gridCol w:w="286"/>
        <w:gridCol w:w="146"/>
        <w:gridCol w:w="211"/>
        <w:gridCol w:w="751"/>
        <w:gridCol w:w="286"/>
        <w:gridCol w:w="146"/>
        <w:gridCol w:w="211"/>
        <w:gridCol w:w="856"/>
        <w:gridCol w:w="286"/>
        <w:gridCol w:w="146"/>
        <w:gridCol w:w="211"/>
        <w:gridCol w:w="751"/>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Payment Volume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4,859.7</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4,089.9</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11,812.8</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9,758.1</w:t>
            </w:r>
          </w:p>
        </w:tc>
        <w:tc>
          <w:tcPr>
            <w:tcW w:w="33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103.7</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84.9</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217.8</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179.2</w:t>
            </w:r>
          </w:p>
        </w:tc>
        <w:tc>
          <w:tcPr>
            <w:tcW w:w="331" w:type="dxa"/>
            <w:tcBorders/>
            <w:shd w:fill="FFFFFF" w:val="cle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 Less Ancillary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99.9</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79.5</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210.1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168.5</w:t>
            </w:r>
          </w:p>
        </w:tc>
        <w:tc>
          <w:tcPr>
            <w:tcW w:w="33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61.9</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48.8</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132.4</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107.0</w:t>
            </w:r>
          </w:p>
        </w:tc>
        <w:tc>
          <w:tcPr>
            <w:tcW w:w="331" w:type="dxa"/>
            <w:tcBorders/>
            <w:shd w:fill="FFFFFF" w:val="cle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63.4</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135.4</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110.3</w:t>
            </w:r>
          </w:p>
        </w:tc>
        <w:tc>
          <w:tcPr>
            <w:tcW w:w="33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Gross Margin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59.7</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59.7</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64.4</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65.5</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(13.9</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331" w:type="dxa"/>
            <w:tcBorders/>
            <w:shd w:fill="CFF0FC" w:val="clear"/>
            <w:vAlign w:val="center"/>
          </w:tcPr>
          <w:p>
            <w:pPr>
              <w:pStyle w:val="TableContents"/>
              <w:bidi w:val="0"/>
              <w:spacing w:before="0" w:after="283"/>
              <w:jc w:val="left"/>
              <w:rPr/>
            </w:pPr>
            <w:r>
              <w:rPr/>
              <w:t> </w:t>
            </w:r>
          </w:p>
        </w:tc>
      </w:tr>
    </w:tbl>
    <w:p>
      <w:pPr>
        <w:pStyle w:val="TextBody"/>
        <w:bidi w:val="0"/>
        <w:spacing w:before="200" w:after="200"/>
        <w:jc w:val="left"/>
        <w:rPr>
          <w:rFonts w:ascii="Arial" w:hAnsi="Arial"/>
          <w:color w:val="000000"/>
          <w:sz w:val="20"/>
        </w:rPr>
      </w:pPr>
      <w:r>
        <w:rPr>
          <w:rFonts w:ascii="Arial" w:hAnsi="Arial"/>
          <w:color w:val="000000"/>
          <w:sz w:val="20"/>
        </w:rPr>
        <w:t>For the three months ended June 30, 2024, transaction revenue and platform and other revenues represented 82.3% and 17.7% of our revenue, respectively. For the three months ended June 30, 2024, transaction revenue and platform and other revenues represented 85.2% and 14.8% of our total revenue less ancillary services, respectively. For the three months ended June 30, 2023, transaction revenue and platform and other revenues represented 78.8% and 21.2% of our revenue, respectively. For the three months ended June 30, 2023, transaction revenue and platform and other revenues represented 84.0% and 16.0% of our total revenue less ancillary services, respectively.</w:t>
      </w:r>
    </w:p>
    <w:p>
      <w:pPr>
        <w:pStyle w:val="TextBody"/>
        <w:bidi w:val="0"/>
        <w:spacing w:before="200" w:after="200"/>
        <w:jc w:val="left"/>
        <w:rPr>
          <w:rFonts w:ascii="Arial" w:hAnsi="Arial"/>
          <w:color w:val="000000"/>
          <w:sz w:val="20"/>
        </w:rPr>
      </w:pPr>
      <w:r>
        <w:rPr>
          <w:rFonts w:ascii="Arial" w:hAnsi="Arial"/>
          <w:color w:val="000000"/>
          <w:sz w:val="20"/>
        </w:rPr>
        <w:t>For the six months ended June 30, 2024, transaction revenue and platform and other revenues represented 82.9% and 17.1% of our revenue, respectively. For the six months ended June 30, 2024, transaction revenue and platform and other revenues represented 85.7% and 14.3% of our total revenue less ancillary services, respectively. For the six months ended June 30, 2023, transaction revenue and platform and other revenues represented 79.9% and 20.1% of our revenue, respectively. For the six months ended June 30, 2023, transaction revenue and platform and other revenues represented 84.6% and 15.4% of our total revenue less ancillary services, respectively.</w:t>
      </w:r>
    </w:p>
    <w:p>
      <w:pPr>
        <w:pStyle w:val="TextBody"/>
        <w:bidi w:val="0"/>
        <w:spacing w:before="200" w:after="200"/>
        <w:jc w:val="left"/>
        <w:rPr>
          <w:rFonts w:ascii="Times New Roman" w:hAnsi="Times New Roman"/>
          <w:sz w:val="20"/>
        </w:rPr>
      </w:pPr>
      <w:r>
        <w:rPr>
          <w:rFonts w:ascii="Arial" w:hAnsi="Arial"/>
          <w:color w:val="000000"/>
          <w:sz w:val="20"/>
        </w:rPr>
        <w:t>For the three months ended June 30, 2024, our total payment volume was approximately $4.9 billion, consisting of $3.9 billion of total payment volume from transactions included in transaction revenue, and $1.0 billion of total payment volume from transactions included in platform and other revenues. For the three months ended June 30, 2023, our total payment volume was approximately $4.1 billion, consisting of $3.1 billion of total payment volume from transactions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included in transaction revenue, and $1.0 billion of total payment volume from transactions included in platform and other revenues.</w:t>
      </w:r>
    </w:p>
    <w:p>
      <w:pPr>
        <w:pStyle w:val="TextBody"/>
        <w:bidi w:val="0"/>
        <w:spacing w:before="200" w:after="200"/>
        <w:jc w:val="left"/>
        <w:rPr>
          <w:rFonts w:ascii="Arial" w:hAnsi="Arial"/>
          <w:color w:val="000000"/>
          <w:sz w:val="20"/>
        </w:rPr>
      </w:pPr>
      <w:r>
        <w:rPr>
          <w:rFonts w:ascii="Arial" w:hAnsi="Arial"/>
          <w:color w:val="000000"/>
          <w:sz w:val="20"/>
        </w:rPr>
        <w:t>For the six months ended June 30, 2024, our total payment volume was approximately $11.8 billion, consisting of $8.9 billion of total payment volume from transactions included in transaction revenue, and $2.9 billion of total payment volume from transactions included in platform and other revenues. For the six months ended June 30, 2023, our total payment volume was approximately $9.8 billion, consisting of $6.9 billion of total payment volume from transactions included in transaction revenue, and $2.9 billion of total payment volume from transactions included in platform and other revenues.</w:t>
      </w:r>
    </w:p>
    <w:p>
      <w:pPr>
        <w:pStyle w:val="TextBody"/>
        <w:bidi w:val="0"/>
        <w:spacing w:before="200" w:after="200"/>
        <w:jc w:val="left"/>
        <w:rPr>
          <w:rFonts w:ascii="Times New Roman" w:hAnsi="Times New Roman"/>
          <w:sz w:val="20"/>
        </w:rPr>
      </w:pPr>
      <w:r>
        <w:rPr>
          <w:rFonts w:ascii="Arial" w:hAnsi="Arial"/>
          <w:b/>
          <w:i/>
          <w:color w:val="000000"/>
          <w:sz w:val="20"/>
        </w:rPr>
        <w:t>Total Payment Volume</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platforms in a given period.</w:t>
      </w:r>
    </w:p>
    <w:p>
      <w:pPr>
        <w:pStyle w:val="TextBody"/>
        <w:bidi w:val="0"/>
        <w:spacing w:before="200" w:after="200"/>
        <w:jc w:val="left"/>
        <w:rPr>
          <w:rFonts w:ascii="Arial" w:hAnsi="Arial"/>
          <w:b/>
          <w:i/>
          <w:color w:val="000000"/>
          <w:sz w:val="20"/>
        </w:rPr>
      </w:pPr>
      <w:r>
        <w:rPr>
          <w:rFonts w:ascii="Arial" w:hAnsi="Arial"/>
          <w:b/>
          <w:i/>
          <w:color w:val="000000"/>
          <w:sz w:val="20"/>
        </w:rPr>
        <w:t>Revenue Less Ancillary Services, Revenue Less Ancillary Services at Constant Currency, Adjusted Gross Profit, Adjusted Gross Margin, EBITDA, Adjusted EBITDA and Non-GAAP Operating Expenses</w:t>
      </w:r>
    </w:p>
    <w:p>
      <w:pPr>
        <w:pStyle w:val="TextBody"/>
        <w:bidi w:val="0"/>
        <w:spacing w:before="200" w:after="200"/>
        <w:jc w:val="left"/>
        <w:rPr>
          <w:rFonts w:ascii="Arial" w:hAnsi="Arial"/>
          <w:color w:val="000000"/>
          <w:sz w:val="20"/>
        </w:rPr>
      </w:pPr>
      <w:r>
        <w:rPr>
          <w:rFonts w:ascii="Arial" w:hAnsi="Arial"/>
          <w:color w:val="000000"/>
          <w:sz w:val="20"/>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before="200" w:after="200"/>
        <w:jc w:val="left"/>
        <w:rPr>
          <w:rFonts w:ascii="Times New Roman" w:hAnsi="Times New Roman"/>
          <w:sz w:val="20"/>
        </w:rPr>
      </w:pPr>
      <w:r>
        <w:rPr>
          <w:rFonts w:ascii="Arial" w:hAnsi="Arial"/>
          <w:color w:val="000000"/>
          <w:sz w:val="20"/>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Arial" w:hAnsi="Arial"/>
          <w:i/>
          <w:color w:val="000000"/>
          <w:sz w:val="20"/>
        </w:rPr>
        <w:t>Revenue Less Ancillary Services -</w:t>
      </w:r>
      <w:r>
        <w:rPr>
          <w:color w:val="000000"/>
        </w:rPr>
        <w:t xml:space="preserve"> </w:t>
      </w:r>
      <w:r>
        <w:rPr>
          <w:rFonts w:ascii="Arial" w:hAnsi="Arial"/>
          <w:color w:val="000000"/>
          <w:sz w:val="20"/>
        </w:rPr>
        <w:t>Revenue Less Ancillary Services represents our consolidated revenue in accordance with GAAP less (i) pass-through cost for printing and mailing services and (ii) marketing fees. We exclude these amounts to arrive at this supplemental non-GAAP financial measure as we view these services as ancillary to the primary services we provide to our clients.</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Arial" w:hAnsi="Arial"/>
          <w:i/>
          <w:color w:val="000000"/>
          <w:sz w:val="20"/>
        </w:rPr>
        <w:t xml:space="preserve">Revenue Less Ancillary Services at Constant Currency </w:t>
      </w:r>
      <w:r>
        <w:rPr>
          <w:rFonts w:ascii="Arial" w:hAnsi="Arial"/>
          <w:color w:val="000000"/>
          <w:sz w:val="20"/>
        </w:rPr>
        <w:t>- Revenue Less Ancillary Services at Constant Currency represents Revenue Less Ancillary Services adjusted to show presentation on a constant currency basis. The constant currency information presented is calculated by translating current period results using prior period weighted average foreign currency exchange rates. We analyze Revenue Less Ancillary Services on a constant currency basis to provide a comparable framework for assessing how the business performed excluding the effect of foreign currency fluctuations.</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Arial" w:hAnsi="Arial"/>
          <w:i/>
          <w:color w:val="000000"/>
          <w:sz w:val="20"/>
        </w:rPr>
        <w:t>Adjusted Gross Profit</w:t>
      </w:r>
      <w:r>
        <w:rPr>
          <w:color w:val="000000"/>
        </w:rPr>
        <w:t xml:space="preserve"> </w:t>
      </w:r>
      <w:r>
        <w:rPr>
          <w:rFonts w:ascii="Arial" w:hAnsi="Arial"/>
          <w:color w:val="000000"/>
          <w:sz w:val="20"/>
        </w:rPr>
        <w:t>-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Management believes this presentation supplements the GAAP presentation of gross profit with a useful measure of the gross profit of our payment-related services, which are the primary services we provide to our clients.</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Arial" w:hAnsi="Arial"/>
          <w:i/>
          <w:color w:val="000000"/>
          <w:sz w:val="20"/>
        </w:rPr>
        <w:t xml:space="preserve">Adjusted Gross Margin </w:t>
      </w:r>
      <w:r>
        <w:rPr>
          <w:rFonts w:ascii="Arial" w:hAnsi="Arial"/>
          <w:color w:val="000000"/>
          <w:sz w:val="20"/>
        </w:rPr>
        <w:t xml:space="preserve">- Adjusted Gross Margin represents Adjusted Gross Profit divided by Revenue Less Ancillary Services. Management believes this presentation supplements the GAAP presentation of gross margin with a useful measure of the gross margin of our payment-related services, which are the primary services we provide to our clients.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Arial" w:hAnsi="Arial"/>
          <w:i/>
          <w:color w:val="000000"/>
          <w:sz w:val="20"/>
        </w:rPr>
        <w:t xml:space="preserve">EBITDA - </w:t>
      </w:r>
      <w:r>
        <w:rPr>
          <w:rFonts w:ascii="Arial" w:hAnsi="Arial"/>
          <w:color w:val="000000"/>
          <w:sz w:val="20"/>
        </w:rPr>
        <w:t>EBITDA represents our consolidated net loss in accordance with GAAP adjusted to include (i) interest expense, (ii) interest income, (iii) provision for income taxes and (iv) depreciation and amortization.</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Arial" w:hAnsi="Arial"/>
          <w:i/>
          <w:color w:val="000000"/>
          <w:sz w:val="20"/>
        </w:rPr>
        <w:t xml:space="preserve">Adjusted EBITDA </w:t>
      </w:r>
      <w:r>
        <w:rPr>
          <w:rFonts w:ascii="Arial" w:hAnsi="Arial"/>
          <w:color w:val="000000"/>
          <w:sz w:val="20"/>
        </w:rPr>
        <w:t>- Adjusted EBITDA represents EBITDA further adjusted by excluding (i) stock-based compensation expense and related payroll taxes, (ii) the impact from the change in fair value measurement for contingent consideration associated with acquisitions, (iii) gain (loss) from the remeasurement of foreign currency, (iv) indirect taxes related to intercompany activity, (v) acquisition related transaction costs, if applicable and (vi) employee retention costs, such as incentive compensation, associated with acquisition activities. Management believes that the exclusion of these amounts to calculate Adjusted EBITDA provides useful measures for period-to-period comparisons of our business.</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Arial" w:hAnsi="Arial"/>
          <w:i/>
          <w:color w:val="000000"/>
          <w:sz w:val="20"/>
        </w:rPr>
        <w:t xml:space="preserve">Non-GAAP Operating Expenses - </w:t>
      </w:r>
      <w:r>
        <w:rPr>
          <w:rFonts w:ascii="Arial" w:hAnsi="Arial"/>
          <w:color w:val="000000"/>
          <w:sz w:val="20"/>
        </w:rPr>
        <w:t>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and (v) the impact from the change in fair value measurement for contingent consideration associated with acquisitions.</w:t>
      </w:r>
    </w:p>
    <w:p>
      <w:pPr>
        <w:pStyle w:val="TextBody"/>
        <w:bidi w:val="0"/>
        <w:spacing w:before="200" w:after="200"/>
        <w:jc w:val="left"/>
        <w:rPr>
          <w:rFonts w:ascii="Arial" w:hAnsi="Arial"/>
          <w:color w:val="000000"/>
          <w:sz w:val="20"/>
        </w:rPr>
      </w:pPr>
      <w:r>
        <w:rPr>
          <w:rFonts w:ascii="Arial" w:hAnsi="Arial"/>
          <w:color w:val="000000"/>
          <w:sz w:val="20"/>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Profit, Adjusted Gross Margin, Revenue Less Ancillary Services at Constant Currency, EBITDA, Adjusted EBITDA and Non-GAAP Operating Expenses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pStyle w:val="TextBody"/>
        <w:bidi w:val="0"/>
        <w:spacing w:before="200" w:after="200"/>
        <w:jc w:val="left"/>
        <w:rPr>
          <w:rFonts w:ascii="Times New Roman" w:hAnsi="Times New Roman"/>
          <w:sz w:val="20"/>
        </w:rPr>
      </w:pPr>
      <w:r>
        <w:rPr>
          <w:rFonts w:ascii="Arial" w:hAnsi="Arial"/>
          <w:b/>
          <w:i/>
          <w:color w:val="000000"/>
          <w:sz w:val="20"/>
        </w:rPr>
        <w:t>Reconciliations of Non-GAAP Financial Measures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The tables below provide reconciliations of Revenue Less Ancillary Services, Adjusted Gross Profit, Adjusted Gross Margin, Revenue Less Ancillary Services at Constant Currency, EBITDA, Adjusted EBITDA and Non-GAAP Operating Expenses to the most comparable GAAP figure on a consolidated basis for the periods presented. All dollar amounts are rounded and as a result, certain amounts may not recalculate using the rounded amounts provided.</w:t>
      </w:r>
    </w:p>
    <w:p>
      <w:pPr>
        <w:pStyle w:val="TextBody"/>
        <w:bidi w:val="0"/>
        <w:spacing w:before="200" w:after="200"/>
        <w:jc w:val="left"/>
        <w:rPr>
          <w:rFonts w:ascii="Arial" w:hAnsi="Arial"/>
          <w:i/>
          <w:color w:val="000000"/>
          <w:sz w:val="20"/>
        </w:rPr>
      </w:pPr>
      <w:r>
        <w:rPr>
          <w:rFonts w:ascii="Arial" w:hAnsi="Arial"/>
          <w:i/>
          <w:color w:val="000000"/>
          <w:sz w:val="20"/>
        </w:rPr>
        <w:t>Revenue Less Ancillary Services, Adjusted Gross Profit and Adjusted Gross Margin:</w:t>
      </w:r>
    </w:p>
    <w:tbl>
      <w:tblPr>
        <w:tblW w:w="9772" w:type="dxa"/>
        <w:jc w:val="left"/>
        <w:tblInd w:w="0" w:type="dxa"/>
        <w:tblLayout w:type="fixed"/>
        <w:tblCellMar>
          <w:top w:w="28" w:type="dxa"/>
          <w:left w:w="28" w:type="dxa"/>
          <w:bottom w:w="28" w:type="dxa"/>
          <w:right w:w="28" w:type="dxa"/>
        </w:tblCellMar>
      </w:tblPr>
      <w:tblGrid>
        <w:gridCol w:w="4756"/>
        <w:gridCol w:w="146"/>
        <w:gridCol w:w="211"/>
        <w:gridCol w:w="586"/>
        <w:gridCol w:w="286"/>
        <w:gridCol w:w="146"/>
        <w:gridCol w:w="211"/>
        <w:gridCol w:w="481"/>
        <w:gridCol w:w="286"/>
        <w:gridCol w:w="146"/>
        <w:gridCol w:w="211"/>
        <w:gridCol w:w="586"/>
        <w:gridCol w:w="286"/>
        <w:gridCol w:w="146"/>
        <w:gridCol w:w="211"/>
        <w:gridCol w:w="586"/>
        <w:gridCol w:w="49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103.7</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84.9</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217.8</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179.2</w:t>
            </w:r>
          </w:p>
        </w:tc>
        <w:tc>
          <w:tcPr>
            <w:tcW w:w="49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to exclude gross up for:</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491" w:type="dxa"/>
            <w:tcBorders/>
            <w:shd w:fill="FFFFFF" w:val="clear"/>
            <w:vAlign w:val="center"/>
          </w:tcPr>
          <w:p>
            <w:pPr>
              <w:pStyle w:val="TableContents"/>
              <w:bidi w:val="0"/>
              <w:spacing w:before="0" w:after="283"/>
              <w:ind w:left="0" w:right="0" w:firstLine="280"/>
              <w:jc w:val="right"/>
              <w:rPr/>
            </w:pPr>
            <w:r>
              <w:rPr/>
              <w:t> </w:t>
            </w:r>
          </w:p>
        </w:tc>
      </w:tr>
      <w:tr>
        <w:trPr/>
        <w:tc>
          <w:tcPr>
            <w:tcW w:w="47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Pass-through cost for printing and mailing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Marketing fees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 Less Ancillary Services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Payment processing services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39.9</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81.5</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67.7</w:t>
            </w:r>
          </w:p>
        </w:tc>
        <w:tc>
          <w:tcPr>
            <w:tcW w:w="49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Hosting and amortization costs within technology and</w:t>
              <w:br/>
              <w:t>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to:</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28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491" w:type="dxa"/>
            <w:tcBorders/>
            <w:shd w:fill="CFF0FC" w:val="clear"/>
            <w:vAlign w:val="center"/>
          </w:tcPr>
          <w:p>
            <w:pPr>
              <w:pStyle w:val="TableContents"/>
              <w:bidi w:val="0"/>
              <w:spacing w:before="0" w:after="283"/>
              <w:ind w:left="0" w:right="0" w:firstLine="280"/>
              <w:jc w:val="right"/>
              <w:rPr/>
            </w:pPr>
            <w:r>
              <w:rPr/>
              <w:t> </w:t>
            </w:r>
          </w:p>
        </w:tc>
      </w:tr>
      <w:tr>
        <w:trPr/>
        <w:tc>
          <w:tcPr>
            <w:tcW w:w="47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Exclude printing and mailing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2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49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5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Offset marketing fees against related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49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75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Exclude 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36.5</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29.0</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74.7</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58.2</w:t>
            </w:r>
          </w:p>
        </w:tc>
        <w:tc>
          <w:tcPr>
            <w:tcW w:w="491" w:type="dxa"/>
            <w:tcBorders/>
            <w:shd w:fill="CFF0FC" w:val="clear"/>
            <w:vAlign w:val="center"/>
          </w:tcPr>
          <w:p>
            <w:pPr>
              <w:pStyle w:val="TableContents"/>
              <w:bidi w:val="0"/>
              <w:spacing w:before="0" w:after="283"/>
              <w:jc w:val="left"/>
              <w:rPr/>
            </w:pPr>
            <w:r>
              <w:rPr/>
              <w:t> </w:t>
            </w:r>
          </w:p>
        </w:tc>
      </w:tr>
      <w:tr>
        <w:trPr/>
        <w:tc>
          <w:tcPr>
            <w:tcW w:w="47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61.9</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48.8</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132.4</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107.0</w:t>
            </w:r>
          </w:p>
        </w:tc>
        <w:tc>
          <w:tcPr>
            <w:tcW w:w="49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63.4</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135.4</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110.3</w:t>
            </w:r>
          </w:p>
        </w:tc>
        <w:tc>
          <w:tcPr>
            <w:tcW w:w="491" w:type="dxa"/>
            <w:tcBorders/>
            <w:shd w:fill="FFFFFF" w:val="clear"/>
            <w:vAlign w:val="center"/>
          </w:tcPr>
          <w:p>
            <w:pPr>
              <w:pStyle w:val="TableContents"/>
              <w:bidi w:val="0"/>
              <w:spacing w:before="0" w:after="283"/>
              <w:jc w:val="left"/>
              <w:rPr/>
            </w:pPr>
            <w:r>
              <w:rPr/>
              <w:t> </w:t>
            </w:r>
          </w:p>
        </w:tc>
      </w:tr>
      <w:tr>
        <w:trPr/>
        <w:tc>
          <w:tcPr>
            <w:tcW w:w="475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Gross Margin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6"/>
        <w:gridCol w:w="146"/>
        <w:gridCol w:w="258"/>
        <w:gridCol w:w="718"/>
        <w:gridCol w:w="286"/>
        <w:gridCol w:w="146"/>
        <w:gridCol w:w="320"/>
        <w:gridCol w:w="732"/>
        <w:gridCol w:w="286"/>
        <w:gridCol w:w="146"/>
        <w:gridCol w:w="211"/>
        <w:gridCol w:w="586"/>
        <w:gridCol w:w="286"/>
        <w:gridCol w:w="146"/>
        <w:gridCol w:w="258"/>
        <w:gridCol w:w="718"/>
        <w:gridCol w:w="286"/>
        <w:gridCol w:w="146"/>
        <w:gridCol w:w="294"/>
        <w:gridCol w:w="758"/>
        <w:gridCol w:w="286"/>
        <w:gridCol w:w="146"/>
        <w:gridCol w:w="211"/>
        <w:gridCol w:w="586"/>
        <w:gridCol w:w="493"/>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6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 June 30, 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Three Months Ended June 30, 2023</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Transaction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Platform and other revenues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Revenue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Transaction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Platform and other revenues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Revenue</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Revenue</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1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85.3</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32"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18.4</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103.7</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1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66.8</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5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18.0</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84.9</w:t>
            </w:r>
          </w:p>
        </w:tc>
        <w:tc>
          <w:tcPr>
            <w:tcW w:w="493" w:type="dxa"/>
            <w:tcBorders/>
            <w:shd w:fill="CFF0FC"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Adjusted to exclude gross</w:t>
              <w:br/>
              <w:t>   up for:</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493" w:type="dxa"/>
            <w:tcBorders/>
            <w:shd w:fill="FFFFFF" w:val="clear"/>
            <w:vAlign w:val="center"/>
          </w:tcPr>
          <w:p>
            <w:pPr>
              <w:pStyle w:val="TableContents"/>
              <w:bidi w:val="0"/>
              <w:spacing w:before="0" w:after="283"/>
              <w:ind w:left="0" w:right="0" w:firstLine="280"/>
              <w:jc w:val="right"/>
              <w:rPr/>
            </w:pPr>
            <w:r>
              <w:rPr/>
              <w:t> </w:t>
            </w:r>
          </w:p>
        </w:tc>
      </w:tr>
      <w:tr>
        <w:trPr/>
        <w:tc>
          <w:tcPr>
            <w:tcW w:w="1756" w:type="dxa"/>
            <w:tcBorders/>
            <w:shd w:fill="CFF0FC" w:val="clear"/>
            <w:vAlign w:val="center"/>
          </w:tcPr>
          <w:p>
            <w:pPr>
              <w:pStyle w:val="TableContents"/>
              <w:bidi w:val="0"/>
              <w:spacing w:before="0" w:after="283"/>
              <w:ind w:left="280" w:right="0" w:firstLine="280"/>
              <w:jc w:val="left"/>
              <w:rPr>
                <w:rFonts w:ascii="Arial" w:hAnsi="Arial"/>
                <w:color w:val="000000"/>
                <w:sz w:val="19"/>
              </w:rPr>
            </w:pPr>
            <w:r>
              <w:rPr>
                <w:rFonts w:ascii="Arial" w:hAnsi="Arial"/>
                <w:color w:val="000000"/>
                <w:sz w:val="19"/>
              </w:rPr>
              <w:t>Pass-through cost for</w:t>
              <w:br/>
              <w:t>   printing and mailing</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color w:val="000000"/>
              </w:rPr>
            </w:pPr>
            <w:r>
              <w:rPr>
                <w:color w:val="000000"/>
              </w:rPr>
              <w:t>—</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(3.6</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(3.6</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color w:val="000000"/>
              </w:rPr>
            </w:pPr>
            <w:r>
              <w:rPr>
                <w:color w:val="000000"/>
              </w:rPr>
              <w:t>—</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(5.3</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(5.3</w:t>
            </w:r>
          </w:p>
        </w:tc>
        <w:tc>
          <w:tcPr>
            <w:tcW w:w="493" w:type="dxa"/>
            <w:tcBorders/>
            <w:shd w:fill="CFF0FC" w:val="cle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1756" w:type="dxa"/>
            <w:tcBorders/>
            <w:shd w:fill="FFFFFF" w:val="clear"/>
            <w:vAlign w:val="center"/>
          </w:tcPr>
          <w:p>
            <w:pPr>
              <w:pStyle w:val="TableContents"/>
              <w:bidi w:val="0"/>
              <w:spacing w:before="0" w:after="283"/>
              <w:ind w:left="280" w:right="0" w:firstLine="280"/>
              <w:jc w:val="left"/>
              <w:rPr>
                <w:rFonts w:ascii="Arial" w:hAnsi="Arial"/>
                <w:color w:val="000000"/>
                <w:sz w:val="19"/>
              </w:rPr>
            </w:pPr>
            <w:r>
              <w:rPr>
                <w:rFonts w:ascii="Arial" w:hAnsi="Arial"/>
                <w:color w:val="000000"/>
                <w:sz w:val="19"/>
              </w:rPr>
              <w:t>Marketing fees</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(0.1</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75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Revenue Less Ancillary</w:t>
              <w:br/>
              <w:t>   Services</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85.1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99.9</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66.7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12.7</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79.5</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Percentage of Revenue</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Arial" w:hAnsi="Arial"/>
                <w:color w:val="000000"/>
                <w:sz w:val="19"/>
              </w:rPr>
            </w:pPr>
            <w:r>
              <w:rPr>
                <w:rFonts w:ascii="Arial" w:hAnsi="Arial"/>
                <w:color w:val="000000"/>
                <w:sz w:val="19"/>
              </w:rPr>
              <w:t>82.3</w:t>
            </w:r>
          </w:p>
        </w:tc>
        <w:tc>
          <w:tcPr>
            <w:tcW w:w="28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Arial" w:hAnsi="Arial"/>
                <w:color w:val="000000"/>
                <w:sz w:val="19"/>
              </w:rPr>
            </w:pPr>
            <w:r>
              <w:rPr>
                <w:rFonts w:ascii="Arial" w:hAnsi="Arial"/>
                <w:color w:val="000000"/>
                <w:sz w:val="19"/>
              </w:rPr>
              <w:t>17.7</w:t>
            </w:r>
          </w:p>
        </w:tc>
        <w:tc>
          <w:tcPr>
            <w:tcW w:w="28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Arial" w:hAnsi="Arial"/>
                <w:color w:val="000000"/>
                <w:sz w:val="19"/>
              </w:rPr>
            </w:pPr>
            <w:r>
              <w:rPr>
                <w:rFonts w:ascii="Arial" w:hAnsi="Arial"/>
                <w:color w:val="000000"/>
                <w:sz w:val="19"/>
              </w:rPr>
              <w:t>78.8</w:t>
            </w:r>
          </w:p>
        </w:tc>
        <w:tc>
          <w:tcPr>
            <w:tcW w:w="28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Arial" w:hAnsi="Arial"/>
                <w:color w:val="000000"/>
                <w:sz w:val="19"/>
              </w:rPr>
            </w:pPr>
            <w:r>
              <w:rPr>
                <w:rFonts w:ascii="Arial" w:hAnsi="Arial"/>
                <w:color w:val="000000"/>
                <w:sz w:val="19"/>
              </w:rPr>
              <w:t>21.2</w:t>
            </w:r>
          </w:p>
        </w:tc>
        <w:tc>
          <w:tcPr>
            <w:tcW w:w="28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493"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75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Percentage of Revenue Less</w:t>
              <w:br/>
              <w:t>   Ancillary Services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85.2</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14.8</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84.0</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16.0</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493"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7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493" w:type="dxa"/>
            <w:tcBorders/>
            <w:shd w:fill="FFFFFF" w:val="clear"/>
            <w:vAlign w:val="center"/>
          </w:tcPr>
          <w:p>
            <w:pPr>
              <w:pStyle w:val="TableContents"/>
              <w:bidi w:val="0"/>
              <w:spacing w:before="0" w:after="283"/>
              <w:jc w:val="right"/>
              <w:rPr/>
            </w:pPr>
            <w:r>
              <w:rPr/>
              <w:t> </w:t>
            </w:r>
          </w:p>
        </w:tc>
      </w:tr>
      <w:tr>
        <w:trPr/>
        <w:tc>
          <w:tcPr>
            <w:tcW w:w="1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36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 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8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 2023</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Transaction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Platform and other revenues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Revenue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Transaction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Platform and other revenues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Revenue</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Revenue</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1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180.5</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32"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37.3</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217.8</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1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143.1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5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36.1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179.2</w:t>
            </w:r>
          </w:p>
        </w:tc>
        <w:tc>
          <w:tcPr>
            <w:tcW w:w="493" w:type="dxa"/>
            <w:tcBorders/>
            <w:shd w:fill="CFF0FC" w:val="cle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Adjusted to exclude gross</w:t>
              <w:br/>
              <w:t>   up for:</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493" w:type="dxa"/>
            <w:tcBorders/>
            <w:shd w:fill="FFFFFF" w:val="clear"/>
            <w:vAlign w:val="center"/>
          </w:tcPr>
          <w:p>
            <w:pPr>
              <w:pStyle w:val="TableContents"/>
              <w:bidi w:val="0"/>
              <w:spacing w:before="0" w:after="283"/>
              <w:ind w:left="0" w:right="0" w:firstLine="280"/>
              <w:jc w:val="right"/>
              <w:rPr/>
            </w:pPr>
            <w:r>
              <w:rPr/>
              <w:t> </w:t>
            </w:r>
          </w:p>
        </w:tc>
      </w:tr>
      <w:tr>
        <w:trPr/>
        <w:tc>
          <w:tcPr>
            <w:tcW w:w="1756" w:type="dxa"/>
            <w:tcBorders/>
            <w:shd w:fill="CFF0FC" w:val="clear"/>
            <w:vAlign w:val="center"/>
          </w:tcPr>
          <w:p>
            <w:pPr>
              <w:pStyle w:val="TableContents"/>
              <w:bidi w:val="0"/>
              <w:spacing w:before="0" w:after="283"/>
              <w:ind w:left="280" w:right="0" w:firstLine="280"/>
              <w:jc w:val="left"/>
              <w:rPr>
                <w:rFonts w:ascii="Arial" w:hAnsi="Arial"/>
                <w:color w:val="000000"/>
                <w:sz w:val="19"/>
              </w:rPr>
            </w:pPr>
            <w:r>
              <w:rPr>
                <w:rFonts w:ascii="Arial" w:hAnsi="Arial"/>
                <w:color w:val="000000"/>
                <w:sz w:val="19"/>
              </w:rPr>
              <w:t>Pass-through cost for</w:t>
              <w:br/>
              <w:t>   printing and mailing</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color w:val="000000"/>
              </w:rPr>
            </w:pPr>
            <w:r>
              <w:rPr>
                <w:color w:val="000000"/>
              </w:rPr>
              <w:t>—</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(7.2</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(7.2</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color w:val="000000"/>
              </w:rPr>
            </w:pPr>
            <w:r>
              <w:rPr>
                <w:color w:val="000000"/>
              </w:rPr>
              <w:t>—</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(10.2</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(10.2</w:t>
            </w:r>
          </w:p>
        </w:tc>
        <w:tc>
          <w:tcPr>
            <w:tcW w:w="493" w:type="dxa"/>
            <w:tcBorders/>
            <w:shd w:fill="CFF0FC" w:val="cle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1756" w:type="dxa"/>
            <w:tcBorders/>
            <w:shd w:fill="FFFFFF" w:val="clear"/>
            <w:vAlign w:val="center"/>
          </w:tcPr>
          <w:p>
            <w:pPr>
              <w:pStyle w:val="TableContents"/>
              <w:bidi w:val="0"/>
              <w:spacing w:before="0" w:after="283"/>
              <w:ind w:left="280" w:right="0" w:firstLine="280"/>
              <w:jc w:val="left"/>
              <w:rPr>
                <w:rFonts w:ascii="Arial" w:hAnsi="Arial"/>
                <w:color w:val="000000"/>
                <w:sz w:val="19"/>
              </w:rPr>
            </w:pPr>
            <w:r>
              <w:rPr>
                <w:rFonts w:ascii="Arial" w:hAnsi="Arial"/>
                <w:color w:val="000000"/>
                <w:sz w:val="19"/>
              </w:rPr>
              <w:t>Marketing fees</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(0.5</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75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Revenue Less Ancillary</w:t>
              <w:br/>
              <w:t>   Services</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210.1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142.6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25.9</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168.5</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Percentage of Revenue</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Arial" w:hAnsi="Arial"/>
                <w:color w:val="000000"/>
                <w:sz w:val="19"/>
              </w:rPr>
            </w:pPr>
            <w:r>
              <w:rPr>
                <w:rFonts w:ascii="Arial" w:hAnsi="Arial"/>
                <w:color w:val="000000"/>
                <w:sz w:val="19"/>
              </w:rPr>
              <w:t>82.9</w:t>
            </w:r>
          </w:p>
        </w:tc>
        <w:tc>
          <w:tcPr>
            <w:tcW w:w="28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Arial" w:hAnsi="Arial"/>
                <w:color w:val="000000"/>
                <w:sz w:val="19"/>
              </w:rPr>
            </w:pPr>
            <w:r>
              <w:rPr>
                <w:rFonts w:ascii="Arial" w:hAnsi="Arial"/>
                <w:color w:val="000000"/>
                <w:sz w:val="19"/>
              </w:rPr>
              <w:t>17.1</w:t>
            </w:r>
          </w:p>
        </w:tc>
        <w:tc>
          <w:tcPr>
            <w:tcW w:w="28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rFonts w:ascii="Arial" w:hAnsi="Arial"/>
                <w:color w:val="000000"/>
                <w:sz w:val="19"/>
              </w:rPr>
            </w:pPr>
            <w:r>
              <w:rPr>
                <w:rFonts w:ascii="Arial" w:hAnsi="Arial"/>
                <w:color w:val="000000"/>
                <w:sz w:val="19"/>
              </w:rPr>
              <w:t>79.9</w:t>
            </w:r>
          </w:p>
        </w:tc>
        <w:tc>
          <w:tcPr>
            <w:tcW w:w="28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Arial" w:hAnsi="Arial"/>
                <w:color w:val="000000"/>
                <w:sz w:val="19"/>
              </w:rPr>
            </w:pPr>
            <w:r>
              <w:rPr>
                <w:rFonts w:ascii="Arial" w:hAnsi="Arial"/>
                <w:color w:val="000000"/>
                <w:sz w:val="19"/>
              </w:rPr>
              <w:t>20.1</w:t>
            </w:r>
          </w:p>
        </w:tc>
        <w:tc>
          <w:tcPr>
            <w:tcW w:w="286"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493"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75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Percentage of Revenue Less</w:t>
              <w:br/>
              <w:t>   Ancillary Services</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85.7</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14.3</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84.6</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15.4</w:t>
            </w:r>
          </w:p>
        </w:tc>
        <w:tc>
          <w:tcPr>
            <w:tcW w:w="286"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19"/>
              </w:rPr>
            </w:pPr>
            <w:r>
              <w:rPr>
                <w:rFonts w:ascii="Arial" w:hAnsi="Arial"/>
                <w:color w:val="000000"/>
                <w:sz w:val="19"/>
              </w:rPr>
              <w:t>100.0</w:t>
            </w:r>
          </w:p>
        </w:tc>
        <w:tc>
          <w:tcPr>
            <w:tcW w:w="493" w:type="dxa"/>
            <w:tcBorders/>
            <w:shd w:fill="CFF0FC" w:val="cle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bl>
    <w:p>
      <w:pPr>
        <w:pStyle w:val="TextBody"/>
        <w:bidi w:val="0"/>
        <w:spacing w:before="200" w:after="200"/>
        <w:jc w:val="left"/>
        <w:rPr>
          <w:rFonts w:ascii="Arial" w:hAnsi="Arial"/>
          <w:i/>
          <w:color w:val="000000"/>
          <w:sz w:val="20"/>
        </w:rPr>
      </w:pPr>
      <w:r>
        <w:rPr>
          <w:rFonts w:ascii="Arial" w:hAnsi="Arial"/>
          <w:i/>
          <w:color w:val="000000"/>
          <w:sz w:val="20"/>
        </w:rPr>
        <w:t>Revenue Less Ancillary Services at Constant Currency:</w:t>
      </w:r>
    </w:p>
    <w:tbl>
      <w:tblPr>
        <w:tblW w:w="8859" w:type="dxa"/>
        <w:jc w:val="left"/>
        <w:tblInd w:w="0" w:type="dxa"/>
        <w:tblLayout w:type="fixed"/>
        <w:tblCellMar>
          <w:top w:w="28" w:type="dxa"/>
          <w:left w:w="28" w:type="dxa"/>
          <w:bottom w:w="28" w:type="dxa"/>
          <w:right w:w="28" w:type="dxa"/>
        </w:tblCellMar>
      </w:tblPr>
      <w:tblGrid>
        <w:gridCol w:w="4906"/>
        <w:gridCol w:w="146"/>
        <w:gridCol w:w="272"/>
        <w:gridCol w:w="756"/>
        <w:gridCol w:w="214"/>
        <w:gridCol w:w="188"/>
        <w:gridCol w:w="272"/>
        <w:gridCol w:w="756"/>
        <w:gridCol w:w="166"/>
        <w:gridCol w:w="146"/>
        <w:gridCol w:w="223"/>
        <w:gridCol w:w="483"/>
        <w:gridCol w:w="33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Growth</w:t>
            </w:r>
          </w:p>
        </w:tc>
        <w:tc>
          <w:tcPr>
            <w:tcW w:w="331" w:type="dxa"/>
            <w:tcBorders/>
            <w:shd w:fill="FFFFFF" w:val="clear"/>
            <w:vAlign w:val="center"/>
          </w:tcPr>
          <w:p>
            <w:pPr>
              <w:pStyle w:val="TableContents"/>
              <w:bidi w:val="0"/>
              <w:spacing w:before="0" w:after="283"/>
              <w:jc w:val="center"/>
              <w:rPr/>
            </w:pPr>
            <w:r>
              <w:rPr/>
              <w:t> </w:t>
            </w:r>
          </w:p>
        </w:tc>
      </w:tr>
      <w:tr>
        <w:trPr/>
        <w:tc>
          <w:tcPr>
            <w:tcW w:w="4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Rate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103.7</w:t>
            </w:r>
          </w:p>
        </w:tc>
        <w:tc>
          <w:tcPr>
            <w:tcW w:w="214"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Ancillary services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 Less Ancillary Services</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Effects of foreign currency rate fluctuations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 Less Ancillary Services at Constant Currency</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02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49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Growth</w:t>
            </w:r>
          </w:p>
        </w:tc>
        <w:tc>
          <w:tcPr>
            <w:tcW w:w="331" w:type="dxa"/>
            <w:tcBorders/>
            <w:shd w:fill="FFFFFF" w:val="clear"/>
            <w:vAlign w:val="center"/>
          </w:tcPr>
          <w:p>
            <w:pPr>
              <w:pStyle w:val="TableContents"/>
              <w:bidi w:val="0"/>
              <w:spacing w:before="0" w:after="283"/>
              <w:jc w:val="center"/>
              <w:rPr/>
            </w:pPr>
            <w:r>
              <w:rPr/>
              <w:t> </w:t>
            </w:r>
          </w:p>
        </w:tc>
      </w:tr>
      <w:tr>
        <w:trPr/>
        <w:tc>
          <w:tcPr>
            <w:tcW w:w="4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left"/>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Rate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217.8</w:t>
            </w:r>
          </w:p>
        </w:tc>
        <w:tc>
          <w:tcPr>
            <w:tcW w:w="214"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Ancillary services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 Less Ancillary Services</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Effects of foreign currency rate fluctuations</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9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 Less Ancillary Services at Constant Currency</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i/>
          <w:color w:val="000000"/>
          <w:sz w:val="20"/>
        </w:rPr>
        <w:t>EBITDA and Adjusted EBITDA: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835"/>
        <w:gridCol w:w="146"/>
        <w:gridCol w:w="284"/>
        <w:gridCol w:w="732"/>
        <w:gridCol w:w="223"/>
        <w:gridCol w:w="196"/>
        <w:gridCol w:w="284"/>
        <w:gridCol w:w="732"/>
        <w:gridCol w:w="166"/>
        <w:gridCol w:w="146"/>
        <w:gridCol w:w="260"/>
        <w:gridCol w:w="669"/>
        <w:gridCol w:w="204"/>
        <w:gridCol w:w="179"/>
        <w:gridCol w:w="260"/>
        <w:gridCol w:w="669"/>
        <w:gridCol w:w="220"/>
      </w:tblGrid>
      <w:tr>
        <w:trPr/>
        <w:tc>
          <w:tcPr>
            <w:tcW w:w="4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48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left"/>
              <w:rPr/>
            </w:pPr>
            <w:r>
              <w:rPr/>
              <w:t> </w:t>
            </w:r>
          </w:p>
        </w:tc>
        <w:tc>
          <w:tcPr>
            <w:tcW w:w="10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(13.9</w:t>
            </w:r>
          </w:p>
        </w:tc>
        <w:tc>
          <w:tcPr>
            <w:tcW w:w="2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CFF0FC" w:val="clear"/>
            <w:vAlign w:val="center"/>
          </w:tcPr>
          <w:p>
            <w:pPr>
              <w:pStyle w:val="TableContents"/>
              <w:bidi w:val="0"/>
              <w:spacing w:before="0" w:after="283"/>
              <w:jc w:val="right"/>
              <w:rPr/>
            </w:pPr>
            <w:r>
              <w:rPr/>
              <w:t> </w:t>
            </w:r>
          </w:p>
        </w:tc>
        <w:tc>
          <w:tcPr>
            <w:tcW w:w="28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20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2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3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2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220" w:type="dxa"/>
            <w:tcBorders/>
            <w:shd w:fill="FFFFFF" w:val="clear"/>
            <w:vAlign w:val="center"/>
          </w:tcPr>
          <w:p>
            <w:pPr>
              <w:pStyle w:val="TableContents"/>
              <w:bidi w:val="0"/>
              <w:spacing w:before="0" w:after="283"/>
              <w:jc w:val="left"/>
              <w:rPr/>
            </w:pPr>
            <w:r>
              <w:rPr/>
              <w:t> </w:t>
            </w:r>
          </w:p>
        </w:tc>
      </w:tr>
      <w:tr>
        <w:trPr/>
        <w:tc>
          <w:tcPr>
            <w:tcW w:w="48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2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CFF0FC" w:val="clear"/>
            <w:vAlign w:val="center"/>
          </w:tcPr>
          <w:p>
            <w:pPr>
              <w:pStyle w:val="TableContents"/>
              <w:bidi w:val="0"/>
              <w:spacing w:before="0" w:after="283"/>
              <w:jc w:val="right"/>
              <w:rPr/>
            </w:pPr>
            <w:r>
              <w:rPr/>
              <w:t> </w:t>
            </w:r>
          </w:p>
        </w:tc>
        <w:tc>
          <w:tcPr>
            <w:tcW w:w="28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20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2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3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22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20" w:type="dxa"/>
            <w:tcBorders/>
            <w:shd w:fill="FFFFFF" w:val="clear"/>
            <w:vAlign w:val="center"/>
          </w:tcPr>
          <w:p>
            <w:pPr>
              <w:pStyle w:val="TableContents"/>
              <w:bidi w:val="0"/>
              <w:spacing w:before="0" w:after="283"/>
              <w:jc w:val="left"/>
              <w:rPr/>
            </w:pPr>
            <w:r>
              <w:rPr/>
              <w:t> </w:t>
            </w:r>
          </w:p>
        </w:tc>
      </w:tr>
      <w:tr>
        <w:trPr/>
        <w:tc>
          <w:tcPr>
            <w:tcW w:w="48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EBITDA</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22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20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22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 expense and related taxes</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223"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28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204"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220" w:type="dxa"/>
            <w:tcBorders/>
            <w:shd w:fill="CFF0FC"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22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20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220" w:type="dxa"/>
            <w:tcBorders/>
            <w:shd w:fill="FFFFFF" w:val="clear"/>
            <w:vAlign w:val="center"/>
          </w:tcPr>
          <w:p>
            <w:pPr>
              <w:pStyle w:val="TableContents"/>
              <w:bidi w:val="0"/>
              <w:spacing w:before="0" w:after="283"/>
              <w:jc w:val="left"/>
              <w:rPr/>
            </w:pPr>
            <w:r>
              <w:rPr/>
              <w:t> </w:t>
            </w:r>
          </w:p>
        </w:tc>
      </w:tr>
      <w:tr>
        <w:trPr/>
        <w:tc>
          <w:tcPr>
            <w:tcW w:w="48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(Gain) loss from remeasurement of foreign currency</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CFF0FC" w:val="clear"/>
            <w:vAlign w:val="center"/>
          </w:tcPr>
          <w:p>
            <w:pPr>
              <w:pStyle w:val="TableContents"/>
              <w:bidi w:val="0"/>
              <w:spacing w:before="0" w:after="283"/>
              <w:jc w:val="right"/>
              <w:rPr/>
            </w:pPr>
            <w:r>
              <w:rPr/>
              <w:t> </w:t>
            </w:r>
          </w:p>
        </w:tc>
        <w:tc>
          <w:tcPr>
            <w:tcW w:w="284" w:type="dxa"/>
            <w:tcBorders/>
            <w:shd w:fill="CFF0FC" w:val="clear"/>
            <w:vAlign w:val="center"/>
          </w:tcPr>
          <w:p>
            <w:pPr>
              <w:pStyle w:val="TableContents"/>
              <w:bidi w:val="0"/>
              <w:spacing w:before="0" w:after="283"/>
              <w:jc w:val="left"/>
              <w:rPr/>
            </w:pPr>
            <w:r>
              <w:rPr/>
              <w:t> </w:t>
            </w:r>
          </w:p>
        </w:tc>
        <w:tc>
          <w:tcPr>
            <w:tcW w:w="7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204"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2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3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Indirect taxes related to intercompany activity</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color w:val="000000"/>
              </w:rPr>
            </w:pPr>
            <w:r>
              <w:rPr>
                <w:color w:val="000000"/>
              </w:rPr>
              <w:t>—</w:t>
            </w:r>
          </w:p>
        </w:tc>
        <w:tc>
          <w:tcPr>
            <w:tcW w:w="223"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284" w:type="dxa"/>
            <w:tcBorders/>
            <w:shd w:fill="FFFFFF" w:val="clear"/>
            <w:vAlign w:val="center"/>
          </w:tcPr>
          <w:p>
            <w:pPr>
              <w:pStyle w:val="TableContents"/>
              <w:bidi w:val="0"/>
              <w:spacing w:before="0" w:after="283"/>
              <w:jc w:val="left"/>
              <w:rPr/>
            </w:pPr>
            <w:r>
              <w:rPr/>
              <w:t> </w:t>
            </w:r>
          </w:p>
        </w:tc>
        <w:tc>
          <w:tcPr>
            <w:tcW w:w="73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04"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20" w:type="dxa"/>
            <w:tcBorders/>
            <w:shd w:fill="FFFFFF" w:val="clear"/>
            <w:vAlign w:val="center"/>
          </w:tcPr>
          <w:p>
            <w:pPr>
              <w:pStyle w:val="TableContents"/>
              <w:bidi w:val="0"/>
              <w:spacing w:before="0" w:after="283"/>
              <w:jc w:val="left"/>
              <w:rPr/>
            </w:pPr>
            <w:r>
              <w:rPr/>
              <w:t> </w:t>
            </w:r>
          </w:p>
        </w:tc>
      </w:tr>
      <w:tr>
        <w:trPr/>
        <w:tc>
          <w:tcPr>
            <w:tcW w:w="4835"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Acquisition related employee retention costs </w:t>
            </w:r>
            <w:r>
              <w:rPr>
                <w:rFonts w:ascii="Arial" w:hAnsi="Arial"/>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righ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righ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00"/>
        <w:jc w:val="left"/>
        <w:rPr>
          <w:rFonts w:ascii="Arial" w:hAnsi="Arial"/>
          <w:color w:val="000000"/>
          <w:sz w:val="16"/>
        </w:rPr>
      </w:pPr>
      <w:r>
        <w:rPr>
          <w:rFonts w:ascii="Arial" w:hAnsi="Arial"/>
          <w:color w:val="000000"/>
          <w:sz w:val="16"/>
        </w:rPr>
        <w:t>(1)</w:t>
      </w:r>
    </w:p>
    <w:p>
      <w:pPr>
        <w:pStyle w:val="TextBody"/>
        <w:bidi w:val="0"/>
        <w:spacing w:before="0" w:after="200"/>
        <w:jc w:val="left"/>
        <w:rPr>
          <w:rFonts w:ascii="Arial" w:hAnsi="Arial"/>
          <w:color w:val="000000"/>
          <w:sz w:val="16"/>
        </w:rPr>
      </w:pPr>
      <w:r>
        <w:rPr>
          <w:rFonts w:ascii="Arial" w:hAnsi="Arial"/>
          <w:color w:val="000000"/>
          <w:sz w:val="16"/>
        </w:rPr>
        <w:t xml:space="preserve">Acquisition related employee retention costs consisted of costs incurred to retain and compensate WPM Group Ltd. (WPM) employees in connection with integration of the business. WPM was acquired on December 14, 2021. </w:t>
      </w:r>
    </w:p>
    <w:p>
      <w:pPr>
        <w:pStyle w:val="TextBody"/>
        <w:bidi w:val="0"/>
        <w:spacing w:before="200" w:after="200"/>
        <w:jc w:val="left"/>
        <w:rPr>
          <w:rFonts w:ascii="Arial" w:hAnsi="Arial"/>
          <w:i/>
          <w:color w:val="000000"/>
          <w:sz w:val="20"/>
        </w:rPr>
      </w:pPr>
      <w:r>
        <w:rPr>
          <w:rFonts w:ascii="Arial" w:hAnsi="Arial"/>
          <w:i/>
          <w:color w:val="000000"/>
          <w:sz w:val="20"/>
        </w:rPr>
        <w:t>Reconciliation of GAAP Operating Expenses to Non-GAAP Operating Expenses:</w:t>
      </w:r>
    </w:p>
    <w:tbl>
      <w:tblPr>
        <w:tblW w:w="10205" w:type="dxa"/>
        <w:jc w:val="left"/>
        <w:tblInd w:w="0" w:type="dxa"/>
        <w:tblLayout w:type="fixed"/>
        <w:tblCellMar>
          <w:top w:w="28" w:type="dxa"/>
          <w:left w:w="28" w:type="dxa"/>
          <w:bottom w:w="28" w:type="dxa"/>
          <w:right w:w="28" w:type="dxa"/>
        </w:tblCellMar>
      </w:tblPr>
      <w:tblGrid>
        <w:gridCol w:w="4824"/>
        <w:gridCol w:w="146"/>
        <w:gridCol w:w="295"/>
        <w:gridCol w:w="673"/>
        <w:gridCol w:w="231"/>
        <w:gridCol w:w="203"/>
        <w:gridCol w:w="295"/>
        <w:gridCol w:w="673"/>
        <w:gridCol w:w="166"/>
        <w:gridCol w:w="146"/>
        <w:gridCol w:w="255"/>
        <w:gridCol w:w="655"/>
        <w:gridCol w:w="200"/>
        <w:gridCol w:w="176"/>
        <w:gridCol w:w="255"/>
        <w:gridCol w:w="655"/>
        <w:gridCol w:w="357"/>
      </w:tblGrid>
      <w:tr>
        <w:trPr/>
        <w:tc>
          <w:tcPr>
            <w:tcW w:w="4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48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GAAP Technology and development</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231"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30.5</w:t>
            </w:r>
          </w:p>
        </w:tc>
        <w:tc>
          <w:tcPr>
            <w:tcW w:w="357" w:type="dxa"/>
            <w:tcBorders/>
            <w:shd w:fill="CFF0FC" w:val="clear"/>
            <w:vAlign w:val="center"/>
          </w:tcPr>
          <w:p>
            <w:pPr>
              <w:pStyle w:val="TableContents"/>
              <w:bidi w:val="0"/>
              <w:spacing w:before="0" w:after="283"/>
              <w:ind w:left="0" w:right="0" w:firstLine="140"/>
              <w:jc w:val="left"/>
              <w:rPr/>
            </w:pPr>
            <w:r>
              <w:rPr/>
              <w:t> </w:t>
            </w:r>
          </w:p>
        </w:tc>
      </w:tr>
      <w:tr>
        <w:trPr/>
        <w:tc>
          <w:tcPr>
            <w:tcW w:w="4824"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 Stock-based compensation expense and related taxes</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3"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20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357"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824"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 Depreciation and amortization</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2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3"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20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357"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824"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 Acquisition related employee retention costs</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Non-GAAP Technology and development</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8" w:type="dxa"/>
            <w:gridSpan w:val="2"/>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0"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910" w:type="dxa"/>
            <w:gridSpan w:val="2"/>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right"/>
              <w:rPr/>
            </w:pPr>
            <w:r>
              <w:rPr/>
              <w:t> </w:t>
            </w:r>
          </w:p>
        </w:tc>
      </w:tr>
      <w:tr>
        <w:trPr/>
        <w:tc>
          <w:tcPr>
            <w:tcW w:w="48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GAAP Selling and marketing</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31.8</w:t>
            </w:r>
          </w:p>
        </w:tc>
        <w:tc>
          <w:tcPr>
            <w:tcW w:w="231"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61.9</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51.7</w:t>
            </w:r>
          </w:p>
        </w:tc>
        <w:tc>
          <w:tcPr>
            <w:tcW w:w="357" w:type="dxa"/>
            <w:tcBorders/>
            <w:shd w:fill="FFFFFF" w:val="clear"/>
            <w:vAlign w:val="center"/>
          </w:tcPr>
          <w:p>
            <w:pPr>
              <w:pStyle w:val="TableContents"/>
              <w:bidi w:val="0"/>
              <w:spacing w:before="0" w:after="283"/>
              <w:ind w:left="0" w:right="0" w:firstLine="140"/>
              <w:jc w:val="left"/>
              <w:rPr/>
            </w:pPr>
            <w:r>
              <w:rPr/>
              <w:t> </w:t>
            </w:r>
          </w:p>
        </w:tc>
      </w:tr>
      <w:tr>
        <w:trPr/>
        <w:tc>
          <w:tcPr>
            <w:tcW w:w="4824"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 Stock-based compensation expense and related taxes</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2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3"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20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357"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824"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 Depreciation and amortization</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2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3"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20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357"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824"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 Acquisition related employee retention costs</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Non-GAAP Selling and marketing</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8" w:type="dxa"/>
            <w:gridSpan w:val="2"/>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left"/>
              <w:rPr/>
            </w:pPr>
            <w:r>
              <w:rPr/>
              <w:t> </w:t>
            </w:r>
          </w:p>
        </w:tc>
        <w:tc>
          <w:tcPr>
            <w:tcW w:w="968"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0" w:type="dxa"/>
            <w:gridSpan w:val="2"/>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right"/>
              <w:rPr/>
            </w:pPr>
            <w:r>
              <w:rPr/>
              <w:t> </w:t>
            </w:r>
          </w:p>
        </w:tc>
        <w:tc>
          <w:tcPr>
            <w:tcW w:w="176" w:type="dxa"/>
            <w:tcBorders/>
            <w:shd w:fill="FFFFFF" w:val="clear"/>
            <w:vAlign w:val="center"/>
          </w:tcPr>
          <w:p>
            <w:pPr>
              <w:pStyle w:val="TableContents"/>
              <w:bidi w:val="0"/>
              <w:spacing w:before="0" w:after="283"/>
              <w:jc w:val="left"/>
              <w:rPr/>
            </w:pPr>
            <w:r>
              <w:rPr/>
              <w:t> </w:t>
            </w:r>
          </w:p>
        </w:tc>
        <w:tc>
          <w:tcPr>
            <w:tcW w:w="910" w:type="dxa"/>
            <w:gridSpan w:val="2"/>
            <w:tcBorders/>
            <w:shd w:fill="FFFFFF" w:val="clear"/>
            <w:vAlign w:val="center"/>
          </w:tcPr>
          <w:p>
            <w:pPr>
              <w:pStyle w:val="TableContents"/>
              <w:bidi w:val="0"/>
              <w:spacing w:before="0" w:after="283"/>
              <w:jc w:val="right"/>
              <w:rPr/>
            </w:pPr>
            <w:r>
              <w:rPr/>
              <w:t> </w:t>
            </w:r>
          </w:p>
        </w:tc>
        <w:tc>
          <w:tcPr>
            <w:tcW w:w="357" w:type="dxa"/>
            <w:tcBorders/>
            <w:shd w:fill="FFFFFF" w:val="clear"/>
            <w:vAlign w:val="center"/>
          </w:tcPr>
          <w:p>
            <w:pPr>
              <w:pStyle w:val="TableContents"/>
              <w:bidi w:val="0"/>
              <w:spacing w:before="0" w:after="283"/>
              <w:jc w:val="right"/>
              <w:rPr/>
            </w:pPr>
            <w:r>
              <w:rPr/>
              <w:t> </w:t>
            </w:r>
          </w:p>
        </w:tc>
      </w:tr>
      <w:tr>
        <w:trPr/>
        <w:tc>
          <w:tcPr>
            <w:tcW w:w="48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GAAP General and administrative</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231"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63.6</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357" w:type="dxa"/>
            <w:tcBorders/>
            <w:shd w:fill="CFF0FC" w:val="clear"/>
            <w:vAlign w:val="center"/>
          </w:tcPr>
          <w:p>
            <w:pPr>
              <w:pStyle w:val="TableContents"/>
              <w:bidi w:val="0"/>
              <w:spacing w:before="0" w:after="283"/>
              <w:ind w:left="0" w:right="0" w:firstLine="140"/>
              <w:jc w:val="left"/>
              <w:rPr/>
            </w:pPr>
            <w:r>
              <w:rPr/>
              <w:t> </w:t>
            </w:r>
          </w:p>
        </w:tc>
      </w:tr>
      <w:tr>
        <w:trPr/>
        <w:tc>
          <w:tcPr>
            <w:tcW w:w="4824"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 Stock-based compensation expense and related taxes</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2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3"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67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(18.1</w:t>
            </w:r>
          </w:p>
        </w:tc>
        <w:tc>
          <w:tcPr>
            <w:tcW w:w="20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(10.3</w:t>
            </w:r>
          </w:p>
        </w:tc>
        <w:tc>
          <w:tcPr>
            <w:tcW w:w="357"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824"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 Depreciation and amortization</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2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3"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67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20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65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357"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824"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 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Non-GAAP General and administrative</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left"/>
        <w:rPr>
          <w:rFonts w:ascii="Times New Roman" w:hAnsi="Times New Roman"/>
          <w:sz w:val="20"/>
        </w:rPr>
      </w:pPr>
      <w:r>
        <w:rPr>
          <w:rFonts w:ascii="Arial" w:hAnsi="Arial"/>
          <w:b/>
          <w:color w:val="000000"/>
          <w:sz w:val="20"/>
        </w:rPr>
        <w:t>Key Factors Affecting Our Performance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Increased Utilization by Our Clients and Their Customers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b/>
          <w:i/>
          <w:color w:val="000000"/>
          <w:sz w:val="20"/>
        </w:rPr>
        <w:t>Mix of Business on Our Platform</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other revenues) depending on the nature of the activity of our clients and our clients’ customers on our platform.</w:t>
      </w:r>
    </w:p>
    <w:p>
      <w:pPr>
        <w:pStyle w:val="TextBody"/>
        <w:bidi w:val="0"/>
        <w:spacing w:before="200" w:after="200"/>
        <w:jc w:val="left"/>
        <w:rPr>
          <w:rFonts w:ascii="Times New Roman" w:hAnsi="Times New Roman"/>
          <w:sz w:val="20"/>
        </w:rPr>
      </w:pPr>
      <w:r>
        <w:rPr>
          <w:rFonts w:ascii="Arial" w:hAnsi="Arial"/>
          <w:b/>
          <w:i/>
          <w:color w:val="000000"/>
          <w:sz w:val="20"/>
        </w:rPr>
        <w:t>Investment in Technology and Development and Sales and Marketing</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We make significant investments in both new solutions and existing solution enhancement. New solution features and functionality are brought to market through a variety of distribution and promotional activities. We plan to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pStyle w:val="TextBody"/>
        <w:bidi w:val="0"/>
        <w:spacing w:before="200" w:after="200"/>
        <w:jc w:val="left"/>
        <w:rPr>
          <w:rFonts w:ascii="Arial" w:hAnsi="Arial"/>
          <w:color w:val="000000"/>
          <w:sz w:val="20"/>
        </w:rPr>
      </w:pPr>
      <w:r>
        <w:rPr>
          <w:rFonts w:ascii="Arial" w:hAnsi="Arial"/>
          <w:color w:val="000000"/>
          <w:sz w:val="20"/>
        </w:rPr>
        <w:t>Additionally, we plan to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p>
    <w:p>
      <w:pPr>
        <w:pStyle w:val="TextBody"/>
        <w:bidi w:val="0"/>
        <w:spacing w:before="200" w:after="200"/>
        <w:jc w:val="left"/>
        <w:rPr>
          <w:rFonts w:ascii="Times New Roman" w:hAnsi="Times New Roman"/>
          <w:sz w:val="20"/>
        </w:rPr>
      </w:pPr>
      <w:r>
        <w:rPr>
          <w:rFonts w:ascii="Arial" w:hAnsi="Arial"/>
          <w:b/>
          <w:i/>
          <w:color w:val="000000"/>
          <w:sz w:val="20"/>
        </w:rPr>
        <w:t>Seasonality</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total payment volume and payment mix.</w:t>
      </w:r>
    </w:p>
    <w:p>
      <w:pPr>
        <w:pStyle w:val="TextBody"/>
        <w:bidi w:val="0"/>
        <w:spacing w:before="200" w:after="200"/>
        <w:jc w:val="left"/>
        <w:rPr>
          <w:rFonts w:ascii="Times New Roman" w:hAnsi="Times New Roman"/>
          <w:sz w:val="20"/>
        </w:rPr>
      </w:pPr>
      <w:r>
        <w:rPr>
          <w:rFonts w:ascii="Arial" w:hAnsi="Arial"/>
          <w:b/>
          <w:i/>
          <w:color w:val="000000"/>
          <w:sz w:val="20"/>
        </w:rPr>
        <w:t>Economic Conditions and Resulting Consumer Spending Trends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Changes in macro-level consumer spending for education, healthcare and travel trends, including as a result of inflation or fluctuations in foreign exchange rates could affect the amounts of volumes processed on our platform, thus resulting in fluctuations to our revenue streams.</w:t>
      </w:r>
    </w:p>
    <w:p>
      <w:pPr>
        <w:pStyle w:val="TextBody"/>
        <w:bidi w:val="0"/>
        <w:spacing w:before="200" w:after="200"/>
        <w:jc w:val="left"/>
        <w:rPr>
          <w:rFonts w:ascii="Arial" w:hAnsi="Arial"/>
          <w:b/>
          <w:i/>
          <w:color w:val="000000"/>
          <w:sz w:val="20"/>
        </w:rPr>
      </w:pPr>
      <w:r>
        <w:rPr>
          <w:rFonts w:ascii="Arial" w:hAnsi="Arial"/>
          <w:b/>
          <w:i/>
          <w:color w:val="000000"/>
          <w:sz w:val="20"/>
        </w:rPr>
        <w:t>Impact of Inflation</w:t>
      </w:r>
    </w:p>
    <w:p>
      <w:pPr>
        <w:pStyle w:val="TextBody"/>
        <w:bidi w:val="0"/>
        <w:spacing w:before="200" w:after="200"/>
        <w:jc w:val="left"/>
        <w:rPr>
          <w:rFonts w:ascii="Arial" w:hAnsi="Arial"/>
          <w:color w:val="000000"/>
          <w:sz w:val="20"/>
        </w:rPr>
      </w:pPr>
      <w:r>
        <w:rPr>
          <w:rFonts w:ascii="Arial" w:hAnsi="Arial"/>
          <w:color w:val="000000"/>
          <w:sz w:val="20"/>
        </w:rPr>
        <w:t>Inflation did not have a material effect on our cash flows and results of operations during the three and six months ended June 30, 2024.</w:t>
      </w:r>
    </w:p>
    <w:p>
      <w:pPr>
        <w:pStyle w:val="TextBody"/>
        <w:bidi w:val="0"/>
        <w:spacing w:before="200" w:after="200"/>
        <w:jc w:val="left"/>
        <w:rPr>
          <w:rFonts w:ascii="Times New Roman" w:hAnsi="Times New Roman"/>
          <w:sz w:val="20"/>
        </w:rPr>
      </w:pPr>
      <w:r>
        <w:rPr>
          <w:rFonts w:ascii="Arial" w:hAnsi="Arial"/>
          <w:b/>
          <w:i/>
          <w:color w:val="000000"/>
          <w:sz w:val="20"/>
        </w:rPr>
        <w:t>Diversified Mix of Clients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We have a wide range of clients across our education, healthcare, travel and B2B verticals. Volumes and revenue from clients in education, our largest vertical, rely on international enrollments and student school preferences, which can fluctuate over time.</w:t>
      </w:r>
    </w:p>
    <w:p>
      <w:pPr>
        <w:pStyle w:val="TextBody"/>
        <w:bidi w:val="0"/>
        <w:spacing w:before="200" w:after="200"/>
        <w:jc w:val="left"/>
        <w:rPr>
          <w:rFonts w:ascii="Times New Roman" w:hAnsi="Times New Roman"/>
          <w:sz w:val="20"/>
        </w:rPr>
      </w:pPr>
      <w:r>
        <w:rPr>
          <w:rFonts w:ascii="Arial" w:hAnsi="Arial"/>
          <w:b/>
          <w:i/>
          <w:color w:val="000000"/>
          <w:sz w:val="20"/>
        </w:rPr>
        <w:t>Dynamic Changes to Client Communication and Product Solutions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We initiated a series of refinements to our technology and personalization engine to optimize our clients’ ability to offer payment plans and communicate effectively and digitally with their customers.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as the lack of affordability drives the need for more financial flexibility.</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b/>
          <w:i/>
          <w:color w:val="000000"/>
          <w:sz w:val="20"/>
        </w:rPr>
        <w:t>Business Continuity</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In response to COVID-19 developments, we implemented measures to focus on the safety of our FlyMates and support of our clients, while at the same time seeking to mitigate the impact on our financial position and operations. We have implemented remote working capabilities for our entire organization and to date, there has been minimal disruption to our operations. As vaccination rates increased and the pandemic abated, we reopened our offices to the extent local requirements allowed, although FlyMates continue to have the flexibility to work remotely. With the ongoing conflict involving Israel, we continue to engage in active workforce planning to help Israeli FlyMates support the business without interruption and implement safety measures for FlyMates in Israel.</w:t>
      </w:r>
    </w:p>
    <w:p>
      <w:pPr>
        <w:pStyle w:val="TextBody"/>
        <w:bidi w:val="0"/>
        <w:spacing w:before="200" w:after="200"/>
        <w:jc w:val="left"/>
        <w:rPr>
          <w:rFonts w:ascii="Times New Roman" w:hAnsi="Times New Roman"/>
          <w:sz w:val="20"/>
        </w:rPr>
      </w:pPr>
      <w:r>
        <w:rPr>
          <w:rFonts w:ascii="Arial" w:hAnsi="Arial"/>
          <w:b/>
          <w:color w:val="000000"/>
          <w:sz w:val="20"/>
        </w:rPr>
        <w:t>Components of Results of Operations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We generate revenue from transactions and from platform and other fees as described under “Our Revenue Model”.</w:t>
      </w:r>
    </w:p>
    <w:p>
      <w:pPr>
        <w:pStyle w:val="TextBody"/>
        <w:bidi w:val="0"/>
        <w:spacing w:before="200" w:after="200"/>
        <w:jc w:val="left"/>
        <w:rPr>
          <w:rFonts w:ascii="Times New Roman" w:hAnsi="Times New Roman"/>
          <w:sz w:val="20"/>
        </w:rPr>
      </w:pPr>
      <w:r>
        <w:rPr>
          <w:rFonts w:ascii="Arial" w:hAnsi="Arial"/>
          <w:b/>
          <w:i/>
          <w:color w:val="000000"/>
          <w:sz w:val="20"/>
        </w:rPr>
        <w:t>Payment Processing Services Costs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Payment processing services costs consist of costs incurred to process payment transactions which include banking and credit card processing fees, foreign currency translation costs, partner fees, personnel-related expenses for our FlyMates who facilitate these payments and personnel related expenses for our FlyMates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pStyle w:val="TextBody"/>
        <w:bidi w:val="0"/>
        <w:spacing w:before="200" w:after="200"/>
        <w:jc w:val="left"/>
        <w:rPr>
          <w:rFonts w:ascii="Times New Roman" w:hAnsi="Times New Roman"/>
          <w:sz w:val="20"/>
        </w:rPr>
      </w:pPr>
      <w:r>
        <w:rPr>
          <w:rFonts w:ascii="Arial" w:hAnsi="Arial"/>
          <w:b/>
          <w:i/>
          <w:color w:val="000000"/>
          <w:sz w:val="20"/>
        </w:rPr>
        <w:t>Technology and Development</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pStyle w:val="TextBody"/>
        <w:bidi w:val="0"/>
        <w:spacing w:before="200" w:after="200"/>
        <w:jc w:val="left"/>
        <w:rPr>
          <w:rFonts w:ascii="Arial" w:hAnsi="Arial"/>
          <w:color w:val="000000"/>
          <w:sz w:val="20"/>
        </w:rPr>
      </w:pPr>
      <w:r>
        <w:rPr>
          <w:rFonts w:ascii="Arial" w:hAnsi="Arial"/>
          <w:color w:val="000000"/>
          <w:sz w:val="20"/>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pStyle w:val="TextBody"/>
        <w:bidi w:val="0"/>
        <w:spacing w:before="200" w:after="200"/>
        <w:jc w:val="left"/>
        <w:rPr>
          <w:rFonts w:ascii="Times New Roman" w:hAnsi="Times New Roman"/>
          <w:sz w:val="20"/>
        </w:rPr>
      </w:pPr>
      <w:r>
        <w:rPr>
          <w:rFonts w:ascii="Arial" w:hAnsi="Arial"/>
          <w:b/>
          <w:i/>
          <w:color w:val="000000"/>
          <w:sz w:val="20"/>
        </w:rPr>
        <w:t>Selling and Marketing</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Selling and marketing expenses consist of personnel-related expenses, including stock-based compensation expense, sales commissions, amortization of acquired client relationship intangible assets, marketing program expenses, travel related expenses and costs to market and promote our solutions through advertisements, marketing events, partnership arrangements, and direct client acquisition.</w:t>
      </w:r>
    </w:p>
    <w:p>
      <w:pPr>
        <w:pStyle w:val="TextBody"/>
        <w:bidi w:val="0"/>
        <w:spacing w:before="200" w:after="200"/>
        <w:jc w:val="left"/>
        <w:rPr>
          <w:rFonts w:ascii="Arial" w:hAnsi="Arial"/>
          <w:color w:val="000000"/>
          <w:sz w:val="20"/>
        </w:rPr>
      </w:pPr>
      <w:r>
        <w:rPr>
          <w:rFonts w:ascii="Arial" w:hAnsi="Arial"/>
          <w:color w:val="000000"/>
          <w:sz w:val="20"/>
        </w:rPr>
        <w:t>We focus our sales and marketing efforts on generating awareness of our business,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pStyle w:val="TextBody"/>
        <w:bidi w:val="0"/>
        <w:spacing w:before="200" w:after="200"/>
        <w:jc w:val="left"/>
        <w:rPr>
          <w:rFonts w:ascii="Times New Roman" w:hAnsi="Times New Roman"/>
          <w:sz w:val="20"/>
        </w:rPr>
      </w:pPr>
      <w:r>
        <w:rPr>
          <w:rFonts w:ascii="Arial" w:hAnsi="Arial"/>
          <w:b/>
          <w:i/>
          <w:color w:val="000000"/>
          <w:sz w:val="20"/>
        </w:rPr>
        <w:t>General and Administrative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company. As a result, we expect that our general and administrative expenses will increase in absolute dollars but may fluctuate as a percentage of total revenue from period to period.</w:t>
      </w:r>
    </w:p>
    <w:p>
      <w:pPr>
        <w:pStyle w:val="TextBody"/>
        <w:bidi w:val="0"/>
        <w:spacing w:before="200" w:after="20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Interest expense consists of interest, amortization of debt issuance costs and unused commitment fees on our 2024 Revolving Credit Facility and 2021 Revolving Credit Facility.</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On February 23, 2024, we entered into our 2024 Revolving Credit Facility for a total commitment of $125.0 million. The 2024 Revolving Credit Facility replaced the 2021 Revolving Credit Facility of $50.0 million, which were entered into in July 2021, under which $50.0 million was available to Flywire as of December 31, 2023. As of June 30, 2024 and 2023, there was no outstanding indebtedness under the 2024 Revolving Credit Facility or 2021 Revolving Credit Facility.</w:t>
      </w:r>
    </w:p>
    <w:p>
      <w:pPr>
        <w:pStyle w:val="TextBody"/>
        <w:bidi w:val="0"/>
        <w:spacing w:before="200" w:after="200"/>
        <w:jc w:val="left"/>
        <w:rPr>
          <w:rFonts w:ascii="Arial" w:hAnsi="Arial"/>
          <w:b/>
          <w:i/>
          <w:color w:val="000000"/>
          <w:sz w:val="20"/>
        </w:rPr>
      </w:pPr>
      <w:r>
        <w:rPr>
          <w:rFonts w:ascii="Arial" w:hAnsi="Arial"/>
          <w:b/>
          <w:i/>
          <w:color w:val="000000"/>
          <w:sz w:val="20"/>
        </w:rPr>
        <w:t>Interest Income</w:t>
      </w:r>
    </w:p>
    <w:p>
      <w:pPr>
        <w:pStyle w:val="TextBody"/>
        <w:bidi w:val="0"/>
        <w:spacing w:before="200" w:after="200"/>
        <w:jc w:val="left"/>
        <w:rPr>
          <w:rFonts w:ascii="Arial" w:hAnsi="Arial"/>
          <w:color w:val="000000"/>
          <w:sz w:val="20"/>
        </w:rPr>
      </w:pPr>
      <w:r>
        <w:rPr>
          <w:rFonts w:ascii="Arial" w:hAnsi="Arial"/>
          <w:color w:val="000000"/>
          <w:sz w:val="20"/>
        </w:rPr>
        <w:t>Interest income consists of interest on cash held in interest bearing operating accounts, including money market funds, and investments in available-for-sale debt securities.</w:t>
      </w:r>
    </w:p>
    <w:p>
      <w:pPr>
        <w:pStyle w:val="TextBody"/>
        <w:bidi w:val="0"/>
        <w:spacing w:before="200" w:after="200"/>
        <w:jc w:val="left"/>
        <w:rPr>
          <w:rFonts w:ascii="Arial" w:hAnsi="Arial"/>
          <w:b/>
          <w:i/>
          <w:color w:val="000000"/>
          <w:sz w:val="20"/>
        </w:rPr>
      </w:pPr>
      <w:r>
        <w:rPr>
          <w:rFonts w:ascii="Arial" w:hAnsi="Arial"/>
          <w:b/>
          <w:i/>
          <w:color w:val="000000"/>
          <w:sz w:val="20"/>
        </w:rPr>
        <w:t>Gain (loss) from Remeasurement of Foreign Currency</w:t>
      </w:r>
    </w:p>
    <w:p>
      <w:pPr>
        <w:pStyle w:val="TextBody"/>
        <w:bidi w:val="0"/>
        <w:spacing w:before="200" w:after="200"/>
        <w:jc w:val="left"/>
        <w:rPr>
          <w:rFonts w:ascii="Arial" w:hAnsi="Arial"/>
          <w:color w:val="000000"/>
          <w:sz w:val="20"/>
        </w:rPr>
      </w:pPr>
      <w:r>
        <w:rPr>
          <w:rFonts w:ascii="Arial" w:hAnsi="Arial"/>
          <w:color w:val="000000"/>
          <w:sz w:val="20"/>
        </w:rPr>
        <w:t>Gain (loss) from remeasurement of foreign currency consists of gains and losses from the remeasurement of foreign currency transactions into its functional currency.</w:t>
      </w:r>
    </w:p>
    <w:p>
      <w:pPr>
        <w:pStyle w:val="TextBody"/>
        <w:bidi w:val="0"/>
        <w:spacing w:before="200" w:after="200"/>
        <w:jc w:val="left"/>
        <w:rPr>
          <w:rFonts w:ascii="Arial" w:hAnsi="Arial"/>
          <w:b/>
          <w:i/>
          <w:color w:val="000000"/>
          <w:sz w:val="20"/>
        </w:rPr>
      </w:pPr>
      <w:r>
        <w:rPr>
          <w:rFonts w:ascii="Arial" w:hAnsi="Arial"/>
          <w:b/>
          <w:i/>
          <w:color w:val="000000"/>
          <w:sz w:val="20"/>
        </w:rPr>
        <w:t>Provision for Income Tax</w:t>
      </w:r>
    </w:p>
    <w:p>
      <w:pPr>
        <w:pStyle w:val="TextBody"/>
        <w:bidi w:val="0"/>
        <w:spacing w:before="200" w:after="200"/>
        <w:jc w:val="left"/>
        <w:rPr>
          <w:rFonts w:ascii="Arial" w:hAnsi="Arial"/>
          <w:color w:val="000000"/>
          <w:sz w:val="20"/>
        </w:rPr>
      </w:pPr>
      <w:r>
        <w:rPr>
          <w:rFonts w:ascii="Arial" w:hAnsi="Arial"/>
          <w:color w:val="000000"/>
          <w:sz w:val="20"/>
        </w:rPr>
        <w:t>Provision for income taxes consists primarily of foreign and state income taxes. We have historically generated net operating losses (NOL) carryforwards for U.S. Federal and state tax purposes as we expand the scale of our business activities. Changes in the U.S. and foreign tax law may impact our overall provision for income taxes in the future.</w:t>
      </w:r>
    </w:p>
    <w:p>
      <w:pPr>
        <w:pStyle w:val="TextBody"/>
        <w:bidi w:val="0"/>
        <w:spacing w:before="200" w:after="200"/>
        <w:jc w:val="left"/>
        <w:rPr>
          <w:rFonts w:ascii="Arial" w:hAnsi="Arial"/>
          <w:color w:val="000000"/>
          <w:sz w:val="20"/>
        </w:rPr>
      </w:pPr>
      <w:r>
        <w:rPr>
          <w:rFonts w:ascii="Arial" w:hAnsi="Arial"/>
          <w:color w:val="000000"/>
          <w:sz w:val="20"/>
        </w:rPr>
        <w:t>We have a valuation allowance on our net U.S. deferred tax assets, including federal and state NOLs and our net U.K. deferred tax assets, including NOL's. We expect to maintain these valuation allowances until it becomes more likely than not that the benefit of our deferred tax assets are realized through future taxable income generated in these jurisdictions.</w:t>
      </w:r>
    </w:p>
    <w:p>
      <w:pPr>
        <w:pStyle w:val="TextBody"/>
        <w:bidi w:val="0"/>
        <w:spacing w:before="200" w:after="200"/>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Comparison of results for the three months ended June 30, 2024 and 2023</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All dollar amounts in the tables below are rounded and as a result, certain amounts may not recalculate using the rounded amounts provided.</w:t>
      </w:r>
    </w:p>
    <w:p>
      <w:pPr>
        <w:pStyle w:val="TextBody"/>
        <w:bidi w:val="0"/>
        <w:spacing w:before="200" w:after="200"/>
        <w:jc w:val="left"/>
        <w:rPr>
          <w:rFonts w:ascii="Times New Roman" w:hAnsi="Times New Roman"/>
          <w:sz w:val="20"/>
        </w:rPr>
      </w:pPr>
      <w:r>
        <w:rPr>
          <w:rFonts w:ascii="Arial" w:hAnsi="Arial"/>
          <w:color w:val="000000"/>
          <w:sz w:val="20"/>
        </w:rPr>
        <w:t>The following table sets forth our consolidated results of operations for periods presented:</w:t>
      </w:r>
      <w:r>
        <w:rPr>
          <w:rFonts w:ascii="Times New Roman" w:hAnsi="Times New Roman"/>
          <w:color w:val="000000"/>
          <w:sz w:val="20"/>
        </w:rPr>
        <w:t xml:space="preserve"> </w:t>
      </w:r>
    </w:p>
    <w:p>
      <w:pPr>
        <w:pStyle w:val="TextBody"/>
        <w:bidi w:val="0"/>
        <w:spacing w:before="200" w:after="200"/>
        <w:jc w:val="left"/>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46"/>
        <w:gridCol w:w="146"/>
        <w:gridCol w:w="270"/>
        <w:gridCol w:w="752"/>
        <w:gridCol w:w="213"/>
        <w:gridCol w:w="187"/>
        <w:gridCol w:w="270"/>
        <w:gridCol w:w="752"/>
        <w:gridCol w:w="166"/>
        <w:gridCol w:w="146"/>
        <w:gridCol w:w="261"/>
        <w:gridCol w:w="595"/>
        <w:gridCol w:w="166"/>
        <w:gridCol w:w="146"/>
        <w:gridCol w:w="168"/>
        <w:gridCol w:w="748"/>
        <w:gridCol w:w="673"/>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4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673" w:type="dxa"/>
            <w:tcBorders/>
            <w:shd w:fill="FFFFFF" w:val="clear"/>
            <w:vAlign w:val="center"/>
          </w:tcPr>
          <w:p>
            <w:pPr>
              <w:pStyle w:val="TableContents"/>
              <w:bidi w:val="0"/>
              <w:spacing w:before="0" w:after="283"/>
              <w:jc w:val="center"/>
              <w:rPr/>
            </w:pPr>
            <w:r>
              <w:rPr/>
              <w:t> </w:t>
            </w:r>
          </w:p>
        </w:tc>
      </w:tr>
      <w:tr>
        <w:trPr/>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103.7</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6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Payment processing services costs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39.9</w:t>
            </w:r>
          </w:p>
        </w:tc>
        <w:tc>
          <w:tcPr>
            <w:tcW w:w="21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Technology and development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6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Selling and marketing</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31.8</w:t>
            </w:r>
          </w:p>
        </w:tc>
        <w:tc>
          <w:tcPr>
            <w:tcW w:w="21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30.1</w:t>
            </w:r>
          </w:p>
        </w:tc>
        <w:tc>
          <w:tcPr>
            <w:tcW w:w="673"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5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costs and operating expense</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119.5</w:t>
            </w:r>
          </w:p>
        </w:tc>
        <w:tc>
          <w:tcPr>
            <w:tcW w:w="21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673"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54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21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7"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c>
          <w:tcPr>
            <w:tcW w:w="6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1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7"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color w:val="000000"/>
              </w:rPr>
            </w:pPr>
            <w:r>
              <w:rPr>
                <w:color w:val="000000"/>
              </w:rPr>
              <w:t>—</w:t>
            </w:r>
          </w:p>
        </w:tc>
        <w:tc>
          <w:tcPr>
            <w:tcW w:w="673" w:type="dxa"/>
            <w:tcBorders/>
            <w:shd w:fill="FFFFFF" w:val="clear"/>
            <w:vAlign w:val="center"/>
          </w:tcPr>
          <w:p>
            <w:pPr>
              <w:pStyle w:val="TableContents"/>
              <w:bidi w:val="0"/>
              <w:spacing w:before="0" w:after="283"/>
              <w:jc w:val="left"/>
              <w:rPr/>
            </w:pPr>
            <w:r>
              <w:rPr/>
              <w:t> </w:t>
            </w:r>
          </w:p>
        </w:tc>
      </w:tr>
      <w:tr>
        <w:trPr/>
        <w:tc>
          <w:tcPr>
            <w:tcW w:w="4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200.0</w:t>
            </w:r>
          </w:p>
        </w:tc>
        <w:tc>
          <w:tcPr>
            <w:tcW w:w="6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Gain (loss) from remeasurement of foreign currency</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213"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(225.0</w:t>
            </w:r>
          </w:p>
        </w:tc>
        <w:tc>
          <w:tcPr>
            <w:tcW w:w="673"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54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673"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5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21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7"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(41.4</w:t>
            </w:r>
          </w:p>
        </w:tc>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327.3</w:t>
            </w:r>
          </w:p>
        </w:tc>
        <w:tc>
          <w:tcPr>
            <w:tcW w:w="673"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54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(13.9</w:t>
            </w:r>
          </w:p>
        </w:tc>
        <w:tc>
          <w:tcPr>
            <w:tcW w:w="21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7"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67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213" w:type="dxa"/>
            <w:tcBorders/>
            <w:shd w:fill="CFF0FC" w:val="clear"/>
            <w:vAlign w:val="center"/>
          </w:tcPr>
          <w:p>
            <w:pPr>
              <w:pStyle w:val="TableContents"/>
              <w:bidi w:val="0"/>
              <w:spacing w:before="0" w:after="283"/>
              <w:jc w:val="left"/>
              <w:rPr/>
            </w:pPr>
            <w:r>
              <w:rPr/>
              <w:t> </w:t>
            </w:r>
          </w:p>
        </w:tc>
        <w:tc>
          <w:tcPr>
            <w:tcW w:w="187"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pPr>
            <w:r>
              <w:rPr/>
              <w:t> </w:t>
            </w:r>
          </w:p>
        </w:tc>
        <w:tc>
          <w:tcPr>
            <w:tcW w:w="7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(91.7</w:t>
            </w:r>
          </w:p>
        </w:tc>
        <w:tc>
          <w:tcPr>
            <w:tcW w:w="6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4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losses on available-for-sale</w:t>
              <w:br/>
              <w:t>   debt securities, net of taxes</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7" w:type="dxa"/>
            <w:tcBorders/>
            <w:shd w:fill="FFFFFF" w:val="cle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4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7" w:type="dxa"/>
            <w:tcBorders/>
            <w:shd w:fill="CFF0FC" w:val="cle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00" w:after="200"/>
        <w:jc w:val="left"/>
        <w:rPr>
          <w:rFonts w:ascii="Times New Roman" w:hAnsi="Times New Roman"/>
          <w:sz w:val="20"/>
        </w:rPr>
      </w:pPr>
      <w:r>
        <w:rPr>
          <w:rFonts w:ascii="Arial" w:hAnsi="Arial"/>
          <w:i/>
          <w:color w:val="000000"/>
          <w:sz w:val="20"/>
        </w:rPr>
        <w:t>Revenue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Revenue was $103.7 million for the three months ended June 30, 2024, compared to $84.9 million for the three months ended June 30, 2023, an increase of $18.8 million or 22.1%. Revenue is comprised of transaction revenue and platform and other revenues as follows:</w:t>
      </w:r>
      <w:r>
        <w:rPr>
          <w:rFonts w:ascii="Times New Roman" w:hAnsi="Times New Roman"/>
          <w:color w:val="000000"/>
          <w:sz w:val="20"/>
        </w:rPr>
        <w:t xml:space="preserve"> </w:t>
      </w:r>
    </w:p>
    <w:tbl>
      <w:tblPr>
        <w:tblW w:w="8151" w:type="dxa"/>
        <w:jc w:val="left"/>
        <w:tblInd w:w="0" w:type="dxa"/>
        <w:tblLayout w:type="fixed"/>
        <w:tblCellMar>
          <w:top w:w="28" w:type="dxa"/>
          <w:left w:w="28" w:type="dxa"/>
          <w:bottom w:w="28" w:type="dxa"/>
          <w:right w:w="28" w:type="dxa"/>
        </w:tblCellMar>
      </w:tblPr>
      <w:tblGrid>
        <w:gridCol w:w="2581"/>
        <w:gridCol w:w="146"/>
        <w:gridCol w:w="291"/>
        <w:gridCol w:w="809"/>
        <w:gridCol w:w="201"/>
        <w:gridCol w:w="201"/>
        <w:gridCol w:w="291"/>
        <w:gridCol w:w="664"/>
        <w:gridCol w:w="146"/>
        <w:gridCol w:w="146"/>
        <w:gridCol w:w="261"/>
        <w:gridCol w:w="595"/>
        <w:gridCol w:w="146"/>
        <w:gridCol w:w="146"/>
        <w:gridCol w:w="213"/>
        <w:gridCol w:w="703"/>
        <w:gridCol w:w="6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4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Transaction revenue</w:t>
            </w:r>
          </w:p>
        </w:tc>
        <w:tc>
          <w:tcPr>
            <w:tcW w:w="14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85.3</w:t>
            </w:r>
          </w:p>
        </w:tc>
        <w:tc>
          <w:tcPr>
            <w:tcW w:w="20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27.7</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Platform and other revenues</w:t>
            </w:r>
          </w:p>
        </w:tc>
        <w:tc>
          <w:tcPr>
            <w:tcW w:w="146"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5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103.7</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00" w:after="200"/>
        <w:jc w:val="left"/>
        <w:rPr>
          <w:rFonts w:ascii="Arial" w:hAnsi="Arial"/>
          <w:color w:val="000000"/>
          <w:sz w:val="20"/>
        </w:rPr>
      </w:pPr>
      <w:r>
        <w:rPr>
          <w:rFonts w:ascii="Arial" w:hAnsi="Arial"/>
          <w:color w:val="000000"/>
          <w:sz w:val="20"/>
        </w:rPr>
        <w:t>Transaction revenue was $85.3 million for the three months ended June 30, 2024, compared to $66.8 million for the three months ended June 30, 2023, an increase of $18.5 million or 27.7%. The increase in transaction revenue was primarily driven by growth in transaction payment volumes, from both our existing clients and new clients added during the three months ended June 30, 2024. We experienced strong growth in payment volume across all regions and verticals during the period. Total payment volume increased approximately 19% during the three months ended June 30, 2024 to $4.9 billion compared to the three months ended June 30, 2023.</w:t>
      </w:r>
    </w:p>
    <w:p>
      <w:pPr>
        <w:pStyle w:val="TextBody"/>
        <w:bidi w:val="0"/>
        <w:spacing w:before="200" w:after="200"/>
        <w:jc w:val="left"/>
        <w:rPr>
          <w:rFonts w:ascii="Times New Roman" w:hAnsi="Times New Roman"/>
          <w:sz w:val="20"/>
        </w:rPr>
      </w:pPr>
      <w:r>
        <w:rPr>
          <w:rFonts w:ascii="Arial" w:hAnsi="Arial"/>
          <w:color w:val="000000"/>
          <w:sz w:val="20"/>
        </w:rPr>
        <w:t>Platform and other revenues were $18.4 million for the three months ended June 30, 2024, compared to $18.0 million for the three months ended June 30, 2023, an increase of $0.4 million or 2.2%. The increase in platform and other revenues was driven by the StudyLink acquisition, revenue from interest earned on funds held for customers in interest-bearing accounts and increase in platform products, offset by a decrease in revenue for printing and mailing and insurance products.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i/>
          <w:color w:val="000000"/>
          <w:sz w:val="20"/>
        </w:rPr>
        <w:t>Payment Processing Services Costs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Payment processing services costs were $39.9 million for the three months ended June 30, 2024, compared to $33.8 million for the three months ended June 30, 2023, an increase of $6.1 million or 18.0%. The increase in payment processing services costs is correlated with the increase in total payment volume of 19% over the same period.</w:t>
      </w:r>
    </w:p>
    <w:p>
      <w:pPr>
        <w:pStyle w:val="TextBody"/>
        <w:bidi w:val="0"/>
        <w:spacing w:before="200" w:after="200"/>
        <w:jc w:val="left"/>
        <w:rPr>
          <w:rFonts w:ascii="Times New Roman" w:hAnsi="Times New Roman"/>
          <w:sz w:val="20"/>
        </w:rPr>
      </w:pPr>
      <w:r>
        <w:rPr>
          <w:rFonts w:ascii="Arial" w:hAnsi="Arial"/>
          <w:i/>
          <w:color w:val="000000"/>
          <w:sz w:val="20"/>
        </w:rPr>
        <w:t>Technology and Development</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Technology and development expenses were $15.8 million for the three months ended June 30, 2024, compared to $16.0 million for the three months ended June 30, 2023, a decrease of $0.2 million or 1.3%. The decrease in technology and development cost was primarily driven by a decrease in amortization expense and personnel costs, partially offset by an increase in stock-based compensation expense. Amortization of intangible assets was $1.5 million for the three months ended June 30, 2024, compared to $2.1 million for the three months ended June 30, 2023, a decrease of $0.6 million or 28.6%. The decrease in amortization expense was primarily due to a decrease in acquired technology.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Personnel costs were $9.7 million for the three months ended June 30, 2024 compared to $9.9 million for the three months ended June 30, 2023, a decrease of $0.2 million or 2.0%. The decrease in personnel costs was primarily driven by a decrease in retention bonus expense within our technology and development teams. Stock-based compensation expense was $2.8 million for the three months ended June 30, 2024, compared to $2.4 million for the three months ended June 30, 2023, an increase of $0.4 million or 16.7%. The increase in stock-based compensation is attributable to equity grants awarded to existing and new FlyMates.</w:t>
      </w:r>
    </w:p>
    <w:p>
      <w:pPr>
        <w:pStyle w:val="TextBody"/>
        <w:bidi w:val="0"/>
        <w:spacing w:before="200" w:after="200"/>
        <w:jc w:val="left"/>
        <w:rPr>
          <w:rFonts w:ascii="Arial" w:hAnsi="Arial"/>
          <w:i/>
          <w:color w:val="000000"/>
          <w:sz w:val="20"/>
        </w:rPr>
      </w:pPr>
      <w:r>
        <w:rPr>
          <w:rFonts w:ascii="Arial" w:hAnsi="Arial"/>
          <w:i/>
          <w:color w:val="000000"/>
          <w:sz w:val="20"/>
        </w:rPr>
        <w:t>Selling and Marketing</w:t>
      </w:r>
    </w:p>
    <w:p>
      <w:pPr>
        <w:pStyle w:val="TextBody"/>
        <w:bidi w:val="0"/>
        <w:spacing w:before="200" w:after="200"/>
        <w:jc w:val="left"/>
        <w:rPr>
          <w:rFonts w:ascii="Times New Roman" w:hAnsi="Times New Roman"/>
          <w:sz w:val="20"/>
        </w:rPr>
      </w:pPr>
      <w:r>
        <w:rPr>
          <w:rFonts w:ascii="Arial" w:hAnsi="Arial"/>
          <w:color w:val="000000"/>
          <w:sz w:val="20"/>
        </w:rPr>
        <w:t>Selling and marketing expenses were $31.8 million for the three months ended June 30, 2024, compared to $27.3 million for the three months ended June 30, 2023, an increase of $4.5 million or 16.5%. The increase in selling and marketing expenses was primarily driven by an increase in personnel costs, stock-based compensation expense and amortization expense. Personnel costs were $16.5 million for the three months ended June 30, 2024, compared to $14.0 million for the three months ended June 30, 2023, an increase of $2.5 million or 17.9%. The increase in personnel costs was primarily driven by an increase in headcount within our selling and marketing teams and commissions earned on sales during the period. Stock-based compensation expense was $4.7 million for the three months ended June 30, 2024, compared to $3.3 million for the three months ended June 30, 2023, an increase of $1.4 million or 42.4%. The increase in stock-based compensation is attributable to equity grants awarded to existing and new FlyMates. Amortization of intangibles was $1.9 million for the three months ended June 30, 2024, compared to $1.3 million for the three months ended June 30, 2023, an increase of $0.6 million or 46.2%. The increase in amortization expense was due to acquired customer relationships related to the StudyLink acquisition.</w:t>
      </w:r>
      <w:r>
        <w:rPr>
          <w:rFonts w:ascii="Times New Roman" w:hAnsi="Times New Roman"/>
          <w:color w:val="000000"/>
          <w:sz w:val="20"/>
        </w:rPr>
        <w:t xml:space="preserve"> </w:t>
      </w:r>
    </w:p>
    <w:p>
      <w:pPr>
        <w:pStyle w:val="TextBody"/>
        <w:bidi w:val="0"/>
        <w:spacing w:before="200" w:after="200"/>
        <w:jc w:val="left"/>
        <w:rPr>
          <w:rFonts w:ascii="Arial" w:hAnsi="Arial"/>
          <w:i/>
          <w:color w:val="000000"/>
          <w:sz w:val="20"/>
        </w:rPr>
      </w:pPr>
      <w:r>
        <w:rPr>
          <w:rFonts w:ascii="Arial" w:hAnsi="Arial"/>
          <w:i/>
          <w:color w:val="000000"/>
          <w:sz w:val="20"/>
        </w:rPr>
        <w:t>General and Administrative</w:t>
      </w:r>
    </w:p>
    <w:p>
      <w:pPr>
        <w:pStyle w:val="TextBody"/>
        <w:bidi w:val="0"/>
        <w:spacing w:before="200" w:after="200"/>
        <w:jc w:val="left"/>
        <w:rPr>
          <w:rFonts w:ascii="Times New Roman" w:hAnsi="Times New Roman"/>
          <w:sz w:val="20"/>
        </w:rPr>
      </w:pPr>
      <w:r>
        <w:rPr>
          <w:rFonts w:ascii="Arial" w:hAnsi="Arial"/>
          <w:color w:val="000000"/>
          <w:sz w:val="20"/>
        </w:rPr>
        <w:t>General and administrative expenses were $32.0 million for the three months ended June 30, 2024, compared to $24.6 million for the three months ended June 30, 2023, an increase of 7.4 million or 30.1%. The increase in general and administrative expenses was primarily driven by an increase in stock-based compensation expense, personnel costs and professional fees. Stock-based compensation expense was $9.6 million for the three months ended June 30, 2024, compared to $5.7 million for the three months ended June 30, 2023, an increase of $3.9 million or 68.4%. The increase in stock-based compensation is attributable to equity grants awarded to existing and new FlyMates. Personnel costs were $12.0 million for the three months ended June 30, 2024, compared to $10.1 million for the three months ended June 30, 2023, an increase of $1.9 million or 18.8%. The increase in personnel costs was primarily driven by an increase in headcount. Professional fees were $4.0 million for the three months ended June 30, 2024, compared to $2.6 million for the three months ended June 30, 2023, an increase of $1.4 million or 53.8%. The increase in professional fees was primarily due to an increase in legal, consulting and audit fees during the three months ended June 30, 20244 compared to the three months ended June 30, 2023.</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Interest expense remained constant at $0.1 million during the three months ended June 30, 2024 and 2023. As of June 30, 2024 and 2023, there was no outstanding indebtedness under the 2024 Revolving Credit Facility or 2021 Revolving Credit Facility. Interest expense consists primarily of amortization of debt issuance costs and unused commitment fees related to our 2024 Revolving Credit Facility and 2021 Revolving Credit Facility.</w:t>
      </w:r>
    </w:p>
    <w:p>
      <w:pPr>
        <w:pStyle w:val="TextBody"/>
        <w:bidi w:val="0"/>
        <w:spacing w:before="200" w:after="200"/>
        <w:jc w:val="left"/>
        <w:rPr>
          <w:rFonts w:ascii="Arial" w:hAnsi="Arial"/>
          <w:i/>
          <w:color w:val="000000"/>
          <w:sz w:val="20"/>
        </w:rPr>
      </w:pPr>
      <w:r>
        <w:rPr>
          <w:rFonts w:ascii="Arial" w:hAnsi="Arial"/>
          <w:i/>
          <w:color w:val="000000"/>
          <w:sz w:val="20"/>
        </w:rPr>
        <w:t>Interest Income</w:t>
      </w:r>
    </w:p>
    <w:p>
      <w:pPr>
        <w:pStyle w:val="TextBody"/>
        <w:bidi w:val="0"/>
        <w:spacing w:before="200" w:after="200"/>
        <w:jc w:val="left"/>
        <w:rPr>
          <w:rFonts w:ascii="Arial" w:hAnsi="Arial"/>
          <w:color w:val="000000"/>
          <w:sz w:val="20"/>
        </w:rPr>
      </w:pPr>
      <w:r>
        <w:rPr>
          <w:rFonts w:ascii="Arial" w:hAnsi="Arial"/>
          <w:color w:val="000000"/>
          <w:sz w:val="20"/>
        </w:rPr>
        <w:t>Interest income was $5.7 million for the three months ended June 30, 2024, compared to $1.9 million for the three months ended June 30, 2023, an increase of $3.8 million or 200.0%. The increase in interest income was primarily due to an increase in yield from higher market interest rates and an increase in our cash balance attributed to our follow-on public offering during the third quarter of 2023.</w:t>
      </w:r>
    </w:p>
    <w:p>
      <w:pPr>
        <w:pStyle w:val="TextBody"/>
        <w:bidi w:val="0"/>
        <w:spacing w:before="200" w:after="200"/>
        <w:jc w:val="left"/>
        <w:rPr>
          <w:rFonts w:ascii="Times New Roman" w:hAnsi="Times New Roman"/>
          <w:sz w:val="20"/>
        </w:rPr>
      </w:pPr>
      <w:r>
        <w:rPr>
          <w:rFonts w:ascii="Arial" w:hAnsi="Arial"/>
          <w:i/>
          <w:color w:val="000000"/>
          <w:sz w:val="20"/>
        </w:rPr>
        <w:t>Gain (loss) from Remeasurement of Foreign Currency</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Gain (loss) from remeasurement of foreign currency was $1.0 million for the three months ended June 30, 2024, compared to $(0.8) million for the three months ended June 30, 2023, an increase of $1.8 million or (225.0)%. The increase was primarily the result of the remeasurement of foreign currency transactions into the British pound sterling and impact of fluctuations in exchange rates during respective remeasurement periods.</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i/>
          <w:color w:val="000000"/>
          <w:sz w:val="20"/>
        </w:rPr>
        <w:t>Provision for Income Taxes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Provision for income taxes was $4.7 million during the three months ended June 30, 2024, compared to $1.1 million during the three months ended June 30, 2023, an increase of $3.6 million or 327.3%. The income tax provision for the three months ended June 30, 2024 and 2023 was primarily attributable to activity in our foreign subsidiaries and U.S. state taxes. Our effective tax rate was (50.8)% for the three months ended June 30, 2024 compared to (7.0)% for the three months ended June 30, 2023.</w:t>
      </w:r>
    </w:p>
    <w:p>
      <w:pPr>
        <w:pStyle w:val="TextBody"/>
        <w:bidi w:val="0"/>
        <w:spacing w:before="200" w:after="200"/>
        <w:jc w:val="left"/>
        <w:rPr>
          <w:rFonts w:ascii="Times New Roman" w:hAnsi="Times New Roman"/>
          <w:sz w:val="20"/>
        </w:rPr>
      </w:pPr>
      <w:r>
        <w:rPr>
          <w:rFonts w:ascii="Arial" w:hAnsi="Arial"/>
          <w:b/>
          <w:i/>
          <w:color w:val="000000"/>
          <w:sz w:val="20"/>
        </w:rPr>
        <w:t>Comparison of results for the six months ended June 30, 2024 and 2023</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All dollar amounts in the tables below are rounded and as a result, certain amounts may not recalculate using the rounded amounts provided.</w:t>
      </w:r>
    </w:p>
    <w:p>
      <w:pPr>
        <w:pStyle w:val="TextBody"/>
        <w:bidi w:val="0"/>
        <w:spacing w:before="200" w:after="200"/>
        <w:jc w:val="left"/>
        <w:rPr>
          <w:rFonts w:ascii="Times New Roman" w:hAnsi="Times New Roman"/>
          <w:sz w:val="20"/>
        </w:rPr>
      </w:pPr>
      <w:r>
        <w:rPr>
          <w:rFonts w:ascii="Arial" w:hAnsi="Arial"/>
          <w:color w:val="000000"/>
          <w:sz w:val="20"/>
        </w:rPr>
        <w:t>The following table sets forth our consolidated results of operations for periods presented:</w:t>
      </w:r>
      <w:r>
        <w:rPr>
          <w:rFonts w:ascii="Times New Roman" w:hAnsi="Times New Roman"/>
          <w:color w:val="000000"/>
          <w:sz w:val="20"/>
        </w:rPr>
        <w:t xml:space="preserve"> </w:t>
      </w:r>
    </w:p>
    <w:tbl>
      <w:tblPr>
        <w:tblW w:w="9930" w:type="dxa"/>
        <w:jc w:val="left"/>
        <w:tblInd w:w="0" w:type="dxa"/>
        <w:tblLayout w:type="fixed"/>
        <w:tblCellMar>
          <w:top w:w="28" w:type="dxa"/>
          <w:left w:w="28" w:type="dxa"/>
          <w:bottom w:w="28" w:type="dxa"/>
          <w:right w:w="28" w:type="dxa"/>
        </w:tblCellMar>
      </w:tblPr>
      <w:tblGrid>
        <w:gridCol w:w="4621"/>
        <w:gridCol w:w="146"/>
        <w:gridCol w:w="232"/>
        <w:gridCol w:w="645"/>
        <w:gridCol w:w="182"/>
        <w:gridCol w:w="160"/>
        <w:gridCol w:w="232"/>
        <w:gridCol w:w="645"/>
        <w:gridCol w:w="166"/>
        <w:gridCol w:w="146"/>
        <w:gridCol w:w="261"/>
        <w:gridCol w:w="595"/>
        <w:gridCol w:w="166"/>
        <w:gridCol w:w="146"/>
        <w:gridCol w:w="168"/>
        <w:gridCol w:w="748"/>
        <w:gridCol w:w="67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671" w:type="dxa"/>
            <w:tcBorders/>
            <w:shd w:fill="FFFFFF" w:val="clear"/>
            <w:vAlign w:val="center"/>
          </w:tcPr>
          <w:p>
            <w:pPr>
              <w:pStyle w:val="TableContents"/>
              <w:bidi w:val="0"/>
              <w:spacing w:before="0" w:after="283"/>
              <w:jc w:val="center"/>
              <w:rPr/>
            </w:pPr>
            <w:r>
              <w:rPr/>
              <w:t> </w:t>
            </w:r>
          </w:p>
        </w:tc>
      </w:tr>
      <w:tr>
        <w:trPr/>
        <w:tc>
          <w:tcPr>
            <w:tcW w:w="4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217.8</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6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Payment processing services costs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81.5</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20.4</w:t>
            </w:r>
          </w:p>
        </w:tc>
        <w:tc>
          <w:tcPr>
            <w:tcW w:w="6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Technology and development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6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Selling and marketing</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61.9</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19.7</w:t>
            </w:r>
          </w:p>
        </w:tc>
        <w:tc>
          <w:tcPr>
            <w:tcW w:w="6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63.6</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67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costs and operating expense</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239.5</w:t>
            </w:r>
          </w:p>
        </w:tc>
        <w:tc>
          <w:tcPr>
            <w:tcW w:w="182"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6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(21.8</w:t>
            </w:r>
          </w:p>
        </w:tc>
        <w:tc>
          <w:tcPr>
            <w:tcW w:w="18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c>
          <w:tcPr>
            <w:tcW w:w="6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18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50.0</w:t>
            </w:r>
          </w:p>
        </w:tc>
        <w:tc>
          <w:tcPr>
            <w:tcW w:w="6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197.4</w:t>
            </w:r>
          </w:p>
        </w:tc>
        <w:tc>
          <w:tcPr>
            <w:tcW w:w="6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gain from remeasurement of foreign currency</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8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(585.7</w:t>
            </w:r>
          </w:p>
        </w:tc>
        <w:tc>
          <w:tcPr>
            <w:tcW w:w="671" w:type="dxa"/>
            <w:tcBorders/>
            <w:shd w:fill="FFFFFF"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other income (expense), net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79.5</w:t>
            </w:r>
          </w:p>
        </w:tc>
        <w:tc>
          <w:tcPr>
            <w:tcW w:w="67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8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(27.4</w:t>
            </w:r>
          </w:p>
        </w:tc>
        <w:tc>
          <w:tcPr>
            <w:tcW w:w="6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82"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320.0</w:t>
            </w:r>
          </w:p>
        </w:tc>
        <w:tc>
          <w:tcPr>
            <w:tcW w:w="671" w:type="dxa"/>
            <w:tcBorders/>
            <w:shd w:fill="CFF0FC" w:val="cle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8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6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6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8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vAlign w:val="center"/>
          </w:tcPr>
          <w:p>
            <w:pPr>
              <w:pStyle w:val="TableContents"/>
              <w:bidi w:val="0"/>
              <w:spacing w:before="0" w:after="283"/>
              <w:jc w:val="right"/>
              <w:rPr/>
            </w:pPr>
            <w:r>
              <w:rPr/>
              <w:t> </w:t>
            </w:r>
          </w:p>
        </w:tc>
        <w:tc>
          <w:tcPr>
            <w:tcW w:w="232"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(157.1</w:t>
            </w:r>
          </w:p>
        </w:tc>
        <w:tc>
          <w:tcPr>
            <w:tcW w:w="6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losses on available-for-sale</w:t>
              <w:br/>
              <w:t>   debt securities, net of taxes</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6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CFF0FC" w:val="cle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6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00" w:after="200"/>
        <w:jc w:val="left"/>
        <w:rPr>
          <w:rFonts w:ascii="Times New Roman" w:hAnsi="Times New Roman"/>
          <w:sz w:val="20"/>
        </w:rPr>
      </w:pPr>
      <w:r>
        <w:rPr>
          <w:rFonts w:ascii="Arial" w:hAnsi="Arial"/>
          <w:i/>
          <w:color w:val="000000"/>
          <w:sz w:val="20"/>
        </w:rPr>
        <w:t>Revenue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Revenue was $217.8 million for the six months ended June 30, 2024, compared to $179.2 million for the six months ended June 30, 2023, an increase of $38.6 million or 21.5%. Revenue is comprised of transaction revenue and platform and other revenues as follows:</w:t>
      </w:r>
      <w:r>
        <w:rPr>
          <w:rFonts w:ascii="Times New Roman" w:hAnsi="Times New Roman"/>
          <w:color w:val="000000"/>
          <w:sz w:val="20"/>
        </w:rPr>
        <w:t xml:space="preserve"> </w:t>
      </w:r>
    </w:p>
    <w:tbl>
      <w:tblPr>
        <w:tblW w:w="7792" w:type="dxa"/>
        <w:jc w:val="left"/>
        <w:tblInd w:w="0" w:type="dxa"/>
        <w:tblLayout w:type="fixed"/>
        <w:tblCellMar>
          <w:top w:w="28" w:type="dxa"/>
          <w:left w:w="28" w:type="dxa"/>
          <w:bottom w:w="28" w:type="dxa"/>
          <w:right w:w="28" w:type="dxa"/>
        </w:tblCellMar>
      </w:tblPr>
      <w:tblGrid>
        <w:gridCol w:w="2581"/>
        <w:gridCol w:w="146"/>
        <w:gridCol w:w="235"/>
        <w:gridCol w:w="652"/>
        <w:gridCol w:w="162"/>
        <w:gridCol w:w="162"/>
        <w:gridCol w:w="235"/>
        <w:gridCol w:w="652"/>
        <w:gridCol w:w="146"/>
        <w:gridCol w:w="146"/>
        <w:gridCol w:w="261"/>
        <w:gridCol w:w="595"/>
        <w:gridCol w:w="146"/>
        <w:gridCol w:w="146"/>
        <w:gridCol w:w="213"/>
        <w:gridCol w:w="703"/>
        <w:gridCol w:w="6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Transaction revenue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180.5</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0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Platform and other revenues</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58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217.8</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00" w:after="200"/>
        <w:jc w:val="left"/>
        <w:rPr>
          <w:rFonts w:ascii="Arial" w:hAnsi="Arial"/>
          <w:color w:val="000000"/>
          <w:sz w:val="20"/>
        </w:rPr>
      </w:pPr>
      <w:r>
        <w:rPr>
          <w:rFonts w:ascii="Arial" w:hAnsi="Arial"/>
          <w:color w:val="000000"/>
          <w:sz w:val="20"/>
        </w:rPr>
        <w:t>Transaction revenue was $180.5 million for the six months ended June 30, 2024, compared to $143.1 million for the six months ended June 30, 2023, an increase of $37.4 million or 26.1%. The increase in transaction revenue was primarily driven by growth in transaction payment volumes, from both our existing clients and new clients added during the six months ended June 30, 2024. We experienced strong growth in payment volume across all regions and verticals during the period. Total payment volume increased approximately 21% during the six months ended June 30, 2024 to $11.8 billion compared to the six months ended June 30, 2023.</w:t>
      </w:r>
    </w:p>
    <w:p>
      <w:pPr>
        <w:pStyle w:val="TextBody"/>
        <w:bidi w:val="0"/>
        <w:spacing w:before="200" w:after="200"/>
        <w:jc w:val="left"/>
        <w:rPr>
          <w:rFonts w:ascii="Times New Roman" w:hAnsi="Times New Roman"/>
          <w:sz w:val="20"/>
        </w:rPr>
      </w:pPr>
      <w:r>
        <w:rPr>
          <w:rFonts w:ascii="Arial" w:hAnsi="Arial"/>
          <w:color w:val="000000"/>
          <w:sz w:val="20"/>
        </w:rPr>
        <w:t>Platform and other revenues were $37.3 million for the six months ended June 30, 2024, compared to $36.1 million for the six months ended June 30, 2023, an increase of $1.2 million or 3.3%. The increase in platform and other revenues was driven by the StudyLink acquisition, revenue from interest earned on funds held for customers in interest-bearing accounts and increase in platform products, offset by a decrease in revenue for printing and mailing and insurance products.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i/>
          <w:color w:val="000000"/>
          <w:sz w:val="20"/>
        </w:rPr>
        <w:t>Payment Processing Services Costs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Payment processing services costs were $81.5 million for the six months ended June 30, 2024, compared to $67.7 million for the six months ended June 30, 2023, an increase of $13.8 million or 20.4%. The increase in payment processing services costs is correlated with the increase in total payment volume of 21% over the same period.</w:t>
      </w:r>
    </w:p>
    <w:p>
      <w:pPr>
        <w:pStyle w:val="TextBody"/>
        <w:bidi w:val="0"/>
        <w:spacing w:before="200" w:after="200"/>
        <w:jc w:val="left"/>
        <w:rPr>
          <w:rFonts w:ascii="Times New Roman" w:hAnsi="Times New Roman"/>
          <w:sz w:val="20"/>
        </w:rPr>
      </w:pPr>
      <w:r>
        <w:rPr>
          <w:rFonts w:ascii="Arial" w:hAnsi="Arial"/>
          <w:i/>
          <w:color w:val="000000"/>
          <w:sz w:val="20"/>
        </w:rPr>
        <w:t>Technology and Development</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Technology and development expenses were $32.6 million for the six months ended June 30, 2024, compared to $30.5 million for the six months ended June 30, 2023, an increase of $2.1 million or 6.9%. The increase in technology and development cost was primarily driven by an increase in stock-based compensation expense, personnel costs and software and hosting expenses, partially offset by a decrease in amortization expense. Stock-based compensation expense was $5.4 million for the six months ended June 30, 2024, compared to $4.0 million for the six months ended June 30, 2023, an increase of $1.4 million or 35.0%. The increase in stock-based compensation is attributable to equity grants awarded to existing and new FlyMates. Personnel costs were $20.3 million for the six months ended June 30, 2024 compared to $19.2 million for the six months ended June 30, 2023, an increase of $1.1 million or 5.7%. The increase in personnel costs was primarily driven by an increase in headcount within our technology and development teams. Software and hosting expenses were $3.0 million for the six months ended June 30, 2024, compared to $2.4 million for the six months ended June 30, 2023, an increase of $0.6 million or 25.0%. The increase in software and hosting expenses was primarily related to increased hosting fees based on payment volumes growth and additional software needs based on headcount growth. Amortization of intangible assets was $3.1 million for the six months ended June 30, 2024, compared to $3.8 million for the six months ended June 30, 2023, a decrease of $0.7 million or 18.4%. The decrease in amortization expense was primarily due to a decrease in acquired technology.</w:t>
      </w:r>
      <w:r>
        <w:rPr>
          <w:rFonts w:ascii="Times New Roman" w:hAnsi="Times New Roman"/>
          <w:color w:val="000000"/>
          <w:sz w:val="20"/>
        </w:rPr>
        <w:t xml:space="preserve"> </w:t>
      </w:r>
    </w:p>
    <w:p>
      <w:pPr>
        <w:pStyle w:val="TextBody"/>
        <w:bidi w:val="0"/>
        <w:spacing w:before="200" w:after="200"/>
        <w:jc w:val="left"/>
        <w:rPr>
          <w:rFonts w:ascii="Arial" w:hAnsi="Arial"/>
          <w:i/>
          <w:color w:val="000000"/>
          <w:sz w:val="20"/>
        </w:rPr>
      </w:pPr>
      <w:r>
        <w:rPr>
          <w:rFonts w:ascii="Arial" w:hAnsi="Arial"/>
          <w:i/>
          <w:color w:val="000000"/>
          <w:sz w:val="20"/>
        </w:rPr>
        <w:t>Selling and Marketing</w:t>
      </w:r>
    </w:p>
    <w:p>
      <w:pPr>
        <w:pStyle w:val="TextBody"/>
        <w:bidi w:val="0"/>
        <w:spacing w:before="200" w:after="200"/>
        <w:jc w:val="left"/>
        <w:rPr>
          <w:rFonts w:ascii="Times New Roman" w:hAnsi="Times New Roman"/>
          <w:sz w:val="20"/>
        </w:rPr>
      </w:pPr>
      <w:r>
        <w:rPr>
          <w:rFonts w:ascii="Arial" w:hAnsi="Arial"/>
          <w:color w:val="000000"/>
          <w:sz w:val="20"/>
        </w:rPr>
        <w:t>Selling and marketing expenses were $61.9 million for the six months ended June 30, 2024, compared to $51.7 million for the six months ended June 30, 2023, an increase of $10.2 million or 19.7%. The increase in selling and marketing expenses was primarily driven by an increase in personnel costs, stock-based compensation expense and amortization expense. Personnel costs were $32.8 million for the six months ended June 30, 2024, compared to $27.7 million for the six months ended June 30, 2023, an increase of $5.1 million or 18.4%. The increase in personnel costs was primarily driven by an increase in headcount within our selling and marketing teams and commissions earned on sales during the period. Stock-based compensation expense was $8.6 million for the six months ended June 30, 2024, compared to $5.7 million for the six months ended June 30, 2023, an increase of $2.9 million or 50.9%. The increase in stock-based compensation is attributable to equity grants awarded to existing and new FlyMates. Amortization of intangibles was $3.8 million for the six months ended June 30, 2024, compared to $2.5 million for the six months ended June 30, 2023, an increase of $1.3 million or 52.0%. The increase in amortization expense was due to acquired customer relationships related to the StudyLink acquisition.</w:t>
      </w:r>
      <w:r>
        <w:rPr>
          <w:rFonts w:ascii="Times New Roman" w:hAnsi="Times New Roman"/>
          <w:color w:val="000000"/>
          <w:sz w:val="20"/>
        </w:rPr>
        <w:t xml:space="preserve"> </w:t>
      </w:r>
    </w:p>
    <w:p>
      <w:pPr>
        <w:pStyle w:val="TextBody"/>
        <w:bidi w:val="0"/>
        <w:spacing w:before="200" w:after="200"/>
        <w:jc w:val="left"/>
        <w:rPr>
          <w:rFonts w:ascii="Arial" w:hAnsi="Arial"/>
          <w:i/>
          <w:color w:val="000000"/>
          <w:sz w:val="20"/>
        </w:rPr>
      </w:pPr>
      <w:r>
        <w:rPr>
          <w:rFonts w:ascii="Arial" w:hAnsi="Arial"/>
          <w:i/>
          <w:color w:val="000000"/>
          <w:sz w:val="20"/>
        </w:rPr>
        <w:t>General and Administrative</w:t>
      </w:r>
    </w:p>
    <w:p>
      <w:pPr>
        <w:pStyle w:val="TextBody"/>
        <w:bidi w:val="0"/>
        <w:spacing w:before="200" w:after="200"/>
        <w:jc w:val="left"/>
        <w:rPr>
          <w:rFonts w:ascii="Times New Roman" w:hAnsi="Times New Roman"/>
          <w:sz w:val="20"/>
        </w:rPr>
      </w:pPr>
      <w:r>
        <w:rPr>
          <w:rFonts w:ascii="Arial" w:hAnsi="Arial"/>
          <w:color w:val="000000"/>
          <w:sz w:val="20"/>
        </w:rPr>
        <w:t>General and administrative expenses were $63.6 million for the six months ended June 30, 2024, compared to $52.7 million for the six months ended June 30, 2023, an increase of $10.9 million or 20.7%. The increase in general and administrative expenses was primarily driven by an increase in stock-based compensation expense and personnel costs, partially offset by a decrease in change in the fair value of contingent consideration. Stock-based compensation was $17.9 million for the six months ended June 30, 2024, compared to $10.3 million for the six months ended June 30, 2023, an increase of $7.6 million or 73.8%. The increase in stock-based compensation is attributable to equity grants awarded to existing and new FlyMates. Personnel costs were $25.1 million for the six months ended June 30, 2024, compared to $20.7 million for the six months ended June 30, 2023, an increase of $4.4 million or 21.3%. The increase in personnel costs was primarily driven by an increase in headcount. Change in the fair value of contingent consideration was $(0.9) million for the six months ended June 30, 2024, compared to $0.4 million for the six months ended June 30, 2023, a decrease of $1.3 million or 325.0%. The decrease in contingent consideration was due to an adjustment made to the fair value of contingent consideration related to the StudyLink acquisition.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i/>
          <w:color w:val="000000"/>
          <w:sz w:val="20"/>
        </w:rPr>
        <w:t>Interest Expense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Interest expense was $0.3 million for the six months ended June 30, 2024, compared to $0.2 million for the six months ended June 30, 2023, an increase of $0.1 million or 50.0%. As of June 30, 2024 and 2023, there was no outstanding indebtedness under the 2024 Revolving Credit Facility or 2021 Revolving Credit Facility. Interest expense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consists primarily of amortization of debt issuance costs and unused commitment fees related to our 2024 Revolving Credit Facility and 2021 Revolving Credit Facility.</w:t>
      </w:r>
    </w:p>
    <w:p>
      <w:pPr>
        <w:pStyle w:val="TextBody"/>
        <w:bidi w:val="0"/>
        <w:spacing w:before="200" w:after="200"/>
        <w:jc w:val="left"/>
        <w:rPr>
          <w:rFonts w:ascii="Arial" w:hAnsi="Arial"/>
          <w:i/>
          <w:color w:val="000000"/>
          <w:sz w:val="20"/>
        </w:rPr>
      </w:pPr>
      <w:r>
        <w:rPr>
          <w:rFonts w:ascii="Arial" w:hAnsi="Arial"/>
          <w:i/>
          <w:color w:val="000000"/>
          <w:sz w:val="20"/>
        </w:rPr>
        <w:t>Interest Income</w:t>
      </w:r>
    </w:p>
    <w:p>
      <w:pPr>
        <w:pStyle w:val="TextBody"/>
        <w:bidi w:val="0"/>
        <w:spacing w:before="200" w:after="200"/>
        <w:jc w:val="left"/>
        <w:rPr>
          <w:rFonts w:ascii="Arial" w:hAnsi="Arial"/>
          <w:color w:val="000000"/>
          <w:sz w:val="20"/>
        </w:rPr>
      </w:pPr>
      <w:r>
        <w:rPr>
          <w:rFonts w:ascii="Arial" w:hAnsi="Arial"/>
          <w:color w:val="000000"/>
          <w:sz w:val="20"/>
        </w:rPr>
        <w:t>Interest income was $11.6 million for the six months ended June 30, 2024, compared to $3.9 million for the six months ended June 30, 2023, an increase of $7.7 million or 197.4%. The increase in interest income was primarily due to an increase in yield from higher market interest rates and an increase in our cash balance attributed to our follow-on public offering during the third quarter of 2023.</w:t>
      </w:r>
    </w:p>
    <w:p>
      <w:pPr>
        <w:pStyle w:val="TextBody"/>
        <w:bidi w:val="0"/>
        <w:spacing w:before="200" w:after="200"/>
        <w:jc w:val="left"/>
        <w:rPr>
          <w:rFonts w:ascii="Times New Roman" w:hAnsi="Times New Roman"/>
          <w:sz w:val="20"/>
        </w:rPr>
      </w:pPr>
      <w:r>
        <w:rPr>
          <w:rFonts w:ascii="Arial" w:hAnsi="Arial"/>
          <w:i/>
          <w:color w:val="000000"/>
          <w:sz w:val="20"/>
        </w:rPr>
        <w:t>(Loss) gain from Remeasurement of Foreign Currency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i/>
          <w:color w:val="000000"/>
          <w:sz w:val="20"/>
        </w:rPr>
        <w:t>(Loss) gain</w:t>
      </w:r>
      <w:r>
        <w:rPr>
          <w:rFonts w:ascii="Times New Roman" w:hAnsi="Times New Roman"/>
          <w:color w:val="000000"/>
          <w:sz w:val="20"/>
        </w:rPr>
        <w:t xml:space="preserve"> </w:t>
      </w:r>
      <w:r>
        <w:rPr>
          <w:rFonts w:ascii="Arial" w:hAnsi="Arial"/>
          <w:color w:val="000000"/>
          <w:sz w:val="20"/>
        </w:rPr>
        <w:t>from remeasurement of foreign currency was $(3.4) million for the six months ended June 30, 2024, compared to $0.7 million for the six months ended June 30, 2023, an increase of $4.1 million or 585.7%. The increase was primarily the result of the remeasurement of foreign currency transactions into the British pound sterling and impact of fluctuations in exchange rates during respective remeasurement periods.</w:t>
      </w:r>
    </w:p>
    <w:p>
      <w:pPr>
        <w:pStyle w:val="TextBody"/>
        <w:bidi w:val="0"/>
        <w:spacing w:before="200" w:after="200"/>
        <w:jc w:val="left"/>
        <w:rPr>
          <w:rFonts w:ascii="Times New Roman" w:hAnsi="Times New Roman"/>
          <w:sz w:val="20"/>
        </w:rPr>
      </w:pPr>
      <w:r>
        <w:rPr>
          <w:rFonts w:ascii="Arial" w:hAnsi="Arial"/>
          <w:i/>
          <w:color w:val="000000"/>
          <w:sz w:val="20"/>
        </w:rPr>
        <w:t>Provision for Income Taxes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Provision for income taxes was $6.3 million during the six months ended June 30, 2024, compared to $1.5 million during the six months ended June 30, 2023, an increase of $4.8 million or 320.0%. The income tax provision for the six months ended June 30, 2024 and 2023 was primarily attributable to activity in our foreign subsidiaries and U.S. state taxes. Our effective tax rate was (45.6)% for the six months ended June 30, 2024, compared to (8.0)% for the six months ended June 30, 2023.</w:t>
      </w:r>
    </w:p>
    <w:p>
      <w:pPr>
        <w:pStyle w:val="TextBody"/>
        <w:bidi w:val="0"/>
        <w:spacing w:before="200" w:after="200"/>
        <w:jc w:val="left"/>
        <w:rPr>
          <w:rFonts w:ascii="Arial" w:hAnsi="Arial"/>
          <w:b/>
          <w:color w:val="000000"/>
          <w:sz w:val="20"/>
        </w:rPr>
      </w:pPr>
      <w:r>
        <w:rPr>
          <w:rFonts w:ascii="Arial" w:hAnsi="Arial"/>
          <w:b/>
          <w:color w:val="000000"/>
          <w:sz w:val="20"/>
        </w:rPr>
        <w:t>Liquidity and Capital Resources</w:t>
      </w:r>
    </w:p>
    <w:p>
      <w:pPr>
        <w:pStyle w:val="TextBody"/>
        <w:bidi w:val="0"/>
        <w:spacing w:before="200" w:after="200"/>
        <w:jc w:val="left"/>
        <w:rPr>
          <w:rFonts w:ascii="Arial" w:hAnsi="Arial"/>
          <w:color w:val="000000"/>
          <w:sz w:val="20"/>
        </w:rPr>
      </w:pPr>
      <w:r>
        <w:rPr>
          <w:rFonts w:ascii="Arial" w:hAnsi="Arial"/>
          <w:color w:val="000000"/>
          <w:sz w:val="20"/>
        </w:rPr>
        <w:t>As of June 30, 2024, our principal source of liquidity is cash and cash equivalents of $539.3 million, short-term available-for-sale debt securities of $31.7 million and the available undrawn balance under our 2024 Revolving Credit Facility of $125.0 million. Cash equivalents is comprised primarily of money market funds and bank deposits. Our short-term available-for-sale debt securities are comprised of corporate bonds, U.S. Government obligations and asset backed securities.</w:t>
      </w:r>
    </w:p>
    <w:p>
      <w:pPr>
        <w:pStyle w:val="TextBody"/>
        <w:bidi w:val="0"/>
        <w:spacing w:before="200" w:after="200"/>
        <w:jc w:val="left"/>
        <w:rPr>
          <w:rFonts w:ascii="Arial" w:hAnsi="Arial"/>
          <w:color w:val="000000"/>
          <w:sz w:val="20"/>
        </w:rPr>
      </w:pPr>
      <w:r>
        <w:rPr>
          <w:rFonts w:ascii="Arial" w:hAnsi="Arial"/>
          <w:color w:val="000000"/>
          <w:sz w:val="20"/>
        </w:rPr>
        <w:t>On February 23, 2024, we entered into our 2024 Revolving Credit Facility for a total commitment of $125.0 million, which replaced the Revolving Credit Facility of $50.0 that was in effect as of December 31, 2023.</w:t>
      </w:r>
    </w:p>
    <w:p>
      <w:pPr>
        <w:pStyle w:val="TextBody"/>
        <w:bidi w:val="0"/>
        <w:spacing w:before="200" w:after="200"/>
        <w:jc w:val="left"/>
        <w:rPr>
          <w:rFonts w:ascii="Arial" w:hAnsi="Arial"/>
          <w:color w:val="000000"/>
          <w:sz w:val="20"/>
        </w:rPr>
      </w:pPr>
      <w:r>
        <w:rPr>
          <w:rFonts w:ascii="Arial" w:hAnsi="Arial"/>
          <w:color w:val="000000"/>
          <w:sz w:val="20"/>
        </w:rPr>
        <w:t>On August 14, 2023 and September 12, 2023, we completed our follow-on public offering which resulted in aggregate net proceeds of $260.1 million, after underwriting discounts and commissions of $10.9 million and other issuance costs of $1.1 million.</w:t>
      </w:r>
    </w:p>
    <w:p>
      <w:pPr>
        <w:pStyle w:val="TextBody"/>
        <w:bidi w:val="0"/>
        <w:spacing w:before="200" w:after="200"/>
        <w:jc w:val="left"/>
        <w:rPr>
          <w:rFonts w:ascii="Arial" w:hAnsi="Arial"/>
          <w:color w:val="000000"/>
          <w:sz w:val="20"/>
        </w:rPr>
      </w:pPr>
      <w:r>
        <w:rPr>
          <w:rFonts w:ascii="Arial" w:hAnsi="Arial"/>
          <w:color w:val="000000"/>
          <w:sz w:val="20"/>
        </w:rPr>
        <w:t>We believe that our existing cash will be sufficient to support our expected working capital needs and material cash requirements for at least the next 12 months from the issuance of these condensed consolidated financial statements.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pStyle w:val="TextBody"/>
        <w:bidi w:val="0"/>
        <w:spacing w:before="200" w:after="200"/>
        <w:jc w:val="left"/>
        <w:rPr>
          <w:rFonts w:ascii="Arial" w:hAnsi="Arial"/>
          <w:b/>
          <w:i/>
          <w:color w:val="000000"/>
          <w:sz w:val="20"/>
        </w:rPr>
      </w:pPr>
      <w:r>
        <w:rPr>
          <w:rFonts w:ascii="Arial" w:hAnsi="Arial"/>
          <w:b/>
          <w:i/>
          <w:color w:val="000000"/>
          <w:sz w:val="20"/>
        </w:rPr>
        <w:t>Cash Flows</w:t>
      </w:r>
    </w:p>
    <w:p>
      <w:pPr>
        <w:pStyle w:val="TextBody"/>
        <w:bidi w:val="0"/>
        <w:spacing w:before="200" w:after="200"/>
        <w:jc w:val="left"/>
        <w:rPr>
          <w:rFonts w:ascii="Arial" w:hAnsi="Arial"/>
          <w:color w:val="000000"/>
          <w:sz w:val="20"/>
        </w:rPr>
      </w:pPr>
      <w:r>
        <w:rPr>
          <w:rFonts w:ascii="Arial" w:hAnsi="Arial"/>
          <w:color w:val="000000"/>
          <w:sz w:val="20"/>
        </w:rPr>
        <w:t>The following table sets forth a summary of our cash flow information for the periods presented:</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tbl>
      <w:tblPr>
        <w:tblW w:w="8476" w:type="dxa"/>
        <w:jc w:val="left"/>
        <w:tblInd w:w="0" w:type="dxa"/>
        <w:tblLayout w:type="fixed"/>
        <w:tblCellMar>
          <w:top w:w="28" w:type="dxa"/>
          <w:left w:w="28" w:type="dxa"/>
          <w:bottom w:w="28" w:type="dxa"/>
          <w:right w:w="28" w:type="dxa"/>
        </w:tblCellMar>
      </w:tblPr>
      <w:tblGrid>
        <w:gridCol w:w="5611"/>
        <w:gridCol w:w="146"/>
        <w:gridCol w:w="247"/>
        <w:gridCol w:w="756"/>
        <w:gridCol w:w="194"/>
        <w:gridCol w:w="171"/>
        <w:gridCol w:w="247"/>
        <w:gridCol w:w="633"/>
        <w:gridCol w:w="47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vAlign w:val="center"/>
          </w:tcPr>
          <w:p>
            <w:pPr>
              <w:pStyle w:val="TableContents"/>
              <w:bidi w:val="0"/>
              <w:spacing w:before="0" w:after="283"/>
              <w:jc w:val="left"/>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(57.4</w:t>
            </w:r>
          </w:p>
        </w:tc>
        <w:tc>
          <w:tcPr>
            <w:tcW w:w="19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(25.7</w:t>
            </w:r>
          </w:p>
        </w:tc>
        <w:tc>
          <w:tcPr>
            <w:tcW w:w="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7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(62.2</w:t>
            </w:r>
          </w:p>
        </w:tc>
        <w:tc>
          <w:tcPr>
            <w:tcW w:w="19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4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194"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63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471" w:type="dxa"/>
            <w:tcBorders/>
            <w:shd w:fill="CFF0FC" w:val="clear"/>
            <w:vAlign w:val="center"/>
          </w:tcPr>
          <w:p>
            <w:pPr>
              <w:pStyle w:val="TableContents"/>
              <w:bidi w:val="0"/>
              <w:spacing w:before="0" w:after="283"/>
              <w:jc w:val="left"/>
              <w:rPr/>
            </w:pPr>
            <w:r>
              <w:rPr/>
              <w:t> </w:t>
            </w:r>
          </w:p>
        </w:tc>
      </w:tr>
      <w:tr>
        <w:trPr/>
        <w:tc>
          <w:tcPr>
            <w:tcW w:w="56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Effect of exchange rate changes on cash and cash equivalents</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61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 w:type="dxa"/>
            <w:tcBorders/>
            <w:shd w:fill="CFF0FC" w:val="cle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00" w:after="200"/>
        <w:jc w:val="left"/>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Net cash used in operating activities consists of net loss adjusted for certain non-cash items and changes in other assets and liabilities.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During the six months ended June 30, 2024, cash used in operating activities of $57.4 million was primarily the result of net loss of $20.1 million adjusted for non-cash expenses of $38.8 million, which primarily include stock-based compensation expenses of $31.9 million and depreciation and amortization of $8.5 million, offset by changes in our operating assets and liabilities of $76.1 million.</w:t>
      </w:r>
    </w:p>
    <w:p>
      <w:pPr>
        <w:pStyle w:val="TextBody"/>
        <w:bidi w:val="0"/>
        <w:spacing w:before="200" w:after="200"/>
        <w:jc w:val="left"/>
        <w:rPr>
          <w:rFonts w:ascii="Arial" w:hAnsi="Arial"/>
          <w:color w:val="000000"/>
          <w:sz w:val="20"/>
        </w:rPr>
      </w:pPr>
      <w:r>
        <w:rPr>
          <w:rFonts w:ascii="Arial" w:hAnsi="Arial"/>
          <w:color w:val="000000"/>
          <w:sz w:val="20"/>
        </w:rPr>
        <w:t>During the six months ended June 30, 2023, cash used in operating activities of $25.7 million was primarily the result of net loss of $20.5 million adjusted for non-cash expenses of $28.7 million, which primarily included stock-based compensation expenses of $20.0 million, depreciation and amortization of $7.9 million, provision for uncollectible accounts of $0.6 million, offset by a deferred tax benefit of $0.6 million and $33.8 million related to changes in our operating assets and liabilities.</w:t>
      </w:r>
    </w:p>
    <w:p>
      <w:pPr>
        <w:pStyle w:val="TextBody"/>
        <w:bidi w:val="0"/>
        <w:spacing w:before="200" w:after="200"/>
        <w:jc w:val="left"/>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During the six months ended June 30, 2024, cash used in investing activities of $62.2 million was the result of approximately $58.5 million of purchase of short-term and long-term investments, $3.3 million of capitalization of internally developed software and $0.6 million of purchase of property and equipment, offset by approximately $0.2 million from the proceeds from the sale of long-term investments.</w:t>
      </w:r>
    </w:p>
    <w:p>
      <w:pPr>
        <w:pStyle w:val="TextBody"/>
        <w:bidi w:val="0"/>
        <w:spacing w:before="200" w:after="200"/>
        <w:jc w:val="left"/>
        <w:rPr>
          <w:rFonts w:ascii="Arial" w:hAnsi="Arial"/>
          <w:color w:val="000000"/>
          <w:sz w:val="20"/>
        </w:rPr>
      </w:pPr>
      <w:r>
        <w:rPr>
          <w:rFonts w:ascii="Arial" w:hAnsi="Arial"/>
          <w:color w:val="000000"/>
          <w:sz w:val="20"/>
        </w:rPr>
        <w:t>During the six months ended June 30, 2023, cash used in investing activities of $3.5 million was the result of $2.8 million of capitalization of internally developed software costs and $0.7 million of purchase of property and equipment.</w:t>
      </w:r>
    </w:p>
    <w:p>
      <w:pPr>
        <w:pStyle w:val="TextBody"/>
        <w:bidi w:val="0"/>
        <w:spacing w:before="200" w:after="200"/>
        <w:jc w:val="left"/>
        <w:rPr>
          <w:rFonts w:ascii="Times New Roman" w:hAnsi="Times New Roman"/>
          <w:sz w:val="20"/>
        </w:rPr>
      </w:pPr>
      <w:r>
        <w:rPr>
          <w:rFonts w:ascii="Arial" w:hAnsi="Arial"/>
          <w:i/>
          <w:color w:val="000000"/>
          <w:sz w:val="20"/>
        </w:rPr>
        <w:t>Financing Activities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During the six months ended June 30, 2024, cash provided by financing activities of $3.9 million was the result of proceeds from exercise of stock options of approximately $3.2 million, proceeds from issuance of stock under the ESPP of $1.4 million, offset by payments of debt issuance costs of $0.8 million.</w:t>
      </w:r>
    </w:p>
    <w:p>
      <w:pPr>
        <w:pStyle w:val="TextBody"/>
        <w:bidi w:val="0"/>
        <w:spacing w:before="200" w:after="200"/>
        <w:jc w:val="left"/>
        <w:rPr>
          <w:rFonts w:ascii="Arial" w:hAnsi="Arial"/>
          <w:color w:val="000000"/>
          <w:sz w:val="20"/>
        </w:rPr>
      </w:pPr>
      <w:r>
        <w:rPr>
          <w:rFonts w:ascii="Arial" w:hAnsi="Arial"/>
          <w:color w:val="000000"/>
          <w:sz w:val="20"/>
        </w:rPr>
        <w:t>During the six months ended June 30, 2023, cash provided by financing activities of $5.7 million was the result of proceeds from exercise of stock options of $6.0 million and proceeds from issuance of stock under the ESPP of $0.9 million, offset by payments for contingent consideration of $1.2 million related to our acquisition of Cohort Solutions Pty Ltd. in 2022.</w:t>
      </w:r>
    </w:p>
    <w:p>
      <w:pPr>
        <w:pStyle w:val="TextBody"/>
        <w:bidi w:val="0"/>
        <w:spacing w:before="200" w:after="200"/>
        <w:jc w:val="left"/>
        <w:rPr>
          <w:rFonts w:ascii="Arial" w:hAnsi="Arial"/>
          <w:color w:val="000000"/>
          <w:sz w:val="20"/>
        </w:rPr>
      </w:pPr>
      <w:r>
        <w:rPr>
          <w:rFonts w:ascii="Arial" w:hAnsi="Arial"/>
          <w:color w:val="000000"/>
          <w:sz w:val="20"/>
        </w:rPr>
        <w:t>As of June 30, 2024 and 2023, there was no outstanding indebtedness under the 2024 Revolving Credit Facility and the 2021 Revolving Credit Facility.</w:t>
      </w:r>
    </w:p>
    <w:p>
      <w:pPr>
        <w:pStyle w:val="TextBody"/>
        <w:bidi w:val="0"/>
        <w:spacing w:before="200" w:after="200"/>
        <w:jc w:val="left"/>
        <w:rPr>
          <w:rFonts w:ascii="Arial" w:hAnsi="Arial"/>
          <w:b/>
          <w:color w:val="000000"/>
          <w:sz w:val="20"/>
        </w:rPr>
      </w:pPr>
      <w:r>
        <w:rPr>
          <w:rFonts w:ascii="Arial" w:hAnsi="Arial"/>
          <w:b/>
          <w:color w:val="000000"/>
          <w:sz w:val="20"/>
        </w:rPr>
        <w:t>Critical Accounting Policies</w:t>
      </w:r>
    </w:p>
    <w:p>
      <w:pPr>
        <w:pStyle w:val="TextBody"/>
        <w:bidi w:val="0"/>
        <w:spacing w:before="200" w:after="200"/>
        <w:jc w:val="left"/>
        <w:rPr>
          <w:rFonts w:ascii="Times New Roman" w:hAnsi="Times New Roman"/>
          <w:sz w:val="20"/>
        </w:rPr>
      </w:pPr>
      <w:r>
        <w:rPr>
          <w:rFonts w:ascii="Arial" w:hAnsi="Arial"/>
          <w:color w:val="000000"/>
          <w:sz w:val="20"/>
        </w:rPr>
        <w:t>Our condensed consolidated financial statements and the related notes thereto included elsewhere in this Quarterly Report on Form 10-Q are prepared in accordance with GAAP. The preparation of our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readily apparent from other sources. Actual results may differ from these estimates under different assumptions or conditions.</w:t>
      </w:r>
    </w:p>
    <w:p>
      <w:pPr>
        <w:pStyle w:val="TextBody"/>
        <w:bidi w:val="0"/>
        <w:spacing w:before="200" w:after="200"/>
        <w:jc w:val="left"/>
        <w:rPr>
          <w:rFonts w:ascii="Times New Roman" w:hAnsi="Times New Roman"/>
          <w:sz w:val="20"/>
        </w:rPr>
      </w:pPr>
      <w:r>
        <w:rPr>
          <w:rFonts w:ascii="Arial" w:hAnsi="Arial"/>
          <w:color w:val="000000"/>
          <w:sz w:val="20"/>
        </w:rPr>
        <w:t xml:space="preserve">There have been no material changes to our critical accounting policies as compared to the critical accounting policies and estimates described in the </w:t>
      </w:r>
      <w:r>
        <w:rPr>
          <w:rFonts w:ascii="Arial" w:hAnsi="Arial"/>
          <w:i/>
          <w:color w:val="000000"/>
          <w:sz w:val="20"/>
        </w:rPr>
        <w:t>Management’s Discussion and Analysis of Financial Condition and Results of Operations</w:t>
      </w:r>
      <w:r>
        <w:rPr>
          <w:rFonts w:ascii="Times New Roman" w:hAnsi="Times New Roman"/>
          <w:color w:val="000000"/>
          <w:sz w:val="20"/>
        </w:rPr>
        <w:t xml:space="preserve"> </w:t>
      </w:r>
      <w:r>
        <w:rPr>
          <w:rFonts w:ascii="Arial" w:hAnsi="Arial"/>
          <w:color w:val="000000"/>
          <w:sz w:val="20"/>
        </w:rPr>
        <w:t>section of our Annual Report on Form 10-K for the year ended December 31, 2023.</w:t>
      </w:r>
      <w:r>
        <w:rPr>
          <w:rFonts w:ascii="Times New Roman" w:hAnsi="Times New Roman"/>
          <w:color w:val="000000"/>
          <w:sz w:val="20"/>
        </w:rPr>
        <w:t xml:space="preserve"> </w:t>
      </w:r>
    </w:p>
    <w:p>
      <w:pPr>
        <w:pStyle w:val="TextBody"/>
        <w:bidi w:val="0"/>
        <w:spacing w:before="200" w:after="200"/>
        <w:jc w:val="left"/>
        <w:rPr>
          <w:rFonts w:ascii="Arial" w:hAnsi="Arial"/>
          <w:b/>
          <w:color w:val="000000"/>
          <w:sz w:val="20"/>
        </w:rPr>
      </w:pPr>
      <w:r>
        <w:rPr>
          <w:rFonts w:ascii="Arial" w:hAnsi="Arial"/>
          <w:b/>
          <w:color w:val="000000"/>
          <w:sz w:val="20"/>
        </w:rPr>
        <w:t>Recent Accounting Pronouncements</w:t>
      </w:r>
    </w:p>
    <w:p>
      <w:pPr>
        <w:pStyle w:val="TextBody"/>
        <w:bidi w:val="0"/>
        <w:spacing w:before="200" w:after="200"/>
        <w:jc w:val="left"/>
        <w:rPr>
          <w:rFonts w:ascii="Times New Roman" w:hAnsi="Times New Roman"/>
          <w:sz w:val="20"/>
        </w:rPr>
      </w:pPr>
      <w:r>
        <w:rPr>
          <w:rFonts w:ascii="Arial" w:hAnsi="Arial"/>
          <w:color w:val="000000"/>
          <w:sz w:val="20"/>
        </w:rPr>
        <w:t xml:space="preserve">We have reviewed all recently issued standards and have determined that, other than as disclosed in </w:t>
      </w:r>
      <w:r>
        <w:rPr>
          <w:rFonts w:ascii="Arial" w:hAnsi="Arial"/>
          <w:i/>
          <w:color w:val="000000"/>
          <w:sz w:val="20"/>
        </w:rPr>
        <w:t xml:space="preserve">Note 1 </w:t>
      </w:r>
      <w:r>
        <w:rPr>
          <w:rFonts w:ascii="Arial" w:hAnsi="Arial"/>
          <w:color w:val="000000"/>
          <w:sz w:val="20"/>
        </w:rPr>
        <w:t xml:space="preserve">- </w:t>
      </w:r>
      <w:r>
        <w:rPr>
          <w:rFonts w:ascii="Arial" w:hAnsi="Arial"/>
          <w:i/>
          <w:color w:val="000000"/>
          <w:sz w:val="20"/>
        </w:rPr>
        <w:t>Business Overview and Summary of Significant Accounting Policies</w:t>
      </w:r>
      <w:r>
        <w:rPr>
          <w:rFonts w:ascii="Times New Roman" w:hAnsi="Times New Roman"/>
          <w:color w:val="000000"/>
          <w:sz w:val="20"/>
        </w:rPr>
        <w:t xml:space="preserve"> </w:t>
      </w:r>
      <w:r>
        <w:rPr>
          <w:rFonts w:ascii="Arial" w:hAnsi="Arial"/>
          <w:color w:val="000000"/>
          <w:sz w:val="20"/>
        </w:rPr>
        <w:t>to our unaudited condensed consolidated financial statements appearing elsewhere in this Quarterly Report on Form 10-Q, such standards are not expected to have a material impact on our consolidated financial statements or do not otherwise apply to our operations.</w:t>
      </w:r>
    </w:p>
    <w:p>
      <w:pPr>
        <w:pStyle w:val="TextBody"/>
        <w:bidi w:val="0"/>
        <w:spacing w:before="360" w:after="200"/>
        <w:jc w:val="left"/>
        <w:rPr>
          <w:rFonts w:ascii="Arial" w:hAnsi="Arial"/>
          <w:b/>
          <w:color w:val="000000"/>
          <w:sz w:val="20"/>
        </w:rPr>
      </w:pPr>
      <w:bookmarkStart w:id="32" w:name="item_3_quantitative"/>
      <w:bookmarkEnd w:id="32"/>
      <w:r>
        <w:rPr>
          <w:rFonts w:ascii="Arial" w:hAnsi="Arial"/>
          <w:b/>
          <w:color w:val="000000"/>
          <w:sz w:val="20"/>
        </w:rPr>
        <w:t>Item 3. Quantitative and Qualitative Disclosures About Market Risk</w:t>
      </w:r>
    </w:p>
    <w:p>
      <w:pPr>
        <w:pStyle w:val="TextBody"/>
        <w:bidi w:val="0"/>
        <w:spacing w:before="200" w:after="200"/>
        <w:jc w:val="left"/>
        <w:rPr>
          <w:rFonts w:ascii="Arial" w:hAnsi="Arial"/>
          <w:color w:val="000000"/>
          <w:sz w:val="20"/>
        </w:rPr>
      </w:pPr>
      <w:r>
        <w:rPr>
          <w:rFonts w:ascii="Arial" w:hAnsi="Arial"/>
          <w:color w:val="000000"/>
          <w:sz w:val="20"/>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pStyle w:val="TextBody"/>
        <w:bidi w:val="0"/>
        <w:spacing w:before="200" w:after="200"/>
        <w:jc w:val="left"/>
        <w:rPr>
          <w:rFonts w:ascii="Times New Roman" w:hAnsi="Times New Roman"/>
          <w:sz w:val="20"/>
        </w:rPr>
      </w:pPr>
      <w:r>
        <w:rPr>
          <w:rFonts w:ascii="Arial" w:hAnsi="Arial"/>
          <w:b/>
          <w:color w:val="000000"/>
          <w:sz w:val="20"/>
        </w:rPr>
        <w:t>Interest Rate Risk</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are exposed to interest rate risk relating to our cash and cash equivalents and available-for-sale debt securities. We hold cash in both non-interest and interest-bearing bank accounts. Our corporate investment portfolio consists primarily of money market funds, which are AAA-rated and comprised of liquid, high quality debt securities issued by the U.S. government and investments in available-for-sale corporate bonds, U.S. government obligations and asset-backed debt securities. An immediate 10% increase or decrease in interest rates would not have a material effect on our financial position, resulting of operations or cash flows.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are also exposed to interest rate risk related to our 2024 Revolving Credit Facility. Our 2024 Revolving Credit Facility consists of ABR borrowings or Term SOFR borrowings, at our option.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ABR borrowings bear interest at the ABR plus the applicable rate. Term SOFR borrowings bear interest at the Adjusted Term SOFR for the interest period plus the applicable rate. The ABR rate is based on the greatest of (a) the Prime Rate, (b) the Federal Funds Effective Rate plus 1/2 of 1%, or (c) the Adjusted Term SOFR for a one-month interest period, plus 1%. The Adjusted Term SOFR is equal to the sum of (a) Term SOFR for such interest period, plus (b) the SOFR adjustment of 0.10%. The applicable rate is based upon our consolidated total net leverage ratio as of the most recent consolidated financial information and ranges from 1.0% to 2.5%. The 2024 Revolving Credit Facility incurs a commitment fee ranging from 0.25% to 0.35% based upon our consolidated total net leverage ratio as of the most recent consolidated financial information assessed on the average available commitment.</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As of June 30, 2024 and December 31, 2023, there was no outstanding indebtedness under the 2024 Revolving Credit Facility and 2021 Revolving Credit Facility. An immediate 10% increase or decrease in interest rates would not have a material effect on our financial position, results of operations or cash flows.</w:t>
      </w:r>
    </w:p>
    <w:p>
      <w:pPr>
        <w:pStyle w:val="TextBody"/>
        <w:bidi w:val="0"/>
        <w:spacing w:before="200" w:after="200"/>
        <w:jc w:val="left"/>
        <w:rPr>
          <w:rFonts w:ascii="Times New Roman" w:hAnsi="Times New Roman"/>
          <w:sz w:val="20"/>
        </w:rPr>
      </w:pPr>
      <w:r>
        <w:rPr>
          <w:rFonts w:ascii="Arial" w:hAnsi="Arial"/>
          <w:color w:val="000000"/>
          <w:sz w:val="20"/>
        </w:rPr>
        <w:t>Information provided by the sensitivity analysis is not a prediction of future events and does not necessarily represent the actual changes that would occur.</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color w:val="000000"/>
          <w:sz w:val="20"/>
        </w:rPr>
        <w:t>Foreign Currency Exchange Risk</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payment—typically 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w:t>
      </w:r>
    </w:p>
    <w:p>
      <w:pPr>
        <w:pStyle w:val="TextBody"/>
        <w:bidi w:val="0"/>
        <w:spacing w:before="200" w:after="200"/>
        <w:jc w:val="left"/>
        <w:rPr>
          <w:rFonts w:ascii="Arial" w:hAnsi="Arial"/>
          <w:color w:val="000000"/>
          <w:sz w:val="20"/>
        </w:rPr>
      </w:pPr>
      <w:r>
        <w:rPr>
          <w:rFonts w:ascii="Arial" w:hAnsi="Arial"/>
          <w:color w:val="000000"/>
          <w:sz w:val="20"/>
        </w:rPr>
        <w:t>Our cash flows and operating results may also be impacted by fluctuations in foreign currency exchange rates between the U.S. Dollar and various currencies, in particular the British Pound. The value of our revenue and profits in local currencies may be worth more or less in U.S. Dollars due to a strengthening or weakening, respectively, of those currencies against the U.S. Dollar. For example, as the U.S. Dollar strengthened against several currencies, including the British Pound, relative to the same quarter in the prior year, these foreign exchange impacts reduced our reported revenue in U.S. Dollars by approximately $0.9 million compared to the quarter ended June 30, 2024 on a constant currency basis.</w:t>
      </w:r>
    </w:p>
    <w:p>
      <w:pPr>
        <w:pStyle w:val="TextBody"/>
        <w:bidi w:val="0"/>
        <w:spacing w:before="200" w:after="200"/>
        <w:jc w:val="left"/>
        <w:rPr>
          <w:rFonts w:ascii="Arial" w:hAnsi="Arial"/>
          <w:color w:val="000000"/>
          <w:sz w:val="20"/>
        </w:rPr>
      </w:pPr>
      <w:r>
        <w:rPr>
          <w:rFonts w:ascii="Arial" w:hAnsi="Arial"/>
          <w:color w:val="000000"/>
          <w:sz w:val="20"/>
        </w:rPr>
        <w:t>Fluctuations in foreign currency exchange rates may also impact the value of assets and liabilities denominated in currencies other than the functional currencies of our entities. Our reporting currency and the functional currency of our subsidiaries, with the exception of our U.K. and Australian subsidiaries, is the U.S. Dollar. The functional currency for our U.K. and Australian subsidiaries is the local currency, or British Pound and Australian Dollar, respectively. Financial statements of our foreign subsidiaries are translated from local currency into U.S. Dollars using exchange rates at the balance sheet date for assets and liabilities, and average exchange rates in effect during the period for revenue and expenses. Resulting translation adjustments are included as a component of accumulated other comprehensive income in our condensed consolidated balance sheets. Gains and losses from the remeasurement of foreign currencies into functional currencies are recognized in the condensed consolidated statements of operations and comprehensive loss. A potential change in foreign exchange rates of 10% from such remeasurement would have impacted loss before income taxes by approximately $16.8 million and $19.9 million at June 30, 2024 and December 31, 2023, respectively.</w:t>
      </w:r>
    </w:p>
    <w:p>
      <w:pPr>
        <w:pStyle w:val="TextBody"/>
        <w:bidi w:val="0"/>
        <w:spacing w:before="200" w:after="200"/>
        <w:jc w:val="left"/>
        <w:rPr>
          <w:rFonts w:ascii="Times New Roman" w:hAnsi="Times New Roman"/>
          <w:sz w:val="20"/>
        </w:rPr>
      </w:pPr>
      <w:r>
        <w:rPr>
          <w:rFonts w:ascii="Arial" w:hAnsi="Arial"/>
          <w:b/>
          <w:color w:val="000000"/>
          <w:sz w:val="20"/>
        </w:rPr>
        <w:t>Inflation Risk</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Inflation did not have a material effect on our cash flows and results of operations during the three or six months ended June 30, 2024. If our costs were to become subject to significant inflationary pressures, we may not be able to fully offset such higher costs through increase in prices of our product offerings.</w:t>
      </w:r>
    </w:p>
    <w:p>
      <w:pPr>
        <w:pStyle w:val="TextBody"/>
        <w:bidi w:val="0"/>
        <w:spacing w:before="360" w:after="283"/>
        <w:jc w:val="left"/>
        <w:rPr>
          <w:rFonts w:ascii="Arial" w:hAnsi="Arial"/>
          <w:b/>
          <w:color w:val="000000"/>
          <w:sz w:val="20"/>
        </w:rPr>
      </w:pPr>
      <w:bookmarkStart w:id="33" w:name="item_4"/>
      <w:bookmarkEnd w:id="33"/>
      <w:r>
        <w:rPr>
          <w:rFonts w:ascii="Arial" w:hAnsi="Arial"/>
          <w:b/>
          <w:color w:val="000000"/>
          <w:sz w:val="20"/>
        </w:rPr>
        <w:t>Item 4. Controls and Procedures</w:t>
      </w:r>
    </w:p>
    <w:p>
      <w:pPr>
        <w:pStyle w:val="TextBody"/>
        <w:bidi w:val="0"/>
        <w:spacing w:before="200" w:after="200"/>
        <w:jc w:val="left"/>
        <w:rPr>
          <w:rFonts w:ascii="Times New Roman" w:hAnsi="Times New Roman"/>
          <w:sz w:val="20"/>
        </w:rPr>
      </w:pPr>
      <w:r>
        <w:rPr>
          <w:rFonts w:ascii="Arial" w:hAnsi="Arial"/>
          <w:b/>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Our management, with the participation and supervision of our Chief Executive Officer and Chief Financial Officer (our Principal Executive Officer and Principal Financial and Accounting Officer, respectively), have evaluated the effectiveness of our disclosure controls and procedures as of June 30, 2024. The term “disclosure controls and procedures,” as defined in Rules 13a 15(e) and 15d-15(e) of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June 30, 2024, our disclosure controls and procedures were effective at the reasonable assurance level.</w:t>
      </w:r>
    </w:p>
    <w:p>
      <w:pPr>
        <w:pStyle w:val="TextBody"/>
        <w:bidi w:val="0"/>
        <w:spacing w:before="200" w:after="200"/>
        <w:jc w:val="left"/>
        <w:rPr>
          <w:rFonts w:ascii="Times New Roman" w:hAnsi="Times New Roman"/>
          <w:sz w:val="20"/>
        </w:rPr>
      </w:pPr>
      <w:r>
        <w:rPr>
          <w:rFonts w:ascii="Arial" w:hAnsi="Arial"/>
          <w:b/>
          <w:color w:val="000000"/>
          <w:sz w:val="20"/>
        </w:rPr>
        <w:t>Changes in Internal Control over Financial Reporting</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There were no changes in our internal control over financial reporting identified in connection with the evaluation required by Rule 13a- 15(d) and 15d-15(d) of the Exchange Act that occurred during the quarter ended June 30, 2024 that has materially affected, or is reasonably likely to materially affect, our internal control over financial reporting.</w:t>
      </w:r>
    </w:p>
    <w:p>
      <w:pPr>
        <w:pStyle w:val="TextBody"/>
        <w:bidi w:val="0"/>
        <w:spacing w:before="200" w:after="200"/>
        <w:jc w:val="left"/>
        <w:rPr>
          <w:rFonts w:ascii="Times New Roman" w:hAnsi="Times New Roman"/>
          <w:sz w:val="20"/>
        </w:rPr>
      </w:pPr>
      <w:r>
        <w:rPr>
          <w:rFonts w:ascii="Arial" w:hAnsi="Arial"/>
          <w:b/>
          <w:color w:val="000000"/>
          <w:sz w:val="20"/>
        </w:rPr>
        <w:t>Inherent Limitations on Effectiveness of Controls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360" w:after="200"/>
        <w:jc w:val="left"/>
        <w:rPr>
          <w:rFonts w:ascii="Arial" w:hAnsi="Arial"/>
          <w:b/>
          <w:color w:val="000000"/>
          <w:sz w:val="20"/>
        </w:rPr>
      </w:pPr>
      <w:bookmarkStart w:id="34" w:name="other_info"/>
      <w:bookmarkEnd w:id="34"/>
      <w:r>
        <w:rPr>
          <w:rFonts w:ascii="Arial" w:hAnsi="Arial"/>
          <w:b/>
          <w:color w:val="000000"/>
          <w:sz w:val="20"/>
        </w:rPr>
        <w:t>PART II - OTHER INFORMATION</w:t>
      </w:r>
    </w:p>
    <w:p>
      <w:pPr>
        <w:pStyle w:val="TextBody"/>
        <w:bidi w:val="0"/>
        <w:spacing w:before="200" w:after="200"/>
        <w:jc w:val="left"/>
        <w:rPr>
          <w:rFonts w:ascii="Arial" w:hAnsi="Arial"/>
          <w:b/>
          <w:color w:val="000000"/>
          <w:sz w:val="20"/>
        </w:rPr>
      </w:pPr>
      <w:bookmarkStart w:id="35" w:name="item_1"/>
      <w:bookmarkEnd w:id="35"/>
      <w:r>
        <w:rPr>
          <w:rFonts w:ascii="Arial" w:hAnsi="Arial"/>
          <w:b/>
          <w:color w:val="000000"/>
          <w:sz w:val="20"/>
        </w:rPr>
        <w:t>Item 1. Legal Proceedings</w:t>
      </w:r>
    </w:p>
    <w:p>
      <w:pPr>
        <w:pStyle w:val="TextBody"/>
        <w:bidi w:val="0"/>
        <w:spacing w:before="200" w:after="200"/>
        <w:jc w:val="left"/>
        <w:rPr>
          <w:rFonts w:ascii="Arial" w:hAnsi="Arial"/>
          <w:color w:val="000000"/>
          <w:sz w:val="20"/>
        </w:rPr>
      </w:pPr>
      <w:r>
        <w:rPr>
          <w:rFonts w:ascii="Arial" w:hAnsi="Arial"/>
          <w:color w:val="000000"/>
          <w:sz w:val="20"/>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individually or in the aggregate,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200" w:after="200"/>
        <w:jc w:val="left"/>
        <w:rPr>
          <w:rFonts w:ascii="Arial" w:hAnsi="Arial"/>
          <w:color w:val="000000"/>
          <w:sz w:val="20"/>
        </w:rPr>
      </w:pPr>
      <w:r>
        <w:rPr>
          <w:rFonts w:ascii="Arial" w:hAnsi="Arial"/>
          <w:color w:val="000000"/>
          <w:sz w:val="20"/>
        </w:rPr>
        <w:t>On February 28, 2024, Plaintiff Aaron Jones (Plaintiff), on behalf of himself and all similarly situated stockholders of Flywire, filed a putative class action complaint styled Aaron Jones v. Alex Finkelstein, et al., 2024-0178-JTL (Del. Ch.) (the Action), against Flywire and its directors (collectively, Defendants) alleging breaches of fiduciary duty in connection with the approval, adoption, and maintenance of certain provisions in Flywire’s Amended and Restated Bylaws, effective May 28, 2021 (the Bylaws). Flywire and the director defendants do not believe the Bylaws required amendment under applicable law and deny that any breach of fiduciary duties or other wrongful conduct occurred, and solely to avoid the costs, distractions, and uncertainties inherent in litigation, on March 15, 2024, amended the Bylaws, which mooted Plaintiff’s claims. On March 27, 2024, the Court entered an Order dismissing the Action with prejudice as to Plaintiff and without prejudice as to any actual or potential claims of any other members of the putative class, retaining jurisdiction solely for the purpose of determining Plaintiff’s counsel’s application for attorneys’ fees and reimbursement of expenses (the Fee Application). To avoid the time and expense of continued litigation, the parties agreed to resolve the Fee Application in exchange for a payment by Flywire of $435,000 to Plaintiff’s counsel.</w:t>
      </w:r>
    </w:p>
    <w:p>
      <w:pPr>
        <w:pStyle w:val="TextBody"/>
        <w:bidi w:val="0"/>
        <w:spacing w:before="200" w:after="200"/>
        <w:jc w:val="left"/>
        <w:rPr>
          <w:rFonts w:ascii="Arial" w:hAnsi="Arial"/>
          <w:color w:val="000000"/>
          <w:sz w:val="20"/>
        </w:rPr>
      </w:pPr>
      <w:r>
        <w:rPr>
          <w:rFonts w:ascii="Arial" w:hAnsi="Arial"/>
          <w:color w:val="000000"/>
          <w:sz w:val="20"/>
        </w:rPr>
        <w:t>In the course of implementing geolocation data-based sanctions screening measures, we identified certain payments which, based on geolocation data and other factors, appear to have been initiated from Cuba, Iran, Syria or the Crimea region of Ukraine, in potential violation of applicable sanctions regimes. Although Flywire continues to evaluate whether these or other transactions constitute potential violations of OFAC sanctions (including whether certain of these payments may have been authorized by general licenses or license exemptions under the relevant sanctions regulations), in August 2023, Flywire made a voluntary submission to OFAC to report the potential violations, and in April 2024 furnished a supplemental submission to OFAC. Flywire is currently engaging with OFAC to resolve these matters. Based upon the results of the internal investigation completed to date, we do not believe that the amount of any loss incurred as a result of this matter would be material to our business, financial condition, results of operations or cash flows.</w:t>
      </w:r>
    </w:p>
    <w:p>
      <w:pPr>
        <w:pStyle w:val="TextBody"/>
        <w:bidi w:val="0"/>
        <w:spacing w:before="200" w:after="200"/>
        <w:jc w:val="left"/>
        <w:rPr>
          <w:rFonts w:ascii="Times New Roman" w:hAnsi="Times New Roman"/>
          <w:sz w:val="20"/>
        </w:rPr>
      </w:pPr>
      <w:bookmarkStart w:id="36" w:name="item_1a"/>
      <w:bookmarkEnd w:id="36"/>
      <w:r>
        <w:rPr>
          <w:rFonts w:ascii="Arial" w:hAnsi="Arial"/>
          <w:b/>
          <w:color w:val="000000"/>
          <w:sz w:val="20"/>
        </w:rPr>
        <w:t>It</w:t>
      </w:r>
      <w:bookmarkStart w:id="37" w:name="item_1a_risk_factors_1"/>
      <w:bookmarkEnd w:id="37"/>
      <w:r>
        <w:rPr>
          <w:rFonts w:ascii="Arial" w:hAnsi="Arial"/>
          <w:b/>
          <w:color w:val="000000"/>
          <w:sz w:val="20"/>
        </w:rPr>
        <w:t>em 1A. Risk Factors</w:t>
      </w:r>
    </w:p>
    <w:p>
      <w:pPr>
        <w:pStyle w:val="TextBody"/>
        <w:bidi w:val="0"/>
        <w:spacing w:before="200" w:after="200"/>
        <w:jc w:val="left"/>
        <w:rPr>
          <w:rFonts w:ascii="Times New Roman" w:hAnsi="Times New Roman"/>
          <w:sz w:val="20"/>
        </w:rPr>
      </w:pPr>
      <w:r>
        <w:rPr>
          <w:rFonts w:ascii="Arial" w:hAnsi="Arial"/>
          <w:i/>
          <w:color w:val="000000"/>
          <w:sz w:val="20"/>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condensed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color w:val="000000"/>
          <w:sz w:val="20"/>
        </w:rPr>
        <w:t>Risk Factors Summary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summary of risks below is intended to provide an overview of the risks we face and should not be considered a substitute for the more fulsome risk factors discussed immediately following this summary.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Risks Related to Our Business and Industry</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have a history of operating losses and may not achieve or sustain profitability in the future.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have a short operating history at our current scale in a rapidly evolving industry.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We may experience quarterly fluctuations in operating results.</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may be unable to retain our current clients, attract new clients, and increase the number of our clients’ customers that use our solutions or sell additional functionality to our clients.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Efforts to attract new clients may be unsuccessful.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We may be unable to expand our direct and channel sales capabilities, grow our marketing reach and increase sales productivity.</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expect our revenue mix to vary over time, which could affect our gross profit, gross margin and results of operations.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Our business could be adversely affected if our clients and their customers are not satisfied with the timing or quality of implementation services provided by us or our partners.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Our financial and operating results are subject to seasonality and cyclicality.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are exposed to fluctuations in foreign currency exchange rates that could materially and adversely affect our cash flows and results of operations.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Certain of our key performance indicators are subject to inherent challenges in measurement.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Our business depends, in large part, on our proprietary network of global, regional, and local banking partners and our relationships with other third parties.</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Our markets are highly competitive.</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estimates of market opportunity and our ability to capture a meaningful share of this payment volume may prove to be inaccurate.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Our education business may be adversely affected by decreases in enrollment or tuition, increased limitations on issuances of visas to international students or increased operating expenses for our clients.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healthcare industry is rapidly evolving.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Our travel business may be sensitive to events affecting the travel industry in general.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may be unable to enter or expand into new verticals or sub-verticals, including our relatively new B2B payment vertical.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There could be consolidation in the payment processing or enablement industry. </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Arial" w:hAnsi="Arial"/>
          <w:color w:val="000000"/>
          <w:sz w:val="20"/>
        </w:rPr>
        <w:t>We may be adversely impacted by worldwide global economic and political instability.</w:t>
      </w:r>
      <w:r>
        <w:rPr>
          <w:color w:val="000000"/>
          <w:u w:val="single"/>
        </w:rPr>
        <w:t xml:space="preserve"> </w:t>
      </w:r>
    </w:p>
    <w:p>
      <w:pPr>
        <w:pStyle w:val="TextBody"/>
        <w:bidi w:val="0"/>
        <w:spacing w:before="200" w:after="200"/>
        <w:jc w:val="left"/>
        <w:rPr>
          <w:rFonts w:ascii="Times New Roman" w:hAnsi="Times New Roman"/>
          <w:sz w:val="20"/>
        </w:rPr>
      </w:pPr>
      <w:r>
        <w:rPr>
          <w:rFonts w:ascii="Arial" w:hAnsi="Arial"/>
          <w:b/>
          <w:i/>
          <w:color w:val="000000"/>
          <w:sz w:val="20"/>
        </w:rPr>
        <w:t>Risks Related to Our Operations</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may not be able to scale our business quickly enough to meet our growing client base.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enable the transfer of large sums of funds to our clients daily and are subject to the risk of errors.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Volatility in the banking and financial services sectors may impact our bank partnerships and relationships, which could adversely affect our operations and liquidity.</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Our management of our operating funds and those of our clients may be reliant on a limited number of our banking partners and other financial institutions.</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may be unable to maintain or expand our ability to offer a variety of local and international payments.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Improper or unauthorized use of, disclosure of, or access to personal or sensitive data could harm our reputation.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may fail to adapt and respond effectively to rapidly changing technology, evolving industry standards, changing regulations, and changing business needs, requirements, or preferences.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Changes to payment card networks fees or rules could harm our business.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If we lose key members of our management team or are unable to attract and retain executives and employees we need to support our operations and growth, our business may be harmed.</w:t>
      </w:r>
    </w:p>
    <w:p>
      <w:pPr>
        <w:pStyle w:val="TextBody"/>
        <w:bidi w:val="0"/>
        <w:spacing w:before="200" w:after="200"/>
        <w:jc w:val="left"/>
        <w:rPr>
          <w:rFonts w:ascii="Times New Roman" w:hAnsi="Times New Roman"/>
          <w:sz w:val="20"/>
        </w:rPr>
      </w:pPr>
      <w:r>
        <w:rPr>
          <w:rFonts w:ascii="Arial" w:hAnsi="Arial"/>
          <w:b/>
          <w:i/>
          <w:color w:val="000000"/>
          <w:sz w:val="20"/>
        </w:rPr>
        <w:t>Risks Related to Our Legal, Regulatory and Compliance Landscape</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Payments and other financial services-related regulations and oversight are material to our business.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are subject to governmental laws and requirements regarding economic and trade sanctions, AML, CFT and those applicable to a money service business (MSB).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are subject to governmental regulation and other legal obligations, particularly those related to privacy, data protection, information security, anti-corruption, anti-bribery, and similar laws. </w:t>
      </w:r>
    </w:p>
    <w:p>
      <w:pPr>
        <w:pStyle w:val="TextBody"/>
        <w:bidi w:val="0"/>
        <w:spacing w:before="200" w:after="200"/>
        <w:jc w:val="left"/>
        <w:rPr>
          <w:rFonts w:ascii="Times New Roman" w:hAnsi="Times New Roman"/>
          <w:sz w:val="20"/>
        </w:rPr>
      </w:pPr>
      <w:r>
        <w:rPr>
          <w:rFonts w:ascii="Arial" w:hAnsi="Arial"/>
          <w:b/>
          <w:i/>
          <w:color w:val="000000"/>
          <w:sz w:val="20"/>
        </w:rPr>
        <w:t>Risks Related to Being a Public Company</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may fail to develop and maintain proper effective internal control over financial reporting.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Estimates relating to our critical accounting policies may prove to be incorrect.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We will continue to incur increased costs as a public company. </w:t>
      </w:r>
    </w:p>
    <w:p>
      <w:pPr>
        <w:pStyle w:val="TextBody"/>
        <w:bidi w:val="0"/>
        <w:spacing w:before="200" w:after="200"/>
        <w:jc w:val="left"/>
        <w:rPr>
          <w:rFonts w:ascii="Times New Roman" w:hAnsi="Times New Roman"/>
          <w:sz w:val="20"/>
        </w:rPr>
      </w:pPr>
      <w:r>
        <w:rPr>
          <w:rFonts w:ascii="Arial" w:hAnsi="Arial"/>
          <w:b/>
          <w:i/>
          <w:color w:val="000000"/>
          <w:sz w:val="20"/>
        </w:rPr>
        <w:t>Risks Related to Ownership of Our Common Stock</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Raising additional capital may cause dilution to our existing stockholders, restrict our operations, or require us to relinquish rights to our intellectual property on unfavorable terms. </w:t>
      </w:r>
    </w:p>
    <w:p>
      <w:pPr>
        <w:pStyle w:val="TextBody"/>
        <w:bidi w:val="0"/>
        <w:spacing w:before="200" w:after="200"/>
        <w:jc w:val="left"/>
        <w:rPr>
          <w:rFonts w:ascii="Times New Roman" w:hAnsi="Times New Roman"/>
          <w:sz w:val="20"/>
        </w:rPr>
      </w:pPr>
      <w:r>
        <w:rPr>
          <w:rFonts w:ascii="Arial" w:hAnsi="Arial"/>
          <w:b/>
          <w:color w:val="000000"/>
          <w:sz w:val="20"/>
        </w:rPr>
        <w:t>Risks Related to Our Business and Industry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have a history of operating losses and may not achieve or sustain profitability in the future.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were incorporated in 2009 and although we have generated net income in prior periods, we incurred a net loss in the year ended December 31, 2023, have incurred net losses in the past, and may continue to incur net losses in the future. We generated net losses of $8.6 million and $39.3 million for the years ended December 31, 2023 and 2022, respectively, and $20.1 million during the six months ended June 30, 2024. In addition, as of June 30, 2024, we had an accumulated deficit of $193.9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other fee revenue. Changes in our revenue mix from quarter to quarter, including those derived from cross-border or domestic currency transactions, will impact our margins, and we may not be able to grow our gross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Due to the cross-border nature of much of our business, fluctuations in foreign currency exchange rates, slowdowns in international mobility and other regional considerations may affect our operating results.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If the assumptions we use to plan our business are incorrect or change in reaction to changes in our markets, or if we are unable to maintain consistent revenue or revenue growth, it may be difficult to achieve and maintain profitability. Our financial results from any prior quarterly or annual periods should not be relied upon as an indication of our future revenue or growth in revenue, gross profit or volume of payments processed.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addition, we expect to continue to expend substantial management time, financial and other resources on:</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sales, marketing, relationship management and client support, including an expansion of our sales organization, and new client support and payer retention initiatives;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our technology infrastructure, including systems architecture, scalability, availability, performance, and security;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our technology development, including investments in our technology development team and the development of new solutions and new functionality;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expanding into more international markets;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attracting new clients and increasing the number of our clients’ customers that use our solutions;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acquisitions or strategic investments;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regulatory compliance and risk management; and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general administration, including increased insurance, legal and accounting expenses associated with being a public company. </w:t>
      </w:r>
    </w:p>
    <w:p>
      <w:pPr>
        <w:pStyle w:val="TextBody"/>
        <w:bidi w:val="0"/>
        <w:spacing w:before="200" w:after="200"/>
        <w:jc w:val="left"/>
        <w:rPr>
          <w:rFonts w:ascii="Times New Roman" w:hAnsi="Times New Roman"/>
          <w:sz w:val="20"/>
        </w:rPr>
      </w:pPr>
      <w:r>
        <w:rPr>
          <w:rFonts w:ascii="Arial" w:hAnsi="Arial"/>
          <w:color w:val="000000"/>
          <w:sz w:val="20"/>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have a short operating history at our current scale in a rapidly and significantly evolving industry and, as a result, our past results may not be indicative of future operating performance.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have a short history operating at our current scale in a rapidly and significantly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future success will depend in large part upon our ability to, among other things:</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cost-effectively acquire new clients and retain existing clients;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maintain and increase our market share;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avoid pricing pressure on our solutions which would compress our margins;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effectively market our solutions;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enhance our existing solutions and develop new solutions;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increase awareness of our brand and maintain our reputation;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develop new technologies, adapt to technology changes and evolving industry standards and to incorporate new technologies, such as artificial intelligence, into our solutions;</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offer seamless experience for our clients and their customers, including all user facing attributes ranging from</w:t>
        <w:br/>
        <w:t>the user interface to client and customer support;</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anticipate and respond to microeconomic and macroeconomic changes;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expand our solutions and geographic reach, including with respect to B2B and travel payments;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our decision to exit certain markets, or our inability to process payments from certain jurisdiction we had previously served;</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anticipate and effectively respond to changing trends and the preferences of clients and their customers;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compete effectively;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avoid interruptions in our business from information technology (IT) downtime, cybersecurity breaches, or labor stoppages;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effectively manage our growth;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effectively identify and manage risks, including foreign currency exchange risk;</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hire, integrate, and retain talented people at all levels of our organization;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maintain the quality of our technology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compliance with multiple, conflicting and changing governmental laws and regulations, including with respect to employment, tax, competition, workplace and environmental, social and governance (ESG) matters;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global pandemics, such as COVID-19, or other public health emergencies;</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retain our existing proprietary global network of banking and other payment partners and add new banking and other payment partners to scale our business; and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retain our existing technology partners that allow us to provide alternative payment methods and add new technology partners to scale our business. </w:t>
      </w:r>
    </w:p>
    <w:p>
      <w:pPr>
        <w:pStyle w:val="TextBody"/>
        <w:bidi w:val="0"/>
        <w:spacing w:before="200" w:after="200"/>
        <w:jc w:val="left"/>
        <w:rPr>
          <w:rFonts w:ascii="Times New Roman" w:hAnsi="Times New Roman"/>
          <w:sz w:val="20"/>
        </w:rPr>
      </w:pPr>
      <w:r>
        <w:rPr>
          <w:rFonts w:ascii="Arial" w:hAnsi="Arial"/>
          <w:color w:val="000000"/>
          <w:sz w:val="20"/>
        </w:rPr>
        <w:t>If we fail to address the risks and difficulties that we face, including those associated with the challenges listed above as well as those described elsewhere in this section titled “Risk Factors”, our business and operating results will be adversely affected.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If we are unable to retain our current clients, attract new clients and increase the number of our clients’ customers that use our solutions or sell additional functionality to our clients, our revenue growth and operating results will be adversely affected.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the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profit, gross margins, and other operating results, and accordingly, on the trading price of our common stock.</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economic conditions, the availability of client technical personnel to implement our solutions, and the pricing of additional functionality. If our efforts to sell additional functionality to our clients are not successful, our business and growth prospects would suffer.</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In addition, certain of our clients are subject to requirements to issue requests for proposals (RFPs) to open up competition for their ongoing business notwithstanding their satisfaction with our solutions. In order to retain their business, we may be required to accept terms or pricing conditions less favorable to us than would be the case with automatic renewal of an existing contract.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p>
    <w:p>
      <w:pPr>
        <w:pStyle w:val="TextBody"/>
        <w:bidi w:val="0"/>
        <w:spacing w:before="200" w:after="200"/>
        <w:jc w:val="left"/>
        <w:rPr>
          <w:rFonts w:ascii="Times New Roman" w:hAnsi="Times New Roman"/>
          <w:sz w:val="20"/>
        </w:rPr>
      </w:pPr>
      <w:r>
        <w:rPr>
          <w:rFonts w:ascii="Arial" w:hAnsi="Arial"/>
          <w:b/>
          <w:i/>
          <w:color w:val="000000"/>
          <w:sz w:val="20"/>
        </w:rPr>
        <w:t>We may experience quarterly fluctuations in our operating results, as well as our key metrics, due to a number of factors which make our future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operating results or key metrics fall below the expectations of investors or securities analysts or below any guidance we may provide to the market, the price of our common stock could decline substantially.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demand for our solutions and the number, volume and timing of payments processed;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timing of tuition payments;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government restrictions or related limitations on the issuances of visas;</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market acceptance of our current and future solutions;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our revenue mix in a particular quarter;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mix of payment methods and currencies utilized by our clients’ customers in a particular quarter;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 slowdown in spending on IT and software by our current and/or prospective clients;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sales cycles and performance of our direct and indirect sales force;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budgeting and implementation cycles of our current or potential clients;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foreign currency exchange rate fluctuations;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management, performance and expansion of our domestic and international operations;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rate of renewals of contracts with our clients;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changes in the competitive dynamics of our markets;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our ability to control and predict costs, including our operating expenses;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clients delaying purchasing decisions, including in anticipation of new products or product enhancements by us or our competitors;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seasonality of our business;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failure to successfully manage or integrate any acquisitions, including our most recent acquisitions of StudyLink and Invoiced;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outcome or publicity surrounding any pending or threatened lawsuits;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general economic and political conditions in our domestic and international markets, including inflation and fluctuations in supply chains, and restrictions on cross-border travel or commerce;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changes in the level of scrutiny applied by regulators and investors on our ESG program;</w:t>
      </w:r>
    </w:p>
    <w:p>
      <w:pPr>
        <w:pStyle w:val="TextBody"/>
        <w:bidi w:val="0"/>
        <w:spacing w:before="120" w:after="200"/>
        <w:jc w:val="left"/>
        <w:rPr>
          <w:color w:val="000000"/>
        </w:rPr>
      </w:pPr>
      <w:r>
        <w:rPr>
          <w:color w:val="000000"/>
        </w:rPr>
        <w:t>•</w:t>
      </w:r>
    </w:p>
    <w:p>
      <w:pPr>
        <w:pStyle w:val="TextBody"/>
        <w:bidi w:val="0"/>
        <w:spacing w:before="120" w:after="200"/>
        <w:jc w:val="left"/>
        <w:rPr>
          <w:rFonts w:ascii="Arial" w:hAnsi="Arial"/>
          <w:color w:val="000000"/>
          <w:sz w:val="20"/>
        </w:rPr>
      </w:pPr>
      <w:r>
        <w:rPr>
          <w:rFonts w:ascii="Arial" w:hAnsi="Arial"/>
          <w:color w:val="000000"/>
          <w:sz w:val="20"/>
        </w:rPr>
        <w:t xml:space="preserve">unexpected events, including those resulting from climate change, international or civil conflicts and wars, or other geopolitical events;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expected or actual extended U.S. federal government shutdowns, partisan gridlock that results in the inability of Congress to take action or changes to government, which among other things could result in increased limitations on visa issuances and impact educational financial aid payments; and</w:t>
      </w:r>
      <w:r>
        <w:rPr>
          <w:color w:val="000000"/>
          <w:u w:val="single"/>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global pandemics, such as COVID-19, or other public health emergencies and the responses thereto. </w:t>
      </w:r>
    </w:p>
    <w:p>
      <w:pPr>
        <w:pStyle w:val="TextBody"/>
        <w:bidi w:val="0"/>
        <w:spacing w:before="200" w:after="200"/>
        <w:jc w:val="left"/>
        <w:rPr>
          <w:rFonts w:ascii="Times New Roman" w:hAnsi="Times New Roman"/>
          <w:sz w:val="20"/>
        </w:rPr>
      </w:pPr>
      <w:r>
        <w:rPr>
          <w:rFonts w:ascii="Arial" w:hAnsi="Arial"/>
          <w:color w:val="000000"/>
          <w:sz w:val="20"/>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expect our revenue mix to vary over time, which could affect our gross profit, gross margin and results of operations.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We expect our revenue mix to vary over time due to a number of factors. Shifts in our business mix from quarter to quarter could produce substantial variation in revenue recognized. Further, our gross profit,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profit,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pStyle w:val="TextBody"/>
        <w:bidi w:val="0"/>
        <w:spacing w:before="200" w:after="200"/>
        <w:jc w:val="left"/>
        <w:rPr>
          <w:rFonts w:ascii="Times New Roman" w:hAnsi="Times New Roman"/>
          <w:sz w:val="20"/>
        </w:rPr>
      </w:pPr>
      <w:r>
        <w:rPr>
          <w:rFonts w:ascii="Arial" w:hAnsi="Arial"/>
          <w:b/>
          <w:i/>
          <w:color w:val="000000"/>
          <w:sz w:val="20"/>
        </w:rPr>
        <w:t>If our efforts to attract new clients and increase the number of our clients’ customers that use our solutions are unsuccessful, our revenue growth and operating results will be adversely affected.</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b/>
          <w:i/>
          <w:color w:val="000000"/>
          <w:sz w:val="20"/>
        </w:rPr>
        <w:t>If we are unable to expand our direct and channel sales capabilities, grow our marketing reach and increase sales productivity, we may not be able to generate increased revenues.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business could be adversely affected if our clients or their customers are not satisfied with the timing or quality of implementation services provided by us or our partners.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financial and operating results are subject to seasonality and cyclicality.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are exposed to fluctuations in foreign currency exchange rates that could materially and adversely affect our results of operations.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For example, as the U.S. Dollar strengthened against several currencies, including the British Pound, relative to the same quarter in the prior year, these foreign exchange impacts reduced our reported revenue in U.S. Dollars by approximately $0.9 million compared to the quarter ended June 30, 2023 on a constant currency basis.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Euro-denominated assets and liabilities would be re-denominated to such individual currencies, which could result in a mismatch in the values of assets and liabilities and expose us to additional currency risks.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our international operations continue to operate and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Our use of such hedging practices may not offset any, or more than a portion, of the adverse effects of unfavorable movements in foreign exchange rates. In addition, currency fluctuations or a weakening U.S. dollar can increase the costs of our international operations, and the strengthening U.S. dollar could slow international demand as solutions priced in the U.S. dollar become more expensive.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Certain of our key performance indicators are subject to inherent challenges in measurement, and real or perceived inaccuracies in such metrics may harm our reputation and negatively affect our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track certain key performance indicators, including metrics such as total payment volume, revenue less ancillary services, adjusted gross profit,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clients or other stakeholders do not perceive our operating metrics to be accurate, or if we discover material inaccuracies with respect to these figures, our reputation may be significantly harmed, and our operating and financial results could be adversely affected.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business depends, in large part, on our proprietary network of global, regional and local banking partners.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and maintaining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know-your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In addition, our existing banking partners may at any time and from time to time cease serving certain categories of payments due to perceived risk or similar reasons as well as payments originating from, or being paid to, certain high risk jurisdictions. These partners may also impose additional requirements on Flywire, or with respect to their own internal procedures, as a condition of processing such payments in partnership with us. If we cease to be able to process payments from corridors or within certain of our verticals, or we are unable to comply with new requirements or only at considerable expense, our client relationships and ability to grow our revenue could be adversely affected.</w:t>
      </w:r>
    </w:p>
    <w:p>
      <w:pPr>
        <w:pStyle w:val="TextBody"/>
        <w:bidi w:val="0"/>
        <w:spacing w:before="200" w:after="200"/>
        <w:jc w:val="left"/>
        <w:rPr>
          <w:rFonts w:ascii="Arial" w:hAnsi="Arial"/>
          <w:color w:val="000000"/>
          <w:sz w:val="20"/>
        </w:rPr>
      </w:pPr>
      <w:r>
        <w:rPr>
          <w:rFonts w:ascii="Arial" w:hAnsi="Arial"/>
          <w:color w:val="000000"/>
          <w:sz w:val="20"/>
        </w:rPr>
        <w:t>Instability and volatility in the banking and financial services sectors, including bank failures, have increased and may in the future increase uncertainty in the global economy and the risk of a global recession. Volatility in the banking and financial services sectors may adversely impact our bank partnerships and could negatively impact our business. We may face difficulty establishing or maintaining banking relationships due to instability in the global banking system and increasing regulatory uncertainty and scrutiny. If these financial institutions are subject to suspension of operations, receivership, closure or similar action, or if our banking relationships become severely limited or unavailable in a certain country, there could be temporary delays in or unavailability of services in such country that are critical to our or our clients' operations. This could potentially lead to reduced use of our platform and lower payment volume which may adversely impact our business, operating results, and financial condition.</w:t>
      </w:r>
    </w:p>
    <w:p>
      <w:pPr>
        <w:pStyle w:val="TextBody"/>
        <w:bidi w:val="0"/>
        <w:spacing w:before="200" w:after="200"/>
        <w:jc w:val="left"/>
        <w:rPr>
          <w:rFonts w:ascii="Times New Roman" w:hAnsi="Times New Roman"/>
          <w:sz w:val="20"/>
        </w:rPr>
      </w:pPr>
      <w:r>
        <w:rPr>
          <w:rFonts w:ascii="Arial" w:hAnsi="Arial"/>
          <w:color w:val="000000"/>
          <w:sz w:val="20"/>
        </w:rPr>
        <w:t>We may not be able to attract new network partners to our existing network of global, regional and local banking partners, which could adversely affect our ability to expand to additional countries and territories and transact in additional</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growth depends in part on the success of our relationships with other (non-banking) third parties.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The markets in which we participate are competitive, and if we do not compete effectively, our operating results could be harmed.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estimates of market opportunity and our ability to capture a meaningful share of this payment volume may prove to be inaccurate, and even if the market in which we compete achieves the forecasted growth, our business could fail to grow at similar rates, if at all.</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pStyle w:val="TextBody"/>
        <w:bidi w:val="0"/>
        <w:spacing w:before="200" w:after="200"/>
        <w:jc w:val="left"/>
        <w:rPr>
          <w:rFonts w:ascii="Times New Roman" w:hAnsi="Times New Roman"/>
          <w:sz w:val="20"/>
        </w:rPr>
      </w:pPr>
      <w:r>
        <w:rPr>
          <w:rFonts w:ascii="Arial" w:hAnsi="Arial"/>
          <w:b/>
          <w:i/>
          <w:color w:val="000000"/>
          <w:sz w:val="20"/>
        </w:rPr>
        <w:t>Our clients in the education sector may be adversely affected by decreases in enrollment, pressure on tuition costs, or increased operating expenses, which may reduce demand for our solutions.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Reduced enrollment in higher education due to lack of funding, increases to cost of attendance or other inflationary pressure. Some institutes of higher education may close or merge with other colleges and universities. Significant reductions in student funding, through grants or loans, may reduce enrollments and decrease the payment volume we process. Potential students may also be deterred by increases in the cost of attendance.</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Government supported institutions may experience losses or reduction in public funding. Many of our clients rely considerably upon public funding or support, which may not always be available due to budget constraints.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Changing perceptions about in-person classes. Students may reject the opportunity to attend courses in person, when online or virtual classes are offered as an option, due to growing familiarity and perceived convenience of remote learning or a lower price point for online classes.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Our clients’ rankings, reputation and marketing efforts strongly affect enrollments, none of which we control. If we fail to maintain or add clients with strong, stable reputations and rankings, they will fail to achieve consistent enrollments.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Declines in international student enrollment. Global conflict and restrictions on immigration or increased limitation on the award of student visas (such as those recently announced in Canada and Australia) can negatively impact the cross-border education industry and schools that rely on foreign student populations, will be negatively affected or may cease operations.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General economic conditions. Any contraction in the economy could be expected to reduce enrollment in higher education, whether by reducing funding, reducing corporate allowances for continuing education, general reductions in employment or savings or other factors. </w:t>
      </w:r>
    </w:p>
    <w:p>
      <w:pPr>
        <w:pStyle w:val="TextBody"/>
        <w:bidi w:val="0"/>
        <w:spacing w:before="200" w:after="200"/>
        <w:jc w:val="left"/>
        <w:rPr>
          <w:rFonts w:ascii="Arial" w:hAnsi="Arial"/>
          <w:color w:val="000000"/>
          <w:sz w:val="20"/>
        </w:rPr>
      </w:pPr>
      <w:r>
        <w:rPr>
          <w:rFonts w:ascii="Arial" w:hAnsi="Arial"/>
          <w:color w:val="000000"/>
          <w:sz w:val="20"/>
        </w:rPr>
        <w:t>International cross-border transaction revenue represents a significant part of our revenue; international regulations and restrictions that inhibit cross-border travel and relocation of international students, as well as ongoing political friction between China and the U.S. that have slowed the growth of Chinese students studying in the U.S. and may have resulted in changes in Chinese student education destinations, have had and may continue to have an impact on our revenue growth. More recently, the Canadian government announced it will set a cap on international student permit applications for the years 2024 and 2025, motivated in part by housing shortages. Australia has also recently delayed the processing of international student visas. This could adversely impact our business, operating results, and financial condition.</w:t>
      </w:r>
    </w:p>
    <w:p>
      <w:pPr>
        <w:pStyle w:val="TextBody"/>
        <w:bidi w:val="0"/>
        <w:spacing w:before="200" w:after="200"/>
        <w:jc w:val="left"/>
        <w:rPr>
          <w:rFonts w:ascii="Times New Roman" w:hAnsi="Times New Roman"/>
          <w:sz w:val="20"/>
        </w:rPr>
      </w:pPr>
      <w:r>
        <w:rPr>
          <w:rFonts w:ascii="Arial" w:hAnsi="Arial"/>
          <w:color w:val="000000"/>
          <w:sz w:val="20"/>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would have an adverse effect on our business, operating results and financial condition.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order to remain competitive, we are continually involved in a number of projects to compete with these new market entrants by developing new solutions, growing our client base and penetrating new markets. Some of these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 In addition, the decisions we make on allocation of engineering resources, reliance on, integration with or discontinuance of, legacy systems or those acquired in acquisition, or the pace at which we remain technologically current within our internal systems and customer payment platforms, may negatively affect the morale of our engineering teams and the payment experiences our clients wish to feature to their customers. We may lose engineering talent or healthcare clients as a result, which could have a material adverse effect on our business and results of operations.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may have an adverse effect on our business, operating results and financial condition.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However, intense competition and rising costs experienced by certain major EHR providers has resulted, in certain cases, in increased financial strain on these businesses, and in at least one notable instance, an action to seek bankruptcy protection. To the extent we have outstanding amounts owed to us by companies that seek bankruptcy protection or cease operations, it may become difficult for us to be paid in full in a timely manner, if at all.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business serving clients in the travel sector may be sensitive to events affecting the travel industry in general.</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Events like regional or larger scale conflicts, war or other military conflict,</w:t>
      </w:r>
      <w:r>
        <w:rPr>
          <w:rFonts w:ascii="Times New Roman" w:hAnsi="Times New Roman"/>
          <w:color w:val="000000"/>
          <w:sz w:val="20"/>
        </w:rPr>
        <w:t xml:space="preserve"> </w:t>
      </w:r>
      <w:r>
        <w:rPr>
          <w:rFonts w:ascii="Arial" w:hAnsi="Arial"/>
          <w:color w:val="000000"/>
          <w:sz w:val="20"/>
        </w:rPr>
        <w:t>including the conflicts between Russia and Ukraine, and Israel and Hamas, terrorist attacks, mass shooting incidents, natural disasters, such as hurricanes, earthquakes, fires, droughts, floods and volcanic activity, including events resulting from climate change, and travel-related health events, such as the COVID-19 pandemic, have had a negative impact on the travel industry and affect travelers’ behavior by limiting their ability or willingness to visit certain locations. In addition, the travel industry can be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negatively impacted by adverse economic conditions in the United States and globally, including economic slowdown and inflation.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have implemented or are considering implementing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There are also recent reports in Europe of hostility towards tourists that may depress international travel.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from our travel vertical represents less than 10% of our total payment volume. Because we seek to grow the payment volume and the revenue from this vertical in the future, failure to grow our payment volume and resulting revenue from this industry, may have an adverse effect on our business, operating results and financial condition.</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With respect to the COVID-19 pandemic specifically, our 2020 financial results related to serving our existing travel clients and growing our client base in the travel sector were negatively impacted. During the years ended December 31, 2021, 2022 and 2023, we witnessed recoveries in our financial results and growth in revenue and payment volumes in our travel payment vertical. While improvements have been noted, sustaining this trend will in part be dependent on future developments that cannot be accurately predicted at this time, including, but not limited to, the emergence of variants and sub-variants, international regulations and restrictions that inhibit cross-border travel, global availability of vaccines and administration of vaccination, the rate of “herd immunity”, and the impact of these and other factors on travel behavior.</w:t>
      </w:r>
    </w:p>
    <w:p>
      <w:pPr>
        <w:pStyle w:val="TextBody"/>
        <w:bidi w:val="0"/>
        <w:spacing w:before="200" w:after="200"/>
        <w:jc w:val="left"/>
        <w:rPr>
          <w:rFonts w:ascii="Times New Roman" w:hAnsi="Times New Roman"/>
          <w:sz w:val="20"/>
        </w:rPr>
      </w:pPr>
      <w:r>
        <w:rPr>
          <w:rFonts w:ascii="Arial" w:hAnsi="Arial"/>
          <w:b/>
          <w:i/>
          <w:color w:val="000000"/>
          <w:sz w:val="20"/>
        </w:rPr>
        <w:t>If we are unable to enter or expand new client verticals or sub-verticals, including our relatively new B2B payment vertical, or if our solutions for any new vertical fail to achieve market acceptance, our operating results could be adversely affected and we may be required to reconsider our growth strategy.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growth strategy is influenced, in part, on our ability to expand into new client verticals and sub-verticals, including our relatively new B2B payment vertical. The B2B payment vertical represents a relatively new market for us, and we have limited prior experience with the key enterprise resource planning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may be unable to identify new verticals or sub-verticals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Even if we choose to enter new verticals or sub-verticals,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acquisition, we may invest significant resources to develop and expand the functionality of our solutions to meet the needs of customers in those verticals, which investments will occur in advance of our realization of revenue from them.</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Consolidation in the payment processing or enablement industry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We may be adversely affected by global economic and political instability.</w:t>
      </w:r>
    </w:p>
    <w:p>
      <w:pPr>
        <w:pStyle w:val="TextBody"/>
        <w:bidi w:val="0"/>
        <w:spacing w:before="200" w:after="200"/>
        <w:jc w:val="left"/>
        <w:rPr>
          <w:rFonts w:ascii="Arial" w:hAnsi="Arial"/>
          <w:color w:val="000000"/>
          <w:sz w:val="20"/>
        </w:rPr>
      </w:pPr>
      <w:r>
        <w:rPr>
          <w:rFonts w:ascii="Arial" w:hAnsi="Arial"/>
          <w:color w:val="000000"/>
          <w:sz w:val="20"/>
        </w:rPr>
        <w:t>As we seek to continue to operate and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the banking ecosystem or credit, equity and foreign exchange markets, bankruptcies, as well as war, terrorist activity, political or social unrest, civil strife and other geopolitical uncertainty, including the effects of ongoing United States-China and Canada-India diplomatic and trade friction, and the resulting impact on business continuity and travel, supply chain disruptions, inflation, security issues, and overall uncertainty with respect to the economy, including with respect to tariff and trade issues. To the extent that inflationary pressures and other global factors lead to an economic recession, demand for our solutions, our business and financial condition could be negatively impacted. In addition, from time to time we have reduced expenses and needed to restructure or reorganize certain portions of our operations in order to align our business with market conditions and our strategies, any of which can result in near term expense and harm to our growth prospects.</w:t>
      </w:r>
    </w:p>
    <w:p>
      <w:pPr>
        <w:pStyle w:val="TextBody"/>
        <w:bidi w:val="0"/>
        <w:spacing w:before="200" w:after="200"/>
        <w:jc w:val="left"/>
        <w:rPr>
          <w:rFonts w:ascii="Arial" w:hAnsi="Arial"/>
          <w:color w:val="000000"/>
          <w:sz w:val="20"/>
        </w:rPr>
      </w:pPr>
      <w:r>
        <w:rPr>
          <w:rFonts w:ascii="Arial" w:hAnsi="Arial"/>
          <w:color w:val="000000"/>
          <w:sz w:val="20"/>
        </w:rPr>
        <w:t>For example, on February 24, 2022, Russian military forces invaded Ukraine, and continued conflict and disruption in the region is likely, and on October 7, 2023, Hamas terrorists infiltrated Israel’s southern border from the Gaza Strip and conducted a series of attacks on civilian and military targets. Hamas also launched extensive rocket attacks on the Israeli population and industrial centers located along Israel’s border with the Gaza Strip and in other areas within the State of Israel. On October 8, 2023, Israel formally declared war on Hamas, and thereafter commenced military operations against Hamas and the armed conflict is ongoing as of the date of this filing, with Israel and Iran recently exchanging missile attacks. Although the length, impact and outcome of the ongoing conflicts in Ukraine and Israel are highly unpredictable, these conflicts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pStyle w:val="TextBody"/>
        <w:bidi w:val="0"/>
        <w:spacing w:before="200" w:after="200"/>
        <w:jc w:val="left"/>
        <w:rPr>
          <w:rFonts w:ascii="Arial" w:hAnsi="Arial"/>
          <w:color w:val="000000"/>
          <w:sz w:val="20"/>
        </w:rPr>
      </w:pPr>
      <w:r>
        <w:rPr>
          <w:rFonts w:ascii="Arial" w:hAnsi="Arial"/>
          <w:color w:val="000000"/>
          <w:sz w:val="20"/>
        </w:rPr>
        <w:t>We are actively monitoring the situations in Ukraine and Israel and assessing any potential impact on our business, but to date have not experienced any material impact. We have no way to predict the progress or outcome of the conflicts in Ukraine and Israel as the conflicts, and any resulting government reactions, continue to develop beyond our control and can quickly change. The extent and duration of the military action, sanctions and resulting market disruptions could be significant and could potentially have a substantial impact on the global economy and our business for an unknown period of time. As the adverse effects of these conflicts continue to develop and potentially spread, both in Europe, the Middle East and through the rest of the world, our customers,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these conflicts and any of the abovementioned factors could have a material adverse effect on our business, financial condition and results of operations, particularly to the extent the conflict escalates to involve additional countries, further economic sanctions and wider military conflicts. Any such disruptions could also magnify the impact of other risks described in this Quarterly Report on Form 10-Q.</w:t>
      </w:r>
    </w:p>
    <w:p>
      <w:pPr>
        <w:pStyle w:val="TextBody"/>
        <w:bidi w:val="0"/>
        <w:spacing w:before="200" w:after="200"/>
        <w:jc w:val="left"/>
        <w:rPr>
          <w:rFonts w:ascii="Arial" w:hAnsi="Arial"/>
          <w:color w:val="000000"/>
          <w:sz w:val="20"/>
        </w:rPr>
      </w:pPr>
      <w:r>
        <w:rPr>
          <w:rFonts w:ascii="Arial" w:hAnsi="Arial"/>
          <w:color w:val="000000"/>
          <w:sz w:val="20"/>
        </w:rPr>
        <w:t>In addition, political instability or adverse political developments and new or continued economic deterioration in any of the countries in which we operate could harm our business, results of operations and financial condition.</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Inflation and interest rate increases have and may in the future result in decreased demand for our solutions, increases in our operating costs including our labor costs, constrained credit and liquidity, and volatility in financial markets and the banking ecosystem. During 2023, the United States Federal Reserve raised, and may in the future raise, interest rates in response to concerns over inflation risk. There continues to be uncertainty in the changing market and economic conditions, including the possibility of additional measures that could be taken by the Federal Reserve and other government agencies, related to concerns over inflation risk. A sharp rise in interest rates could have an adverse impact on the fair market value of securities we may invest in as part of our portfolio investments, which could adversely affect our financial results. In addition, 2024 is a presidential election year in the U.S., and political conditions may contribute to economic uncertainty or volatility, irrespective of electoral outcomes, which could adversely affect our business, results of operations and financial condition.</w:t>
      </w:r>
      <w:r>
        <w:rPr>
          <w:rFonts w:ascii="Times New Roman" w:hAnsi="Times New Roman"/>
          <w:color w:val="000000"/>
          <w:sz w:val="20"/>
        </w:rPr>
        <w:t xml:space="preserve"> </w:t>
      </w:r>
    </w:p>
    <w:p>
      <w:pPr>
        <w:pStyle w:val="TextBody"/>
        <w:bidi w:val="0"/>
        <w:spacing w:before="200" w:after="283"/>
        <w:jc w:val="left"/>
        <w:rPr>
          <w:rFonts w:ascii="Arial" w:hAnsi="Arial"/>
          <w:b/>
          <w:i/>
          <w:color w:val="000000"/>
          <w:sz w:val="20"/>
        </w:rPr>
      </w:pPr>
      <w:r>
        <w:rPr>
          <w:rFonts w:ascii="Arial" w:hAnsi="Arial"/>
          <w:b/>
          <w:i/>
          <w:color w:val="000000"/>
          <w:sz w:val="20"/>
        </w:rPr>
        <w:t>We have an office in Tel Aviv, Israel. Conditions in Israel, including the recent attack by Hamas and other terrorist organizations from the Gaza Strip and Israel’s war against them, may affect our operations.</w:t>
      </w:r>
    </w:p>
    <w:p>
      <w:pPr>
        <w:pStyle w:val="TextBody"/>
        <w:bidi w:val="0"/>
        <w:spacing w:before="200" w:after="200"/>
        <w:jc w:val="left"/>
        <w:rPr>
          <w:rFonts w:ascii="Arial" w:hAnsi="Arial"/>
          <w:color w:val="000000"/>
          <w:sz w:val="20"/>
        </w:rPr>
      </w:pPr>
      <w:r>
        <w:rPr>
          <w:rFonts w:ascii="Arial" w:hAnsi="Arial"/>
          <w:color w:val="000000"/>
          <w:sz w:val="20"/>
        </w:rPr>
        <w:t>Because we have an office in Tel Aviv, Israel, our business and operations are directly affected by economic, political, geopolitical and military conditions in Israel. Since the establishment of the State of Israel in 1948, a number of armed conflicts have occurred between Israel and its neighboring countries and terrorist organizations active in the region. These conflicts have involved missile strikes, hostile infiltrations and terrorism against civilian targets in various parts of Israel, which have negatively affected business conditions in Israel.</w:t>
      </w:r>
    </w:p>
    <w:p>
      <w:pPr>
        <w:pStyle w:val="TextBody"/>
        <w:bidi w:val="0"/>
        <w:spacing w:before="200" w:after="200"/>
        <w:jc w:val="left"/>
        <w:rPr>
          <w:rFonts w:ascii="Arial" w:hAnsi="Arial"/>
          <w:color w:val="000000"/>
          <w:sz w:val="20"/>
        </w:rPr>
      </w:pPr>
      <w:r>
        <w:rPr>
          <w:rFonts w:ascii="Arial" w:hAnsi="Arial"/>
          <w:color w:val="000000"/>
          <w:sz w:val="20"/>
        </w:rPr>
        <w:t>On October 7,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On October 8, 2023, Israel formally declared war on Hamas, and thereafter commenced military operations against Hamas in Gaza and the armed conflict is ongoing as of the date of this filing, and has resulted in extensive deaths, injuries and kidnapping of civilians and soldiers. Moreover, the clash between Israel and Hezbollah in Lebanon, and the drone attacks by Iran on Israel and Israel’s military response, may escalate in the future into a greater regional conflict.</w:t>
      </w:r>
    </w:p>
    <w:p>
      <w:pPr>
        <w:pStyle w:val="TextBody"/>
        <w:bidi w:val="0"/>
        <w:spacing w:before="200" w:after="200"/>
        <w:jc w:val="left"/>
        <w:rPr>
          <w:rFonts w:ascii="Arial" w:hAnsi="Arial"/>
          <w:color w:val="000000"/>
          <w:sz w:val="20"/>
        </w:rPr>
      </w:pPr>
      <w:r>
        <w:rPr>
          <w:rFonts w:ascii="Arial" w:hAnsi="Arial"/>
          <w:color w:val="000000"/>
          <w:sz w:val="20"/>
        </w:rPr>
        <w:t>Although we currently do not expect the ongoing conflict to materially affect our business, financial condition and results of operations, there can be no assurances that further unforeseen events will not have a material adverse effect on our business, financial condition and results of operations in the future.</w:t>
      </w:r>
    </w:p>
    <w:p>
      <w:pPr>
        <w:pStyle w:val="TextBody"/>
        <w:bidi w:val="0"/>
        <w:spacing w:before="200" w:after="200"/>
        <w:jc w:val="left"/>
        <w:rPr>
          <w:rFonts w:ascii="Arial" w:hAnsi="Arial"/>
          <w:color w:val="000000"/>
          <w:sz w:val="20"/>
        </w:rPr>
      </w:pPr>
      <w:r>
        <w:rPr>
          <w:rFonts w:ascii="Arial" w:hAnsi="Arial"/>
          <w:color w:val="000000"/>
          <w:sz w:val="20"/>
        </w:rPr>
        <w:t>The Israel Defense Force (IDF), the national military of Israel, is a conscripted military service, subject to certain exceptions. Since October 7, 2023, the IDF has called up more than 350,000 of its reserve forces to serve. It is possible that there will be further military reserve duty call-ups in the future, which may affect our business due to a shortage of skilled labor and loss of institutional knowledge, and necessary mitigation measures we may take to respond to a decrease in labor availability, such as overtime and third-party outsourcing, for example, may have unintended negative effects and adversely impact our business, financial condition and results of operations.</w:t>
      </w:r>
    </w:p>
    <w:p>
      <w:pPr>
        <w:pStyle w:val="TextBody"/>
        <w:bidi w:val="0"/>
        <w:spacing w:before="200" w:after="200"/>
        <w:jc w:val="left"/>
        <w:rPr>
          <w:rFonts w:ascii="Arial" w:hAnsi="Arial"/>
          <w:color w:val="000000"/>
          <w:sz w:val="20"/>
        </w:rPr>
      </w:pPr>
      <w:r>
        <w:rPr>
          <w:rFonts w:ascii="Arial" w:hAnsi="Arial"/>
          <w:color w:val="000000"/>
          <w:sz w:val="20"/>
        </w:rPr>
        <w:t>Shelter-in-place and work-from-home measures, government-imposed restrictions on movement and travel and other precautions taken to address the ongoing conflict may temporarily disrupt our employees’ ability to effectively perform their daily tasks.</w:t>
      </w:r>
    </w:p>
    <w:p>
      <w:pPr>
        <w:pStyle w:val="TextBody"/>
        <w:bidi w:val="0"/>
        <w:spacing w:before="200" w:after="200"/>
        <w:jc w:val="left"/>
        <w:rPr>
          <w:rFonts w:ascii="Arial" w:hAnsi="Arial"/>
          <w:color w:val="000000"/>
          <w:sz w:val="20"/>
        </w:rPr>
      </w:pPr>
      <w:r>
        <w:rPr>
          <w:rFonts w:ascii="Arial" w:hAnsi="Arial"/>
          <w:color w:val="000000"/>
          <w:sz w:val="20"/>
        </w:rPr>
        <w:t>It is currently not possible to predict the duration or severity of the ongoing conflict or its effects on our business, operations and financial conditions. The ongoing conflict is rapidly evolving and developing, and could disrupt our business and operations, interrupt our sources and availability of supply and hamper our ability to raise additional funds or sell our securities, among others.</w:t>
      </w:r>
    </w:p>
    <w:p>
      <w:pPr>
        <w:pStyle w:val="TextBody"/>
        <w:bidi w:val="0"/>
        <w:spacing w:before="200" w:after="200"/>
        <w:jc w:val="left"/>
        <w:rPr>
          <w:rFonts w:ascii="Times New Roman" w:hAnsi="Times New Roman"/>
          <w:sz w:val="20"/>
        </w:rPr>
      </w:pPr>
      <w:r>
        <w:rPr>
          <w:rFonts w:ascii="Arial" w:hAnsi="Arial"/>
          <w:b/>
          <w:color w:val="000000"/>
          <w:sz w:val="20"/>
        </w:rPr>
        <w:t>Risks Related to Our Operations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may not be able to scale our business quickly enough to meet our growing client base, and if we are not able to grow efficiently, our operating results could be harmed.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multilingual support to clients’ customers and risk and compliance operations, to serve our growing client base.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Any failure of or delay in these efforts could result in interruptions to our solutions, impaired system performance, and reduced client satisfaction, resulting in decreased sales to clients, lower renewal rates by existing clients,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enable the transfer of large sums of funds to our clients daily, and are subject to the risk of errors, which could result in financial losses, damage to our reputation, or loss of trust in our brand, which would harm our business and financial results.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For the year ended December 31, 2023, we processed over $24.0 billion in payments on our solutions, compared to approximately $18.1 billion for the year ended December 31, 2022. For the six months ended June 30, 2024, we processed approximately $11.8 billion in payments on our solutions.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including as a result of ordinary course updates to our software and systems, and operational errors by our FlyMates and business partners may also expose us to losses. In our business model, subject to certain exceptions,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a client has gone out of business, we are unable to collect on the chargeback and will bear the economic loss, which can negatively impact our business.</w:t>
      </w:r>
    </w:p>
    <w:p>
      <w:pPr>
        <w:pStyle w:val="TextBody"/>
        <w:bidi w:val="0"/>
        <w:spacing w:before="200" w:after="200"/>
        <w:jc w:val="left"/>
        <w:rPr>
          <w:rFonts w:ascii="Times New Roman" w:hAnsi="Times New Roman"/>
          <w:sz w:val="20"/>
        </w:rPr>
      </w:pPr>
      <w:r>
        <w:rPr>
          <w:rFonts w:ascii="Arial" w:hAnsi="Arial"/>
          <w:color w:val="000000"/>
          <w:sz w:val="20"/>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loss of clients or a reduction in use of our solutions by our clients’ customers;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lost or delayed market acceptance and acquisition of new clients;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legal claims against us;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regulatory enforcement action; or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diversion of our resources, including through increased service expenses or financial concessions, and increased insurance costs. </w:t>
      </w:r>
    </w:p>
    <w:p>
      <w:pPr>
        <w:pStyle w:val="TextBody"/>
        <w:bidi w:val="0"/>
        <w:spacing w:before="200" w:after="200"/>
        <w:jc w:val="left"/>
        <w:rPr>
          <w:rFonts w:ascii="Times New Roman" w:hAnsi="Times New Roman"/>
          <w:sz w:val="20"/>
        </w:rPr>
      </w:pPr>
      <w:r>
        <w:rPr>
          <w:rFonts w:ascii="Arial" w:hAnsi="Arial"/>
          <w:color w:val="000000"/>
          <w:sz w:val="20"/>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management of our operating funds and client funds may be reliant on a limited number of our banking partners and other financial institutions.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to certain verticals that we may choose to serve, as well as in selected geographical locations, our network of banking and other financial institution partners may be limited. As a result, although we seek to distribute financial and credit risk among multiple financial institutions, from time to time there may be a concentration of operating funds or client fund flows among a more limited number of financial institution partners. These partners are generally heavily regulated by national and local governments, and in some locations may be involved in a multitude of related businesses or part of larger, higher-profile financial conglomerates. These partners and suppliers are often subject to strict regulatory requirements and enforcement actions or may experience failures to satisfy capital adequacy conditions that result in a suspension of operations, seizure of assets or closure, which could materially impact the safeguarding of our operating funds or client funds. If we are not able to access our own funds or if client funds were in any way impacted, we could be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adversely impacted, including by experiencing reputational damage and claims for restitution, potentially interfering with our existing client relationships or making us less attractive to potential new clients.</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Our marketable securities portfolio is subject to credit, liquidity, market, and interest rate risks that could cause its value to decline significantly and materially adversely affect our business, financial condition, results of operations, and prospects.</w:t>
      </w:r>
    </w:p>
    <w:p>
      <w:pPr>
        <w:pStyle w:val="TextBody"/>
        <w:bidi w:val="0"/>
        <w:spacing w:before="200" w:after="200"/>
        <w:jc w:val="left"/>
        <w:rPr>
          <w:rFonts w:ascii="Arial" w:hAnsi="Arial"/>
          <w:color w:val="000000"/>
          <w:sz w:val="20"/>
        </w:rPr>
      </w:pPr>
      <w:r>
        <w:rPr>
          <w:rFonts w:ascii="Arial" w:hAnsi="Arial"/>
          <w:color w:val="000000"/>
          <w:sz w:val="20"/>
        </w:rPr>
        <w:t>We maintain an investment portfolio of marketable securities. These investments are subject to general credit, liquidity, market, and interest rate risks that can affect the income that we receive from our investments, the net realizable value of our investments, and our ability to sell them, which may be exacerbated by market downturns or events that affect global financial markets. As a result, we may experience a significant decline in value or loss of liquidity of our investments, which could materially adversely affect our business, financial condition, results of operations, and prospects. We attempt to mitigate these risks through diversification of our investments and continuous monitoring of our portfolio’s overall risk profile, but the value of our investments may nevertheless decline. To the extent that we increase the amount of our security investments in the future, these risks could be exacerbated.</w:t>
      </w:r>
    </w:p>
    <w:p>
      <w:pPr>
        <w:pStyle w:val="TextBody"/>
        <w:bidi w:val="0"/>
        <w:jc w:val="left"/>
        <w:rPr>
          <w:rFonts w:ascii="Arial" w:hAnsi="Arial"/>
          <w:b/>
          <w:i/>
          <w:color w:val="000000"/>
          <w:sz w:val="20"/>
        </w:rPr>
      </w:pPr>
      <w:r>
        <w:rPr>
          <w:rFonts w:ascii="Arial" w:hAnsi="Arial"/>
          <w:b/>
          <w:i/>
          <w:color w:val="000000"/>
          <w:sz w:val="20"/>
        </w:rPr>
        <w:t>Volatility in the banking and financial services ecosystems may impact our bank partnerships and relationships, which could adversely affect our operations and liquidity.</w:t>
      </w:r>
    </w:p>
    <w:p>
      <w:pPr>
        <w:pStyle w:val="TextBody"/>
        <w:bidi w:val="0"/>
        <w:spacing w:before="200" w:after="200"/>
        <w:jc w:val="left"/>
        <w:rPr>
          <w:rFonts w:ascii="Times New Roman" w:hAnsi="Times New Roman"/>
          <w:sz w:val="20"/>
        </w:rPr>
      </w:pPr>
      <w:r>
        <w:rPr>
          <w:rFonts w:ascii="Arial" w:hAnsi="Arial"/>
          <w:color w:val="000000"/>
          <w:sz w:val="20"/>
        </w:rPr>
        <w:t>Instability and volatility in the banking and financial services ecosystems, including limited liquidity, defaults, non-performance or other adverse developments that affect the banking ecosystem, or concerns or rumors about any such events or other similar risks, has and may in the future increase uncertainty in the global economy and the risk of a recession. Volatility in the banking and financial services sectors may impact our bank partnerships and relationships, which could adversely affect our operations and liquidity.</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Our cash equivalents include money market funds, which are AAA-rated and comprised of liquid, high-quality debt securities issued by the U.S. government. Our access to our cash and cash equivalents and client funds could be significantly impacted in volatile markets given our concentration in government money market funds or impaired by the financial institutions with which we have arrangements directly, if such financial institutions are facing liquidity constraints or failures. We regularly maintain cash balances at third-party financial institutions in excess of the Federal Deposit Insurance Corporation (FDIC) insurance limit. A failure of a depository institution to return these deposits, or if a depository institution is subject to other adverse conditions in the financial or credit markets, could further impact access to our invested cash or cash equivalents and could adversely impact our operating liquidity, financial performance and ability to recover or repay client funds. If one or more of our bank partners were to fail and enter receivership proceedings, we may not be able to withdraw our or our clients' funds in excess of FDIC insurance limits, or may not be able to withdraw such funds in a timely manner, which could adversely affect our brand, business and results of operations, and may lead to regulatory or other claims or litigation, which may be costly to address.</w:t>
      </w:r>
    </w:p>
    <w:p>
      <w:pPr>
        <w:pStyle w:val="TextBody"/>
        <w:bidi w:val="0"/>
        <w:spacing w:before="200" w:after="200"/>
        <w:jc w:val="left"/>
        <w:rPr>
          <w:rFonts w:ascii="Arial" w:hAnsi="Arial"/>
          <w:color w:val="000000"/>
          <w:sz w:val="20"/>
        </w:rPr>
      </w:pPr>
      <w:r>
        <w:rPr>
          <w:rFonts w:ascii="Arial" w:hAnsi="Arial"/>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spacing w:before="200" w:after="200"/>
        <w:jc w:val="left"/>
        <w:rPr>
          <w:rFonts w:ascii="Times New Roman" w:hAnsi="Times New Roman"/>
          <w:sz w:val="20"/>
        </w:rPr>
      </w:pPr>
      <w:r>
        <w:rPr>
          <w:rFonts w:ascii="Arial" w:hAnsi="Arial"/>
          <w:b/>
          <w:i/>
          <w:color w:val="000000"/>
          <w:sz w:val="20"/>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 and operating results.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due to regulatory restrictions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the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 (PCI DSS) and network requirements. The loss, destruction or unauthorized modification or disclosure of merchant or cardholder data by us or our contracted third parties could result in significant fines, sanctions, claims, litigation and proceedings or actions against us by the payment networks, governmental entities, clients, client customers or others and damage our reputation.</w:t>
      </w:r>
    </w:p>
    <w:p>
      <w:pPr>
        <w:pStyle w:val="TextBody"/>
        <w:bidi w:val="0"/>
        <w:spacing w:before="200" w:after="200"/>
        <w:jc w:val="left"/>
        <w:rPr>
          <w:rFonts w:ascii="Times New Roman" w:hAnsi="Times New Roman"/>
          <w:sz w:val="20"/>
        </w:rPr>
      </w:pPr>
      <w:r>
        <w:rPr>
          <w:rFonts w:ascii="Arial" w:hAnsi="Arial"/>
          <w:color w:val="000000"/>
          <w:sz w:val="20"/>
        </w:rPr>
        <w:t>Similarly, there are existing regulatory regimes designed to protect the privacy of categories of personal or otherwise sensitive data. Relevant U.S. federal privacy laws include the Family Educational Rights and Privacy Act (FERPA), the Gramm-Leach-Bliley Act (GLBA), and Health Insurance Portability and Accountability Act (HIPAA). 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and could materially adversely affect our reputation and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Threats may derive from human error, fraud, or malice on the part of employees or third parties, or from accidental technological failure. For example, certain of our FlyMates have access to personal and sensitive data that could be used to commit identity theft or fraud. Concerns about security increase when we transmit information electronically because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Additionally, it is also possible that unauthorized access to sensitive customer and business data may be obtained through inadequate use of security controls by our customers, suppliers or other vendors. While we are still not currently aware of any impact that the SolarWinds supply chain attack had on our business, the scope of the attack is still undetermined. Therefore, there is residual risk that we could experience a security breach arising from the SolarWinds supply chain attack.</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 and our reputation may be harmed. Additional risks will emerge to the extent we incorporate artificial intelligence in our solutions. Artificial intelligence algorithms or automated processing of data may be flawed, and datasets may be insufficient or may use third party artificial intelligence with unclear intellectual property rights or interests. Inappropriate or controversial data practices by us or others could subject us to lawsuits, regulatory investigations, legal and financial liability, or reputational harm. Additionally, our use of artificial intelligence may create additional cybersecurity risks or increase cybersecurity risks, including risks of security breaches and incidents.</w:t>
      </w:r>
    </w:p>
    <w:p>
      <w:pPr>
        <w:pStyle w:val="TextBody"/>
        <w:bidi w:val="0"/>
        <w:spacing w:before="200" w:after="200"/>
        <w:jc w:val="left"/>
        <w:rPr>
          <w:rFonts w:ascii="Times New Roman" w:hAnsi="Times New Roman"/>
          <w:sz w:val="20"/>
        </w:rPr>
      </w:pPr>
      <w:r>
        <w:rPr>
          <w:rFonts w:ascii="Arial" w:hAnsi="Arial"/>
          <w:color w:val="000000"/>
          <w:sz w:val="20"/>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Cyberattacks and security vulnerabilities can disrupt our business and harm our competitive position.</w:t>
      </w:r>
    </w:p>
    <w:p>
      <w:pPr>
        <w:pStyle w:val="TextBody"/>
        <w:bidi w:val="0"/>
        <w:spacing w:before="200" w:after="200"/>
        <w:jc w:val="left"/>
        <w:rPr>
          <w:rFonts w:ascii="Arial" w:hAnsi="Arial"/>
          <w:color w:val="000000"/>
          <w:sz w:val="20"/>
        </w:rPr>
      </w:pPr>
      <w:r>
        <w:rPr>
          <w:rFonts w:ascii="Arial" w:hAnsi="Arial"/>
          <w:color w:val="000000"/>
          <w:sz w:val="20"/>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wars in the Ukraine and Gaza and continued political uncertainty involving Russia and Ukraine, and Israel and Hamas, respectively, and potentially other regions of Europe and the Middle East,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pStyle w:val="TextBody"/>
        <w:bidi w:val="0"/>
        <w:spacing w:before="200" w:after="200"/>
        <w:jc w:val="left"/>
        <w:rPr>
          <w:rFonts w:ascii="Arial" w:hAnsi="Arial"/>
          <w:color w:val="000000"/>
          <w:sz w:val="20"/>
        </w:rPr>
      </w:pPr>
      <w:r>
        <w:rPr>
          <w:rFonts w:ascii="Arial" w:hAnsi="Arial"/>
          <w:color w:val="000000"/>
          <w:sz w:val="20"/>
        </w:rPr>
        <w:t>In February 2024, Change Healthcare (a part of UnitedHealth Group (UHG)) reported that it had been subject to a cyberattack, which resulted in electronic payments and medical claims not being processed by UHG through its claims clearinghouse. Providers that we serve have now come back online or have switched to other methods of submission in response to this cyberattack and its lingering effects. As a result, adverse effects of this cyberattack are not expected to continue impacting businesses involved in patient payments in the third and fourth quarter of 2024. Any continuation of these or other impacts caused by this or other cyberattacks may negatively affect our financial position, results of operations and cash flows.</w:t>
      </w:r>
    </w:p>
    <w:p>
      <w:pPr>
        <w:pStyle w:val="TextBody"/>
        <w:bidi w:val="0"/>
        <w:spacing w:before="200" w:after="200"/>
        <w:jc w:val="left"/>
        <w:rPr>
          <w:rFonts w:ascii="Arial" w:hAnsi="Arial"/>
          <w:color w:val="000000"/>
          <w:sz w:val="20"/>
        </w:rPr>
      </w:pPr>
      <w:r>
        <w:rPr>
          <w:rFonts w:ascii="Arial" w:hAnsi="Arial"/>
          <w:color w:val="000000"/>
          <w:sz w:val="20"/>
        </w:rPr>
        <w:t>Our business policies and internal security controls may not keep pace with these evolving threats. Despite the internal control measures, and security procedures we employ to safeguard our systems, we may still be vulnerable to a security breach, intrusion, or loss or theft of personal or sensitive data, which may harm our business, reputation and future financial results. The lost revenue and containment, remediation, investigation, legal and other costs could be significant and may exceed our insurance policy limits or may not be covered by insurance at all. Further, we may be subject to regulatory enforcement actions and litigation that could result in financial judgments or the payment of settlement amounts and disputes with insurance carriers concerning coverage. In addition, sufficient insurance coverage may become increasingly expensive to maintain as incidents increase globally.</w:t>
      </w:r>
    </w:p>
    <w:p>
      <w:pPr>
        <w:pStyle w:val="TextBody"/>
        <w:bidi w:val="0"/>
        <w:spacing w:before="200" w:after="200"/>
        <w:jc w:val="left"/>
        <w:rPr>
          <w:rFonts w:ascii="Times New Roman" w:hAnsi="Times New Roman"/>
          <w:sz w:val="20"/>
        </w:rPr>
      </w:pPr>
      <w:r>
        <w:rPr>
          <w:rFonts w:ascii="Arial" w:hAnsi="Arial"/>
          <w:b/>
          <w:i/>
          <w:color w:val="000000"/>
          <w:sz w:val="20"/>
        </w:rPr>
        <w:t>Our risk management efforts may not be effective to prevent fraudulent activities by our customers, FlyMates or other third parties, which could expose us to material financial losses and liability and otherwise harm our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software provides payment facilitation solutions for a large number of our clients and their customers. We are responsible for performing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fraud, account takeover, false applications, and fake invoicing. We may suffer losses from acts of financial fraud committed by our clients, our clients’ customers and purported customers, our FlyMates and payment partners or third parties.</w:t>
      </w:r>
    </w:p>
    <w:p>
      <w:pPr>
        <w:pStyle w:val="TextBody"/>
        <w:bidi w:val="0"/>
        <w:spacing w:before="200" w:after="200"/>
        <w:jc w:val="left"/>
        <w:rPr>
          <w:rFonts w:ascii="Arial" w:hAnsi="Arial"/>
          <w:color w:val="000000"/>
          <w:sz w:val="20"/>
        </w:rPr>
      </w:pPr>
      <w:r>
        <w:rPr>
          <w:rFonts w:ascii="Arial" w:hAnsi="Arial"/>
          <w:color w:val="000000"/>
          <w:sz w:val="20"/>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FlyMates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pStyle w:val="TextBody"/>
        <w:bidi w:val="0"/>
        <w:spacing w:before="200" w:after="200"/>
        <w:jc w:val="left"/>
        <w:rPr>
          <w:rFonts w:ascii="Times New Roman" w:hAnsi="Times New Roman"/>
          <w:sz w:val="20"/>
        </w:rPr>
      </w:pPr>
      <w:r>
        <w:rPr>
          <w:rFonts w:ascii="Arial" w:hAnsi="Arial"/>
          <w:color w:val="000000"/>
          <w:sz w:val="20"/>
        </w:rPr>
        <w:t>Our current business, the changing and uncertain economic, geopolitical and regulatory environment, and our anticipated domestic and international growth will continue to place significant demands on our risk management and compliance efforts. As our business grows and becomes more complex, we will need to continue developing and improving and investing in our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If we fail to adapt and respond effectively to rapidly and significantly changing technology, evolving industry standards, changing regulations, and changing business needs, requirements, or preferences, or if we fail to continue to grow and develop our payments solutions, our business may be materially and adversely affected.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Rapid and significant technological changes, evolving industry standards, changing regulations and business needs continue to confront the verticals in which we operate, including developments in digital banking, open banking, mobile financial apps, as well as developments in cryptocurrencies and in tokenization (e.g., replacing sensitive data such as payment card information) with symbols (tokens) to keep the data safe), blockchain, and artificial intelligence, including machine learning. The success of our business will depend, in part, on our ability to adapt and respond effectively to these changes through methods which include launching new solutions and incorporating new technologies, such as generative artificial intelligence, into our solutions.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Spain, Romania, the United States, Israel and Australia),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Artificial intelligence presents risks and challenges that can impact our business including by posing security risks to our confidential information, proprietary information, and personal data.</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200" w:after="200"/>
        <w:jc w:val="left"/>
        <w:rPr>
          <w:rFonts w:ascii="Times New Roman" w:hAnsi="Times New Roman"/>
          <w:sz w:val="20"/>
        </w:rPr>
      </w:pPr>
      <w:r>
        <w:rPr>
          <w:rFonts w:ascii="Arial" w:hAnsi="Arial"/>
          <w:b/>
          <w:i/>
          <w:color w:val="000000"/>
          <w:sz w:val="20"/>
        </w:rPr>
        <w:t>Changes to payment card networks fees or rules could harm our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are required to comply with Mastercard, American Express, and Visa payment card network operating rules and the rules of other regional card (such as China UnionPay or Japan Credit Bureau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(including demanding a cash reserve from Flywire)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If any of the third party software providers change the features of their application programming interfaces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If we fail to maintain, protect and enhance our brand, our ability to expand our client base will be impaired and our business, operating results, and financial condition may suffer.</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believe that further developing, maintaining, protecting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or if we incur excessive expenses in this effort, our business could suffer.</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introduction and promotion of new solutions, as well as the promotion of existing solutions, may be partly dependent on our visibility on third-party advertising platforms, such as Google, LinkedIn, Facebook, or X. Changes in the way these platforms operate or changes in their advertising prices, data use practices or other terms could make the maintenance and promotion of our products and services and our brands more expensive or more difficult. If we are unable to market and promote our brands on third-party platforms effectively, our ability to acquire new clients would be materially harmed.</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Harm to our brand can arise from many sources, including failure by us or our partners and service providers to satisfy expectations of service and quality; inadequate protection or misuse of sensitive information; fraud committed by third parties using our solutions; compliance failures and claims; litigation, regulatory and other claims; errors caused by us or our partners; and misconduct by our partners, service providers, or other counterparties. In addition, negative statements about us can cause and have caused a decline in the market price of our common stock, divert our management’s attention and resources, and could cause other adverse impacts to our business. Partners with whom we maintain relationships could engage in behavior or use their platforms to communicate directly with our clients and their customers in a manner that reflects poorly on our brand and such behavior or communications may adversely affect us. Further, negative publicity or commentary regarding the partners who are, or are perceived to be, affiliated with us may also damage our reputation, even if the negative publicity or commentary is not directly related to us. Any negative publicity about the industries we operate in or our company, the quality and reliability of our solutions, our risk management processes, changes to our products and services, our ability to effectively manage and resolve customer complaints, our privacy, data protection, and information security practices, litigation, regulatory activity, policy positions, and the experience of our customers with us, our products or services could adversely affect our reputation and the confidence in and use of our solutions. If we do not successfully maintain, protect or enhance our brands, our business could be materially and adversely affected.</w:t>
      </w:r>
    </w:p>
    <w:p>
      <w:pPr>
        <w:pStyle w:val="TextBody"/>
        <w:bidi w:val="0"/>
        <w:spacing w:before="200" w:after="200"/>
        <w:jc w:val="left"/>
        <w:rPr>
          <w:rFonts w:ascii="Times New Roman" w:hAnsi="Times New Roman"/>
          <w:sz w:val="20"/>
        </w:rPr>
      </w:pPr>
      <w:r>
        <w:rPr>
          <w:rFonts w:ascii="Arial" w:hAnsi="Arial"/>
          <w:b/>
          <w:i/>
          <w:color w:val="000000"/>
          <w:sz w:val="20"/>
        </w:rPr>
        <w:t>If we lose key members of our management team or are unable to attract and retain executives and employees we need to support our operations and growth, our business may be harmed.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appointed Cosmin Pitigoi as our new Chief Financial Officer effective March 2024. This or other changes in our senior management may be disruptive to our business, and, if we are unable to manage an orderly transition, our business may be adversely affected. We currently have “key person” insurance on our Chief Executive Officer, Michael Massaro, but not for any other members of our management team. Certain of our key employees have been with us for a long period of time and have fully vested stock options or other long-term equity incentives that are or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of our senior management, or other key employees could harm our business, and we may not be able to find adequate replacements.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The failure to attract and retain additional qualified personnel could prevent us from executing our business strategy and growth plans.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If we cannot maintain our company culture as we grow, our success and our business may be harmed.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sales cycles may be long and vary.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devote significant resources to establish relationships with new clients and deepen relationships with existing clients. The sales cycles of our solutions tend to vary depending on the client industry sector which may make forecasting more complex and uncertain.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increased inflationary conditions, recession concerns and the escalation of hostilities between Russia and Ukraine, and Israel and Hamas),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b/>
          <w:i/>
          <w:color w:val="000000"/>
          <w:sz w:val="20"/>
        </w:rPr>
        <w:t>We typically incur significant upfront costs in our client relationships, and if we are unable to develop or grow these relationships over time, we are unlikely to recover these costs and our operating results may suffer.</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or maintain profitability. Any increased or unexpected costs or unanticipated delays, including delays caused by factors outside of our control, could cause our operating results to suffer.</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If we fail to offer high-quality client support, or if our support is more expensive than anticipated, our business and reputation could suffer.</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addition, as we continue to operate and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may require additional capital to support the growth of our business, and this capital might not be available on acceptable terms, if at all.</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business could be harmed as a result of the risks associated with our acquisitions.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additional businesses, we may not be able to integrate them effectively following the acquisition or effectively manage the combined business following the acquisition.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Any acquisitions we undertake or have recently completed, including the acquisition of StudyLink in November 2023, and Invoiced in August 2024, will likely be accompanied by business risks which may include, among other things:</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effect of the acquisition on our financial results, strategic position or reputation;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failure of an acquisition to result in expected benefits, which may include benefits relating to enhanced revenues, technology, human resources, costs savings, operating efficiencies, goodwill and other synergies;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difficulty, cost and management effort required to integrate the acquired businesses, including costs and delays in implementing common systems and procedures and costs and delays caused by communication difficulties;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assumption of certain known or unknown liabilities of the acquired business, including litigation-related liabilities;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reduction of our cash available for operations and other uses, the increase in amortization expense related to identifiable assets acquired, potentially dilutive issuances of equity securities or the incurrence of debt;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 lack of experience in new markets, new geographies, new business culture, products or technologies or an initial dependence on unfamiliar distribution partners;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possibility that we will pay more than the value we derive from the acquisition;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impairment of relationships with our clients, clients' customers, partners or suppliers or those of the acquired business; and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potential loss of key employees of the acquired business. </w:t>
      </w:r>
    </w:p>
    <w:p>
      <w:pPr>
        <w:pStyle w:val="TextBody"/>
        <w:bidi w:val="0"/>
        <w:spacing w:before="200" w:after="200"/>
        <w:jc w:val="left"/>
        <w:rPr>
          <w:rFonts w:ascii="Times New Roman" w:hAnsi="Times New Roman"/>
          <w:sz w:val="20"/>
        </w:rPr>
      </w:pPr>
      <w:r>
        <w:rPr>
          <w:rFonts w:ascii="Arial" w:hAnsi="Arial"/>
          <w:color w:val="000000"/>
          <w:sz w:val="20"/>
        </w:rPr>
        <w:t>These factors could harm our business, results of operations or financial condition.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Systems failures and resulting interruptions in the availability of our solutions could harm our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including events resulting from climate change, war or other military conflict, including an escalation of the conflicts between Russia and Ukraine, and Israel and Hamas, respectively,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have undertaken and continue to make certain technology and network upgrades and redundancies which are designed to improve the reliability of our solutions. These efforts are costly and time-consuming, involve significant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Additionally, in July 2024, a software update by CrowdStrike Holdings, Inc., a cybersecurity technology company, causing widespread crashes of Windows systems into which it was integrated, including certain Windows systems used by our vendors and customers. As of the date of this Quarterly Report on Form 10-Q, we have not experienced any significant impacts as a result of the CrowdStrike software update, but we could in the future experience similar software-induced interruptions to our operations.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w:t>
      </w:r>
    </w:p>
    <w:p>
      <w:pPr>
        <w:pStyle w:val="TextBody"/>
        <w:bidi w:val="0"/>
        <w:spacing w:before="200" w:after="200"/>
        <w:jc w:val="left"/>
        <w:rPr>
          <w:rFonts w:ascii="Times New Roman" w:hAnsi="Times New Roman"/>
          <w:sz w:val="20"/>
        </w:rPr>
      </w:pPr>
      <w:r>
        <w:rPr>
          <w:rFonts w:ascii="Arial" w:hAnsi="Arial"/>
          <w:color w:val="000000"/>
          <w:sz w:val="20"/>
        </w:rPr>
        <w:t>In addition, we may experience financial losses due to a number of factors,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third party disruptions, including potential outages at network providers and other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supply chain impacts, including shortages of goods, raw materials, increased prices or delays in shipment;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challenges to the availability and reliability of our network due to changes to normal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increased cyber and payment fraud risk, as cybercriminals attempt DDoS related attacks, phishing scams and other disruptive actions, given the shift to online banking, e-commerce and other online activity, as well as more FlyMates working remotely;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system failures or outages, including any potential disruptions due to significantly increased global demand on certain cloud-based systems, could compromise our ability to provide our solutions in a timely manner, which could harm our ability to conduct business or delay our financial reporting. Such failures could adversely affect our operating results and financial condition. </w:t>
      </w:r>
    </w:p>
    <w:p>
      <w:pPr>
        <w:pStyle w:val="TextBody"/>
        <w:bidi w:val="0"/>
        <w:spacing w:before="200" w:after="200"/>
        <w:jc w:val="left"/>
        <w:rPr>
          <w:rFonts w:ascii="Times New Roman" w:hAnsi="Times New Roman"/>
          <w:sz w:val="20"/>
        </w:rPr>
      </w:pPr>
      <w:r>
        <w:rPr>
          <w:rFonts w:ascii="Arial" w:hAnsi="Arial"/>
          <w:color w:val="000000"/>
          <w:sz w:val="20"/>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color w:val="000000"/>
          <w:sz w:val="20"/>
        </w:rPr>
        <w:t>Risks Related to Our Legal, Regulatory and Compliance Landscape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United States-China and Canada-India diplomatic and trade friction, heightened tensions between China and Taiwan and the escalation of the conflicts between Russia and Ukraine, and Israel and Hamas, respectively,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foreign currency exchange rate volatility;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adverse economic conditions in the United States and globally, including economic slowdown, inflation, recession concerns and the disruption, volatility and tightening of credit and capital markets;</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risks related to compliance with multiple complex, potentially conflicting and changing governmental laws and regulations;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local licensing and reporting obligations or the imposition of currency controls which make it impossible or increasingly difficult for our clients to collect payments from international customers;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local regulatory and legal obligations related to privacy, data protection, data localization, and user protections;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need to localize our solutions, including offering clients and their customers the ability to transact business in the local currency and adapting our solutions to local preferences, in markets in which we may have limited or no experience;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trade barriers and changes in trade regulations;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the impact of government sanctions on our ability to offer services in a region, such as sanctions issued by the U.S. and other countries against Russia;</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difficulties in developing, staffing, and managing a large number of varying foreign operations as a result of distance, language, and cultural differences;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stringent local labor laws and regulations;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limitations on the repatriation of cash, including imposition or increase of withholding and other taxes on remittances and other payments by foreign subsidiaries;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diplomatic friction, political or social unrest, war or other military conflict, including an escalation of the conflict between Russia and Ukraine, and between Israel and Hamas, respectively, economic instability, repression, or human rights issues;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natural disasters, global pandemics such as COVID-19 or other public health emergencies, acts of war, and terrorism;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compliance with U.S. laws and foreign laws prohibiting corrupt payments to government officials, such as the Foreign Corrupt Practices Act (FCPA) and the U.K. Bribery Act, and other local anti-corruption laws;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compliance with U.S. and foreign laws designed to combat money laundering and the financing of terrorist activities;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retaliatory tariffs and restrictions limiting free movement of currency and an unfavorable trade environment, including as a result of political conditions and changes in the laws in the United States and elsewhere and as described in more detail below;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antitrust and competition regulations;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including the Inflation Reduction Act of 2022, which includes a minimum corporate tax which could result in an additional tax liability in a given year;</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expected or actual extended federal government shutdowns, partisan gridlock that results in the inability of Congress to take action or changes to government policy;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national or regional differences in macroeconomic growth rates; and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increased difficulties in collecting accounts receivable. </w:t>
      </w:r>
    </w:p>
    <w:p>
      <w:pPr>
        <w:pStyle w:val="TextBody"/>
        <w:bidi w:val="0"/>
        <w:spacing w:before="200" w:after="200"/>
        <w:jc w:val="left"/>
        <w:rPr>
          <w:rFonts w:ascii="Times New Roman" w:hAnsi="Times New Roman"/>
          <w:sz w:val="20"/>
        </w:rPr>
      </w:pPr>
      <w:r>
        <w:rPr>
          <w:rFonts w:ascii="Arial" w:hAnsi="Arial"/>
          <w:color w:val="000000"/>
          <w:sz w:val="20"/>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or impose regulatory requirements that may require modifications to our business model for our clients' payors located in China.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Payments and other financial services-related regulations and oversight are material to our business. Our failure to comply could materially harm our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local, state, and federal laws, rules, regulations, licensing schemes, and industry standards in the United States and other jurisdictions in which we operate that govern our business include, or may in the future include, those relating to</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Consumer Financial Protection Bureau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in our Annual Report on Form 10-K for the year ended December 31, 2023.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Certain of our subsidiaries are registered with the U.S. Department of the Treasury’s Financial Crimes Enforcement Network (FinCEN). Our subsidiary Flywire Global Corp. has obtained licenses to operate as a money transmitter (or the statutory equivalent) in 44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For additional discussion of the requirements of our MSB registration, please see "Business – Regulation and Industry Standards" in our Annual Report on Form 10-K for the year ended December 31, 2023.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b/>
          <w:i/>
          <w:color w:val="000000"/>
          <w:sz w:val="20"/>
        </w:rPr>
        <w:t>The regulatory environment in which we operate is subject to constant change, and new regulations could make aspects of our business as currently conducted no longer possible.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Government agencies may impose new or additional rules on money transmission, which may increase our costs of doing business, including, but not limited to regulations that:</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prohibit, restrict, and/or impose taxes or fees on money transmission transactions in, to or from certain countries or with certain governments, individuals, and entities;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impose additional client identification and client due diligence requirements;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impose additional reporting or recordkeeping requirements, or require enhanced transaction monitoring;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limit the types of entities capable of providing money transmission services, or impose additional licensing or registration requirements;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impose minimum capital or other financial requirements;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limit or restrict the revenue that may be generated from money transmission, including revenue from the transaction value associated with the payment method used by our clients’ customers and platform-related fees for access to our solutions and invoice and payment plan fees;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require enhanced disclosures to our money transmission clients or their customers;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require the principal amount of money transmission transactions originated in a country to be invested in that country or held in trust until paid;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limit the number or principal amount of money transmission transactions that may be sent to or from a jurisdiction, whether by an individual or in the aggregate; and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restrict or limit our ability to process transactions using centralized databases, for example, by requiring that transactions be processed using a database maintained in a particular country or region. </w:t>
      </w:r>
    </w:p>
    <w:p>
      <w:pPr>
        <w:pStyle w:val="TextBody"/>
        <w:bidi w:val="0"/>
        <w:spacing w:before="200" w:after="200"/>
        <w:jc w:val="left"/>
        <w:rPr>
          <w:rFonts w:ascii="Times New Roman" w:hAnsi="Times New Roman"/>
          <w:sz w:val="20"/>
        </w:rPr>
      </w:pPr>
      <w:r>
        <w:rPr>
          <w:rFonts w:ascii="Arial" w:hAnsi="Arial"/>
          <w:b/>
          <w:i/>
          <w:color w:val="000000"/>
          <w:sz w:val="20"/>
        </w:rPr>
        <w:t>We are subject to governmental laws and requirements regarding economic and trade sanctions, AML and CFT that could impair our ability to compete in international markets or subject us to criminal or civil liability if we violate them.</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are currently required to comply with U.S. economic and trade sanctions administered OFAC and we have processes in place to comply with the OFAC regulations as well as similar requirements in the foreign jurisdictions in which we already operate. As part of our compliance efforts, we scan our clients and their customers against watch lists promulgated by OFAC and certain other international agencies. Our application can be accessed from nearly anywhere in the world, and if our service is accessed from a sanctioned country or otherwise accessed or used in violation of applicable trade and economic sanctions, we could be subject to fines or other enforcement actions. In the course of implementing geolocation data-based sanctions screening measures, we identified certain payments which, based on geolocation data and other factors, appear to have been initiated from Cuba, Iran, Syria or the Crimea region of Ukraine, in potential violation of applicable sanctions regimes. We have made a voluntary submission to OFAC in August 2023 to report the potential violations, and filed an additional submission in April 2024. Flywire is currently engaging with OFAC to resolve these matters. Although the internal investigation completed to date suggests that any loss incurred as a result of this matter would not be material to our business, if OFAC ultimately concludes any violation has occurred in connection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with these or other transactions, it could result in penalties, fines, costs, and restrictions on our ability to do business, which could also harm our operating results.</w:t>
      </w:r>
    </w:p>
    <w:p>
      <w:pPr>
        <w:pStyle w:val="TextBody"/>
        <w:bidi w:val="0"/>
        <w:spacing w:before="200" w:after="200"/>
        <w:jc w:val="left"/>
        <w:rPr>
          <w:rFonts w:ascii="Times New Roman" w:hAnsi="Times New Roman"/>
          <w:sz w:val="20"/>
        </w:rPr>
      </w:pPr>
      <w:r>
        <w:rPr>
          <w:rFonts w:ascii="Arial" w:hAnsi="Arial"/>
          <w:color w:val="000000"/>
          <w:sz w:val="20"/>
        </w:rPr>
        <w:t>We are also subject to various AML and CFT 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Our business operations in other parts of the world such as the U.K., Lithuania, Canada, Australia, Hong Kong, New Zealand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early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pStyle w:val="TextBody"/>
        <w:bidi w:val="0"/>
        <w:spacing w:before="200" w:after="200"/>
        <w:jc w:val="left"/>
        <w:rPr>
          <w:rFonts w:ascii="Times New Roman" w:hAnsi="Times New Roman"/>
          <w:sz w:val="20"/>
        </w:rPr>
      </w:pPr>
      <w:r>
        <w:rPr>
          <w:rFonts w:ascii="Arial" w:hAnsi="Arial"/>
          <w:b/>
          <w:i/>
          <w:color w:val="000000"/>
          <w:sz w:val="20"/>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Protection Act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 On August 24, 2022, the California Attorney General announced the entry of a final judgment enforcement action resulting in a fine and settlement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under the CCPA, as the defendant was ordered to pay a $1.2 million penalty and, among other things, implement a monitoring and reporting program to demonstrate its ongoing compliance with the CCPA.</w:t>
      </w:r>
    </w:p>
    <w:p>
      <w:pPr>
        <w:pStyle w:val="TextBody"/>
        <w:bidi w:val="0"/>
        <w:spacing w:before="200" w:after="200"/>
        <w:jc w:val="left"/>
        <w:rPr>
          <w:rFonts w:ascii="Times New Roman" w:hAnsi="Times New Roman"/>
          <w:sz w:val="20"/>
        </w:rPr>
      </w:pPr>
      <w:r>
        <w:rPr>
          <w:rFonts w:ascii="Arial" w:hAnsi="Arial"/>
          <w:color w:val="000000"/>
          <w:sz w:val="20"/>
        </w:rPr>
        <w:t>Additionally, the California Privacy Rights Act (CPRA), which was passed in November 2020 and became effective on January 1, 2023, imposed additional obligations on companies covered by the legislation and significantly modified the CCPA, including by expanding consumers’ rights with respect to certain sensitive personal information. The CPRA also created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Several states in the U.S. have proposed or enacted laws that contain obligations similar to the CCPA and CPRA that have taken effect or will take effect in coming years. The U.S. federal government also is contemplating federal privacy legislation. The effects of recently proposed or enacted legislation potentially are far-reaching. Such legislation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pStyle w:val="TextBody"/>
        <w:bidi w:val="0"/>
        <w:spacing w:before="200" w:after="200"/>
        <w:jc w:val="left"/>
        <w:rPr>
          <w:rFonts w:ascii="Times New Roman" w:hAnsi="Times New Roman"/>
          <w:sz w:val="20"/>
        </w:rPr>
      </w:pPr>
      <w:r>
        <w:rPr>
          <w:rFonts w:ascii="Arial" w:hAnsi="Arial"/>
          <w:color w:val="000000"/>
          <w:sz w:val="20"/>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General Data Protection Regulation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 xml:space="preserve">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“Schrems II” 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the European Commission’s Standard Contractual Clauses (SCCs), while the authorities interpret the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decision and the validity of alternative data transfer mechanisms. The SCCs, though previously approved by the European Commission, have faced challenges in European courts (including being called into question in the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 xml:space="preserve">decision), and may be further challenged, suspended or invalidated for transfers to some or all countries. For example, guidance regarding </w:t>
      </w:r>
      <w:r>
        <w:rPr>
          <w:rFonts w:ascii="Arial" w:hAnsi="Arial"/>
          <w:i/>
          <w:color w:val="000000"/>
          <w:sz w:val="20"/>
        </w:rPr>
        <w:t>Schrems II</w:t>
      </w:r>
      <w:r>
        <w:rPr>
          <w:rFonts w:ascii="Times New Roman" w:hAnsi="Times New Roman"/>
          <w:color w:val="000000"/>
          <w:sz w:val="20"/>
        </w:rPr>
        <w:t xml:space="preserve"> </w:t>
      </w:r>
      <w:r>
        <w:rPr>
          <w:rFonts w:ascii="Arial" w:hAnsi="Arial"/>
          <w:color w:val="000000"/>
          <w:sz w:val="20"/>
        </w:rPr>
        <w:t>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developments may necessitate further expenditures on local infrastructure, changes to internal business processes, changes to clients and clients' customer facing solutions, or may otherwise affect or restrict our sales and operations.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then in effect were required to be replaced with the New SCCs by December 27, 2022.</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On July 10, 2023, the European Commission formally approved the new EU-U.S. Data Privacy Framework (the “Framework”), under which European entities will now be able to transfer personal data to Framework participants in the U.S. without having to put in place additional data protection safeguards or use the Standard Contractual Clauses for data transfers. We are in the process of evaluating how we may self-certify as a participating organization with the U.S. Department of Commerce.</w:t>
      </w:r>
    </w:p>
    <w:p>
      <w:pPr>
        <w:pStyle w:val="TextBody"/>
        <w:bidi w:val="0"/>
        <w:spacing w:before="200" w:after="200"/>
        <w:jc w:val="left"/>
        <w:rPr>
          <w:rFonts w:ascii="Times New Roman" w:hAnsi="Times New Roman"/>
          <w:sz w:val="20"/>
        </w:rPr>
      </w:pPr>
      <w:r>
        <w:rPr>
          <w:rFonts w:ascii="Arial" w:hAnsi="Arial"/>
          <w:color w:val="000000"/>
          <w:sz w:val="20"/>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Like the GDPR, the U.K. GDPR restricts personal data transfers outside the U.K. to countries not regarded by the U.K. as providing adequate protection (this means that personal data transfers from the U.K. to the EEA remain free flowing).</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In Asia, there has been an increase in both regulation and enforcement of privacy laws. The Act on Protection of Personal Information originally enacted in June 2020 by the Japanese government, was amended and came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APPI. We have taken steps to address compliance obligations that apply to us under the Amended APPI, but cannot assure you that such steps will be effective, and we may face the risk of increased costs, liability and loss of business.</w:t>
      </w:r>
    </w:p>
    <w:p>
      <w:pPr>
        <w:pStyle w:val="TextBody"/>
        <w:bidi w:val="0"/>
        <w:spacing w:before="200" w:after="200"/>
        <w:jc w:val="left"/>
        <w:rPr>
          <w:rFonts w:ascii="Arial" w:hAnsi="Arial"/>
          <w:color w:val="000000"/>
          <w:sz w:val="20"/>
        </w:rPr>
      </w:pPr>
      <w:r>
        <w:rPr>
          <w:rFonts w:ascii="Arial" w:hAnsi="Arial"/>
          <w:color w:val="000000"/>
          <w:sz w:val="20"/>
        </w:rPr>
        <w:t>China (home to the most online users in the world) passed its DSL and its PIPL in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 The PIPL is enforced and administered by the Cyberspace Administration of China and relevant state and local government departments. The law draws from the GDPR, with heavy penalties up to the greater of 5% of the previous year’s revenue (possibly global) or $7.7 million. Chinese authorities have demonstrated a willingness to impose significant fines for violations of PIPL and other privacy laws, as evidenced by enforcement actions against Alibaba Group Holding Ltd and Didi Global Inc. in 2022.</w:t>
      </w:r>
    </w:p>
    <w:p>
      <w:pPr>
        <w:pStyle w:val="TextBody"/>
        <w:bidi w:val="0"/>
        <w:spacing w:before="200" w:after="200"/>
        <w:jc w:val="left"/>
        <w:rPr>
          <w:rFonts w:ascii="Arial" w:hAnsi="Arial"/>
          <w:color w:val="000000"/>
          <w:sz w:val="20"/>
        </w:rPr>
      </w:pPr>
      <w:r>
        <w:rPr>
          <w:rFonts w:ascii="Arial" w:hAnsi="Arial"/>
          <w:color w:val="000000"/>
          <w:sz w:val="20"/>
        </w:rPr>
        <w:t>As a reaction to data security concerns, in 2022, the Australian parliament approved a bill to amend the country's privacy legislation, significantly increasing the maximum penalties for companies and data controllers who suffer large-scale data breaches to the greater of: (i) AU$50 million, (ii) three times the value of any benefit obtained through the misuse of information, and (iii) 30% of a company's adjusted turnover in the relevant period. Previously, the penalty for severe data exposures was AU$2.22 million, considered by the current parliament to be wholly inadequate to incentivize companies to improve their data security mechanisms. The Office of the Australian Information Commissioner has new regulatory tools and flexibility that should, together with an ongoing focus on funding enforcement, see a more proactive regulator with capacity and capability to investigate and litigate more privacy incidents in Australia.</w:t>
      </w:r>
    </w:p>
    <w:p>
      <w:pPr>
        <w:pStyle w:val="TextBody"/>
        <w:bidi w:val="0"/>
        <w:spacing w:before="200" w:after="200"/>
        <w:jc w:val="left"/>
        <w:rPr>
          <w:rFonts w:ascii="Arial" w:hAnsi="Arial"/>
          <w:color w:val="000000"/>
          <w:sz w:val="20"/>
        </w:rPr>
      </w:pPr>
      <w:r>
        <w:rPr>
          <w:rFonts w:ascii="Arial" w:hAnsi="Arial"/>
          <w:color w:val="000000"/>
          <w:sz w:val="20"/>
        </w:rPr>
        <w:t>We have taken steps to address compliance obligations that apply to us under the Amended APPI, the DSL, the PIPL and applicable Australian regulations, but cannot assure you that such steps will be effective, and we may face the risk of increased costs, liability and loss of business.</w:t>
      </w:r>
    </w:p>
    <w:p>
      <w:pPr>
        <w:pStyle w:val="TextBody"/>
        <w:bidi w:val="0"/>
        <w:spacing w:before="200" w:after="200"/>
        <w:jc w:val="left"/>
        <w:rPr>
          <w:rFonts w:ascii="Times New Roman" w:hAnsi="Times New Roman"/>
          <w:sz w:val="20"/>
        </w:rPr>
      </w:pPr>
      <w:r>
        <w:rPr>
          <w:rFonts w:ascii="Arial" w:hAnsi="Arial"/>
          <w:color w:val="000000"/>
          <w:sz w:val="20"/>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are subject to anti-corruption, anti-bribery, and similar laws, and non-compliance with such laws can subject us to criminal or civil liability and harm our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In February 2022, following Russia’s invasion of Ukraine, the United States and other countries announced sanctions against Russia. The sanctions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pStyle w:val="TextBody"/>
        <w:bidi w:val="0"/>
        <w:spacing w:before="200" w:after="200"/>
        <w:jc w:val="left"/>
        <w:rPr>
          <w:rFonts w:ascii="Times New Roman" w:hAnsi="Times New Roman"/>
          <w:sz w:val="20"/>
        </w:rPr>
      </w:pPr>
      <w:r>
        <w:rPr>
          <w:rFonts w:ascii="Arial" w:hAnsi="Arial"/>
          <w:b/>
          <w:i/>
          <w:color w:val="000000"/>
          <w:sz w:val="20"/>
        </w:rPr>
        <w:t>If we fail to adequately protect our proprietary rights, our competitive position could be impaired and we may lose valuable assets, generate less revenue and incur costly litigation to protect our rights.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international nature of the Internet, the rate of growth of the Internet, and the ease of registering new domain names, we may not be able to detect unauthorized use of our intellectual property or take prompt enforcement action. Furthermore, the growing use of generative artificial intelligence presents an increased risk of unintentional and/or unauthorized disclosure or use of our intellectual property rights.</w:t>
      </w:r>
    </w:p>
    <w:p>
      <w:pPr>
        <w:pStyle w:val="TextBody"/>
        <w:bidi w:val="0"/>
        <w:spacing w:before="200" w:after="200"/>
        <w:jc w:val="left"/>
        <w:rPr>
          <w:rFonts w:ascii="Times New Roman" w:hAnsi="Times New Roman"/>
          <w:sz w:val="20"/>
        </w:rPr>
      </w:pPr>
      <w:r>
        <w:rPr>
          <w:rFonts w:ascii="Arial" w:hAnsi="Arial"/>
          <w:color w:val="000000"/>
          <w:sz w:val="20"/>
        </w:rPr>
        <w:t>We endeavor to enter into agreements with our FlyMates,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FlyMates,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may in the future be subject to intellectual property disputes, which are costly and may subject us to significant liability and increased costs of doing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use of “open source” software could negatively affect our ability to offer and sell access to our solutions and subject us to possible litigation.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Additionally, we may from time to time face claims from third parties claiming ownership of, or seeking to enforce the terms of, an open source license, including by demanding release of source code for the open source software, derivative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Indemnity and liability provisions in various agreements potentially expose us to substantial liability for intellectual property infringement, data protection, and other losses.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New or revised tax regulations, unfavorable resolution of tax contingencies or changes to enacted tax rates could adversely affect our tax expense.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a multinational organization, we may be subject to taxation in several jurisdictions around the world with increasingly complex tax laws, the application, interpretation and enforcement of which can be uncertain. 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For example, the Inflation Reduction Act of 2022 includes a minimum tax equal to fifteen percent of the adjusted financial statement income of certain corporations as well as a one percent excise tax on share buybacks, effective for tax years beginning in 2023. When effective, it is possible that the minimum tax could result in an additional tax liability over the regular federal corporate tax liability in a given year based on differences between book and taxable income (including as a result of temporary differences).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ruled in South Dakota v. Wayfair, Inc. et al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Relevant foreign taxing authorities may disagree with our determinations as to whether we have established a taxable nexus, often referred to as a “permanent establishment”, or the income and expenses attributable to specific jurisdictions. In addition, these authorities may take aggressive tax recovery positions that the funds flows we process are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subject to value added tax or goods and services tax.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pStyle w:val="TextBody"/>
        <w:bidi w:val="0"/>
        <w:spacing w:before="200" w:after="200"/>
        <w:jc w:val="left"/>
        <w:rPr>
          <w:rFonts w:ascii="Times New Roman" w:hAnsi="Times New Roman"/>
          <w:sz w:val="20"/>
        </w:rPr>
      </w:pPr>
      <w:r>
        <w:rPr>
          <w:rFonts w:ascii="Arial" w:hAnsi="Arial"/>
          <w:color w:val="000000"/>
          <w:sz w:val="20"/>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ability to use our net operating losses (NOL) to offset future taxable income may be subject to certain limitations.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As of June 30, 2024, we had U.S. federal NOL carryforwards of approximately $39.9 million and state NOL carryforwards of approximately $81.8 million. The federal and material state NOL carryforwards will begin to expire in 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Future changes in our stock ownership, many of which are outside of our control, could result in an ownership change under Sections 382 or 383 of the Code. Furthermore, our ability to utilize NOLs of companies that we may acquire in the future may be subject to limitations.</w:t>
      </w:r>
    </w:p>
    <w:p>
      <w:pPr>
        <w:pStyle w:val="TextBody"/>
        <w:bidi w:val="0"/>
        <w:spacing w:before="200" w:after="200"/>
        <w:jc w:val="left"/>
        <w:rPr>
          <w:rFonts w:ascii="Times New Roman" w:hAnsi="Times New Roman"/>
          <w:sz w:val="20"/>
        </w:rPr>
      </w:pPr>
      <w:r>
        <w:rPr>
          <w:rFonts w:ascii="Arial" w:hAnsi="Arial"/>
          <w:color w:val="000000"/>
          <w:sz w:val="20"/>
        </w:rPr>
        <w:t>During 2022, the Company completed a Section 382 study and as a result of the ownership changes identified, $1.6 million of Flywire’s NOLs and $0.2 million of Simplee’s NOLs will expire unutilized, assuming sufficient taxable income is generated in the future. The Company completed its refresh of the Section 382 study as of June 30, 2024, and there is no additional limitations in using Federal and State NOL carryforwards.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Under the Tax Cuts and Jobs Act enacted in 2017 as modified by the Coronavirus Aid, Relief, and Economic Security Act enacted in 2020,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color w:val="000000"/>
          <w:sz w:val="20"/>
        </w:rPr>
        <w:t>Risks Related to Being a Public Company</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a public company, we are subject to the reporting requirements of the Securities Exchange Act of 1934, as amended (the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a "large accelerated" filer, we are required, pursuant to Section 404 of the Sarbanes-Oxley Act (Section 404),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This assessment includes disclosure of any material weaknesses identified by our management in our internal control over financial reporting and our independent registered public accounting firm will be required to issue an opinion on the effectiveness of our internal control over financial reporting. We expect to incur significant expenses and devote substantial management effort toward ensuring compliance with the auditor attestation requirements of Section 404. Furthermore, we will also have to file a more expansive proxy statement and are subject to shorter filing deadlines, which will require additional time and expense as well.</w:t>
      </w:r>
    </w:p>
    <w:p>
      <w:pPr>
        <w:pStyle w:val="TextBody"/>
        <w:bidi w:val="0"/>
        <w:spacing w:before="200" w:after="200"/>
        <w:jc w:val="left"/>
        <w:rPr>
          <w:rFonts w:ascii="Times New Roman" w:hAnsi="Times New Roman"/>
          <w:sz w:val="20"/>
        </w:rPr>
      </w:pPr>
      <w:r>
        <w:rPr>
          <w:rFonts w:ascii="Arial" w:hAnsi="Arial"/>
          <w:color w:val="000000"/>
          <w:sz w:val="20"/>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required to disclose changes made in our internal control and procedures on a quarterly basis. To comply with the requirements of being a public company, we have undertaken and expect to need to continue to undertake various actions, such as implementing new internal controls and procedures, hiring risk professionals, accounting and internal audit staff, and engaging outside consultants, which will increase our operating expenses.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are actively engaged in the ongoing costly and challenging process of complying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Increased scrutiny from investors and others or changes in regulations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pStyle w:val="TextBody"/>
        <w:bidi w:val="0"/>
        <w:spacing w:before="200" w:after="200"/>
        <w:jc w:val="left"/>
        <w:rPr>
          <w:rFonts w:ascii="Times New Roman" w:hAnsi="Times New Roman"/>
          <w:sz w:val="20"/>
        </w:rPr>
      </w:pPr>
      <w:r>
        <w:rPr>
          <w:rFonts w:ascii="Arial" w:hAnsi="Arial"/>
          <w:color w:val="000000"/>
          <w:sz w:val="20"/>
        </w:rPr>
        <w:t>Investor advocacy groups, certain institutional investors, investment funds, other market participants, stockholders, and consumer groups have focused increasingly on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Arial" w:hAnsi="Arial"/>
          <w:color w:val="000000"/>
          <w:sz w:val="20"/>
        </w:rPr>
      </w:pPr>
      <w:r>
        <w:rPr>
          <w:rFonts w:ascii="Arial" w:hAnsi="Arial"/>
          <w:color w:val="000000"/>
          <w:sz w:val="20"/>
        </w:rPr>
        <w:t>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pStyle w:val="TextBody"/>
        <w:bidi w:val="0"/>
        <w:spacing w:before="200" w:after="200"/>
        <w:jc w:val="left"/>
        <w:rPr>
          <w:rFonts w:ascii="Arial" w:hAnsi="Arial"/>
          <w:color w:val="000000"/>
          <w:sz w:val="20"/>
        </w:rPr>
      </w:pPr>
      <w:r>
        <w:rPr>
          <w:rFonts w:ascii="Arial" w:hAnsi="Arial"/>
          <w:color w:val="000000"/>
          <w:sz w:val="20"/>
        </w:rPr>
        <w:t>In addition, increasing governmental interest in, and public awareness of, the impacts and effects of climate change and greater emphasis on sustainability by federal, state, and international governments could lead to further regulatory efforts to address the carbon impact of housing and travel. In particular, the current regulatory landscape regarding climate change (including disclosure requirements and requirements regarding energy and water use and efficiency), both within the United States and in many other locations where we operate worldwide, is evolving at a pace, and is likely to continue to develop in ways, that require our business to adapt. Many U.S. states, either individually or through multi-state regional initiatives, have begun to address greenhouse gas emissions, including disclosure requirements relating thereto, and some U.S. states have also adopted various ESG-related efforts, initiatives and requirements. As a result, governments may enact new laws and regulations and/or view matters or interpret laws and regulations differently than they have in the past, including laws and regulations which are responsive to ESG trends or otherwise seek to reduce the carbon emissions relating to travel and set minimum energy efficiency requirements, which could materially adversely affect our business, results of operations, and financial condition. The legislative landscape continues to be in a state of constant change as well as legal challenge with respect to these laws and regulations, making it difficult to predict with certainty the ultimate impact they will have on our business in the aggregate.</w:t>
      </w:r>
    </w:p>
    <w:p>
      <w:pPr>
        <w:pStyle w:val="TextBody"/>
        <w:bidi w:val="0"/>
        <w:spacing w:before="200" w:after="200"/>
        <w:jc w:val="left"/>
        <w:rPr>
          <w:rFonts w:ascii="Times New Roman" w:hAnsi="Times New Roman"/>
          <w:sz w:val="20"/>
        </w:rPr>
      </w:pPr>
      <w:r>
        <w:rPr>
          <w:rFonts w:ascii="Arial" w:hAnsi="Arial"/>
          <w:b/>
          <w:i/>
          <w:color w:val="000000"/>
          <w:sz w:val="20"/>
        </w:rPr>
        <w:t>We will continue to incur increased costs as a result of operating as a public company, and our management will be required to devote substantial time to compliance with our public company responsibilities and corporate governance practices.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a public company, we will continue to incur significant legal, accounting, and other expenses as a result of operating as a public company, which increased during 2023 as a result of becoming a "large accelerated" filer.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color w:val="000000"/>
          <w:sz w:val="20"/>
        </w:rPr>
        <w:t>Risks Related to Ownership of Our Common Stock</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The price of our common stock may be volatile or may decline regardless of our operating performance and you may not be able to resell your shares at or above the price you paid for them.</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An active or liquid market in our common stock may not be sustainable. The market price of our common stock may fluctuate significantly in response to numerous factors, many of which are beyond our control, including:</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overall performance of the equity markets;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our operating performance and the performance of other similar companies;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delays in the roll out of new solutions;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changes in our projected operating results that we provide to the public, our failure to meet these projections or changes in recommendations by securities analysts that elect to follow our common stock;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regulatory actions with respect to our payment solutions;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regulatory or legal developments in the United States and other countries;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level of expenses related to our solutions;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announcements of acquisitions, strategic alliances or significant agreements by us or by our competitors;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developments or disputes concerning patent applications, issued patents or other intellectual property or proprietary rights; </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recruitment or departure of key personnel;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economy as a whole and market conditions in our industry;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political or social unrest, war or other military conflict, including an escalation of the conflict between Russia and Ukraine, or between Israel and Hamas (or other combatants in the region), respectively, economic instability, repression, or human rights issues;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variations in our financial results or the financial results of companies that are perceived to be similar to us;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financing or other corporate transactions, or inability to obtain additional funding;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restrictions that negatively impact international travel, study or commerce;</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changes in the structure of payment systems;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effects of ongoing United States-China and Canada-India diplomatic and trade friction;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trading activity by a limited number of stockholders who together beneficially own a majority of our outstanding common stock;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expiration of market standoff or contractual lock-up agreements;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size of our market float; and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any other factors discussed in this Quarterly Report on Form 10-Q and our other SEC filings. </w:t>
      </w:r>
    </w:p>
    <w:p>
      <w:pPr>
        <w:pStyle w:val="TextBody"/>
        <w:bidi w:val="0"/>
        <w:spacing w:before="200" w:after="200"/>
        <w:jc w:val="left"/>
        <w:rPr>
          <w:rFonts w:ascii="Times New Roman" w:hAnsi="Times New Roman"/>
          <w:sz w:val="20"/>
        </w:rPr>
      </w:pPr>
      <w:r>
        <w:rPr>
          <w:rFonts w:ascii="Arial" w:hAnsi="Arial"/>
          <w:color w:val="000000"/>
          <w:sz w:val="20"/>
        </w:rPr>
        <w:t>In addition, the stock markets have experienced extreme price and volume fluctuations that have affected and continue to affect the market prices of equity securities of many companies.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Concerns over economic recession, interest rate increases and inflation, supply chain delays and disruptions, policy priorities of the U.S. presidential administration and Congress,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 export controls against Russia and Russian interests, have removed Russia from the SWIFT system, and have threatened additional sanctions and controls. The full impact of these measures, as well as potential responses to them by Russia, is unknown.</w:t>
      </w:r>
    </w:p>
    <w:p>
      <w:pPr>
        <w:pStyle w:val="TextBody"/>
        <w:bidi w:val="0"/>
        <w:spacing w:before="200" w:after="200"/>
        <w:jc w:val="left"/>
        <w:rPr>
          <w:rFonts w:ascii="Times New Roman" w:hAnsi="Times New Roman"/>
          <w:sz w:val="20"/>
        </w:rPr>
      </w:pPr>
      <w:r>
        <w:rPr>
          <w:rFonts w:ascii="Arial" w:hAnsi="Arial"/>
          <w:color w:val="000000"/>
          <w:sz w:val="20"/>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Raising additional capital may cause dilution to our existing stockholders, restrict our operations or require us to relinquish rights to our intellectual property on unfavorable terms to us.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particularly with respect to financial technology companies,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additional capital pursuant to collaborations, licensing arrangements or other strategic partnerships, such agreements may require us to relinquish rights to our technologies.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If we are unable to raise additional funds through equity or debt financing or through collaborations or strategic partnerships when needed, we may be required to delay, limit, reduce or terminate the development of our solutions or commercialization efforts.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may allocate our cash and cash equivalents in ways that you and other stockholders may not approve.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r>
        <w:rPr>
          <w:rFonts w:ascii="Times New Roman" w:hAnsi="Times New Roman"/>
          <w:color w:val="000000"/>
          <w:sz w:val="20"/>
        </w:rPr>
        <w:t xml:space="preserve"> </w:t>
      </w:r>
    </w:p>
    <w:p>
      <w:pPr>
        <w:pStyle w:val="TextBody"/>
        <w:bidi w:val="0"/>
        <w:spacing w:before="200" w:after="200"/>
        <w:jc w:val="left"/>
        <w:rPr>
          <w:rFonts w:ascii="Arial" w:hAnsi="Arial"/>
          <w:b/>
          <w:i/>
          <w:color w:val="000000"/>
          <w:sz w:val="20"/>
        </w:rPr>
      </w:pPr>
      <w:r>
        <w:rPr>
          <w:rFonts w:ascii="Arial" w:hAnsi="Arial"/>
          <w:b/>
          <w:i/>
          <w:color w:val="000000"/>
          <w:sz w:val="20"/>
        </w:rPr>
        <w:t>We cannot guarantee that our share repurchase program will be fully implemented or that it will enhance stockholder value, and share repurchases could affect the price of our common stock.</w:t>
      </w:r>
    </w:p>
    <w:p>
      <w:pPr>
        <w:pStyle w:val="TextBody"/>
        <w:bidi w:val="0"/>
        <w:spacing w:before="200" w:after="200"/>
        <w:jc w:val="left"/>
        <w:rPr>
          <w:rFonts w:ascii="Times New Roman" w:hAnsi="Times New Roman"/>
          <w:sz w:val="20"/>
        </w:rPr>
      </w:pPr>
      <w:r>
        <w:rPr>
          <w:rFonts w:ascii="Arial" w:hAnsi="Arial"/>
          <w:color w:val="000000"/>
          <w:sz w:val="20"/>
        </w:rPr>
        <w:t>In August 2024, we announced that our Board of Directors authorized a share repurchase program, or the Share Repurchase Program, pursuant to which we may, from time to time, purchase shares of our Voting and Non-voting common stock for an aggregate purchase price not to exceed $150 million. Repurchases under the Share Repurchase Program may be made through a variety of methods and are subject to market and business conditions, levels of available liquidity, cash requirements for other purposes, regulatory, and other relevant factors. The timing, pricing, and size of share repurchases will depend on a number of factors, including price, corporate and regulatory requirements, and general market and economic conditions. The Share Repurchase Program does not obligate us to repurchase any minimum dollar amount or number of shares, and may be suspended or discontinued by our Board of Directors at any time, which may result in a decrease in the price of our common stock.</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Repurchases under the Share Repurchase Program will decrease the number of outstanding shares of our common stock and therefore could affect the price of our common stock and increase its volatility. The existence of the Share Repurchase Program could also cause the price of our common stock to be higher than it would be in the absence of such a program and could reduce the market liquidity for our common stock. Repurchases under the Share Repurchase Program will diminish our cash reserves, which could impact our ability to further develop our business and service our indebtedness. There can be no assurance that any share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common stock price. Although the Share Repurchase Program is intended to enhance long-term stockholder value, short-term price fluctuations could reduce the program’s effectiveness.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Sales of substantial amounts of our common stock in the public markets could cause the market price of our common stock to decline.</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123,233,953 shares of our voting common stock and 1,873,320 shares of our non-voting common stock outstanding as of June 30, 2024. Other than shares held by directors, executive officers and other affiliates that are subject to volume limitations under Rule 144 under the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rFonts w:ascii="Times New Roman" w:hAnsi="Times New Roman"/>
          <w:sz w:val="20"/>
        </w:rPr>
      </w:pPr>
      <w:r>
        <w:rPr>
          <w:rFonts w:ascii="Arial" w:hAnsi="Arial"/>
          <w:color w:val="000000"/>
          <w:sz w:val="20"/>
        </w:rPr>
        <w:t>Securities Act and various vesting agreements, these shares of common stock generally are freely tradable without restrictions or further registration under the Securities Act.</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registered shares of common stock that we have issued and may issue under our equity incentive plans. These shares will be able to be sold freely in the public market upon issuance, subject to securities laws.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The concentration of our stock ownership will likely limit your ability to influence corporate matters, including the ability to influence the outcome of director elections and other matters requiring stockholder approval.</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As of June 30, 2024, our current executive officers, directors and the holders of more than 5% of our outstanding voting and non-voting common stock, in the aggregate, beneficially owned a significant percentage of our outstanding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We do not intend to pay dividends on our common stock and, consequently, your ability to achieve a return on your investment will depend on appreciation in the price of our common stock.</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senior secured revolving credit syndication loan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r>
        <w:rPr>
          <w:rFonts w:ascii="Times New Roman" w:hAnsi="Times New Roman"/>
          <w:color w:val="000000"/>
          <w:sz w:val="20"/>
        </w:rPr>
        <w:t xml:space="preserve">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 classified board of directors with three-year staggered terms, which could delay the ability of stockholders to change the membership of a majority of our board of directors;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exclusive right of our board of directors to elect a director to fill a vacancy created by the expansion of our board of directors or the resignation, death or removal of a director, which prevents stockholders from being able to fill vacancies on our board of directors; </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 prohibition on stockholder action by written consent, which forces stockholder action to be taken at an annual or special meeting of our stockholders;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 </w:t>
      </w:r>
    </w:p>
    <w:p>
      <w:pPr>
        <w:pStyle w:val="TextBody"/>
        <w:bidi w:val="0"/>
        <w:spacing w:before="200" w:after="200"/>
        <w:jc w:val="left"/>
        <w:rPr>
          <w:color w:val="000000"/>
        </w:rPr>
      </w:pPr>
      <w:r>
        <w:rPr>
          <w:color w:val="000000"/>
        </w:rPr>
        <w:t>•</w:t>
      </w:r>
    </w:p>
    <w:p>
      <w:pPr>
        <w:pStyle w:val="TextBody"/>
        <w:bidi w:val="0"/>
        <w:spacing w:before="200" w:after="200"/>
        <w:jc w:val="left"/>
        <w:rPr>
          <w:rFonts w:ascii="Arial" w:hAnsi="Arial"/>
          <w:color w:val="000000"/>
          <w:sz w:val="20"/>
        </w:rPr>
      </w:pPr>
      <w:r>
        <w:rPr>
          <w:rFonts w:ascii="Arial" w:hAnsi="Arial"/>
          <w:color w:val="000000"/>
          <w:sz w:val="20"/>
        </w:rPr>
        <w:t xml:space="preserve">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bidi w:val="0"/>
        <w:spacing w:before="200" w:after="200"/>
        <w:jc w:val="left"/>
        <w:rPr>
          <w:rFonts w:ascii="Times New Roman" w:hAnsi="Times New Roman"/>
          <w:sz w:val="20"/>
        </w:rPr>
      </w:pPr>
      <w:r>
        <w:rPr>
          <w:rFonts w:ascii="Arial" w:hAnsi="Arial"/>
          <w:color w:val="000000"/>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b/>
          <w:i/>
          <w:color w:val="000000"/>
          <w:sz w:val="20"/>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FlyMates.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FlyMates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bookmarkStart w:id="38" w:name="item_2"/>
      <w:bookmarkEnd w:id="38"/>
      <w:r>
        <w:rPr>
          <w:rFonts w:ascii="Arial" w:hAnsi="Arial"/>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200" w:after="200"/>
        <w:jc w:val="left"/>
        <w:rPr>
          <w:rFonts w:ascii="Arial" w:hAnsi="Arial"/>
          <w:color w:val="000000"/>
          <w:sz w:val="20"/>
        </w:rPr>
      </w:pPr>
      <w:r>
        <w:rPr>
          <w:rFonts w:ascii="Arial" w:hAnsi="Arial"/>
          <w:color w:val="000000"/>
          <w:sz w:val="20"/>
        </w:rPr>
        <w:t>Not applicable</w:t>
      </w:r>
    </w:p>
    <w:p>
      <w:pPr>
        <w:pStyle w:val="TextBody"/>
        <w:bidi w:val="0"/>
        <w:spacing w:before="360" w:after="283"/>
        <w:jc w:val="left"/>
        <w:rPr>
          <w:rFonts w:ascii="Arial" w:hAnsi="Arial"/>
          <w:b/>
          <w:color w:val="000000"/>
          <w:sz w:val="20"/>
        </w:rPr>
      </w:pPr>
      <w:bookmarkStart w:id="39" w:name="item_3"/>
      <w:bookmarkEnd w:id="39"/>
      <w:r>
        <w:rPr>
          <w:rFonts w:ascii="Arial" w:hAnsi="Arial"/>
          <w:b/>
          <w:color w:val="000000"/>
          <w:sz w:val="20"/>
        </w:rPr>
        <w:t>Item 3. Defaults Upon Senior Securities</w:t>
      </w:r>
    </w:p>
    <w:p>
      <w:pPr>
        <w:pStyle w:val="TextBody"/>
        <w:bidi w:val="0"/>
        <w:spacing w:before="200" w:after="200"/>
        <w:jc w:val="left"/>
        <w:rPr>
          <w:rFonts w:ascii="Times New Roman" w:hAnsi="Times New Roman"/>
          <w:sz w:val="20"/>
        </w:rPr>
      </w:pPr>
      <w:r>
        <w:rPr>
          <w:rFonts w:ascii="Arial" w:hAnsi="Arial"/>
          <w:color w:val="000000"/>
          <w:sz w:val="20"/>
        </w:rPr>
        <w:t>Not applicable.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360" w:after="283"/>
        <w:jc w:val="left"/>
        <w:rPr>
          <w:rFonts w:ascii="Arial" w:hAnsi="Arial"/>
          <w:b/>
          <w:color w:val="000000"/>
          <w:sz w:val="20"/>
        </w:rPr>
      </w:pPr>
      <w:bookmarkStart w:id="40" w:name="item_4_mine"/>
      <w:bookmarkEnd w:id="40"/>
      <w:r>
        <w:rPr>
          <w:rFonts w:ascii="Arial" w:hAnsi="Arial"/>
          <w:b/>
          <w:color w:val="000000"/>
          <w:sz w:val="20"/>
        </w:rPr>
        <w:t>Item 4. Mine Safety Disclosures</w:t>
      </w:r>
    </w:p>
    <w:p>
      <w:pPr>
        <w:pStyle w:val="TextBody"/>
        <w:bidi w:val="0"/>
        <w:spacing w:before="200" w:after="200"/>
        <w:jc w:val="left"/>
        <w:rPr>
          <w:rFonts w:ascii="Times New Roman" w:hAnsi="Times New Roman"/>
          <w:sz w:val="20"/>
        </w:rPr>
      </w:pPr>
      <w:r>
        <w:rPr>
          <w:rFonts w:ascii="Arial" w:hAnsi="Arial"/>
          <w:color w:val="000000"/>
          <w:sz w:val="20"/>
        </w:rPr>
        <w:t>Not applicable.</w:t>
      </w:r>
      <w:r>
        <w:rPr>
          <w:rFonts w:ascii="Times New Roman" w:hAnsi="Times New Roman"/>
          <w:color w:val="000000"/>
          <w:sz w:val="20"/>
        </w:rPr>
        <w:t xml:space="preserve"> </w:t>
      </w:r>
    </w:p>
    <w:p>
      <w:pPr>
        <w:pStyle w:val="TextBody"/>
        <w:bidi w:val="0"/>
        <w:spacing w:before="360" w:after="283"/>
        <w:jc w:val="left"/>
        <w:rPr>
          <w:rFonts w:ascii="Arial" w:hAnsi="Arial"/>
          <w:b/>
          <w:color w:val="000000"/>
          <w:sz w:val="20"/>
        </w:rPr>
      </w:pPr>
      <w:bookmarkStart w:id="41" w:name="item_5"/>
      <w:bookmarkEnd w:id="41"/>
      <w:r>
        <w:rPr>
          <w:rFonts w:ascii="Arial" w:hAnsi="Arial"/>
          <w:b/>
          <w:color w:val="000000"/>
          <w:sz w:val="20"/>
        </w:rPr>
        <w:t>Item 5. Other Information</w:t>
      </w:r>
    </w:p>
    <w:p>
      <w:pPr>
        <w:pStyle w:val="TextBody"/>
        <w:bidi w:val="0"/>
        <w:spacing w:before="200" w:after="200"/>
        <w:jc w:val="left"/>
        <w:rPr>
          <w:rFonts w:ascii="Arial" w:hAnsi="Arial"/>
          <w:b/>
          <w:color w:val="000000"/>
          <w:sz w:val="20"/>
        </w:rPr>
      </w:pPr>
      <w:r>
        <w:rPr>
          <w:rFonts w:ascii="Arial" w:hAnsi="Arial"/>
          <w:b/>
          <w:color w:val="000000"/>
          <w:sz w:val="20"/>
        </w:rPr>
        <w:t>Repurchase Program</w:t>
      </w:r>
    </w:p>
    <w:p>
      <w:pPr>
        <w:pStyle w:val="TextBody"/>
        <w:bidi w:val="0"/>
        <w:spacing w:before="200" w:after="200"/>
        <w:jc w:val="left"/>
        <w:rPr>
          <w:rFonts w:ascii="Times New Roman" w:hAnsi="Times New Roman"/>
          <w:sz w:val="20"/>
        </w:rPr>
      </w:pPr>
      <w:r>
        <w:rPr>
          <w:rFonts w:ascii="Arial" w:hAnsi="Arial"/>
          <w:color w:val="000000"/>
          <w:sz w:val="20"/>
        </w:rPr>
        <w:t>On August 6, 2024 we announced a share repurchase program of up to $150 million of outstanding voting and non-voting common stock for an indefinite period as part of our capital deployment strategy (Repurchase Program).</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Repurchases under the Repurchase Program may be made from time to time through open market purchases, in privately negotiated transactions or by other means, including through the use of trading plans intended to qualify under Rule 10b5-1 under the Securities Exchange Act of 1934, as amended, in accordance with applicable securities laws and other restrictions, including Rule 10b-18. The timing, value and number of shares repurchased will be determined in our discretion and will be based on various factors, including an evaluation of current and future capital needs, current and forecasted cash flows, our capital structure, cost of capital and prevailing stock prices, general market and economic conditions, applicable legal requirements, and compliance with covenants in our credit facility that may limit share repurchases based on defined leverage ratios. The Repurchase Program does not obligate us to purchase a specific number of, or any, shares. The Repurchase Plan does not expire and may be modified, suspended or terminated at any time without notice at our discretion.</w:t>
      </w:r>
      <w:r>
        <w:rPr>
          <w:rFonts w:ascii="Times New Roman" w:hAnsi="Times New Roman"/>
          <w:color w:val="000000"/>
          <w:sz w:val="20"/>
        </w:rPr>
        <w:t xml:space="preserve"> </w:t>
      </w:r>
    </w:p>
    <w:p>
      <w:pPr>
        <w:pStyle w:val="TextBody"/>
        <w:bidi w:val="0"/>
        <w:spacing w:before="200" w:after="200"/>
        <w:jc w:val="left"/>
        <w:rPr>
          <w:rFonts w:ascii="Arial" w:hAnsi="Arial"/>
          <w:b/>
          <w:color w:val="000000"/>
          <w:sz w:val="20"/>
        </w:rPr>
      </w:pPr>
      <w:r>
        <w:rPr>
          <w:rFonts w:ascii="Arial" w:hAnsi="Arial"/>
          <w:b/>
          <w:color w:val="000000"/>
          <w:sz w:val="20"/>
        </w:rPr>
        <w:t>Rule 10b5-1 Trading Plans</w:t>
      </w:r>
    </w:p>
    <w:p>
      <w:pPr>
        <w:pStyle w:val="TextBody"/>
        <w:bidi w:val="0"/>
        <w:spacing w:before="200" w:after="200"/>
        <w:jc w:val="left"/>
        <w:rPr>
          <w:rFonts w:ascii="Times New Roman" w:hAnsi="Times New Roman"/>
          <w:sz w:val="20"/>
        </w:rPr>
      </w:pPr>
      <w:r>
        <w:rPr>
          <w:rFonts w:ascii="Arial" w:hAnsi="Arial"/>
          <w:color w:val="000000"/>
          <w:sz w:val="20"/>
        </w:rPr>
        <w:t>During the period covered by this Quarterly Report on Form 10-Q, no director or officer of the Company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 xml:space="preserve">a “Rule 10b5-1 trading arrangement” or “non-Rule 10b5-1 trading arrangement” as each term is defined in Item 408(a) of Regulation S-K, as previously disclosed in Part II, Item 9B. included in our Annual Report on Form 10-K for the year ended December 31, 2023. </w:t>
        <w:br/>
      </w:r>
      <w:r>
        <w:rPr>
          <w:rFonts w:ascii="Times New Roman" w:hAnsi="Times New Roman"/>
          <w:color w:val="000000"/>
          <w:sz w:val="20"/>
        </w:rPr>
        <w:br/>
        <w:t> </w:t>
      </w:r>
    </w:p>
    <w:p>
      <w:pPr>
        <w:pStyle w:val="TextBody"/>
        <w:bidi w:val="0"/>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360" w:after="283"/>
        <w:jc w:val="left"/>
        <w:rPr>
          <w:rFonts w:ascii="Arial" w:hAnsi="Arial"/>
          <w:b/>
          <w:color w:val="000000"/>
          <w:sz w:val="20"/>
        </w:rPr>
      </w:pPr>
      <w:bookmarkStart w:id="42" w:name="exhibits"/>
      <w:bookmarkEnd w:id="42"/>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3"/>
        <w:gridCol w:w="146"/>
        <w:gridCol w:w="9206"/>
      </w:tblGrid>
      <w:tr>
        <w:trPr/>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06" w:type="dxa"/>
            <w:tcBorders/>
            <w:vAlign w:val="center"/>
          </w:tcPr>
          <w:p>
            <w:pPr>
              <w:pStyle w:val="TableContents"/>
              <w:bidi w:val="0"/>
              <w:spacing w:before="0" w:after="283"/>
              <w:jc w:val="left"/>
              <w:rPr>
                <w:sz w:val="4"/>
                <w:szCs w:val="4"/>
              </w:rPr>
            </w:pPr>
            <w:r>
              <w:rPr>
                <w:sz w:val="4"/>
                <w:szCs w:val="4"/>
              </w:rPr>
            </w:r>
          </w:p>
        </w:tc>
      </w:tr>
      <w:tr>
        <w:trPr/>
        <w:tc>
          <w:tcPr>
            <w:tcW w:w="85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Exhibit</w:t>
            </w:r>
          </w:p>
          <w:p>
            <w:pPr>
              <w:pStyle w:val="TableContents"/>
              <w:bidi w:val="0"/>
              <w:spacing w:before="0" w:after="283"/>
              <w:jc w:val="center"/>
              <w:rPr>
                <w:rFonts w:ascii="Arial" w:hAnsi="Arial"/>
                <w:b/>
                <w:color w:val="000000"/>
                <w:sz w:val="18"/>
              </w:rPr>
            </w:pPr>
            <w:r>
              <w:rPr>
                <w:rFonts w:ascii="Arial" w:hAnsi="Arial"/>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 of Flywire Corporation, incorporated by reference to Exhibit 3.1 to the Registrant’s Current Report on Form 8-K filed on June 1, 2021.</w:t>
              </w:r>
            </w:hyperlink>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Amended and Restated Bylaws of Flywire Corporation, incorporated by reference to Exhibit 3.1 to the Registrant’s Current Report on Form 8-K filed on March 19, 2024.</w:t>
              </w:r>
            </w:hyperlink>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lyw-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r>
      <w:tr>
        <w:trPr/>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bidi w:val="0"/>
        <w:spacing w:before="120" w:after="283"/>
        <w:jc w:val="left"/>
        <w:rPr>
          <w:rFonts w:ascii="Arial" w:hAnsi="Arial"/>
          <w:color w:val="000000"/>
          <w:sz w:val="16"/>
        </w:rPr>
      </w:pPr>
      <w:r>
        <w:rPr>
          <w:rFonts w:ascii="Arial" w:hAnsi="Arial"/>
          <w:color w:val="000000"/>
          <w:sz w:val="16"/>
        </w:rPr>
        <w:t>* Filed herewith</w:t>
      </w:r>
    </w:p>
    <w:p>
      <w:pPr>
        <w:pStyle w:val="TextBody"/>
        <w:bidi w:val="0"/>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360" w:after="283"/>
        <w:jc w:val="center"/>
        <w:rPr>
          <w:rFonts w:ascii="Times New Roman" w:hAnsi="Times New Roman"/>
          <w:sz w:val="20"/>
        </w:rPr>
      </w:pPr>
      <w:bookmarkStart w:id="43" w:name="signatures"/>
      <w:bookmarkEnd w:id="43"/>
      <w:r>
        <w:rPr>
          <w:rFonts w:ascii="Arial" w:hAnsi="Arial"/>
          <w:b/>
          <w:color w:val="000000"/>
          <w:sz w:val="20"/>
        </w:rPr>
        <w:t>SIGNATURES</w:t>
      </w:r>
      <w:r>
        <w:rPr>
          <w:rFonts w:ascii="Times New Roman" w:hAnsi="Times New Roman"/>
          <w:color w:val="000000"/>
          <w:sz w:val="20"/>
        </w:rPr>
        <w:t xml:space="preserve"> </w:t>
      </w:r>
    </w:p>
    <w:p>
      <w:pPr>
        <w:pStyle w:val="TextBody"/>
        <w:bidi w:val="0"/>
        <w:spacing w:before="200" w:after="200"/>
        <w:jc w:val="left"/>
        <w:rPr>
          <w:rFonts w:ascii="Times New Roman" w:hAnsi="Times New Roman"/>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tbl>
      <w:tblPr>
        <w:tblW w:w="6929" w:type="dxa"/>
        <w:jc w:val="left"/>
        <w:tblInd w:w="0" w:type="dxa"/>
        <w:tblLayout w:type="fixed"/>
        <w:tblCellMar>
          <w:top w:w="28" w:type="dxa"/>
          <w:left w:w="28" w:type="dxa"/>
          <w:bottom w:w="28" w:type="dxa"/>
          <w:right w:w="28" w:type="dxa"/>
        </w:tblCellMar>
      </w:tblPr>
      <w:tblGrid>
        <w:gridCol w:w="1966"/>
        <w:gridCol w:w="326"/>
        <w:gridCol w:w="406"/>
        <w:gridCol w:w="4231"/>
      </w:tblGrid>
      <w:tr>
        <w:trPr/>
        <w:tc>
          <w:tcPr>
            <w:tcW w:w="19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637" w:type="dxa"/>
            <w:gridSpan w:val="2"/>
            <w:tcBorders/>
            <w:vAlign w:val="center"/>
          </w:tcPr>
          <w:p>
            <w:pPr>
              <w:pStyle w:val="TableContents"/>
              <w:pBdr/>
              <w:bidi w:val="0"/>
              <w:spacing w:before="0" w:after="283"/>
              <w:ind w:left="0" w:right="0" w:hanging="240"/>
              <w:jc w:val="left"/>
              <w:rPr>
                <w:rFonts w:ascii="Arial" w:hAnsi="Arial"/>
                <w:b/>
                <w:color w:val="000000"/>
                <w:sz w:val="20"/>
              </w:rPr>
            </w:pPr>
            <w:r>
              <w:rPr>
                <w:rFonts w:ascii="Arial" w:hAnsi="Arial"/>
                <w:b/>
                <w:color w:val="000000"/>
                <w:sz w:val="20"/>
              </w:rPr>
              <w:t>FLYWIRE CORPORATION</w:t>
            </w:r>
          </w:p>
        </w:tc>
      </w:tr>
      <w:tr>
        <w:trPr/>
        <w:tc>
          <w:tcPr>
            <w:tcW w:w="19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66"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Date: August 6, 2024</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06"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By:</w:t>
            </w:r>
          </w:p>
        </w:tc>
        <w:tc>
          <w:tcPr>
            <w:tcW w:w="4231"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/s/ Michael Massaro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Michael Massaro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 and Director</w:t>
            </w:r>
          </w:p>
        </w:tc>
      </w:tr>
      <w:tr>
        <w:trPr/>
        <w:tc>
          <w:tcPr>
            <w:tcW w:w="196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center"/>
              <w:rPr>
                <w:color w:val="000000"/>
              </w:rPr>
            </w:pPr>
            <w:r>
              <w:rPr>
                <w:color w:val="000000"/>
              </w:rPr>
              <w:t> </w:t>
            </w:r>
            <w:r>
              <w:rPr>
                <w:rFonts w:ascii="Arial" w:hAnsi="Arial"/>
                <w:b/>
                <w:color w:val="000000"/>
                <w:sz w:val="20"/>
              </w:rPr>
              <w:t>(Principal Executive Officer)</w:t>
            </w:r>
          </w:p>
        </w:tc>
      </w:tr>
      <w:tr>
        <w:trPr/>
        <w:tc>
          <w:tcPr>
            <w:tcW w:w="1966"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ind w:left="0" w:right="0" w:firstLine="240"/>
              <w:jc w:val="left"/>
              <w:rPr/>
            </w:pPr>
            <w:r>
              <w:rPr/>
              <w:t> </w:t>
            </w:r>
          </w:p>
        </w:tc>
      </w:tr>
      <w:tr>
        <w:trPr/>
        <w:tc>
          <w:tcPr>
            <w:tcW w:w="1966"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Date: August 6, 2024</w:t>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06"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By:</w:t>
            </w:r>
          </w:p>
        </w:tc>
        <w:tc>
          <w:tcPr>
            <w:tcW w:w="4231"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/s/ Cosmin Pitigoi</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Cosmin Pitigoi</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and Accounting Officer)</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4" w:name="flyw-ex31_1.htm"/>
      <w:bookmarkStart w:id="45" w:name="ksflywex31_1"/>
      <w:bookmarkEnd w:id="44"/>
      <w:bookmarkEnd w:id="45"/>
      <w:r>
        <w:rPr>
          <w:rFonts w:ascii="Arial" w:hAnsi="Arial"/>
          <w:b/>
          <w:color w:val="000000"/>
          <w:sz w:val="20"/>
        </w:rPr>
        <w:t>Exhibit 31.1</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EXECUTIVE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 Michael Massaro,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I have reviewed this quarterly report on Form 10-Q for the quarter ended June 30, 2024 of Flywire Corporation;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6124" w:type="dxa"/>
        <w:jc w:val="left"/>
        <w:tblInd w:w="0" w:type="dxa"/>
        <w:tblLayout w:type="fixed"/>
        <w:tblCellMar>
          <w:top w:w="28" w:type="dxa"/>
          <w:left w:w="28" w:type="dxa"/>
          <w:bottom w:w="28" w:type="dxa"/>
          <w:right w:w="28" w:type="dxa"/>
        </w:tblCellMar>
      </w:tblPr>
      <w:tblGrid>
        <w:gridCol w:w="1966"/>
        <w:gridCol w:w="146"/>
        <w:gridCol w:w="466"/>
        <w:gridCol w:w="354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54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66"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Date: August 6,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3546" w:type="dxa"/>
            <w:tcBorders/>
            <w:tcMar>
              <w:top w:w="0" w:type="dxa"/>
              <w:left w:w="0" w:type="dxa"/>
              <w:bottom w:w="0" w:type="dxa"/>
              <w:right w:w="0" w:type="dxa"/>
            </w:tcMar>
            <w:vAlign w:val="center"/>
          </w:tcPr>
          <w:p>
            <w:pPr>
              <w:pStyle w:val="TableContents"/>
              <w:bidi w:val="0"/>
              <w:spacing w:before="0" w:after="283"/>
              <w:ind w:left="0" w:right="80" w:hanging="0"/>
              <w:jc w:val="center"/>
              <w:rPr>
                <w:rFonts w:ascii="Arial" w:hAnsi="Arial"/>
                <w:color w:val="000000"/>
                <w:sz w:val="20"/>
              </w:rPr>
            </w:pPr>
            <w:r>
              <w:rPr>
                <w:rFonts w:ascii="Arial" w:hAnsi="Arial"/>
                <w:color w:val="000000"/>
                <w:sz w:val="20"/>
              </w:rPr>
              <w:t>/s/ Michael Massaro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ind w:left="0" w:right="80" w:hanging="0"/>
              <w:jc w:val="left"/>
              <w:rPr>
                <w:sz w:val="4"/>
                <w:szCs w:val="4"/>
              </w:rPr>
            </w:pPr>
            <w:r>
              <w:rPr>
                <w:sz w:val="4"/>
                <w:szCs w:val="4"/>
              </w:rPr>
            </w:r>
          </w:p>
        </w:tc>
        <w:tc>
          <w:tcPr>
            <w:tcW w:w="3546" w:type="dxa"/>
            <w:tcBorders/>
            <w:tcMar>
              <w:top w:w="0" w:type="dxa"/>
              <w:left w:w="0" w:type="dxa"/>
              <w:bottom w:w="0" w:type="dxa"/>
              <w:right w:w="0" w:type="dxa"/>
            </w:tcMar>
            <w:vAlign w:val="center"/>
          </w:tcPr>
          <w:p>
            <w:pPr>
              <w:pStyle w:val="TableContents"/>
              <w:bidi w:val="0"/>
              <w:spacing w:before="0" w:after="283"/>
              <w:ind w:left="0" w:right="80" w:hanging="0"/>
              <w:jc w:val="center"/>
              <w:rPr>
                <w:rFonts w:ascii="Arial" w:hAnsi="Arial"/>
                <w:b/>
                <w:color w:val="000000"/>
                <w:sz w:val="20"/>
              </w:rPr>
            </w:pPr>
            <w:r>
              <w:rPr>
                <w:rFonts w:ascii="Arial" w:hAnsi="Arial"/>
                <w:b/>
                <w:color w:val="000000"/>
                <w:sz w:val="20"/>
              </w:rPr>
              <w:t>Michael Massaro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ind w:left="0" w:right="80" w:hanging="0"/>
              <w:jc w:val="left"/>
              <w:rPr>
                <w:sz w:val="4"/>
                <w:szCs w:val="4"/>
              </w:rPr>
            </w:pPr>
            <w:r>
              <w:rPr>
                <w:sz w:val="4"/>
                <w:szCs w:val="4"/>
              </w:rPr>
            </w:r>
          </w:p>
        </w:tc>
        <w:tc>
          <w:tcPr>
            <w:tcW w:w="3546" w:type="dxa"/>
            <w:tcBorders/>
            <w:tcMar>
              <w:top w:w="0" w:type="dxa"/>
              <w:left w:w="0" w:type="dxa"/>
              <w:bottom w:w="0" w:type="dxa"/>
              <w:right w:w="0" w:type="dxa"/>
            </w:tcMar>
            <w:vAlign w:val="center"/>
          </w:tcPr>
          <w:p>
            <w:pPr>
              <w:pStyle w:val="TableContents"/>
              <w:bidi w:val="0"/>
              <w:spacing w:before="0" w:after="283"/>
              <w:ind w:left="0" w:right="80" w:hanging="0"/>
              <w:jc w:val="center"/>
              <w:rPr>
                <w:rFonts w:ascii="Arial" w:hAnsi="Arial"/>
                <w:b/>
                <w:color w:val="000000"/>
                <w:sz w:val="20"/>
              </w:rPr>
            </w:pPr>
            <w:r>
              <w:rPr>
                <w:rFonts w:ascii="Arial" w:hAnsi="Arial"/>
                <w:b/>
                <w:color w:val="000000"/>
                <w:sz w:val="20"/>
              </w:rPr>
              <w:t>Chief Executive Officer and 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80" w:hanging="0"/>
              <w:jc w:val="left"/>
              <w:rPr/>
            </w:pPr>
            <w:r>
              <w:rPr/>
              <w:t> </w:t>
            </w:r>
          </w:p>
        </w:tc>
        <w:tc>
          <w:tcPr>
            <w:tcW w:w="35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46" w:name="flyw-ex31_2.htm"/>
      <w:bookmarkStart w:id="47" w:name="ksflywex31_2"/>
      <w:bookmarkEnd w:id="46"/>
      <w:bookmarkEnd w:id="47"/>
      <w:r>
        <w:rPr>
          <w:rFonts w:ascii="Arial" w:hAnsi="Arial"/>
          <w:b/>
          <w:color w:val="000000"/>
          <w:sz w:val="20"/>
        </w:rPr>
        <w:t>Exhibit 31.2</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FINANCIAL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 Cosmin Pitigoi,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I have reviewed this quarterly report on Form 10-Q for the quarter ended June 30, 2024 of Flywire Corporation;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tbl>
      <w:tblPr>
        <w:tblW w:w="6809" w:type="dxa"/>
        <w:jc w:val="left"/>
        <w:tblInd w:w="0" w:type="dxa"/>
        <w:tblLayout w:type="fixed"/>
        <w:tblCellMar>
          <w:top w:w="28" w:type="dxa"/>
          <w:left w:w="28" w:type="dxa"/>
          <w:bottom w:w="28" w:type="dxa"/>
          <w:right w:w="28" w:type="dxa"/>
        </w:tblCellMar>
      </w:tblPr>
      <w:tblGrid>
        <w:gridCol w:w="1966"/>
        <w:gridCol w:w="146"/>
        <w:gridCol w:w="466"/>
        <w:gridCol w:w="423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66"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Date: August 6,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4231" w:type="dxa"/>
            <w:tcBorders/>
            <w:tcMar>
              <w:top w:w="0" w:type="dxa"/>
              <w:left w:w="0" w:type="dxa"/>
              <w:bottom w:w="0" w:type="dxa"/>
              <w:right w:w="0" w:type="dxa"/>
            </w:tcMar>
            <w:vAlign w:val="center"/>
          </w:tcPr>
          <w:p>
            <w:pPr>
              <w:pStyle w:val="TableContents"/>
              <w:bidi w:val="0"/>
              <w:spacing w:before="0" w:after="283"/>
              <w:ind w:left="0" w:right="80" w:hanging="0"/>
              <w:jc w:val="center"/>
              <w:rPr>
                <w:rFonts w:ascii="Arial" w:hAnsi="Arial"/>
                <w:color w:val="000000"/>
                <w:sz w:val="20"/>
              </w:rPr>
            </w:pPr>
            <w:r>
              <w:rPr>
                <w:rFonts w:ascii="Arial" w:hAnsi="Arial"/>
                <w:color w:val="000000"/>
                <w:sz w:val="20"/>
              </w:rPr>
              <w:t>/s/ Cosmin Pitigoi</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ind w:left="0" w:right="80" w:hanging="0"/>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ind w:left="0" w:right="80" w:hanging="0"/>
              <w:jc w:val="center"/>
              <w:rPr>
                <w:rFonts w:ascii="Arial" w:hAnsi="Arial"/>
                <w:b/>
                <w:color w:val="000000"/>
                <w:sz w:val="20"/>
              </w:rPr>
            </w:pPr>
            <w:r>
              <w:rPr>
                <w:rFonts w:ascii="Arial" w:hAnsi="Arial"/>
                <w:b/>
                <w:color w:val="000000"/>
                <w:sz w:val="20"/>
              </w:rPr>
              <w:t>Cosmin Pitigoi</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ind w:left="0" w:right="80" w:hanging="0"/>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ind w:left="0" w:right="80" w:hanging="0"/>
              <w:jc w:val="center"/>
              <w:rPr>
                <w:rFonts w:ascii="Arial" w:hAnsi="Arial"/>
                <w:b/>
                <w:color w:val="000000"/>
                <w:sz w:val="20"/>
              </w:rPr>
            </w:pPr>
            <w:r>
              <w:rPr>
                <w:rFonts w:ascii="Arial" w:hAnsi="Arial"/>
                <w:b/>
                <w:color w:val="000000"/>
                <w:sz w:val="20"/>
              </w:rPr>
              <w:t>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80" w:hanging="0"/>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8" w:name="flyw-ex32_1.htm"/>
      <w:bookmarkStart w:id="49" w:name="ksflywex32_1"/>
      <w:bookmarkEnd w:id="48"/>
      <w:bookmarkEnd w:id="49"/>
      <w:r>
        <w:rPr>
          <w:rFonts w:ascii="Arial" w:hAnsi="Arial"/>
          <w:b/>
          <w:color w:val="000000"/>
          <w:sz w:val="20"/>
        </w:rPr>
        <w:t>Exhibit 32.1</w:t>
      </w:r>
      <w:r>
        <w:rPr>
          <w:rFonts w:ascii="Times New Roman" w:hAnsi="Times New Roman"/>
          <w:color w:val="000000"/>
          <w:sz w:val="20"/>
        </w:rPr>
        <w:t xml:space="preserve"> </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EXECUTIVE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connection with the Quarterly Report of Flywire Corporation (the “Company”) on Form 10-Q for the quarter ended June 30, 2024 as filed with the Securities and Exchange Commission on the date hereof (the “Report”), I certify, pursuant to 18 U.S.C. § 1350, as adopted pursuant to § 906 of the Sarbanes-Oxley Act of 2002,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The information contained in the Report fairly presents, in all material respects, the financial condition and result of operations of the Company.</w:t>
      </w:r>
      <w:r>
        <w:rPr>
          <w:rFonts w:ascii="Times New Roman" w:hAnsi="Times New Roman"/>
          <w:color w:val="000000"/>
          <w:sz w:val="20"/>
        </w:rPr>
        <w:t xml:space="preserve"> </w:t>
      </w:r>
    </w:p>
    <w:tbl>
      <w:tblPr>
        <w:tblW w:w="5978" w:type="dxa"/>
        <w:jc w:val="left"/>
        <w:tblInd w:w="0" w:type="dxa"/>
        <w:tblLayout w:type="fixed"/>
        <w:tblCellMar>
          <w:top w:w="28" w:type="dxa"/>
          <w:left w:w="28" w:type="dxa"/>
          <w:bottom w:w="28" w:type="dxa"/>
          <w:right w:w="28" w:type="dxa"/>
        </w:tblCellMar>
      </w:tblPr>
      <w:tblGrid>
        <w:gridCol w:w="1966"/>
        <w:gridCol w:w="466"/>
        <w:gridCol w:w="3546"/>
      </w:tblGrid>
      <w:tr>
        <w:trPr/>
        <w:tc>
          <w:tcPr>
            <w:tcW w:w="19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54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66"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Date: August 6, 2024</w:t>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3546" w:type="dxa"/>
            <w:tcBorders/>
            <w:tcMar>
              <w:top w:w="0" w:type="dxa"/>
              <w:left w:w="0" w:type="dxa"/>
              <w:bottom w:w="0" w:type="dxa"/>
              <w:right w:w="0" w:type="dxa"/>
            </w:tcMar>
            <w:vAlign w:val="center"/>
          </w:tcPr>
          <w:p>
            <w:pPr>
              <w:pStyle w:val="TableContents"/>
              <w:bidi w:val="0"/>
              <w:spacing w:before="0" w:after="283"/>
              <w:ind w:left="0" w:right="80" w:hanging="0"/>
              <w:jc w:val="center"/>
              <w:rPr>
                <w:rFonts w:ascii="Arial" w:hAnsi="Arial"/>
                <w:color w:val="000000"/>
                <w:sz w:val="20"/>
              </w:rPr>
            </w:pPr>
            <w:r>
              <w:rPr>
                <w:rFonts w:ascii="Arial" w:hAnsi="Arial"/>
                <w:color w:val="000000"/>
                <w:sz w:val="20"/>
              </w:rPr>
              <w:t>/s/ Michael Massaro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ind w:left="0" w:right="80" w:hanging="0"/>
              <w:jc w:val="left"/>
              <w:rPr>
                <w:sz w:val="4"/>
                <w:szCs w:val="4"/>
              </w:rPr>
            </w:pPr>
            <w:r>
              <w:rPr>
                <w:sz w:val="4"/>
                <w:szCs w:val="4"/>
              </w:rPr>
            </w:r>
          </w:p>
        </w:tc>
        <w:tc>
          <w:tcPr>
            <w:tcW w:w="3546" w:type="dxa"/>
            <w:tcBorders/>
            <w:tcMar>
              <w:top w:w="0" w:type="dxa"/>
              <w:left w:w="0" w:type="dxa"/>
              <w:bottom w:w="0" w:type="dxa"/>
              <w:right w:w="0" w:type="dxa"/>
            </w:tcMar>
            <w:vAlign w:val="center"/>
          </w:tcPr>
          <w:p>
            <w:pPr>
              <w:pStyle w:val="TableContents"/>
              <w:bidi w:val="0"/>
              <w:spacing w:before="0" w:after="283"/>
              <w:ind w:left="0" w:right="80" w:hanging="0"/>
              <w:jc w:val="center"/>
              <w:rPr>
                <w:rFonts w:ascii="Arial" w:hAnsi="Arial"/>
                <w:b/>
                <w:color w:val="000000"/>
                <w:sz w:val="20"/>
              </w:rPr>
            </w:pPr>
            <w:r>
              <w:rPr>
                <w:rFonts w:ascii="Arial" w:hAnsi="Arial"/>
                <w:b/>
                <w:color w:val="000000"/>
                <w:sz w:val="20"/>
              </w:rPr>
              <w:t>Michael Massaro</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ind w:left="0" w:right="80" w:hanging="0"/>
              <w:jc w:val="left"/>
              <w:rPr>
                <w:sz w:val="4"/>
                <w:szCs w:val="4"/>
              </w:rPr>
            </w:pPr>
            <w:r>
              <w:rPr>
                <w:sz w:val="4"/>
                <w:szCs w:val="4"/>
              </w:rPr>
            </w:r>
          </w:p>
        </w:tc>
        <w:tc>
          <w:tcPr>
            <w:tcW w:w="3546" w:type="dxa"/>
            <w:tcBorders/>
            <w:tcMar>
              <w:top w:w="0" w:type="dxa"/>
              <w:left w:w="0" w:type="dxa"/>
              <w:bottom w:w="0" w:type="dxa"/>
              <w:right w:w="0" w:type="dxa"/>
            </w:tcMar>
            <w:vAlign w:val="center"/>
          </w:tcPr>
          <w:p>
            <w:pPr>
              <w:pStyle w:val="TableContents"/>
              <w:bidi w:val="0"/>
              <w:spacing w:before="0" w:after="283"/>
              <w:ind w:left="0" w:right="80" w:hanging="0"/>
              <w:jc w:val="center"/>
              <w:rPr>
                <w:rFonts w:ascii="Arial" w:hAnsi="Arial"/>
                <w:b/>
                <w:color w:val="000000"/>
                <w:sz w:val="20"/>
              </w:rPr>
            </w:pPr>
            <w:r>
              <w:rPr>
                <w:rFonts w:ascii="Arial" w:hAnsi="Arial"/>
                <w:b/>
                <w:color w:val="000000"/>
                <w:sz w:val="20"/>
              </w:rPr>
              <w:t>Chief Executive Officer and 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80" w:hanging="0"/>
              <w:jc w:val="left"/>
              <w:rPr/>
            </w:pPr>
            <w:r>
              <w:rPr/>
              <w:t> </w:t>
            </w:r>
          </w:p>
        </w:tc>
        <w:tc>
          <w:tcPr>
            <w:tcW w:w="35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0" w:name="flyw-ex32_2.htm"/>
      <w:bookmarkStart w:id="51" w:name="ksflywex32_2"/>
      <w:bookmarkEnd w:id="50"/>
      <w:bookmarkEnd w:id="51"/>
      <w:r>
        <w:rPr>
          <w:rFonts w:ascii="Arial" w:hAnsi="Arial"/>
          <w:b/>
          <w:color w:val="000000"/>
          <w:sz w:val="20"/>
        </w:rPr>
        <w:t>Exhibit 32.2</w:t>
      </w:r>
      <w:r>
        <w:rPr>
          <w:rFonts w:ascii="Times New Roman" w:hAnsi="Times New Roman"/>
          <w:color w:val="000000"/>
          <w:sz w:val="20"/>
        </w:rPr>
        <w:t xml:space="preserve"> </w:t>
      </w:r>
      <w:r>
        <w:br w:type="page"/>
      </w:r>
    </w:p>
    <w:p>
      <w:pPr>
        <w:pStyle w:val="TextBody"/>
        <w:bidi w:val="0"/>
        <w:spacing w:before="480" w:after="283"/>
        <w:jc w:val="center"/>
        <w:rPr>
          <w:rFonts w:ascii="Times New Roman" w:hAnsi="Times New Roman"/>
          <w:sz w:val="20"/>
        </w:rPr>
      </w:pPr>
      <w:r>
        <w:rPr>
          <w:rFonts w:ascii="Arial" w:hAnsi="Arial"/>
          <w:b/>
          <w:color w:val="000000"/>
          <w:sz w:val="20"/>
        </w:rPr>
        <w:t>CERTIFICATION OF PRINCIPAL FINANCIAL OFFICER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In connection with the Quarterly Report of Flywire Corporation (the “Company”) on Form 10-Q for the quarter ended June 30, 2024 as filed with the Securities and Exchange Commission on the date hereof (the “Report”), I certify, pursuant to 18 U.S.C. § 1350, as adopted pursuant to § 906 of the Sarbanes-Oxley Act of 2002,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(2) The information contained in the Report fairly presents, in all material respects, the financial condition and result of operations of the Company.</w:t>
      </w:r>
      <w:r>
        <w:rPr>
          <w:rFonts w:ascii="Times New Roman" w:hAnsi="Times New Roman"/>
          <w:color w:val="000000"/>
          <w:sz w:val="20"/>
        </w:rPr>
        <w:t xml:space="preserve"> </w:t>
      </w:r>
    </w:p>
    <w:tbl>
      <w:tblPr>
        <w:tblW w:w="6663" w:type="dxa"/>
        <w:jc w:val="left"/>
        <w:tblInd w:w="0" w:type="dxa"/>
        <w:tblLayout w:type="fixed"/>
        <w:tblCellMar>
          <w:top w:w="28" w:type="dxa"/>
          <w:left w:w="28" w:type="dxa"/>
          <w:bottom w:w="28" w:type="dxa"/>
          <w:right w:w="28" w:type="dxa"/>
        </w:tblCellMar>
      </w:tblPr>
      <w:tblGrid>
        <w:gridCol w:w="1966"/>
        <w:gridCol w:w="466"/>
        <w:gridCol w:w="4231"/>
      </w:tblGrid>
      <w:tr>
        <w:trPr/>
        <w:tc>
          <w:tcPr>
            <w:tcW w:w="19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1966" w:type="dxa"/>
            <w:tcBorders/>
            <w:vAlign w:val="center"/>
          </w:tcPr>
          <w:p>
            <w:pPr>
              <w:pStyle w:val="TableContents"/>
              <w:pBdr/>
              <w:bidi w:val="0"/>
              <w:spacing w:before="0" w:after="283"/>
              <w:ind w:left="0" w:right="0" w:hanging="240"/>
              <w:jc w:val="left"/>
              <w:rPr>
                <w:rFonts w:ascii="Arial" w:hAnsi="Arial"/>
                <w:color w:val="000000"/>
                <w:sz w:val="20"/>
              </w:rPr>
            </w:pPr>
            <w:r>
              <w:rPr>
                <w:rFonts w:ascii="Arial" w:hAnsi="Arial"/>
                <w:color w:val="000000"/>
                <w:sz w:val="20"/>
              </w:rPr>
              <w:t>Date: August 6, 2024</w:t>
            </w:r>
          </w:p>
        </w:tc>
        <w:tc>
          <w:tcPr>
            <w:tcW w:w="466" w:type="dxa"/>
            <w:tcBorders/>
            <w:tcMar>
              <w:top w:w="0" w:type="dxa"/>
              <w:left w:w="0" w:type="dxa"/>
              <w:bottom w:w="0" w:type="dxa"/>
              <w:right w:w="0" w:type="dxa"/>
            </w:tcMar>
            <w:vAlign w:val="center"/>
          </w:tcPr>
          <w:p>
            <w:pPr>
              <w:pStyle w:val="TableContents"/>
              <w:bidi w:val="0"/>
              <w:spacing w:before="0" w:after="20"/>
              <w:jc w:val="right"/>
              <w:rPr>
                <w:color w:val="000000"/>
              </w:rPr>
            </w:pPr>
            <w:r>
              <w:rPr>
                <w:color w:val="000000"/>
              </w:rPr>
              <w:t> </w:t>
            </w:r>
            <w:r>
              <w:rPr>
                <w:rFonts w:ascii="Arial" w:hAnsi="Arial"/>
                <w:color w:val="000000"/>
                <w:sz w:val="20"/>
              </w:rPr>
              <w:t>By:</w:t>
            </w:r>
          </w:p>
        </w:tc>
        <w:tc>
          <w:tcPr>
            <w:tcW w:w="4231" w:type="dxa"/>
            <w:tcBorders/>
            <w:tcMar>
              <w:top w:w="0" w:type="dxa"/>
              <w:left w:w="0" w:type="dxa"/>
              <w:bottom w:w="0" w:type="dxa"/>
              <w:right w:w="0" w:type="dxa"/>
            </w:tcMar>
            <w:vAlign w:val="center"/>
          </w:tcPr>
          <w:p>
            <w:pPr>
              <w:pStyle w:val="TableContents"/>
              <w:bidi w:val="0"/>
              <w:spacing w:before="0" w:after="283"/>
              <w:ind w:left="0" w:right="80" w:hanging="0"/>
              <w:jc w:val="center"/>
              <w:rPr>
                <w:rFonts w:ascii="Arial" w:hAnsi="Arial"/>
                <w:color w:val="000000"/>
                <w:sz w:val="20"/>
              </w:rPr>
            </w:pPr>
            <w:r>
              <w:rPr>
                <w:rFonts w:ascii="Arial" w:hAnsi="Arial"/>
                <w:color w:val="000000"/>
                <w:sz w:val="20"/>
              </w:rPr>
              <w:t>/s/ Cosmin Pitigoi</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ind w:left="0" w:right="80" w:hanging="0"/>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ind w:left="0" w:right="80" w:hanging="0"/>
              <w:jc w:val="center"/>
              <w:rPr>
                <w:rFonts w:ascii="Arial" w:hAnsi="Arial"/>
                <w:b/>
                <w:color w:val="000000"/>
                <w:sz w:val="20"/>
              </w:rPr>
            </w:pPr>
            <w:r>
              <w:rPr>
                <w:rFonts w:ascii="Arial" w:hAnsi="Arial"/>
                <w:b/>
                <w:color w:val="000000"/>
                <w:sz w:val="20"/>
              </w:rPr>
              <w:t>Cosmin Pitigoi</w:t>
            </w:r>
          </w:p>
        </w:tc>
      </w:tr>
      <w:tr>
        <w:trPr/>
        <w:tc>
          <w:tcPr>
            <w:tcW w:w="1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ind w:left="0" w:right="80" w:hanging="0"/>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0" w:after="283"/>
              <w:ind w:left="0" w:right="80" w:hanging="0"/>
              <w:jc w:val="center"/>
              <w:rPr>
                <w:rFonts w:ascii="Arial" w:hAnsi="Arial"/>
                <w:b/>
                <w:color w:val="000000"/>
                <w:sz w:val="20"/>
              </w:rPr>
            </w:pPr>
            <w:r>
              <w:rPr>
                <w:rFonts w:ascii="Arial" w:hAnsi="Arial"/>
                <w:b/>
                <w:color w:val="000000"/>
                <w:sz w:val="20"/>
              </w:rPr>
              <w:t>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ind w:left="0" w:right="80" w:hanging="0"/>
              <w:jc w:val="left"/>
              <w:rPr/>
            </w:pPr>
            <w:r>
              <w:rPr/>
              <w:t> </w:t>
            </w:r>
          </w:p>
        </w:tc>
        <w:tc>
          <w:tcPr>
            <w:tcW w:w="42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80560/000119312521178711/d109060dex31.htm" TargetMode="External"/><Relationship Id="rId4" Type="http://schemas.openxmlformats.org/officeDocument/2006/relationships/hyperlink" Target="https://www.sec.gov/Archives/edgar/data/1580560/000119312524071282/d783437dex3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64410</Words>
  <Characters>355029</Characters>
  <CharactersWithSpaces>421083</CharactersWithSpaces>
  <Paragraphs>9534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