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4355"/>
                    </a:xfrm>
                    <a:prstGeom prst="rect">
                      <a:avLst/>
                    </a:prstGeom>
                    <a:noFill/>
                  </pic:spPr>
                </pic:pic>
              </a:graphicData>
            </a:graphic>
          </wp:anchor>
        </w:drawing>
      </w:r>
    </w:p>
    <w:p>
      <w:pPr>
        <w:spacing w:after="0" w:line="111" w:lineRule="exact"/>
        <w:rPr>
          <w:sz w:val="24"/>
          <w:szCs w:val="24"/>
          <w:color w:val="auto"/>
        </w:rPr>
      </w:pPr>
    </w:p>
    <w:p>
      <w:pPr>
        <w:sectPr>
          <w:pgSz w:w="11900" w:h="16864"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11/23/2022</w:t>
      </w:r>
    </w:p>
    <w:p>
      <w:pPr>
        <w:spacing w:after="0" w:line="20" w:lineRule="exact"/>
        <w:rPr>
          <w:sz w:val="24"/>
          <w:szCs w:val="24"/>
          <w:color w:val="auto"/>
        </w:rPr>
      </w:pPr>
      <w:r>
        <w:rPr>
          <w:sz w:val="24"/>
          <w:szCs w:val="24"/>
          <w:color w:val="auto"/>
        </w:rPr>
        <w:br w:type="column"/>
      </w:r>
    </w:p>
    <w:p>
      <w:pPr>
        <w:ind w:left="-1" w:right="740" w:firstLine="1"/>
        <w:spacing w:after="0" w:line="268"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1" w:lineRule="exact"/>
        <w:rPr>
          <w:sz w:val="24"/>
          <w:szCs w:val="24"/>
          <w:color w:val="auto"/>
        </w:rPr>
      </w:pPr>
    </w:p>
    <w:p>
      <w:pPr>
        <w:sectPr>
          <w:pgSz w:w="11900" w:h="16864"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9"/>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4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jc w:val="center"/>
              <w:ind w:left="47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11/23/2022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0000FF"/>
                <w:w w:val="99"/>
              </w:rPr>
              <w:t>129,985</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40" w:type="dxa"/>
            <w:vAlign w:val="bottom"/>
            <w:gridSpan w:val="4"/>
          </w:tcPr>
          <w:p>
            <w:pPr>
              <w:jc w:val="right"/>
              <w:ind w:right="223"/>
              <w:spacing w:after="0"/>
              <w:rPr>
                <w:sz w:val="20"/>
                <w:szCs w:val="20"/>
                <w:color w:val="auto"/>
              </w:rPr>
            </w:pPr>
            <w:r>
              <w:rPr>
                <w:rFonts w:ascii="Times New Roman" w:cs="Times New Roman" w:eastAsia="Times New Roman" w:hAnsi="Times New Roman"/>
                <w:sz w:val="16"/>
                <w:szCs w:val="16"/>
                <w:color w:val="0000FF"/>
              </w:rPr>
              <w:t>1,334,964</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11/23/2022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129,985</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20.72</w:t>
            </w:r>
          </w:p>
        </w:tc>
        <w:tc>
          <w:tcPr>
            <w:tcW w:w="1240" w:type="dxa"/>
            <w:vAlign w:val="bottom"/>
            <w:gridSpan w:val="4"/>
            <w:vMerge w:val="restart"/>
          </w:tcPr>
          <w:p>
            <w:pPr>
              <w:jc w:val="right"/>
              <w:ind w:right="223"/>
              <w:spacing w:after="0"/>
              <w:rPr>
                <w:sz w:val="20"/>
                <w:szCs w:val="20"/>
                <w:color w:val="auto"/>
              </w:rPr>
            </w:pPr>
            <w:r>
              <w:rPr>
                <w:rFonts w:ascii="Times New Roman" w:cs="Times New Roman" w:eastAsia="Times New Roman" w:hAnsi="Times New Roman"/>
                <w:sz w:val="16"/>
                <w:szCs w:val="16"/>
                <w:color w:val="0000FF"/>
              </w:rPr>
              <w:t>1,204,979</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11/25/2022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0000FF"/>
                <w:w w:val="99"/>
              </w:rPr>
              <w:t>26,883</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240" w:type="dxa"/>
            <w:vAlign w:val="bottom"/>
            <w:gridSpan w:val="4"/>
          </w:tcPr>
          <w:p>
            <w:pPr>
              <w:jc w:val="right"/>
              <w:ind w:right="223"/>
              <w:spacing w:after="0"/>
              <w:rPr>
                <w:sz w:val="20"/>
                <w:szCs w:val="20"/>
                <w:color w:val="auto"/>
              </w:rPr>
            </w:pPr>
            <w:r>
              <w:rPr>
                <w:rFonts w:ascii="Times New Roman" w:cs="Times New Roman" w:eastAsia="Times New Roman" w:hAnsi="Times New Roman"/>
                <w:sz w:val="16"/>
                <w:szCs w:val="16"/>
                <w:color w:val="0000FF"/>
              </w:rPr>
              <w:t>1,304,388</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11/25/2022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26,883</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20.92</w:t>
            </w:r>
          </w:p>
        </w:tc>
        <w:tc>
          <w:tcPr>
            <w:tcW w:w="1240" w:type="dxa"/>
            <w:vAlign w:val="bottom"/>
            <w:gridSpan w:val="4"/>
            <w:vMerge w:val="restart"/>
          </w:tcPr>
          <w:p>
            <w:pPr>
              <w:jc w:val="right"/>
              <w:ind w:right="223"/>
              <w:spacing w:after="0"/>
              <w:rPr>
                <w:sz w:val="20"/>
                <w:szCs w:val="20"/>
                <w:color w:val="auto"/>
              </w:rPr>
            </w:pPr>
            <w:r>
              <w:rPr>
                <w:rFonts w:ascii="Times New Roman" w:cs="Times New Roman" w:eastAsia="Times New Roman" w:hAnsi="Times New Roman"/>
                <w:sz w:val="16"/>
                <w:szCs w:val="16"/>
                <w:color w:val="0000FF"/>
              </w:rPr>
              <w:t>1,277,505</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5"/>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5"/>
          </w:tcPr>
          <w:p>
            <w:pPr>
              <w:jc w:val="center"/>
              <w:ind w:left="4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3"/>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129,985</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11/23/2022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80"/>
              <w:spacing w:after="0" w:line="137" w:lineRule="exact"/>
              <w:rPr>
                <w:sz w:val="20"/>
                <w:szCs w:val="20"/>
                <w:color w:val="auto"/>
              </w:rPr>
            </w:pPr>
            <w:r>
              <w:rPr>
                <w:rFonts w:ascii="Times New Roman" w:cs="Times New Roman" w:eastAsia="Times New Roman" w:hAnsi="Times New Roman"/>
                <w:sz w:val="12"/>
                <w:szCs w:val="12"/>
                <w:color w:val="0000FF"/>
              </w:rPr>
              <w:t>129,985</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1,480,815</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26,883</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25" w:lineRule="exact"/>
              <w:rPr>
                <w:sz w:val="20"/>
                <w:szCs w:val="20"/>
                <w:color w:val="auto"/>
              </w:rPr>
            </w:pPr>
            <w:r>
              <w:rPr>
                <w:rFonts w:ascii="Times New Roman" w:cs="Times New Roman" w:eastAsia="Times New Roman" w:hAnsi="Times New Roman"/>
                <w:sz w:val="12"/>
                <w:szCs w:val="12"/>
                <w:color w:val="0000FF"/>
              </w:rPr>
              <w:t>11/25/2022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100"/>
              <w:spacing w:after="0" w:line="125" w:lineRule="exact"/>
              <w:rPr>
                <w:sz w:val="20"/>
                <w:szCs w:val="20"/>
                <w:color w:val="auto"/>
              </w:rPr>
            </w:pPr>
            <w:r>
              <w:rPr>
                <w:rFonts w:ascii="Times New Roman" w:cs="Times New Roman" w:eastAsia="Times New Roman" w:hAnsi="Times New Roman"/>
                <w:sz w:val="12"/>
                <w:szCs w:val="12"/>
                <w:color w:val="0000FF"/>
              </w:rPr>
              <w:t>26,883</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1,453,932</w:t>
            </w:r>
          </w:p>
        </w:tc>
        <w:tc>
          <w:tcPr>
            <w:tcW w:w="500" w:type="dxa"/>
            <w:vAlign w:val="bottom"/>
            <w:vMerge w:val="restart"/>
          </w:tcPr>
          <w:p>
            <w:pPr>
              <w:ind w:left="360"/>
              <w:spacing w:after="0" w:line="125"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ind w:left="60"/>
              <w:spacing w:after="0" w:line="86" w:lineRule="exact"/>
              <w:rPr>
                <w:sz w:val="20"/>
                <w:szCs w:val="20"/>
                <w:color w:val="auto"/>
              </w:rPr>
            </w:pPr>
            <w:r>
              <w:rPr>
                <w:rFonts w:ascii="Times New Roman" w:cs="Times New Roman" w:eastAsia="Times New Roman" w:hAnsi="Times New Roman"/>
                <w:sz w:val="9"/>
                <w:szCs w:val="9"/>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-5220335</wp:posOffset>
            </wp:positionV>
            <wp:extent cx="28575" cy="2208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ectPr>
          <w:pgSz w:w="11900" w:h="16864" w:orient="portrait"/>
          <w:cols w:equalWidth="0" w:num="1">
            <w:col w:w="11080"/>
          </w:cols>
          <w:pgMar w:left="460" w:top="213" w:right="359" w:bottom="0" w:gutter="0" w:footer="0" w:header="0"/>
          <w:type w:val="continuous"/>
        </w:sectPr>
      </w:pPr>
    </w:p>
    <w:p>
      <w:pPr>
        <w:spacing w:after="0" w:line="280"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64" w:orient="portrait"/>
          <w:cols w:equalWidth="0" w:num="1">
            <w:col w:w="11080"/>
          </w:cols>
          <w:pgMar w:left="460" w:top="213"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53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050" cy="5533390"/>
                    </a:xfrm>
                    <a:prstGeom prst="rect">
                      <a:avLst/>
                    </a:prstGeom>
                    <a:noFill/>
                  </pic:spPr>
                </pic:pic>
              </a:graphicData>
            </a:graphic>
          </wp:anchor>
        </w:drawing>
        <w:t>200 WEST STREET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10282-2198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jc w:val="both"/>
        <w:ind w:left="20" w:right="6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November 23, 2022, the reporting person consummated the sale of all 129,985 shares of Non-Voting Common Stock, resulting in the automatic conversion of such shares into Voting Common Stock upon the execution of the sale of such shares as reported in Table I.</w:t>
      </w:r>
    </w:p>
    <w:p>
      <w:pPr>
        <w:spacing w:after="0" w:line="17" w:lineRule="exact"/>
        <w:rPr>
          <w:rFonts w:ascii="Times New Roman" w:cs="Times New Roman" w:eastAsia="Times New Roman" w:hAnsi="Times New Roman"/>
          <w:sz w:val="12"/>
          <w:szCs w:val="12"/>
          <w:color w:val="008000"/>
        </w:rPr>
      </w:pPr>
    </w:p>
    <w:p>
      <w:pPr>
        <w:ind w:left="20" w:right="180" w:hanging="4"/>
        <w:spacing w:after="0" w:line="24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2"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5" w:lineRule="exact"/>
        <w:rPr>
          <w:rFonts w:ascii="Times New Roman" w:cs="Times New Roman" w:eastAsia="Times New Roman" w:hAnsi="Times New Roman"/>
          <w:sz w:val="12"/>
          <w:szCs w:val="12"/>
          <w:color w:val="008000"/>
        </w:rPr>
      </w:pPr>
    </w:p>
    <w:p>
      <w:pPr>
        <w:ind w:left="20" w:right="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5" w:lineRule="exact"/>
        <w:rPr>
          <w:rFonts w:ascii="Times New Roman" w:cs="Times New Roman" w:eastAsia="Times New Roman" w:hAnsi="Times New Roman"/>
          <w:sz w:val="12"/>
          <w:szCs w:val="12"/>
          <w:color w:val="008000"/>
        </w:rPr>
      </w:pPr>
    </w:p>
    <w:p>
      <w:pPr>
        <w:ind w:left="20" w:right="1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5" w:lineRule="exact"/>
        <w:rPr>
          <w:rFonts w:ascii="Times New Roman" w:cs="Times New Roman" w:eastAsia="Times New Roman" w:hAnsi="Times New Roman"/>
          <w:sz w:val="12"/>
          <w:szCs w:val="12"/>
          <w:color w:val="008000"/>
        </w:rPr>
      </w:pPr>
    </w:p>
    <w:p>
      <w:pPr>
        <w:ind w:left="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November 25, 2022, the reporting person consummated the sale of all 26,883 shares of Non-Voting Common Stock, resulting in the automatic conversion of such shares into Voting Common Stock upon the execution of the sale of such shares as reported in Table 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22"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2"/>
          <w:szCs w:val="32"/>
          <w:color w:val="0000FF"/>
          <w:vertAlign w:val="subscript"/>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64" w:right="519" w:bottom="5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2022-11-28T12:38:03Z</dcterms:created>
  <dcterms:modified xsi:type="dcterms:W3CDTF">2022-11-28T12:38:03Z</dcterms:modified>
</cp:coreProperties>
</file>