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June 3, 2022 (June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FLYWIRE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27-0690799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4" w:space="720"/>
            <w:col w:w="2740" w:space="720"/>
            <w:col w:w="2340"/>
          </w:cols>
          <w:pgMar w:left="436" w:top="376" w:right="439" w:bottom="1440" w:gutter="0" w:footer="0" w:header="0"/>
          <w:type w:val="continuous"/>
        </w:sectPr>
      </w:pPr>
    </w:p>
    <w:p>
      <w:pPr>
        <w:spacing w:after="0" w:line="1" w:lineRule="exact"/>
        <w:rPr>
          <w:sz w:val="24"/>
          <w:szCs w:val="24"/>
          <w:color w:val="auto"/>
        </w:rPr>
      </w:pPr>
    </w:p>
    <w:p>
      <w:pPr>
        <w:ind w:left="4764"/>
        <w:spacing w:after="0"/>
        <w:rPr>
          <w:sz w:val="20"/>
          <w:szCs w:val="20"/>
          <w:color w:val="auto"/>
        </w:rPr>
      </w:pPr>
      <w:r>
        <w:rPr>
          <w:rFonts w:ascii="Times New Roman" w:cs="Times New Roman" w:eastAsia="Times New Roman" w:hAnsi="Times New Roman"/>
          <w:sz w:val="18"/>
          <w:szCs w:val="18"/>
          <w:b w:val="1"/>
          <w:bCs w:val="1"/>
          <w:color w:val="auto"/>
        </w:rPr>
        <w:t>141 Tremont St #10</w:t>
      </w:r>
    </w:p>
    <w:p>
      <w:pPr>
        <w:spacing w:after="0" w:line="31" w:lineRule="exact"/>
        <w:rPr>
          <w:sz w:val="24"/>
          <w:szCs w:val="24"/>
          <w:color w:val="auto"/>
        </w:rPr>
      </w:pPr>
    </w:p>
    <w:p>
      <w:pPr>
        <w:ind w:left="4804"/>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(617) 329-4524</w:t>
      </w:r>
    </w:p>
    <w:p>
      <w:pPr>
        <w:spacing w:after="0" w:line="21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Voting Common Stock, $0.0001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6"/>
              </w:rPr>
              <w:t>FLYW</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At the 2022 annual meeting of stockholders (the “Annual Meeting”) of Flywire Corporation (the “Company”) held on June 2, 2022, the following proposals were submitted to the stockholders of the Company:</w:t>
      </w:r>
    </w:p>
    <w:p>
      <w:pPr>
        <w:spacing w:after="0" w:line="189" w:lineRule="exact"/>
        <w:rPr>
          <w:sz w:val="20"/>
          <w:szCs w:val="20"/>
          <w:color w:val="auto"/>
        </w:rPr>
      </w:pPr>
    </w:p>
    <w:p>
      <w:pPr>
        <w:ind w:left="1100" w:right="54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Proposal 1:</w:t>
        <w:tab/>
        <w:t>The election of three directors to serve as Class I directors until the Company’s 2025 annual meeting of stockholders or until their successors are duly elected and qualified.</w:t>
      </w:r>
    </w:p>
    <w:p>
      <w:pPr>
        <w:spacing w:after="0" w:line="189" w:lineRule="exact"/>
        <w:rPr>
          <w:sz w:val="20"/>
          <w:szCs w:val="20"/>
          <w:color w:val="auto"/>
        </w:rPr>
      </w:pPr>
    </w:p>
    <w:p>
      <w:pPr>
        <w:ind w:left="1100" w:right="2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Proposal 2:</w:t>
        <w:tab/>
        <w:t>The ratification of the appointment of PricewaterhouseCoopers LLP as the Company’s independent registered public accounting firm for the fiscal year ending December 31, 2022.</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more information about the foregoing proposals, see the Company’s definitive proxy statement on Schedule 14A filed with the United States Securities and Exchange Commission on April 20, 2022 (the “Proxy Statement”). Of the 101,115,862 shares of the Company’s voting common stock entitled to vote at the Annual Meeting, 91,109,226 shares, or approximately 90.1%, were represented at the meeting in person or by proxy, constituting a quorum. The number of votes cast for, against or withheld, as well as abstentions and broker non-votes, if applicable, in respect of each such proposal is set forth below:</w:t>
      </w:r>
    </w:p>
    <w:p>
      <w:pPr>
        <w:spacing w:after="0" w:line="21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Proposal 1:</w:t>
        <w:tab/>
        <w:t>Election of Directors.</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following directors to serve as Class I directors until the 2025 annual meeting of stockholders or until their successors are duly elected and qualified. The votes regarding the election of the directors were as follows:</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720" w:type="dxa"/>
            <w:vAlign w:val="bottom"/>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56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880" w:type="dxa"/>
            <w:vAlign w:val="bottom"/>
          </w:tcPr>
          <w:p>
            <w:pPr>
              <w:jc w:val="center"/>
              <w:ind w:left="695"/>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Yvonne Hao</w:t>
            </w:r>
          </w:p>
        </w:tc>
        <w:tc>
          <w:tcPr>
            <w:tcW w:w="272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rPr>
              <w:t>84,655,364</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149,666</w:t>
            </w:r>
          </w:p>
        </w:tc>
        <w:tc>
          <w:tcPr>
            <w:tcW w:w="1880" w:type="dxa"/>
            <w:vAlign w:val="bottom"/>
          </w:tcPr>
          <w:p>
            <w:pPr>
              <w:jc w:val="center"/>
              <w:ind w:left="715"/>
              <w:spacing w:after="0"/>
              <w:rPr>
                <w:sz w:val="20"/>
                <w:szCs w:val="20"/>
                <w:color w:val="auto"/>
              </w:rPr>
            </w:pPr>
            <w:r>
              <w:rPr>
                <w:rFonts w:ascii="Times New Roman" w:cs="Times New Roman" w:eastAsia="Times New Roman" w:hAnsi="Times New Roman"/>
                <w:sz w:val="18"/>
                <w:szCs w:val="18"/>
                <w:color w:val="auto"/>
                <w:w w:val="99"/>
              </w:rPr>
              <w:t>6,304,196</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Michael Massaro</w:t>
            </w:r>
          </w:p>
        </w:tc>
        <w:tc>
          <w:tcPr>
            <w:tcW w:w="272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rPr>
              <w:t>75,786,909</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9,018,121</w:t>
            </w:r>
          </w:p>
        </w:tc>
        <w:tc>
          <w:tcPr>
            <w:tcW w:w="1880" w:type="dxa"/>
            <w:vAlign w:val="bottom"/>
          </w:tcPr>
          <w:p>
            <w:pPr>
              <w:jc w:val="center"/>
              <w:ind w:left="715"/>
              <w:spacing w:after="0"/>
              <w:rPr>
                <w:sz w:val="20"/>
                <w:szCs w:val="20"/>
                <w:color w:val="auto"/>
              </w:rPr>
            </w:pPr>
            <w:r>
              <w:rPr>
                <w:rFonts w:ascii="Times New Roman" w:cs="Times New Roman" w:eastAsia="Times New Roman" w:hAnsi="Times New Roman"/>
                <w:sz w:val="18"/>
                <w:szCs w:val="18"/>
                <w:color w:val="auto"/>
                <w:w w:val="99"/>
              </w:rPr>
              <w:t>6,304,196</w:t>
            </w: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Jo Natauri</w:t>
            </w:r>
          </w:p>
        </w:tc>
        <w:tc>
          <w:tcPr>
            <w:tcW w:w="272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8"/>
              </w:rPr>
              <w:t>74,216,114</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10,588,916</w:t>
            </w:r>
          </w:p>
        </w:tc>
        <w:tc>
          <w:tcPr>
            <w:tcW w:w="1880" w:type="dxa"/>
            <w:vAlign w:val="bottom"/>
          </w:tcPr>
          <w:p>
            <w:pPr>
              <w:jc w:val="center"/>
              <w:ind w:left="715"/>
              <w:spacing w:after="0"/>
              <w:rPr>
                <w:sz w:val="20"/>
                <w:szCs w:val="20"/>
                <w:color w:val="auto"/>
              </w:rPr>
            </w:pPr>
            <w:r>
              <w:rPr>
                <w:rFonts w:ascii="Times New Roman" w:cs="Times New Roman" w:eastAsia="Times New Roman" w:hAnsi="Times New Roman"/>
                <w:sz w:val="18"/>
                <w:szCs w:val="18"/>
                <w:color w:val="auto"/>
                <w:w w:val="99"/>
              </w:rPr>
              <w:t>6,304,196</w:t>
            </w:r>
          </w:p>
        </w:tc>
      </w:tr>
    </w:tbl>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Proposal 2:</w:t>
      </w:r>
      <w:r>
        <w:rPr>
          <w:sz w:val="20"/>
          <w:szCs w:val="20"/>
          <w:color w:val="auto"/>
        </w:rPr>
        <w:tab/>
      </w:r>
      <w:r>
        <w:rPr>
          <w:rFonts w:ascii="Times New Roman" w:cs="Times New Roman" w:eastAsia="Times New Roman" w:hAnsi="Times New Roman"/>
          <w:sz w:val="17"/>
          <w:szCs w:val="17"/>
          <w:color w:val="auto"/>
        </w:rPr>
        <w:t>Ratification of Appointment of PricewaterhouseCoopers LLP.</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PricewaterhouseCoopers LLP as the Company’s independent registered public accounting firm for the fiscal year ending December 31, 2022. The votes regarding this proposal were as follows:</w:t>
      </w:r>
    </w:p>
    <w:p>
      <w:pPr>
        <w:spacing w:after="0" w:line="170"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Abstaining</w:t>
            </w:r>
          </w:p>
        </w:tc>
        <w:tc>
          <w:tcPr>
            <w:tcW w:w="0" w:type="dxa"/>
            <w:vAlign w:val="bottom"/>
          </w:tcPr>
          <w:p>
            <w:pPr>
              <w:spacing w:after="0"/>
              <w:rPr>
                <w:sz w:val="1"/>
                <w:szCs w:val="1"/>
                <w:color w:val="auto"/>
              </w:rPr>
            </w:pPr>
          </w:p>
        </w:tc>
      </w:tr>
      <w:tr>
        <w:trPr>
          <w:trHeight w:val="187"/>
        </w:trPr>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580" w:type="dxa"/>
            <w:vAlign w:val="bottom"/>
            <w:gridSpan w:val="2"/>
            <w:vMerge w:val="continue"/>
          </w:tcPr>
          <w:p>
            <w:pPr>
              <w:spacing w:after="0"/>
              <w:rPr>
                <w:sz w:val="16"/>
                <w:szCs w:val="16"/>
                <w:color w:val="auto"/>
              </w:rPr>
            </w:pPr>
          </w:p>
        </w:tc>
        <w:tc>
          <w:tcPr>
            <w:tcW w:w="2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90,991,018</w:t>
            </w:r>
          </w:p>
        </w:tc>
        <w:tc>
          <w:tcPr>
            <w:tcW w:w="120" w:type="dxa"/>
            <w:vAlign w:val="bottom"/>
          </w:tcPr>
          <w:p>
            <w:pPr>
              <w:spacing w:after="0"/>
              <w:rPr>
                <w:sz w:val="19"/>
                <w:szCs w:val="19"/>
                <w:color w:val="auto"/>
              </w:rPr>
            </w:pPr>
          </w:p>
        </w:tc>
        <w:tc>
          <w:tcPr>
            <w:tcW w:w="252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46,952</w:t>
            </w:r>
          </w:p>
        </w:tc>
        <w:tc>
          <w:tcPr>
            <w:tcW w:w="60" w:type="dxa"/>
            <w:vAlign w:val="bottom"/>
          </w:tcPr>
          <w:p>
            <w:pPr>
              <w:spacing w:after="0"/>
              <w:rPr>
                <w:sz w:val="19"/>
                <w:szCs w:val="19"/>
                <w:color w:val="auto"/>
              </w:rPr>
            </w:pPr>
          </w:p>
        </w:tc>
        <w:tc>
          <w:tcPr>
            <w:tcW w:w="254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71,256</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2" w:name="page3"/>
    <w:bookmarkEnd w:id="2"/>
    <w:p>
      <w:pPr>
        <w:ind w:left="5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FLYWIRE CORPORATION</w:t>
            </w:r>
          </w:p>
        </w:tc>
        <w:tc>
          <w:tcPr>
            <w:tcW w:w="2140" w:type="dxa"/>
            <w:vAlign w:val="bottom"/>
          </w:tcPr>
          <w:p>
            <w:pPr>
              <w:spacing w:after="0"/>
              <w:rPr>
                <w:sz w:val="20"/>
                <w:szCs w:val="20"/>
                <w:color w:val="auto"/>
              </w:rPr>
            </w:pPr>
          </w:p>
        </w:tc>
      </w:tr>
      <w:tr>
        <w:trPr>
          <w:trHeight w:val="43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Ellis</w:t>
            </w:r>
          </w:p>
        </w:tc>
      </w:tr>
      <w:tr>
        <w:trPr>
          <w:trHeight w:val="205"/>
        </w:trPr>
        <w:tc>
          <w:tcPr>
            <w:tcW w:w="2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21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Ellis</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Dated June 3, 2022</w:t>
            </w:r>
          </w:p>
        </w:tc>
        <w:tc>
          <w:tcPr>
            <w:tcW w:w="21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2022-06-03T15:46:59Z</dcterms:created>
  <dcterms:modified xsi:type="dcterms:W3CDTF">2022-06-03T15:46:59Z</dcterms:modified>
</cp:coreProperties>
</file>