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08/23/2022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08/23/2022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40,872</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558,178</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08/23/2022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40,872</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25.41</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517,306</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08/24/2022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51,494</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633,032</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08/24/2022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51,494</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25.81</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581,538</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40,872</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08/23/2022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40,872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3,753,237</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51,494</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08/24/2022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51,494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3,701,743</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-5528945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23, 2022, the reporting person consummated the sale of all 40,872 shares of Non-Voting Common Stock, resulting in the automatic conversion of such shares into Voting Common Stock upon the execution of the sale of such shares as reported in Table I.</w:t>
      </w:r>
    </w:p>
    <w:p>
      <w:pPr>
        <w:spacing w:after="0" w:line="24"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21" w:lineRule="exact"/>
        <w:rPr>
          <w:rFonts w:ascii="Times New Roman" w:cs="Times New Roman" w:eastAsia="Times New Roman" w:hAnsi="Times New Roman"/>
          <w:sz w:val="13"/>
          <w:szCs w:val="13"/>
          <w:color w:val="008000"/>
        </w:rPr>
      </w:pPr>
    </w:p>
    <w:p>
      <w:pPr>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24, 2022, the reporting person consummated the sale of all 51,494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08/25/2022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08/25/2022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08/25/2022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08/25/2022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08/25/2022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08/25/2022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4"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2022-08-25T17:32:52Z</dcterms:created>
  <dcterms:modified xsi:type="dcterms:W3CDTF">2022-08-25T17:32:52Z</dcterms:modified>
</cp:coreProperties>
</file>