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302492103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302492103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AllianceBernstein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13-4064930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5,271,864</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5,672,843</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37,102</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5,709,945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40" w:right="8120" w:hanging="627"/>
        <w:spacing w:after="0" w:line="286" w:lineRule="auto"/>
        <w:tabs>
          <w:tab w:leader="none" w:pos="154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Flywire Corp</w:t>
      </w:r>
    </w:p>
    <w:p>
      <w:pPr>
        <w:spacing w:after="0" w:line="45" w:lineRule="exact"/>
        <w:rPr>
          <w:rFonts w:ascii="Times New Roman" w:cs="Times New Roman" w:eastAsia="Times New Roman" w:hAnsi="Times New Roman"/>
          <w:sz w:val="21"/>
          <w:szCs w:val="21"/>
          <w:b w:val="1"/>
          <w:bCs w:val="1"/>
          <w:color w:val="auto"/>
        </w:rPr>
      </w:pPr>
    </w:p>
    <w:p>
      <w:pPr>
        <w:ind w:left="1540" w:hanging="627"/>
        <w:spacing w:after="0"/>
        <w:tabs>
          <w:tab w:leader="none" w:pos="15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5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141 TREMONT STREET,, SUITE 10, BOSTON, MA 02111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540" w:hanging="627"/>
        <w:spacing w:after="0"/>
        <w:tabs>
          <w:tab w:leader="none" w:pos="1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5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AllianceBernstein L.P. ("AllianceBernstein L.P.")</w:t>
      </w:r>
    </w:p>
    <w:p>
      <w:pPr>
        <w:spacing w:after="0" w:line="97" w:lineRule="exact"/>
        <w:rPr>
          <w:rFonts w:ascii="Times New Roman" w:cs="Times New Roman" w:eastAsia="Times New Roman" w:hAnsi="Times New Roman"/>
          <w:sz w:val="22"/>
          <w:szCs w:val="22"/>
          <w:b w:val="1"/>
          <w:bCs w:val="1"/>
          <w:color w:val="auto"/>
        </w:rPr>
      </w:pPr>
    </w:p>
    <w:p>
      <w:pPr>
        <w:ind w:left="1540" w:right="4120" w:hanging="627"/>
        <w:spacing w:after="0" w:line="286" w:lineRule="auto"/>
        <w:tabs>
          <w:tab w:leader="none" w:pos="15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1345 Avenue of the Americas, New York, NY 10105</w:t>
      </w:r>
    </w:p>
    <w:p>
      <w:pPr>
        <w:spacing w:after="0" w:line="157" w:lineRule="exact"/>
        <w:rPr>
          <w:rFonts w:ascii="Times New Roman" w:cs="Times New Roman" w:eastAsia="Times New Roman" w:hAnsi="Times New Roman"/>
          <w:sz w:val="21"/>
          <w:szCs w:val="21"/>
          <w:b w:val="1"/>
          <w:bCs w:val="1"/>
          <w:color w:val="auto"/>
        </w:rPr>
      </w:pPr>
    </w:p>
    <w:p>
      <w:pPr>
        <w:ind w:left="1540" w:right="220"/>
        <w:spacing w:after="0" w:line="25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All media outlets, please contact Jennifer Will at AllianceBernstein (212-969-1157) with any questions. All other questions can be directed to Section13USFilings@alliancebernstein.com.</w:t>
      </w:r>
    </w:p>
    <w:p>
      <w:pPr>
        <w:spacing w:after="0" w:line="73" w:lineRule="exact"/>
        <w:rPr>
          <w:rFonts w:ascii="Times New Roman" w:cs="Times New Roman" w:eastAsia="Times New Roman" w:hAnsi="Times New Roman"/>
          <w:sz w:val="21"/>
          <w:szCs w:val="21"/>
          <w:b w:val="1"/>
          <w:bCs w:val="1"/>
          <w:color w:val="auto"/>
        </w:rPr>
      </w:pPr>
    </w:p>
    <w:p>
      <w:pPr>
        <w:ind w:left="1540" w:right="8460" w:hanging="627"/>
        <w:spacing w:after="0" w:line="286" w:lineRule="auto"/>
        <w:tabs>
          <w:tab w:leader="none" w:pos="15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Delaware</w:t>
      </w:r>
    </w:p>
    <w:p>
      <w:pPr>
        <w:spacing w:after="0" w:line="45" w:lineRule="exact"/>
        <w:rPr>
          <w:rFonts w:ascii="Times New Roman" w:cs="Times New Roman" w:eastAsia="Times New Roman" w:hAnsi="Times New Roman"/>
          <w:sz w:val="21"/>
          <w:szCs w:val="21"/>
          <w:b w:val="1"/>
          <w:bCs w:val="1"/>
          <w:color w:val="auto"/>
        </w:rPr>
      </w:pPr>
    </w:p>
    <w:p>
      <w:pPr>
        <w:ind w:left="1540" w:right="7120" w:hanging="627"/>
        <w:spacing w:after="0" w:line="262" w:lineRule="auto"/>
        <w:tabs>
          <w:tab w:leader="none" w:pos="1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40" w:right="8040" w:hanging="627"/>
        <w:spacing w:after="0" w:line="286" w:lineRule="auto"/>
        <w:tabs>
          <w:tab w:leader="none" w:pos="15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302492103</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60"/>
          </w:cols>
          <w:pgMar w:left="400" w:top="419" w:right="439" w:bottom="0" w:gutter="0" w:footer="0" w:header="0"/>
        </w:sectPr>
      </w:pPr>
    </w:p>
    <w:p>
      <w:pPr>
        <w:spacing w:after="0" w:line="129"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80"/>
            <w:col w:w="8700"/>
          </w:cols>
          <w:pgMar w:left="400" w:top="419" w:right="439" w:bottom="0" w:gutter="0" w:footer="0" w:header="0"/>
          <w:type w:val="continuous"/>
        </w:sect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540" w:hanging="627"/>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40" w:right="74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5,709,945 shares acquired solely for investment purposes on behalf of client discretionary investment advisory accounts.*</w:t>
      </w:r>
    </w:p>
    <w:p>
      <w:pPr>
        <w:spacing w:after="0" w:line="77" w:lineRule="exact"/>
        <w:rPr>
          <w:rFonts w:ascii="Times New Roman" w:cs="Times New Roman" w:eastAsia="Times New Roman" w:hAnsi="Times New Roman"/>
          <w:sz w:val="22"/>
          <w:szCs w:val="22"/>
          <w:color w:val="auto"/>
        </w:rPr>
      </w:pPr>
    </w:p>
    <w:p>
      <w:pPr>
        <w:ind w:left="1540" w:hanging="627"/>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60"/>
          </w:cols>
          <w:pgMar w:left="400" w:top="419" w:right="439" w:bottom="0" w:gutter="0" w:footer="0" w:header="0"/>
          <w:type w:val="continuous"/>
        </w:sectPr>
      </w:pPr>
    </w:p>
    <w:p>
      <w:pPr>
        <w:spacing w:after="0" w:line="1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5.5%</w:t>
      </w:r>
    </w:p>
    <w:p>
      <w:pPr>
        <w:spacing w:after="0" w:line="125" w:lineRule="exact"/>
        <w:rPr>
          <w:sz w:val="20"/>
          <w:szCs w:val="20"/>
          <w:color w:val="auto"/>
        </w:rPr>
      </w:pPr>
    </w:p>
    <w:p>
      <w:pPr>
        <w:ind w:left="1540" w:hanging="627"/>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60" w:hanging="812"/>
        <w:spacing w:after="0"/>
        <w:tabs>
          <w:tab w:leader="none" w:pos="23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60" w:hanging="812"/>
        <w:spacing w:after="0"/>
        <w:tabs>
          <w:tab w:leader="none" w:pos="23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60" w:hanging="812"/>
        <w:spacing w:after="0"/>
        <w:tabs>
          <w:tab w:leader="none" w:pos="236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60" w:right="780" w:hanging="812"/>
        <w:spacing w:after="0" w:line="185" w:lineRule="auto"/>
        <w:tabs>
          <w:tab w:leader="none" w:pos="236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5,271,864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5,672,843</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37,102</w:t>
      </w:r>
    </w:p>
    <w:p>
      <w:pPr>
        <w:spacing w:after="0" w:line="246" w:lineRule="exact"/>
        <w:rPr>
          <w:sz w:val="20"/>
          <w:szCs w:val="20"/>
          <w:color w:val="auto"/>
        </w:rPr>
      </w:pPr>
    </w:p>
    <w:p>
      <w:pPr>
        <w:sectPr>
          <w:pgSz w:w="11900" w:h="16838" w:orient="portrait"/>
          <w:cols w:equalWidth="0" w:num="2">
            <w:col w:w="6540" w:space="280"/>
            <w:col w:w="4240"/>
          </w:cols>
          <w:pgMar w:left="400" w:top="419" w:right="439" w:bottom="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*AllianceBernstein L.P. is a majority owned subsidiary of Equitable Holdings, Inc. ("EQH"). AllianceBernstein operates under</w:t>
      </w:r>
    </w:p>
    <w:p>
      <w:pPr>
        <w:sectPr>
          <w:pgSz w:w="11900" w:h="16838" w:orient="portrait"/>
          <w:cols w:equalWidth="0" w:num="1">
            <w:col w:w="11060"/>
          </w:cols>
          <w:pgMar w:left="400" w:top="419" w:right="439" w:bottom="0" w:gutter="0" w:footer="0" w:header="0"/>
          <w:type w:val="continuous"/>
        </w:sectPr>
      </w:pPr>
    </w:p>
    <w:bookmarkStart w:id="3" w:name="page4"/>
    <w:bookmarkEnd w:id="3"/>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8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Melissa Guerra</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Name: Melissa Guerra</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Vice President</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2023-02-14T05:30:22Z</dcterms:created>
  <dcterms:modified xsi:type="dcterms:W3CDTF">2023-02-14T05:30:22Z</dcterms:modified>
</cp:coreProperties>
</file>