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614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61403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Harris Matthew C</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180"/>
        <w:spacing w:after="0" w:line="268" w:lineRule="auto"/>
        <w:rPr>
          <w:sz w:val="20"/>
          <w:szCs w:val="20"/>
          <w:color w:val="auto"/>
        </w:rPr>
      </w:pPr>
      <w:r>
        <w:rPr>
          <w:rFonts w:ascii="Arial" w:cs="Arial" w:eastAsia="Arial" w:hAnsi="Arial"/>
          <w:sz w:val="18"/>
          <w:szCs w:val="18"/>
          <w:color w:val="0000FF"/>
        </w:rPr>
        <w:t>C/O BAIN CAPITAL VENTURE INVESTORS, LLC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CLARENDON STREET</w:t>
      </w:r>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6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420" w:type="dxa"/>
            <w:vAlign w:val="bottom"/>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240" w:type="dxa"/>
            <w:vAlign w:val="bottom"/>
            <w:gridSpan w:val="3"/>
          </w:tcPr>
          <w:p>
            <w:pPr>
              <w:ind w:left="80"/>
              <w:spacing w:after="0"/>
              <w:rPr>
                <w:sz w:val="20"/>
                <w:szCs w:val="20"/>
                <w:color w:val="auto"/>
              </w:rPr>
            </w:pPr>
            <w:r>
              <w:rPr>
                <w:rFonts w:ascii="Arial" w:cs="Arial" w:eastAsia="Arial" w:hAnsi="Arial"/>
                <w:sz w:val="18"/>
                <w:szCs w:val="18"/>
                <w:color w:val="0000FF"/>
              </w:rPr>
              <w:t>05/18/2023</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380"/>
              <w:spacing w:after="0"/>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26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6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60" w:type="dxa"/>
            <w:vAlign w:val="bottom"/>
          </w:tcPr>
          <w:p>
            <w:pPr>
              <w:ind w:left="6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gridSpan w:val="3"/>
            <w:vMerge w:val="restart"/>
          </w:tcPr>
          <w:p>
            <w:pPr>
              <w:ind w:left="60"/>
              <w:spacing w:after="0"/>
              <w:rPr>
                <w:sz w:val="20"/>
                <w:szCs w:val="20"/>
                <w:color w:val="auto"/>
              </w:rPr>
            </w:pPr>
            <w:r>
              <w:rPr>
                <w:rFonts w:ascii="Arial" w:cs="Arial" w:eastAsia="Arial" w:hAnsi="Arial"/>
                <w:sz w:val="18"/>
                <w:szCs w:val="18"/>
                <w:color w:val="0000FF"/>
              </w:rPr>
              <w:t>Voting Common Stock</w:t>
            </w:r>
          </w:p>
        </w:tc>
        <w:tc>
          <w:tcPr>
            <w:tcW w:w="1940" w:type="dxa"/>
            <w:vAlign w:val="bottom"/>
            <w:gridSpan w:val="2"/>
            <w:vMerge w:val="restart"/>
          </w:tcPr>
          <w:p>
            <w:pPr>
              <w:ind w:left="420"/>
              <w:spacing w:after="0"/>
              <w:rPr>
                <w:sz w:val="20"/>
                <w:szCs w:val="20"/>
                <w:color w:val="auto"/>
              </w:rPr>
            </w:pPr>
            <w:r>
              <w:rPr>
                <w:rFonts w:ascii="Arial" w:cs="Arial" w:eastAsia="Arial" w:hAnsi="Arial"/>
                <w:sz w:val="18"/>
                <w:szCs w:val="18"/>
                <w:color w:val="0000FF"/>
              </w:rPr>
              <w:t>05/18/2023</w:t>
            </w:r>
          </w:p>
        </w:tc>
        <w:tc>
          <w:tcPr>
            <w:tcW w:w="72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0000FF"/>
                <w:w w:val="89"/>
              </w:rPr>
              <w:t>1,000,000</w:t>
            </w:r>
          </w:p>
        </w:tc>
        <w:tc>
          <w:tcPr>
            <w:tcW w:w="38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640" w:type="dxa"/>
            <w:vAlign w:val="bottom"/>
            <w:gridSpan w:val="2"/>
            <w:vMerge w:val="restart"/>
          </w:tcPr>
          <w:p>
            <w:pPr>
              <w:ind w:left="22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30.6</w:t>
            </w:r>
          </w:p>
        </w:tc>
        <w:tc>
          <w:tcPr>
            <w:tcW w:w="1600" w:type="dxa"/>
            <w:vAlign w:val="bottom"/>
            <w:gridSpan w:val="2"/>
            <w:vMerge w:val="restart"/>
          </w:tcPr>
          <w:p>
            <w:pPr>
              <w:jc w:val="right"/>
              <w:ind w:right="519"/>
              <w:spacing w:after="0"/>
              <w:rPr>
                <w:sz w:val="20"/>
                <w:szCs w:val="20"/>
                <w:color w:val="auto"/>
              </w:rPr>
            </w:pPr>
            <w:r>
              <w:rPr>
                <w:rFonts w:ascii="Arial" w:cs="Arial" w:eastAsia="Arial" w:hAnsi="Arial"/>
                <w:sz w:val="18"/>
                <w:szCs w:val="18"/>
                <w:color w:val="0000FF"/>
              </w:rPr>
              <w:t>7,795,388</w:t>
            </w:r>
          </w:p>
        </w:tc>
        <w:tc>
          <w:tcPr>
            <w:tcW w:w="100" w:type="dxa"/>
            <w:vAlign w:val="bottom"/>
            <w:vMerge w:val="restart"/>
          </w:tcPr>
          <w:p>
            <w:pPr>
              <w:jc w:val="center"/>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60" w:type="dxa"/>
            <w:vAlign w:val="bottom"/>
            <w:gridSpan w:val="3"/>
            <w:vMerge w:val="continue"/>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80" w:type="dxa"/>
            <w:vAlign w:val="bottom"/>
            <w:gridSpan w:val="4"/>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60" w:type="dxa"/>
            <w:vAlign w:val="bottom"/>
            <w:gridSpan w:val="3"/>
          </w:tcPr>
          <w:p>
            <w:pPr>
              <w:ind w:left="60"/>
              <w:spacing w:after="0"/>
              <w:rPr>
                <w:sz w:val="20"/>
                <w:szCs w:val="20"/>
                <w:color w:val="auto"/>
              </w:rPr>
            </w:pPr>
            <w:r>
              <w:rPr>
                <w:rFonts w:ascii="Arial" w:cs="Arial" w:eastAsia="Arial" w:hAnsi="Arial"/>
                <w:sz w:val="18"/>
                <w:szCs w:val="18"/>
                <w:color w:val="0000FF"/>
              </w:rPr>
              <w:t>Voting Common Stock</w:t>
            </w:r>
          </w:p>
        </w:tc>
        <w:tc>
          <w:tcPr>
            <w:tcW w:w="1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0" w:type="dxa"/>
            <w:vAlign w:val="bottom"/>
            <w:gridSpan w:val="2"/>
          </w:tcPr>
          <w:p>
            <w:pPr>
              <w:jc w:val="right"/>
              <w:ind w:right="639"/>
              <w:spacing w:after="0"/>
              <w:rPr>
                <w:sz w:val="20"/>
                <w:szCs w:val="20"/>
                <w:color w:val="auto"/>
              </w:rPr>
            </w:pPr>
            <w:r>
              <w:rPr>
                <w:rFonts w:ascii="Arial" w:cs="Arial" w:eastAsia="Arial" w:hAnsi="Arial"/>
                <w:sz w:val="18"/>
                <w:szCs w:val="18"/>
                <w:color w:val="0000FF"/>
              </w:rPr>
              <w:t>19,224</w:t>
            </w:r>
          </w:p>
        </w:tc>
        <w:tc>
          <w:tcPr>
            <w:tcW w:w="860" w:type="dxa"/>
            <w:vAlign w:val="bottom"/>
            <w:gridSpan w:val="2"/>
          </w:tcPr>
          <w:p>
            <w:pPr>
              <w:jc w:val="center"/>
              <w:ind w:right="634"/>
              <w:spacing w:after="0"/>
              <w:rPr>
                <w:sz w:val="20"/>
                <w:szCs w:val="20"/>
                <w:color w:val="auto"/>
              </w:rPr>
            </w:pPr>
            <w:r>
              <w:rPr>
                <w:rFonts w:ascii="Arial" w:cs="Arial" w:eastAsia="Arial" w:hAnsi="Arial"/>
                <w:sz w:val="18"/>
                <w:szCs w:val="18"/>
                <w:color w:val="0000FF"/>
                <w:w w:val="91"/>
              </w:rPr>
              <w:t>D</w:t>
            </w: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8"/>
          </w:tcPr>
          <w:p>
            <w:pPr>
              <w:spacing w:after="0"/>
              <w:rPr>
                <w:sz w:val="8"/>
                <w:szCs w:val="8"/>
                <w:color w:val="auto"/>
              </w:rPr>
            </w:pPr>
          </w:p>
        </w:tc>
        <w:tc>
          <w:tcPr>
            <w:tcW w:w="164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1"/>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90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1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Consists of securities held by Bain Capital Venture Fund 2014, L.P. ("BCV Fund 2014"), Bain Capital Venture Fund 2016, L.P. ("BCV Fund 2016"), Bain Capital Venture Coinvestment Fund II, L.P. ("BCV Coinvest Fund II"), BCV 2019-MD Coinvestment II, L.P. ("BCV 2019-MD Coinvest II"), BCIP Venture Associates ("BCIP Venture"), BCIP Venture Associates-B ("BCIP Venture-B"), BCIP Venture Associates II, LP ("BCIP Venture II") and BCIP Venture Associates II-B, LP ("BCIP Venture II-B" and, together with BCV Fund 2014, BCV Fund 2016, BCV Coinvest Fund II, BCV 2019-MD Coinvest II, BCIP Venture, BCIP Venture-B and BCIP Venture II, the "Bain Capital Venture Entities").</w:t>
      </w:r>
    </w:p>
    <w:p>
      <w:pPr>
        <w:spacing w:after="0" w:line="31" w:lineRule="exact"/>
        <w:rPr>
          <w:rFonts w:ascii="Arial" w:cs="Arial" w:eastAsia="Arial" w:hAnsi="Arial"/>
          <w:sz w:val="14"/>
          <w:szCs w:val="14"/>
          <w:color w:val="008000"/>
        </w:rPr>
      </w:pPr>
    </w:p>
    <w:p>
      <w:pPr>
        <w:ind w:left="40" w:right="22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Bain Capital Venture Investors, LLC ("BCVI") (i) is the ultimate general partner of BCV Fund 2014, BCV Fund 2016, BCV Coinvest Fund II and BCV 2019-MD Coinvest II and (ii) governs the investment strategy and decision-making process with respect to investments held by BCIP Venture, BCIP Venture-B, BCIP Venture II and BCIP Venture II-B. Mr. Harris is a Partner of BCVI. By virtue of the relationships described in this footnote, Mr. Harris may be deemed to share voting and dispositive power with respect to the securities held by the Bain Capital Venture Entities. Mr. Harris disclaims beneficial ownership of such securities except to the extent of his pecuniary interest therein.</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Arial" w:cs="Arial" w:eastAsia="Arial" w:hAnsi="Arial"/>
                <w:sz w:val="18"/>
                <w:szCs w:val="18"/>
                <w:color w:val="0000FF"/>
              </w:rPr>
              <w:t>/s/ Matthew C Harris</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05/22/2023</w:t>
            </w:r>
          </w:p>
        </w:tc>
      </w:tr>
      <w:tr>
        <w:trPr>
          <w:trHeight w:val="20"/>
        </w:trPr>
        <w:tc>
          <w:tcPr>
            <w:tcW w:w="1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602"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2023-05-22T15:38:12Z</dcterms:created>
  <dcterms:modified xsi:type="dcterms:W3CDTF">2023-05-22T15:38:12Z</dcterms:modified>
</cp:coreProperties>
</file>