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-230505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6997065" cy="5318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5318125"/>
                    </a:xfrm>
                    <a:prstGeom prst="rect">
                      <a:avLst/>
                    </a:prstGeom>
                    <a:noFill/>
                  </pic:spPr>
                </pic:pic>
              </a:graphicData>
            </a:graphic>
          </wp:anchor>
        </w:drawing>
      </w:r>
    </w:p>
    <w:p>
      <w:pPr>
        <w:spacing w:after="0" w:line="83"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Harris Matthew C</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80"/>
        <w:spacing w:after="0" w:line="359" w:lineRule="auto"/>
        <w:rPr>
          <w:sz w:val="20"/>
          <w:szCs w:val="20"/>
          <w:color w:val="auto"/>
        </w:rPr>
      </w:pPr>
      <w:r>
        <w:rPr>
          <w:rFonts w:ascii="Arial" w:cs="Arial" w:eastAsia="Arial" w:hAnsi="Arial"/>
          <w:sz w:val="16"/>
          <w:szCs w:val="16"/>
          <w:color w:val="0000FF"/>
        </w:rPr>
        <w:t>C/O BAIN CAPITAL VENTURE INVESTORS, LLC 200 CLARENDON STREET</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4"/>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6"/>
                <w:szCs w:val="16"/>
                <w:color w:val="0000FF"/>
              </w:rPr>
              <w:t>BOSTON</w:t>
            </w:r>
          </w:p>
        </w:tc>
        <w:tc>
          <w:tcPr>
            <w:tcW w:w="1080" w:type="dxa"/>
            <w:vAlign w:val="bottom"/>
          </w:tcPr>
          <w:p>
            <w:pPr>
              <w:ind w:left="280"/>
              <w:spacing w:after="0"/>
              <w:rPr>
                <w:sz w:val="20"/>
                <w:szCs w:val="20"/>
                <w:color w:val="auto"/>
              </w:rPr>
            </w:pPr>
            <w:r>
              <w:rPr>
                <w:rFonts w:ascii="Arial" w:cs="Arial" w:eastAsia="Arial" w:hAnsi="Arial"/>
                <w:sz w:val="16"/>
                <w:szCs w:val="16"/>
                <w:color w:val="0000FF"/>
              </w:rPr>
              <w:t>MA</w:t>
            </w:r>
          </w:p>
        </w:tc>
        <w:tc>
          <w:tcPr>
            <w:tcW w:w="1620" w:type="dxa"/>
            <w:vAlign w:val="bottom"/>
          </w:tcPr>
          <w:p>
            <w:pPr>
              <w:ind w:left="420"/>
              <w:spacing w:after="0"/>
              <w:rPr>
                <w:sz w:val="20"/>
                <w:szCs w:val="20"/>
                <w:color w:val="auto"/>
              </w:rPr>
            </w:pPr>
            <w:r>
              <w:rPr>
                <w:rFonts w:ascii="Arial" w:cs="Arial" w:eastAsia="Arial" w:hAnsi="Arial"/>
                <w:sz w:val="16"/>
                <w:szCs w:val="16"/>
                <w:color w:val="0000FF"/>
              </w:rPr>
              <w:t>02116</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jc w:val="right"/>
              <w:ind w:right="511"/>
              <w:spacing w:after="0"/>
              <w:rPr>
                <w:sz w:val="20"/>
                <w:szCs w:val="20"/>
                <w:color w:val="auto"/>
              </w:rPr>
            </w:pPr>
            <w:r>
              <w:rPr>
                <w:rFonts w:ascii="Arial" w:cs="Arial" w:eastAsia="Arial" w:hAnsi="Arial"/>
                <w:sz w:val="13"/>
                <w:szCs w:val="13"/>
                <w:color w:val="auto"/>
                <w:w w:val="96"/>
              </w:rPr>
              <w:t>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4"/>
          </w:tcPr>
          <w:p>
            <w:pPr>
              <w:ind w:left="60"/>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Flywire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FLYW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jc w:val="right"/>
              <w:ind w:right="391"/>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68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20" w:type="dxa"/>
            <w:vAlign w:val="bottom"/>
            <w:vMerge w:val="restart"/>
          </w:tcPr>
          <w:p>
            <w:pPr>
              <w:jc w:val="right"/>
              <w:ind w:right="271"/>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ind w:left="400"/>
              <w:spacing w:after="0" w:line="118" w:lineRule="exact"/>
              <w:rPr>
                <w:sz w:val="20"/>
                <w:szCs w:val="20"/>
                <w:color w:val="auto"/>
              </w:rPr>
            </w:pPr>
            <w:r>
              <w:rPr>
                <w:rFonts w:ascii="Arial" w:cs="Arial" w:eastAsia="Arial" w:hAnsi="Arial"/>
                <w:sz w:val="13"/>
                <w:szCs w:val="13"/>
                <w:color w:val="auto"/>
              </w:rPr>
              <w:t>below)</w:t>
            </w:r>
          </w:p>
        </w:tc>
        <w:tc>
          <w:tcPr>
            <w:tcW w:w="1620" w:type="dxa"/>
            <w:vAlign w:val="bottom"/>
          </w:tcPr>
          <w:p>
            <w:pPr>
              <w:jc w:val="right"/>
              <w:ind w:right="691"/>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8"/>
        </w:trPr>
        <w:tc>
          <w:tcPr>
            <w:tcW w:w="1140" w:type="dxa"/>
            <w:vAlign w:val="bottom"/>
            <w:gridSpan w:val="3"/>
          </w:tcPr>
          <w:p>
            <w:pPr>
              <w:ind w:left="60"/>
              <w:spacing w:after="0"/>
              <w:rPr>
                <w:sz w:val="20"/>
                <w:szCs w:val="20"/>
                <w:color w:val="auto"/>
              </w:rPr>
            </w:pPr>
            <w:r>
              <w:rPr>
                <w:rFonts w:ascii="Arial" w:cs="Arial" w:eastAsia="Arial" w:hAnsi="Arial"/>
                <w:sz w:val="16"/>
                <w:szCs w:val="16"/>
                <w:color w:val="0000FF"/>
              </w:rPr>
              <w:t>06/21/2021</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268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jc w:val="right"/>
              <w:ind w:right="27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51"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20"/>
              <w:spacing w:after="0" w:line="123"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960" w:type="dxa"/>
            <w:vAlign w:val="bottom"/>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112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60" w:type="dxa"/>
            <w:vAlign w:val="bottom"/>
            <w:gridSpan w:val="2"/>
          </w:tcPr>
          <w:p>
            <w:pPr>
              <w:ind w:left="72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59"/>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Voting Common Stock</w:t>
            </w:r>
          </w:p>
        </w:tc>
        <w:tc>
          <w:tcPr>
            <w:tcW w:w="1760" w:type="dxa"/>
            <w:vAlign w:val="bottom"/>
            <w:gridSpan w:val="2"/>
            <w:vMerge w:val="restart"/>
          </w:tcPr>
          <w:p>
            <w:pPr>
              <w:jc w:val="center"/>
              <w:ind w:left="534"/>
              <w:spacing w:after="0"/>
              <w:rPr>
                <w:sz w:val="20"/>
                <w:szCs w:val="20"/>
                <w:color w:val="auto"/>
              </w:rPr>
            </w:pPr>
            <w:r>
              <w:rPr>
                <w:rFonts w:ascii="Arial" w:cs="Arial" w:eastAsia="Arial" w:hAnsi="Arial"/>
                <w:sz w:val="16"/>
                <w:szCs w:val="16"/>
                <w:color w:val="0000FF"/>
                <w:w w:val="94"/>
              </w:rPr>
              <w:t>06/21/2021</w:t>
            </w: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Arial" w:cs="Arial" w:eastAsia="Arial" w:hAnsi="Arial"/>
                <w:sz w:val="25"/>
                <w:szCs w:val="25"/>
                <w:color w:val="0000FF"/>
                <w:vertAlign w:val="subscript"/>
              </w:rPr>
              <w:t>X</w:t>
            </w:r>
            <w:r>
              <w:rPr>
                <w:rFonts w:ascii="Arial" w:cs="Arial" w:eastAsia="Arial" w:hAnsi="Arial"/>
                <w:sz w:val="10"/>
                <w:szCs w:val="10"/>
                <w:color w:val="008000"/>
              </w:rPr>
              <w:t>(1)</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0000FF"/>
              </w:rPr>
              <w:t>75,000</w:t>
            </w:r>
          </w:p>
        </w:tc>
        <w:tc>
          <w:tcPr>
            <w:tcW w:w="600" w:type="dxa"/>
            <w:vAlign w:val="bottom"/>
            <w:vMerge w:val="restart"/>
          </w:tcPr>
          <w:p>
            <w:pPr>
              <w:ind w:left="320"/>
              <w:spacing w:after="0"/>
              <w:rPr>
                <w:sz w:val="20"/>
                <w:szCs w:val="20"/>
                <w:color w:val="auto"/>
              </w:rPr>
            </w:pPr>
            <w:r>
              <w:rPr>
                <w:rFonts w:ascii="Arial" w:cs="Arial" w:eastAsia="Arial" w:hAnsi="Arial"/>
                <w:sz w:val="16"/>
                <w:szCs w:val="16"/>
                <w:color w:val="0000FF"/>
              </w:rPr>
              <w:t>A</w:t>
            </w:r>
          </w:p>
        </w:tc>
        <w:tc>
          <w:tcPr>
            <w:tcW w:w="620" w:type="dxa"/>
            <w:vAlign w:val="bottom"/>
            <w:vMerge w:val="restart"/>
          </w:tcPr>
          <w:p>
            <w:pPr>
              <w:jc w:val="right"/>
              <w:ind w:right="3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0.17</w:t>
            </w:r>
          </w:p>
        </w:tc>
        <w:tc>
          <w:tcPr>
            <w:tcW w:w="20" w:type="dxa"/>
            <w:vAlign w:val="bottom"/>
          </w:tcPr>
          <w:p>
            <w:pPr>
              <w:spacing w:after="0"/>
              <w:rPr>
                <w:sz w:val="21"/>
                <w:szCs w:val="21"/>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6"/>
                <w:szCs w:val="16"/>
                <w:color w:val="0000FF"/>
              </w:rPr>
              <w:t>16,349,364</w:t>
            </w:r>
          </w:p>
        </w:tc>
        <w:tc>
          <w:tcPr>
            <w:tcW w:w="34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320" w:type="dxa"/>
            <w:vAlign w:val="bottom"/>
          </w:tcPr>
          <w:p>
            <w:pPr>
              <w:ind w:left="80"/>
              <w:spacing w:after="0"/>
              <w:rPr>
                <w:sz w:val="20"/>
                <w:szCs w:val="20"/>
                <w:color w:val="auto"/>
              </w:rPr>
            </w:pPr>
            <w:r>
              <w:rPr>
                <w:rFonts w:ascii="Arial" w:cs="Arial" w:eastAsia="Arial" w:hAnsi="Arial"/>
                <w:sz w:val="16"/>
                <w:szCs w:val="16"/>
                <w:color w:val="0000FF"/>
                <w:w w:val="77"/>
              </w:rPr>
              <w:t>See</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6"/>
                <w:szCs w:val="16"/>
                <w:color w:val="0000FF"/>
              </w:rPr>
              <w:t>footnotes</w:t>
            </w:r>
            <w:r>
              <w:rPr>
                <w:rFonts w:ascii="Arial" w:cs="Arial" w:eastAsia="Arial" w:hAnsi="Arial"/>
                <w:sz w:val="20"/>
                <w:szCs w:val="20"/>
                <w:color w:val="008000"/>
                <w:vertAlign w:val="superscript"/>
              </w:rPr>
              <w:t>(3)(4)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Voting Common Stock</w:t>
            </w:r>
          </w:p>
        </w:tc>
        <w:tc>
          <w:tcPr>
            <w:tcW w:w="1760" w:type="dxa"/>
            <w:vAlign w:val="bottom"/>
            <w:tcBorders>
              <w:top w:val="single" w:sz="8" w:color="2C2C2C"/>
            </w:tcBorders>
            <w:gridSpan w:val="2"/>
            <w:vMerge w:val="restart"/>
          </w:tcPr>
          <w:p>
            <w:pPr>
              <w:jc w:val="center"/>
              <w:ind w:left="534"/>
              <w:spacing w:after="0"/>
              <w:rPr>
                <w:sz w:val="20"/>
                <w:szCs w:val="20"/>
                <w:color w:val="auto"/>
              </w:rPr>
            </w:pPr>
            <w:r>
              <w:rPr>
                <w:rFonts w:ascii="Arial" w:cs="Arial" w:eastAsia="Arial" w:hAnsi="Arial"/>
                <w:sz w:val="16"/>
                <w:szCs w:val="16"/>
                <w:color w:val="0000FF"/>
                <w:w w:val="94"/>
              </w:rPr>
              <w:t>06/21/2021</w:t>
            </w:r>
          </w:p>
        </w:tc>
        <w:tc>
          <w:tcPr>
            <w:tcW w:w="9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ind w:left="120"/>
              <w:spacing w:after="0"/>
              <w:rPr>
                <w:sz w:val="20"/>
                <w:szCs w:val="20"/>
                <w:color w:val="auto"/>
              </w:rPr>
            </w:pPr>
            <w:r>
              <w:rPr>
                <w:rFonts w:ascii="Arial" w:cs="Arial" w:eastAsia="Arial" w:hAnsi="Arial"/>
                <w:sz w:val="25"/>
                <w:szCs w:val="25"/>
                <w:color w:val="0000FF"/>
                <w:vertAlign w:val="subscript"/>
              </w:rPr>
              <w:t>X</w:t>
            </w:r>
            <w:r>
              <w:rPr>
                <w:rFonts w:ascii="Arial" w:cs="Arial" w:eastAsia="Arial" w:hAnsi="Arial"/>
                <w:sz w:val="10"/>
                <w:szCs w:val="10"/>
                <w:color w:val="008000"/>
              </w:rPr>
              <w:t>(2)</w:t>
            </w:r>
          </w:p>
        </w:tc>
        <w:tc>
          <w:tcPr>
            <w:tcW w:w="700" w:type="dxa"/>
            <w:vAlign w:val="bottom"/>
            <w:tcBorders>
              <w:top w:val="single" w:sz="8" w:color="2C2C2C"/>
            </w:tcBorders>
            <w:vMerge w:val="restart"/>
          </w:tcPr>
          <w:p>
            <w:pPr>
              <w:jc w:val="right"/>
              <w:spacing w:after="0"/>
              <w:rPr>
                <w:sz w:val="20"/>
                <w:szCs w:val="20"/>
                <w:color w:val="auto"/>
              </w:rPr>
            </w:pPr>
            <w:r>
              <w:rPr>
                <w:rFonts w:ascii="Arial" w:cs="Arial" w:eastAsia="Arial" w:hAnsi="Arial"/>
                <w:sz w:val="16"/>
                <w:szCs w:val="16"/>
                <w:color w:val="0000FF"/>
              </w:rPr>
              <w:t>190,500</w:t>
            </w:r>
          </w:p>
        </w:tc>
        <w:tc>
          <w:tcPr>
            <w:tcW w:w="600" w:type="dxa"/>
            <w:vAlign w:val="bottom"/>
            <w:tcBorders>
              <w:top w:val="single" w:sz="8" w:color="2C2C2C"/>
            </w:tcBorders>
            <w:vMerge w:val="restart"/>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top w:val="single" w:sz="8" w:color="2C2C2C"/>
            </w:tcBorders>
            <w:vMerge w:val="restart"/>
          </w:tcPr>
          <w:p>
            <w:pPr>
              <w:jc w:val="right"/>
              <w:ind w:right="3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1.48</w:t>
            </w:r>
          </w:p>
        </w:tc>
        <w:tc>
          <w:tcPr>
            <w:tcW w:w="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ind w:left="200"/>
              <w:spacing w:after="0"/>
              <w:rPr>
                <w:sz w:val="20"/>
                <w:szCs w:val="20"/>
                <w:color w:val="auto"/>
              </w:rPr>
            </w:pPr>
            <w:r>
              <w:rPr>
                <w:rFonts w:ascii="Arial" w:cs="Arial" w:eastAsia="Arial" w:hAnsi="Arial"/>
                <w:sz w:val="16"/>
                <w:szCs w:val="16"/>
                <w:color w:val="0000FF"/>
              </w:rPr>
              <w:t>16,539,864</w:t>
            </w: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6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6"/>
                <w:szCs w:val="16"/>
                <w:color w:val="0000FF"/>
              </w:rPr>
              <w:t>footnotes</w:t>
            </w:r>
            <w:r>
              <w:rPr>
                <w:rFonts w:ascii="Arial" w:cs="Arial" w:eastAsia="Arial" w:hAnsi="Arial"/>
                <w:sz w:val="20"/>
                <w:szCs w:val="20"/>
                <w:color w:val="008000"/>
                <w:vertAlign w:val="superscript"/>
              </w:rPr>
              <w:t>(3)(4)</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40" w:type="dxa"/>
            <w:vAlign w:val="bottom"/>
            <w:gridSpan w:val="10"/>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4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25"/>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7"/>
              </w:rPr>
              <w:t>Underlying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5"/>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39"/>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Warrants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X</w:t>
            </w:r>
            <w:r>
              <w:rPr>
                <w:rFonts w:ascii="Arial" w:cs="Arial" w:eastAsia="Arial" w:hAnsi="Arial"/>
                <w:sz w:val="10"/>
                <w:szCs w:val="10"/>
                <w:color w:val="008000"/>
              </w:rPr>
              <w:t>(1)</w:t>
            </w:r>
          </w:p>
        </w:tc>
        <w:tc>
          <w:tcPr>
            <w:tcW w:w="9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right="39"/>
              <w:spacing w:after="0"/>
              <w:rPr>
                <w:sz w:val="20"/>
                <w:szCs w:val="20"/>
                <w:color w:val="auto"/>
              </w:rPr>
            </w:pPr>
            <w:r>
              <w:rPr>
                <w:rFonts w:ascii="Arial" w:cs="Arial" w:eastAsia="Arial" w:hAnsi="Arial"/>
                <w:sz w:val="10"/>
                <w:szCs w:val="10"/>
                <w:color w:val="008000"/>
                <w:w w:val="97"/>
              </w:rPr>
              <w:t>(1)</w:t>
            </w:r>
          </w:p>
        </w:tc>
        <w:tc>
          <w:tcPr>
            <w:tcW w:w="600" w:type="dxa"/>
            <w:vAlign w:val="bottom"/>
          </w:tcPr>
          <w:p>
            <w:pPr>
              <w:jc w:val="center"/>
              <w:ind w:right="38"/>
              <w:spacing w:after="0"/>
              <w:rPr>
                <w:sz w:val="20"/>
                <w:szCs w:val="20"/>
                <w:color w:val="auto"/>
              </w:rPr>
            </w:pPr>
            <w:r>
              <w:rPr>
                <w:rFonts w:ascii="Arial" w:cs="Arial" w:eastAsia="Arial" w:hAnsi="Arial"/>
                <w:sz w:val="13"/>
                <w:szCs w:val="13"/>
                <w:color w:val="0000FF"/>
                <w:w w:val="92"/>
              </w:rPr>
              <w:t>Voting</w:t>
            </w:r>
          </w:p>
        </w:tc>
        <w:tc>
          <w:tcPr>
            <w:tcW w:w="620" w:type="dxa"/>
            <w:vAlign w:val="bottom"/>
            <w:vMerge w:val="restart"/>
          </w:tcPr>
          <w:p>
            <w:pPr>
              <w:jc w:val="right"/>
              <w:ind w:right="32"/>
              <w:spacing w:after="0"/>
              <w:rPr>
                <w:sz w:val="20"/>
                <w:szCs w:val="20"/>
                <w:color w:val="auto"/>
              </w:rPr>
            </w:pPr>
            <w:r>
              <w:rPr>
                <w:rFonts w:ascii="Arial" w:cs="Arial" w:eastAsia="Arial" w:hAnsi="Arial"/>
                <w:sz w:val="16"/>
                <w:szCs w:val="16"/>
                <w:color w:val="0000FF"/>
              </w:rPr>
              <w:t>75,000</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0.17</w:t>
            </w:r>
          </w:p>
        </w:tc>
        <w:tc>
          <w:tcPr>
            <w:tcW w:w="1060" w:type="dxa"/>
            <w:vAlign w:val="bottom"/>
            <w:vMerge w:val="restart"/>
          </w:tcPr>
          <w:p>
            <w:pPr>
              <w:jc w:val="right"/>
              <w:ind w:right="181"/>
              <w:spacing w:after="0" w:line="148" w:lineRule="exact"/>
              <w:rPr>
                <w:sz w:val="20"/>
                <w:szCs w:val="20"/>
                <w:color w:val="auto"/>
              </w:rPr>
            </w:pPr>
            <w:r>
              <w:rPr>
                <w:rFonts w:ascii="Arial" w:cs="Arial" w:eastAsia="Arial" w:hAnsi="Arial"/>
                <w:sz w:val="13"/>
                <w:szCs w:val="13"/>
                <w:color w:val="0000FF"/>
              </w:rPr>
              <w:t>06/21/2021</w:t>
            </w:r>
          </w:p>
        </w:tc>
        <w:tc>
          <w:tcPr>
            <w:tcW w:w="10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960" w:type="dxa"/>
            <w:vAlign w:val="bottom"/>
            <w:vMerge w:val="restart"/>
          </w:tcPr>
          <w:p>
            <w:pPr>
              <w:jc w:val="right"/>
              <w:ind w:right="62"/>
              <w:spacing w:after="0" w:line="148" w:lineRule="exact"/>
              <w:rPr>
                <w:sz w:val="20"/>
                <w:szCs w:val="20"/>
                <w:color w:val="auto"/>
              </w:rPr>
            </w:pPr>
            <w:r>
              <w:rPr>
                <w:rFonts w:ascii="Arial" w:cs="Arial" w:eastAsia="Arial" w:hAnsi="Arial"/>
                <w:sz w:val="13"/>
                <w:szCs w:val="13"/>
                <w:color w:val="0000FF"/>
              </w:rPr>
              <w:t>75,000</w:t>
            </w:r>
          </w:p>
        </w:tc>
        <w:tc>
          <w:tcPr>
            <w:tcW w:w="78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ind w:left="20"/>
              <w:spacing w:after="0" w:line="148"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8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3"/>
                <w:szCs w:val="3"/>
                <w:color w:val="auto"/>
              </w:rPr>
            </w:pPr>
          </w:p>
        </w:tc>
        <w:tc>
          <w:tcPr>
            <w:tcW w:w="50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rPr>
              <w:t>I</w:t>
            </w:r>
          </w:p>
        </w:tc>
        <w:tc>
          <w:tcPr>
            <w:tcW w:w="320" w:type="dxa"/>
            <w:vAlign w:val="bottom"/>
          </w:tcPr>
          <w:p>
            <w:pPr>
              <w:spacing w:after="0"/>
              <w:rPr>
                <w:sz w:val="3"/>
                <w:szCs w:val="3"/>
                <w:color w:val="auto"/>
              </w:rPr>
            </w:pPr>
          </w:p>
        </w:tc>
        <w:tc>
          <w:tcPr>
            <w:tcW w:w="8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right w:val="single" w:sz="8" w:color="2C2C2C"/>
            </w:tcBorders>
            <w:gridSpan w:val="3"/>
          </w:tcPr>
          <w:p>
            <w:pPr>
              <w:ind w:left="480"/>
              <w:spacing w:after="0" w:line="102" w:lineRule="exact"/>
              <w:rPr>
                <w:sz w:val="20"/>
                <w:szCs w:val="20"/>
                <w:color w:val="auto"/>
              </w:rPr>
            </w:pPr>
            <w:r>
              <w:rPr>
                <w:rFonts w:ascii="Arial" w:cs="Arial" w:eastAsia="Arial" w:hAnsi="Arial"/>
                <w:sz w:val="10"/>
                <w:szCs w:val="10"/>
                <w:color w:val="008000"/>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vMerge w:val="restart"/>
          </w:tcPr>
          <w:p>
            <w:pPr>
              <w:jc w:val="center"/>
              <w:ind w:right="38"/>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right w:val="single" w:sz="8" w:color="2C2C2C"/>
            </w:tcBorders>
            <w:gridSpan w:val="3"/>
          </w:tcPr>
          <w:p>
            <w:pPr>
              <w:spacing w:after="0" w:line="113" w:lineRule="exact"/>
              <w:rPr>
                <w:sz w:val="20"/>
                <w:szCs w:val="20"/>
                <w:color w:val="auto"/>
              </w:rPr>
            </w:pPr>
            <w:r>
              <w:rPr>
                <w:rFonts w:ascii="Arial" w:cs="Arial" w:eastAsia="Arial" w:hAnsi="Arial"/>
                <w:sz w:val="13"/>
                <w:szCs w:val="13"/>
                <w:color w:val="0000FF"/>
              </w:rPr>
              <w:t>footnotes</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Warrants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X</w:t>
            </w:r>
            <w:r>
              <w:rPr>
                <w:rFonts w:ascii="Arial" w:cs="Arial" w:eastAsia="Arial" w:hAnsi="Arial"/>
                <w:sz w:val="10"/>
                <w:szCs w:val="10"/>
                <w:color w:val="008000"/>
              </w:rPr>
              <w:t>(2)</w:t>
            </w:r>
          </w:p>
        </w:tc>
        <w:tc>
          <w:tcPr>
            <w:tcW w:w="9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0"/>
                <w:szCs w:val="10"/>
                <w:color w:val="008000"/>
              </w:rPr>
              <w:t>(2)</w:t>
            </w:r>
          </w:p>
        </w:tc>
        <w:tc>
          <w:tcPr>
            <w:tcW w:w="700" w:type="dxa"/>
            <w:vAlign w:val="bottom"/>
            <w:vMerge w:val="restart"/>
          </w:tcPr>
          <w:p>
            <w:pPr>
              <w:jc w:val="center"/>
              <w:ind w:right="39"/>
              <w:spacing w:after="0"/>
              <w:rPr>
                <w:sz w:val="20"/>
                <w:szCs w:val="20"/>
                <w:color w:val="auto"/>
              </w:rPr>
            </w:pPr>
            <w:r>
              <w:rPr>
                <w:rFonts w:ascii="Arial" w:cs="Arial" w:eastAsia="Arial" w:hAnsi="Arial"/>
                <w:sz w:val="10"/>
                <w:szCs w:val="10"/>
                <w:color w:val="008000"/>
                <w:w w:val="97"/>
              </w:rPr>
              <w:t>(2)</w:t>
            </w:r>
          </w:p>
        </w:tc>
        <w:tc>
          <w:tcPr>
            <w:tcW w:w="600" w:type="dxa"/>
            <w:vAlign w:val="bottom"/>
          </w:tcPr>
          <w:p>
            <w:pPr>
              <w:jc w:val="center"/>
              <w:ind w:right="38"/>
              <w:spacing w:after="0"/>
              <w:rPr>
                <w:sz w:val="20"/>
                <w:szCs w:val="20"/>
                <w:color w:val="auto"/>
              </w:rPr>
            </w:pPr>
            <w:r>
              <w:rPr>
                <w:rFonts w:ascii="Arial" w:cs="Arial" w:eastAsia="Arial" w:hAnsi="Arial"/>
                <w:sz w:val="13"/>
                <w:szCs w:val="13"/>
                <w:color w:val="0000FF"/>
                <w:w w:val="92"/>
              </w:rPr>
              <w:t>Voting</w:t>
            </w:r>
          </w:p>
        </w:tc>
        <w:tc>
          <w:tcPr>
            <w:tcW w:w="620" w:type="dxa"/>
            <w:vAlign w:val="bottom"/>
            <w:vMerge w:val="restart"/>
          </w:tcPr>
          <w:p>
            <w:pPr>
              <w:ind w:left="20"/>
              <w:spacing w:after="0"/>
              <w:rPr>
                <w:sz w:val="20"/>
                <w:szCs w:val="20"/>
                <w:color w:val="auto"/>
              </w:rPr>
            </w:pPr>
            <w:r>
              <w:rPr>
                <w:rFonts w:ascii="Arial" w:cs="Arial" w:eastAsia="Arial" w:hAnsi="Arial"/>
                <w:sz w:val="16"/>
                <w:szCs w:val="16"/>
                <w:color w:val="0000FF"/>
              </w:rPr>
              <w:t>190,500</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1.48</w:t>
            </w:r>
          </w:p>
        </w:tc>
        <w:tc>
          <w:tcPr>
            <w:tcW w:w="1060" w:type="dxa"/>
            <w:vAlign w:val="bottom"/>
            <w:vMerge w:val="restart"/>
          </w:tcPr>
          <w:p>
            <w:pPr>
              <w:jc w:val="right"/>
              <w:ind w:right="181"/>
              <w:spacing w:after="0" w:line="148" w:lineRule="exact"/>
              <w:rPr>
                <w:sz w:val="20"/>
                <w:szCs w:val="20"/>
                <w:color w:val="auto"/>
              </w:rPr>
            </w:pPr>
            <w:r>
              <w:rPr>
                <w:rFonts w:ascii="Arial" w:cs="Arial" w:eastAsia="Arial" w:hAnsi="Arial"/>
                <w:sz w:val="13"/>
                <w:szCs w:val="13"/>
                <w:color w:val="0000FF"/>
              </w:rPr>
              <w:t>06/21/2021</w:t>
            </w:r>
          </w:p>
        </w:tc>
        <w:tc>
          <w:tcPr>
            <w:tcW w:w="10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960" w:type="dxa"/>
            <w:vAlign w:val="bottom"/>
            <w:vMerge w:val="restart"/>
          </w:tcPr>
          <w:p>
            <w:pPr>
              <w:jc w:val="right"/>
              <w:ind w:right="42"/>
              <w:spacing w:after="0" w:line="148" w:lineRule="exact"/>
              <w:rPr>
                <w:sz w:val="20"/>
                <w:szCs w:val="20"/>
                <w:color w:val="auto"/>
              </w:rPr>
            </w:pPr>
            <w:r>
              <w:rPr>
                <w:rFonts w:ascii="Arial" w:cs="Arial" w:eastAsia="Arial" w:hAnsi="Arial"/>
                <w:sz w:val="13"/>
                <w:szCs w:val="13"/>
                <w:color w:val="0000FF"/>
              </w:rPr>
              <w:t>190,500</w:t>
            </w:r>
          </w:p>
        </w:tc>
        <w:tc>
          <w:tcPr>
            <w:tcW w:w="78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ind w:left="20"/>
              <w:spacing w:after="0" w:line="148"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8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3"/>
                <w:szCs w:val="3"/>
                <w:color w:val="auto"/>
              </w:rPr>
            </w:pPr>
          </w:p>
        </w:tc>
        <w:tc>
          <w:tcPr>
            <w:tcW w:w="50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rPr>
              <w:t>I</w:t>
            </w:r>
          </w:p>
        </w:tc>
        <w:tc>
          <w:tcPr>
            <w:tcW w:w="320" w:type="dxa"/>
            <w:vAlign w:val="bottom"/>
          </w:tcPr>
          <w:p>
            <w:pPr>
              <w:spacing w:after="0"/>
              <w:rPr>
                <w:sz w:val="3"/>
                <w:szCs w:val="3"/>
                <w:color w:val="auto"/>
              </w:rPr>
            </w:pPr>
          </w:p>
        </w:tc>
        <w:tc>
          <w:tcPr>
            <w:tcW w:w="8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right w:val="single" w:sz="8" w:color="2C2C2C"/>
            </w:tcBorders>
            <w:gridSpan w:val="3"/>
          </w:tcPr>
          <w:p>
            <w:pPr>
              <w:ind w:left="480"/>
              <w:spacing w:after="0" w:line="102" w:lineRule="exact"/>
              <w:rPr>
                <w:sz w:val="20"/>
                <w:szCs w:val="20"/>
                <w:color w:val="auto"/>
              </w:rPr>
            </w:pPr>
            <w:r>
              <w:rPr>
                <w:rFonts w:ascii="Arial" w:cs="Arial" w:eastAsia="Arial" w:hAnsi="Arial"/>
                <w:sz w:val="10"/>
                <w:szCs w:val="10"/>
                <w:color w:val="008000"/>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vMerge w:val="restart"/>
          </w:tcPr>
          <w:p>
            <w:pPr>
              <w:jc w:val="center"/>
              <w:ind w:right="38"/>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right w:val="single" w:sz="8" w:color="2C2C2C"/>
            </w:tcBorders>
            <w:gridSpan w:val="3"/>
          </w:tcPr>
          <w:p>
            <w:pPr>
              <w:spacing w:after="0" w:line="113" w:lineRule="exact"/>
              <w:rPr>
                <w:sz w:val="20"/>
                <w:szCs w:val="20"/>
                <w:color w:val="auto"/>
              </w:rPr>
            </w:pPr>
            <w:r>
              <w:rPr>
                <w:rFonts w:ascii="Arial" w:cs="Arial" w:eastAsia="Arial" w:hAnsi="Arial"/>
                <w:sz w:val="13"/>
                <w:szCs w:val="13"/>
                <w:color w:val="0000FF"/>
              </w:rPr>
              <w:t>footnotes</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-2066925</wp:posOffset>
            </wp:positionV>
            <wp:extent cx="28575" cy="2072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07200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160" w:hanging="2"/>
        <w:spacing w:after="0" w:line="233"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warrant was exercisable by the holder in whole or in part at any time and from time to time on or before August 22, 2022. On June 21, 2021, each of Bain Capital Venture Fund 2016, L.P. ("Venture Fund 2016"), BCIP Venture Associates II, LP ("BCIP Venture II") and BCIP Venture Associates II-B, LP ("BCIP Venture II-B") exercised warrants to purchase an aggregate of 75,000 shares of the Issuer's Voting Common Stock.</w:t>
      </w:r>
    </w:p>
    <w:p>
      <w:pPr>
        <w:spacing w:after="0" w:line="30" w:lineRule="exact"/>
        <w:rPr>
          <w:rFonts w:ascii="Arial" w:cs="Arial" w:eastAsia="Arial" w:hAnsi="Arial"/>
          <w:sz w:val="13"/>
          <w:szCs w:val="13"/>
          <w:color w:val="008000"/>
        </w:rPr>
      </w:pPr>
    </w:p>
    <w:p>
      <w:pPr>
        <w:ind w:left="40" w:right="140" w:hanging="2"/>
        <w:spacing w:after="0" w:line="239"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warrant was exercisable by the holder in whole or in part at any time and from time to time on or before January 15, 2025. On June 21, 2021, each of Venture Fund 2016, BCIP Venture II and BCIP Venture II-B exercised warrants to purchase an aggregate of 190,500 shares of the Issuer's Voting Common Stock.</w:t>
      </w:r>
    </w:p>
    <w:p>
      <w:pPr>
        <w:spacing w:after="0" w:line="29" w:lineRule="exact"/>
        <w:rPr>
          <w:rFonts w:ascii="Arial" w:cs="Arial" w:eastAsia="Arial" w:hAnsi="Arial"/>
          <w:sz w:val="13"/>
          <w:szCs w:val="13"/>
          <w:color w:val="008000"/>
        </w:rPr>
      </w:pPr>
    </w:p>
    <w:p>
      <w:pPr>
        <w:ind w:left="40" w:right="200" w:hanging="2"/>
        <w:spacing w:after="0" w:line="260" w:lineRule="auto"/>
        <w:tabs>
          <w:tab w:leader="none" w:pos="16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Consists of securities held by Bain Capital Venture Fund 2014, L.P. ("Venture Fund 2014"), Venture Fund 2016, Bain Capital Venture Coinvestment Fund II, L.P. ("Venture Coinvestment Fund II"), BCV 2019-MD Coinvestment II, L.P. ("2019-MD Coinvestment II"), BCIP Venture Associates ("BCIP Venture"), BCIP Venture Associates-B ("BCIP Venture-B" and, together with Venture Fund 2014, Venture Fund 2016, Venture Coinvestment Fund II, 2019-MD Coinvestment II, BCIP Venture, BCIP Venture II and BCIP Venture II-B, the "Bain Capital Venture Entities"), BCIP Venture II and BCIP Venture II-B.</w:t>
      </w:r>
    </w:p>
    <w:p>
      <w:pPr>
        <w:spacing w:after="0" w:line="17" w:lineRule="exact"/>
        <w:rPr>
          <w:rFonts w:ascii="Arial" w:cs="Arial" w:eastAsia="Arial" w:hAnsi="Arial"/>
          <w:sz w:val="12"/>
          <w:szCs w:val="12"/>
          <w:color w:val="008000"/>
        </w:rPr>
      </w:pPr>
    </w:p>
    <w:p>
      <w:pPr>
        <w:ind w:left="40" w:right="200" w:hanging="2"/>
        <w:spacing w:after="0" w:line="231"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Bain Capital Venture Investors, LLC ("BCVI") (i) is the ultimate general partner of Venture Fund 2014, Venture Fund 2016, Venture Coinvestment Fund II and 2019-MD Coinvestment II and (ii) governs the investment strategy and decision-making process with respect to investments held by each of BCIP Venture, BCIP Venture-B, BCIP Venture II and BCIP Venture II-B. Mr. Harris is a Managing Director of BCVI. By virtue of the relationships described in this footnote, Mr. Harris may be deemed to share voting and dispositive power with respect to the securities held by the Bain Capital Venture Entities. Mr. Harris disclaims beneficial ownership of such securities except to the extent of his pecuniary interest therein.</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42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3"/>
              </w:rPr>
              <w:t>/s/ Matthew C. Harris</w:t>
            </w:r>
          </w:p>
        </w:tc>
        <w:tc>
          <w:tcPr>
            <w:tcW w:w="78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9"/>
              </w:rPr>
              <w:t>08/18/2021</w:t>
            </w:r>
          </w:p>
        </w:tc>
      </w:tr>
      <w:tr>
        <w:trPr>
          <w:trHeight w:val="219"/>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4"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602"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2021-08-18T18:08:22Z</dcterms:created>
  <dcterms:modified xsi:type="dcterms:W3CDTF">2021-08-18T18:08:22Z</dcterms:modified>
</cp:coreProperties>
</file>