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15,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60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91"/>
              </w:rPr>
              <w:t>Delaware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27-0690799</w:t>
            </w:r>
          </w:p>
        </w:tc>
      </w:tr>
      <w:tr>
        <w:trPr>
          <w:trHeight w:val="148"/>
        </w:trPr>
        <w:tc>
          <w:tcPr>
            <w:tcW w:w="6080" w:type="dxa"/>
            <w:vAlign w:val="bottom"/>
            <w:gridSpan w:val="3"/>
          </w:tcPr>
          <w:p>
            <w:pPr>
              <w:jc w:val="center"/>
              <w:ind w:right="30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gridSpan w:val="3"/>
          </w:tcPr>
          <w:p>
            <w:pPr>
              <w:jc w:val="center"/>
              <w:ind w:right="3080"/>
              <w:spacing w:after="0"/>
              <w:rPr>
                <w:sz w:val="20"/>
                <w:szCs w:val="20"/>
                <w:color w:val="auto"/>
              </w:rPr>
            </w:pPr>
            <w:r>
              <w:rPr>
                <w:rFonts w:ascii="Arial" w:cs="Arial" w:eastAsia="Arial" w:hAnsi="Arial"/>
                <w:sz w:val="14"/>
                <w:szCs w:val="14"/>
                <w:b w:val="1"/>
                <w:bCs w:val="1"/>
                <w:color w:val="auto"/>
                <w:w w:val="94"/>
              </w:rPr>
              <w:t>incorporation or organization)</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80" w:type="dxa"/>
            <w:vAlign w:val="bottom"/>
            <w:gridSpan w:val="3"/>
          </w:tcPr>
          <w:p>
            <w:pPr>
              <w:jc w:val="center"/>
              <w:ind w:right="3100"/>
              <w:spacing w:after="0"/>
              <w:rPr>
                <w:sz w:val="20"/>
                <w:szCs w:val="20"/>
                <w:color w:val="auto"/>
              </w:rPr>
            </w:pPr>
            <w:r>
              <w:rPr>
                <w:rFonts w:ascii="Arial" w:cs="Arial" w:eastAsia="Arial" w:hAnsi="Arial"/>
                <w:sz w:val="18"/>
                <w:szCs w:val="18"/>
                <w:b w:val="1"/>
                <w:bCs w:val="1"/>
                <w:color w:val="auto"/>
                <w:w w:val="90"/>
              </w:rPr>
              <w:t>141 Tremont St #10</w:t>
            </w:r>
          </w:p>
        </w:tc>
        <w:tc>
          <w:tcPr>
            <w:tcW w:w="1960" w:type="dxa"/>
            <w:vAlign w:val="bottom"/>
          </w:tcPr>
          <w:p>
            <w:pPr>
              <w:spacing w:after="0"/>
              <w:rPr>
                <w:sz w:val="24"/>
                <w:szCs w:val="24"/>
                <w:color w:val="auto"/>
              </w:rPr>
            </w:pPr>
          </w:p>
        </w:tc>
      </w:tr>
      <w:tr>
        <w:trPr>
          <w:trHeight w:val="225"/>
        </w:trPr>
        <w:tc>
          <w:tcPr>
            <w:tcW w:w="60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91"/>
              </w:rPr>
              <w:t>Boston, MA</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02111</w:t>
            </w:r>
          </w:p>
        </w:tc>
      </w:tr>
      <w:tr>
        <w:trPr>
          <w:trHeight w:val="186"/>
        </w:trPr>
        <w:tc>
          <w:tcPr>
            <w:tcW w:w="6080" w:type="dxa"/>
            <w:vAlign w:val="bottom"/>
            <w:gridSpan w:val="3"/>
          </w:tcPr>
          <w:p>
            <w:pPr>
              <w:jc w:val="center"/>
              <w:ind w:right="31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6080" w:type="dxa"/>
            <w:vAlign w:val="bottom"/>
            <w:gridSpan w:val="3"/>
          </w:tcPr>
          <w:p>
            <w:pPr>
              <w:jc w:val="center"/>
              <w:ind w:left="2275"/>
              <w:spacing w:after="0"/>
              <w:rPr>
                <w:sz w:val="20"/>
                <w:szCs w:val="20"/>
                <w:color w:val="auto"/>
              </w:rPr>
            </w:pPr>
            <w:r>
              <w:rPr>
                <w:rFonts w:ascii="Arial" w:cs="Arial" w:eastAsia="Arial" w:hAnsi="Arial"/>
                <w:sz w:val="18"/>
                <w:szCs w:val="18"/>
                <w:b w:val="1"/>
                <w:bCs w:val="1"/>
                <w:color w:val="auto"/>
                <w:w w:val="92"/>
              </w:rPr>
              <w:t>Flywire Corporation 2021 Equity Incentive Plan</w:t>
            </w:r>
          </w:p>
        </w:tc>
        <w:tc>
          <w:tcPr>
            <w:tcW w:w="1960" w:type="dxa"/>
            <w:vAlign w:val="bottom"/>
          </w:tcPr>
          <w:p>
            <w:pPr>
              <w:spacing w:after="0"/>
              <w:rPr>
                <w:sz w:val="24"/>
                <w:szCs w:val="24"/>
                <w:color w:val="auto"/>
              </w:rPr>
            </w:pPr>
          </w:p>
        </w:tc>
      </w:tr>
      <w:tr>
        <w:trPr>
          <w:trHeight w:val="212"/>
        </w:trPr>
        <w:tc>
          <w:tcPr>
            <w:tcW w:w="8040" w:type="dxa"/>
            <w:vAlign w:val="bottom"/>
            <w:gridSpan w:val="4"/>
          </w:tcPr>
          <w:p>
            <w:pPr>
              <w:jc w:val="center"/>
              <w:ind w:left="335"/>
              <w:spacing w:after="0"/>
              <w:rPr>
                <w:sz w:val="20"/>
                <w:szCs w:val="20"/>
                <w:color w:val="auto"/>
              </w:rPr>
            </w:pPr>
            <w:r>
              <w:rPr>
                <w:rFonts w:ascii="Arial" w:cs="Arial" w:eastAsia="Arial" w:hAnsi="Arial"/>
                <w:sz w:val="18"/>
                <w:szCs w:val="18"/>
                <w:b w:val="1"/>
                <w:bCs w:val="1"/>
                <w:color w:val="auto"/>
                <w:w w:val="90"/>
              </w:rPr>
              <w:t>Flywire Corporation 2021 Employee Stock Purchase Plan</w:t>
            </w:r>
          </w:p>
        </w:tc>
      </w:tr>
      <w:tr>
        <w:trPr>
          <w:trHeight w:val="186"/>
        </w:trPr>
        <w:tc>
          <w:tcPr>
            <w:tcW w:w="3060" w:type="dxa"/>
            <w:vAlign w:val="bottom"/>
          </w:tcPr>
          <w:p>
            <w:pPr>
              <w:spacing w:after="0"/>
              <w:rPr>
                <w:sz w:val="16"/>
                <w:szCs w:val="16"/>
                <w:color w:val="auto"/>
              </w:rPr>
            </w:pPr>
          </w:p>
        </w:tc>
        <w:tc>
          <w:tcPr>
            <w:tcW w:w="30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(Full title of Plan)</w:t>
            </w:r>
          </w:p>
        </w:tc>
        <w:tc>
          <w:tcPr>
            <w:tcW w:w="1960" w:type="dxa"/>
            <w:vAlign w:val="bottom"/>
          </w:tcPr>
          <w:p>
            <w:pPr>
              <w:spacing w:after="0"/>
              <w:rPr>
                <w:sz w:val="16"/>
                <w:szCs w:val="16"/>
                <w:color w:val="auto"/>
              </w:rPr>
            </w:pPr>
          </w:p>
        </w:tc>
      </w:tr>
      <w:tr>
        <w:trPr>
          <w:trHeight w:val="399"/>
        </w:trPr>
        <w:tc>
          <w:tcPr>
            <w:tcW w:w="3060" w:type="dxa"/>
            <w:vAlign w:val="bottom"/>
          </w:tcPr>
          <w:p>
            <w:pPr>
              <w:spacing w:after="0"/>
              <w:rPr>
                <w:sz w:val="24"/>
                <w:szCs w:val="24"/>
                <w:color w:val="auto"/>
              </w:rPr>
            </w:pPr>
          </w:p>
        </w:tc>
        <w:tc>
          <w:tcPr>
            <w:tcW w:w="3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Michael Massaro</w:t>
            </w:r>
          </w:p>
        </w:tc>
        <w:tc>
          <w:tcPr>
            <w:tcW w:w="19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Chief Executive Officer</w:t>
            </w:r>
          </w:p>
        </w:tc>
        <w:tc>
          <w:tcPr>
            <w:tcW w:w="19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4"/>
              </w:rPr>
              <w:t>Flywire Corporation</w:t>
            </w:r>
          </w:p>
        </w:tc>
        <w:tc>
          <w:tcPr>
            <w:tcW w:w="19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141 Tremont St #10</w:t>
            </w:r>
          </w:p>
        </w:tc>
        <w:tc>
          <w:tcPr>
            <w:tcW w:w="1960" w:type="dxa"/>
            <w:vAlign w:val="bottom"/>
          </w:tcPr>
          <w:p>
            <w:pPr>
              <w:spacing w:after="0"/>
              <w:rPr>
                <w:sz w:val="18"/>
                <w:szCs w:val="18"/>
                <w:color w:val="auto"/>
              </w:rPr>
            </w:pPr>
          </w:p>
        </w:tc>
      </w:tr>
      <w:tr>
        <w:trPr>
          <w:trHeight w:val="212"/>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0"/>
              </w:rPr>
              <w:t>Boston, MA 02111</w:t>
            </w:r>
          </w:p>
        </w:tc>
        <w:tc>
          <w:tcPr>
            <w:tcW w:w="1960" w:type="dxa"/>
            <w:vAlign w:val="bottom"/>
          </w:tcPr>
          <w:p>
            <w:pPr>
              <w:spacing w:after="0"/>
              <w:rPr>
                <w:sz w:val="18"/>
                <w:szCs w:val="18"/>
                <w:color w:val="auto"/>
              </w:rPr>
            </w:pPr>
          </w:p>
        </w:tc>
      </w:tr>
      <w:tr>
        <w:trPr>
          <w:trHeight w:val="186"/>
        </w:trPr>
        <w:tc>
          <w:tcPr>
            <w:tcW w:w="6080" w:type="dxa"/>
            <w:vAlign w:val="bottom"/>
            <w:gridSpan w:val="3"/>
          </w:tcPr>
          <w:p>
            <w:pPr>
              <w:jc w:val="center"/>
              <w:ind w:left="2275"/>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1960" w:type="dxa"/>
            <w:vAlign w:val="bottom"/>
          </w:tcPr>
          <w:p>
            <w:pPr>
              <w:spacing w:after="0"/>
              <w:rPr>
                <w:sz w:val="16"/>
                <w:szCs w:val="16"/>
                <w:color w:val="auto"/>
              </w:rPr>
            </w:pPr>
          </w:p>
        </w:tc>
      </w:tr>
      <w:tr>
        <w:trPr>
          <w:trHeight w:val="394"/>
        </w:trPr>
        <w:tc>
          <w:tcPr>
            <w:tcW w:w="5380" w:type="dxa"/>
            <w:vAlign w:val="bottom"/>
            <w:gridSpan w:val="2"/>
          </w:tcPr>
          <w:p>
            <w:pPr>
              <w:jc w:val="center"/>
              <w:ind w:left="2975"/>
              <w:spacing w:after="0"/>
              <w:rPr>
                <w:sz w:val="20"/>
                <w:szCs w:val="20"/>
                <w:color w:val="auto"/>
              </w:rPr>
            </w:pPr>
            <w:r>
              <w:rPr>
                <w:rFonts w:ascii="Arial" w:cs="Arial" w:eastAsia="Arial" w:hAnsi="Arial"/>
                <w:sz w:val="18"/>
                <w:szCs w:val="18"/>
                <w:b w:val="1"/>
                <w:bCs w:val="1"/>
                <w:color w:val="auto"/>
                <w:w w:val="90"/>
              </w:rPr>
              <w:t>(617) 329-4524</w:t>
            </w: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6"/>
        </w:trPr>
        <w:tc>
          <w:tcPr>
            <w:tcW w:w="8040" w:type="dxa"/>
            <w:vAlign w:val="bottom"/>
            <w:gridSpan w:val="4"/>
          </w:tcPr>
          <w:p>
            <w:pPr>
              <w:jc w:val="center"/>
              <w:ind w:left="335"/>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r>
      <w:tr>
        <w:trPr>
          <w:trHeight w:val="349"/>
        </w:trPr>
        <w:tc>
          <w:tcPr>
            <w:tcW w:w="30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26"/>
        </w:trPr>
        <w:tc>
          <w:tcPr>
            <w:tcW w:w="3060" w:type="dxa"/>
            <w:vAlign w:val="bottom"/>
          </w:tcPr>
          <w:p>
            <w:pPr>
              <w:spacing w:after="0"/>
              <w:rPr>
                <w:sz w:val="24"/>
                <w:szCs w:val="24"/>
                <w:color w:val="auto"/>
              </w:rPr>
            </w:pPr>
          </w:p>
        </w:tc>
        <w:tc>
          <w:tcPr>
            <w:tcW w:w="3020" w:type="dxa"/>
            <w:vAlign w:val="bottom"/>
            <w:gridSpan w:val="2"/>
          </w:tcPr>
          <w:p>
            <w:pPr>
              <w:jc w:val="center"/>
              <w:ind w:right="680"/>
              <w:spacing w:after="0"/>
              <w:rPr>
                <w:sz w:val="20"/>
                <w:szCs w:val="20"/>
                <w:color w:val="auto"/>
              </w:rPr>
            </w:pPr>
            <w:r>
              <w:rPr>
                <w:rFonts w:ascii="Arial" w:cs="Arial" w:eastAsia="Arial" w:hAnsi="Arial"/>
                <w:sz w:val="18"/>
                <w:szCs w:val="18"/>
                <w:b w:val="1"/>
                <w:bCs w:val="1"/>
                <w:i w:val="1"/>
                <w:iCs w:val="1"/>
                <w:color w:val="auto"/>
                <w:w w:val="84"/>
              </w:rPr>
              <w:t>Copies to:</w:t>
            </w:r>
          </w:p>
        </w:tc>
        <w:tc>
          <w:tcPr>
            <w:tcW w:w="1960" w:type="dxa"/>
            <w:vAlign w:val="bottom"/>
          </w:tcPr>
          <w:p>
            <w:pPr>
              <w:spacing w:after="0"/>
              <w:rPr>
                <w:sz w:val="24"/>
                <w:szCs w:val="24"/>
                <w:color w:val="auto"/>
              </w:rPr>
            </w:pPr>
          </w:p>
        </w:tc>
      </w:tr>
      <w:tr>
        <w:trPr>
          <w:trHeight w:val="441"/>
        </w:trPr>
        <w:tc>
          <w:tcPr>
            <w:tcW w:w="60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94"/>
              </w:rPr>
              <w:t>David D. Gammell</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Peter Butterfield</w:t>
            </w:r>
          </w:p>
        </w:tc>
      </w:tr>
      <w:tr>
        <w:trPr>
          <w:trHeight w:val="216"/>
        </w:trPr>
        <w:tc>
          <w:tcPr>
            <w:tcW w:w="60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90"/>
              </w:rPr>
              <w:t>Keith J. Scherer</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2"/>
              </w:rPr>
              <w:t>General Counsel &amp; Chief</w:t>
            </w:r>
          </w:p>
        </w:tc>
      </w:tr>
      <w:tr>
        <w:trPr>
          <w:trHeight w:val="216"/>
        </w:trPr>
        <w:tc>
          <w:tcPr>
            <w:tcW w:w="6080" w:type="dxa"/>
            <w:vAlign w:val="bottom"/>
            <w:gridSpan w:val="3"/>
          </w:tcPr>
          <w:p>
            <w:pPr>
              <w:jc w:val="center"/>
              <w:ind w:right="3100"/>
              <w:spacing w:after="0"/>
              <w:rPr>
                <w:sz w:val="20"/>
                <w:szCs w:val="20"/>
                <w:color w:val="auto"/>
              </w:rPr>
            </w:pPr>
            <w:r>
              <w:rPr>
                <w:rFonts w:ascii="Arial" w:cs="Arial" w:eastAsia="Arial" w:hAnsi="Arial"/>
                <w:sz w:val="18"/>
                <w:szCs w:val="18"/>
                <w:b w:val="1"/>
                <w:bCs w:val="1"/>
                <w:color w:val="auto"/>
                <w:w w:val="90"/>
              </w:rPr>
              <w:t>Gunderson Dettmer Stough Villeneuve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2"/>
              </w:rPr>
              <w:t>Compliance Officer</w:t>
            </w:r>
          </w:p>
        </w:tc>
      </w:tr>
      <w:tr>
        <w:trPr>
          <w:trHeight w:val="216"/>
        </w:trPr>
        <w:tc>
          <w:tcPr>
            <w:tcW w:w="60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96"/>
              </w:rPr>
              <w:t>Franklin &amp; Hachigian, LLP</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4"/>
              </w:rPr>
              <w:t>Flywire Corporation</w:t>
            </w:r>
          </w:p>
        </w:tc>
      </w:tr>
      <w:tr>
        <w:trPr>
          <w:trHeight w:val="216"/>
        </w:trPr>
        <w:tc>
          <w:tcPr>
            <w:tcW w:w="60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93"/>
              </w:rPr>
              <w:t>One Marina Park Drive, Suite 900</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141 Tremont St #10</w:t>
            </w:r>
          </w:p>
        </w:tc>
      </w:tr>
      <w:tr>
        <w:trPr>
          <w:trHeight w:val="216"/>
        </w:trPr>
        <w:tc>
          <w:tcPr>
            <w:tcW w:w="6080" w:type="dxa"/>
            <w:vAlign w:val="bottom"/>
            <w:gridSpan w:val="3"/>
          </w:tcPr>
          <w:p>
            <w:pPr>
              <w:jc w:val="center"/>
              <w:ind w:right="3100"/>
              <w:spacing w:after="0"/>
              <w:rPr>
                <w:sz w:val="20"/>
                <w:szCs w:val="20"/>
                <w:color w:val="auto"/>
              </w:rPr>
            </w:pPr>
            <w:r>
              <w:rPr>
                <w:rFonts w:ascii="Arial" w:cs="Arial" w:eastAsia="Arial" w:hAnsi="Arial"/>
                <w:sz w:val="18"/>
                <w:szCs w:val="18"/>
                <w:b w:val="1"/>
                <w:bCs w:val="1"/>
                <w:color w:val="auto"/>
                <w:w w:val="91"/>
              </w:rPr>
              <w:t>Boston, MA 02210</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Boston, MA 02111</w:t>
            </w:r>
          </w:p>
        </w:tc>
      </w:tr>
      <w:tr>
        <w:trPr>
          <w:trHeight w:val="234"/>
        </w:trPr>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0"/>
              </w:rPr>
              <w:t>(617) 648-9100</w:t>
            </w:r>
          </w:p>
        </w:tc>
        <w:tc>
          <w:tcPr>
            <w:tcW w:w="2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(617) 329-4524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90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Registration Statement on Form S-8 registers additional shares of voting common stock to be issued pursuant to the Registrant’s 2021 Equity Incentive Plan and 2021 Employee Stock Purchase Plan. The information contained in the Registrant’s registration statement on Form S-8 (SEC File Nos. </w:t>
      </w:r>
      <w:hyperlink r:id="rId17">
        <w:r>
          <w:rPr>
            <w:rFonts w:ascii="Arial" w:cs="Arial" w:eastAsia="Arial" w:hAnsi="Arial"/>
            <w:sz w:val="18"/>
            <w:szCs w:val="18"/>
            <w:u w:val="single" w:color="auto"/>
            <w:color w:val="0000EE"/>
          </w:rPr>
          <w:t>333-256695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333-263956</w:t>
        </w:r>
      </w:hyperlink>
      <w:r>
        <w:rPr>
          <w:rFonts w:ascii="Arial" w:cs="Arial" w:eastAsia="Arial" w:hAnsi="Arial"/>
          <w:sz w:val="18"/>
          <w:szCs w:val="18"/>
          <w:color w:val="auto"/>
        </w:rPr>
        <w:t>), together with all exhibits filed therewith or incorporated therein by reference, are hereby incorporated by reference pursuant to General Instruction E to Form S-8.</w:t>
      </w:r>
    </w:p>
    <w:p>
      <w:pPr>
        <w:sectPr>
          <w:pgSz w:w="11900" w:h="16838" w:orient="portrait"/>
          <w:cols w:equalWidth="0" w:num="1">
            <w:col w:w="10880"/>
          </w:cols>
          <w:pgMar w:left="440" w:top="270"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gridSpan w:val="6"/>
          </w:tcPr>
          <w:p>
            <w:pPr>
              <w:jc w:val="center"/>
              <w:ind w:right="880"/>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rPr>
              <w:t>INFORMATION REQUIRED IN THE REGISTRATION STATEMENT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5860" w:type="dxa"/>
            <w:vAlign w:val="bottom"/>
            <w:gridSpan w:val="12"/>
          </w:tcPr>
          <w:p>
            <w:pPr>
              <w:ind w:left="100"/>
              <w:spacing w:after="0"/>
              <w:rPr>
                <w:sz w:val="20"/>
                <w:szCs w:val="20"/>
                <w:color w:val="auto"/>
              </w:rPr>
            </w:pPr>
            <w:r>
              <w:rPr>
                <w:rFonts w:ascii="Arial" w:cs="Arial" w:eastAsia="Arial" w:hAnsi="Arial"/>
                <w:sz w:val="18"/>
                <w:szCs w:val="18"/>
                <w:b w:val="1"/>
                <w:bCs w:val="1"/>
                <w:color w:val="auto"/>
              </w:rPr>
              <w:t>Exhibits.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80" w:type="dxa"/>
            <w:vAlign w:val="bottom"/>
            <w:gridSpan w:val="7"/>
          </w:tcPr>
          <w:p>
            <w:pPr>
              <w:jc w:val="center"/>
              <w:ind w:left="1419"/>
              <w:spacing w:after="0"/>
              <w:rPr>
                <w:sz w:val="20"/>
                <w:szCs w:val="20"/>
                <w:color w:val="auto"/>
              </w:rPr>
            </w:pPr>
            <w:r>
              <w:rPr>
                <w:rFonts w:ascii="Arial" w:cs="Arial" w:eastAsia="Arial" w:hAnsi="Arial"/>
                <w:sz w:val="18"/>
                <w:szCs w:val="18"/>
                <w:b w:val="1"/>
                <w:bCs w:val="1"/>
                <w:color w:val="auto"/>
              </w:rPr>
              <w:t>EXHIBIT INDEX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980" w:type="dxa"/>
            <w:vAlign w:val="bottom"/>
            <w:gridSpan w:val="7"/>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File No.</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Exhibit</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Filing Date</w:t>
            </w:r>
          </w:p>
        </w:tc>
        <w:tc>
          <w:tcPr>
            <w:tcW w:w="580" w:type="dxa"/>
            <w:vAlign w:val="bottom"/>
          </w:tcPr>
          <w:p>
            <w:pPr>
              <w:jc w:val="right"/>
              <w:ind w:right="56"/>
              <w:spacing w:after="0" w:line="115"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80" w:type="dxa"/>
            <w:vAlign w:val="bottom"/>
            <w:gridSpan w:val="7"/>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3"/>
                <w:szCs w:val="23"/>
                <w:color w:val="auto"/>
              </w:rPr>
            </w:pPr>
          </w:p>
        </w:tc>
        <w:tc>
          <w:tcPr>
            <w:tcW w:w="568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0000EE"/>
                <w:w w:val="96"/>
              </w:rPr>
              <w:t>Opinion and Consent of Gunderson Dettmer Stough Villeneuve Franklin &amp;</w:t>
            </w:r>
          </w:p>
        </w:tc>
        <w:tc>
          <w:tcPr>
            <w:tcW w:w="1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Hachigian, LLP.</w:t>
            </w:r>
          </w:p>
        </w:tc>
        <w:tc>
          <w:tcPr>
            <w:tcW w:w="4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380" w:type="dxa"/>
            <w:vAlign w:val="bottom"/>
          </w:tcPr>
          <w:p>
            <w:pPr>
              <w:spacing w:after="0"/>
              <w:rPr>
                <w:sz w:val="24"/>
                <w:szCs w:val="24"/>
                <w:color w:val="auto"/>
              </w:rPr>
            </w:pPr>
          </w:p>
        </w:tc>
        <w:tc>
          <w:tcPr>
            <w:tcW w:w="51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Consent of PricewaterhouseCoopers LLP, independent registered public</w:t>
            </w:r>
          </w:p>
        </w:tc>
        <w:tc>
          <w:tcPr>
            <w:tcW w:w="68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60" w:type="dxa"/>
            <w:vAlign w:val="bottom"/>
            <w:gridSpan w:val="12"/>
          </w:tcPr>
          <w:p>
            <w:pPr>
              <w:spacing w:after="0" w:line="196" w:lineRule="exact"/>
              <w:rPr>
                <w:sz w:val="20"/>
                <w:szCs w:val="20"/>
                <w:color w:val="auto"/>
              </w:rPr>
            </w:pPr>
            <w:r>
              <w:rPr>
                <w:rFonts w:ascii="Arial" w:cs="Arial" w:eastAsia="Arial" w:hAnsi="Arial"/>
                <w:sz w:val="18"/>
                <w:szCs w:val="18"/>
                <w:color w:val="0000EE"/>
              </w:rPr>
              <w:t>accounting firm.</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380" w:type="dxa"/>
            <w:vAlign w:val="bottom"/>
          </w:tcPr>
          <w:p>
            <w:pPr>
              <w:spacing w:after="0"/>
              <w:rPr>
                <w:sz w:val="24"/>
                <w:szCs w:val="24"/>
                <w:color w:val="auto"/>
              </w:rPr>
            </w:pPr>
          </w:p>
        </w:tc>
        <w:tc>
          <w:tcPr>
            <w:tcW w:w="5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Consent of Gunderson Dettmer Stough Villeneuve Franklin &amp; Hachigian, LLP</w:t>
            </w:r>
          </w:p>
        </w:tc>
        <w:tc>
          <w:tcPr>
            <w:tcW w:w="2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60" w:type="dxa"/>
            <w:vAlign w:val="bottom"/>
            <w:gridSpan w:val="12"/>
          </w:tcPr>
          <w:p>
            <w:pPr>
              <w:spacing w:after="0" w:line="196" w:lineRule="exact"/>
              <w:rPr>
                <w:sz w:val="20"/>
                <w:szCs w:val="20"/>
                <w:color w:val="auto"/>
              </w:rPr>
            </w:pPr>
            <w:r>
              <w:rPr>
                <w:rFonts w:ascii="Arial" w:cs="Arial" w:eastAsia="Arial" w:hAnsi="Arial"/>
                <w:sz w:val="18"/>
                <w:szCs w:val="18"/>
                <w:color w:val="0000EE"/>
              </w:rPr>
              <w:t>(contained in Exhibit 5.1).</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38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Power of Attorney (contained in the signature page hereto).</w:t>
            </w:r>
          </w:p>
        </w:tc>
        <w:tc>
          <w:tcPr>
            <w:tcW w:w="158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99.1</w:t>
            </w:r>
          </w:p>
        </w:tc>
        <w:tc>
          <w:tcPr>
            <w:tcW w:w="380" w:type="dxa"/>
            <w:vAlign w:val="bottom"/>
          </w:tcPr>
          <w:p>
            <w:pPr>
              <w:spacing w:after="0"/>
              <w:rPr>
                <w:sz w:val="24"/>
                <w:szCs w:val="24"/>
                <w:color w:val="auto"/>
              </w:rPr>
            </w:pPr>
          </w:p>
        </w:tc>
        <w:tc>
          <w:tcPr>
            <w:tcW w:w="4640" w:type="dxa"/>
            <w:vAlign w:val="bottom"/>
            <w:tcBorders>
              <w:bottom w:val="single" w:sz="8" w:color="0000EE"/>
            </w:tcBorders>
            <w:gridSpan w:val="7"/>
          </w:tcPr>
          <w:p>
            <w:pPr>
              <w:spacing w:after="0"/>
              <w:rPr>
                <w:rFonts w:ascii="Arial" w:cs="Arial" w:eastAsia="Arial" w:hAnsi="Arial"/>
                <w:sz w:val="18"/>
                <w:szCs w:val="18"/>
                <w:color w:val="0000EE"/>
                <w:w w:val="89"/>
              </w:rPr>
            </w:pPr>
            <w:hyperlink r:id="rId19">
              <w:r>
                <w:rPr>
                  <w:rFonts w:ascii="Arial" w:cs="Arial" w:eastAsia="Arial" w:hAnsi="Arial"/>
                  <w:sz w:val="18"/>
                  <w:szCs w:val="18"/>
                  <w:color w:val="0000EE"/>
                  <w:w w:val="89"/>
                </w:rPr>
                <w:t>2021 Equity Incentive Plan and forms of agreements thereunder.</w:t>
              </w:r>
            </w:hyperlink>
          </w:p>
        </w:tc>
        <w:tc>
          <w:tcPr>
            <w:tcW w:w="1220" w:type="dxa"/>
            <w:vAlign w:val="bottom"/>
            <w:gridSpan w:val="5"/>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001-40430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03/10/2023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5860" w:type="dxa"/>
            <w:vAlign w:val="bottom"/>
            <w:gridSpan w:val="12"/>
          </w:tcPr>
          <w:p>
            <w:pPr>
              <w:spacing w:after="0"/>
              <w:rPr>
                <w:sz w:val="20"/>
                <w:szCs w:val="20"/>
                <w:color w:val="auto"/>
              </w:rPr>
            </w:pPr>
            <w:r>
              <w:rPr>
                <w:rFonts w:ascii="Arial" w:cs="Arial" w:eastAsia="Arial" w:hAnsi="Arial"/>
                <w:sz w:val="18"/>
                <w:szCs w:val="18"/>
                <w:color w:val="0000EE"/>
              </w:rPr>
              <w:t>Filing Fee Table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gridSpan w:val="6"/>
          </w:tcPr>
          <w:p>
            <w:pPr>
              <w:jc w:val="center"/>
              <w:ind w:right="900"/>
              <w:spacing w:after="0"/>
              <w:rPr>
                <w:sz w:val="20"/>
                <w:szCs w:val="20"/>
                <w:color w:val="auto"/>
              </w:rPr>
            </w:pPr>
            <w:r>
              <w:rPr>
                <w:rFonts w:ascii="Arial" w:cs="Arial" w:eastAsia="Arial" w:hAnsi="Arial"/>
                <w:sz w:val="18"/>
                <w:szCs w:val="18"/>
                <w:color w:val="auto"/>
              </w:rPr>
              <w:t>II-1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15th day of March,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FLYWIRE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Michael Massaro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460"/>
          </w:cols>
          <w:pgMar w:left="440" w:top="270"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Michael Massaro and Michael Ellis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behalf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1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20" w:type="dxa"/>
            <w:vAlign w:val="bottom"/>
          </w:tcPr>
          <w:p>
            <w:pPr>
              <w:jc w:val="center"/>
              <w:ind w:left="21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Massaro</w:t>
            </w:r>
          </w:p>
        </w:tc>
        <w:tc>
          <w:tcPr>
            <w:tcW w:w="510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420" w:type="dxa"/>
            <w:vAlign w:val="bottom"/>
          </w:tcPr>
          <w:p>
            <w:pPr>
              <w:jc w:val="center"/>
              <w:ind w:left="192"/>
              <w:spacing w:after="0"/>
              <w:rPr>
                <w:sz w:val="20"/>
                <w:szCs w:val="20"/>
                <w:color w:val="auto"/>
              </w:rPr>
            </w:pPr>
            <w:r>
              <w:rPr>
                <w:rFonts w:ascii="Arial" w:cs="Arial" w:eastAsia="Arial" w:hAnsi="Arial"/>
                <w:sz w:val="18"/>
                <w:szCs w:val="18"/>
                <w:color w:val="auto"/>
                <w:w w:val="91"/>
              </w:rPr>
              <w:t>March 15,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Michael Massaro</w:t>
            </w:r>
          </w:p>
        </w:tc>
        <w:tc>
          <w:tcPr>
            <w:tcW w:w="51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4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Ellis</w:t>
            </w:r>
          </w:p>
        </w:tc>
        <w:tc>
          <w:tcPr>
            <w:tcW w:w="51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420" w:type="dxa"/>
            <w:vAlign w:val="bottom"/>
          </w:tcPr>
          <w:p>
            <w:pPr>
              <w:jc w:val="center"/>
              <w:ind w:left="192"/>
              <w:spacing w:after="0"/>
              <w:rPr>
                <w:sz w:val="20"/>
                <w:szCs w:val="20"/>
                <w:color w:val="auto"/>
              </w:rPr>
            </w:pPr>
            <w:r>
              <w:rPr>
                <w:rFonts w:ascii="Arial" w:cs="Arial" w:eastAsia="Arial" w:hAnsi="Arial"/>
                <w:sz w:val="18"/>
                <w:szCs w:val="18"/>
                <w:color w:val="auto"/>
                <w:w w:val="91"/>
              </w:rPr>
              <w:t>March 15,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Michael Ellis</w:t>
            </w:r>
          </w:p>
        </w:tc>
        <w:tc>
          <w:tcPr>
            <w:tcW w:w="51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14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Riese</w:t>
            </w: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420" w:type="dxa"/>
            <w:vAlign w:val="bottom"/>
          </w:tcPr>
          <w:p>
            <w:pPr>
              <w:jc w:val="center"/>
              <w:ind w:left="192"/>
              <w:spacing w:after="0"/>
              <w:rPr>
                <w:sz w:val="20"/>
                <w:szCs w:val="20"/>
                <w:color w:val="auto"/>
              </w:rPr>
            </w:pPr>
            <w:r>
              <w:rPr>
                <w:rFonts w:ascii="Arial" w:cs="Arial" w:eastAsia="Arial" w:hAnsi="Arial"/>
                <w:sz w:val="18"/>
                <w:szCs w:val="18"/>
                <w:color w:val="auto"/>
                <w:w w:val="91"/>
              </w:rPr>
              <w:t>March 15,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Phillip Riese</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Diane Offereins</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192"/>
              <w:spacing w:after="0"/>
              <w:rPr>
                <w:sz w:val="20"/>
                <w:szCs w:val="20"/>
                <w:color w:val="auto"/>
              </w:rPr>
            </w:pPr>
            <w:r>
              <w:rPr>
                <w:rFonts w:ascii="Arial" w:cs="Arial" w:eastAsia="Arial" w:hAnsi="Arial"/>
                <w:sz w:val="18"/>
                <w:szCs w:val="18"/>
                <w:color w:val="auto"/>
                <w:w w:val="91"/>
              </w:rPr>
              <w:t>March 15,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Diane Offereins</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Finkelstein</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192"/>
              <w:spacing w:after="0"/>
              <w:rPr>
                <w:sz w:val="20"/>
                <w:szCs w:val="20"/>
                <w:color w:val="auto"/>
              </w:rPr>
            </w:pPr>
            <w:r>
              <w:rPr>
                <w:rFonts w:ascii="Arial" w:cs="Arial" w:eastAsia="Arial" w:hAnsi="Arial"/>
                <w:sz w:val="18"/>
                <w:szCs w:val="18"/>
                <w:color w:val="auto"/>
                <w:w w:val="91"/>
              </w:rPr>
              <w:t>March 15,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Alex Finkelstein</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Harris</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192"/>
              <w:spacing w:after="0"/>
              <w:rPr>
                <w:sz w:val="20"/>
                <w:szCs w:val="20"/>
                <w:color w:val="auto"/>
              </w:rPr>
            </w:pPr>
            <w:r>
              <w:rPr>
                <w:rFonts w:ascii="Arial" w:cs="Arial" w:eastAsia="Arial" w:hAnsi="Arial"/>
                <w:sz w:val="18"/>
                <w:szCs w:val="18"/>
                <w:color w:val="auto"/>
                <w:w w:val="91"/>
              </w:rPr>
              <w:t>March 15,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Matt Harris</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Edwin Santos</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192"/>
              <w:spacing w:after="0"/>
              <w:rPr>
                <w:sz w:val="20"/>
                <w:szCs w:val="20"/>
                <w:color w:val="auto"/>
              </w:rPr>
            </w:pPr>
            <w:r>
              <w:rPr>
                <w:rFonts w:ascii="Arial" w:cs="Arial" w:eastAsia="Arial" w:hAnsi="Arial"/>
                <w:sz w:val="18"/>
                <w:szCs w:val="18"/>
                <w:color w:val="auto"/>
                <w:w w:val="91"/>
              </w:rPr>
              <w:t>March 15,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Edwin Santos</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ectPr>
          <w:pgSz w:w="11900" w:h="16838" w:orient="portrait"/>
          <w:cols w:equalWidth="0" w:num="1">
            <w:col w:w="11000"/>
          </w:cols>
          <w:pgMar w:left="440" w:top="270"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March 15,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Flywire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141 Tremont St #10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Boston, MA 02111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Flywire Corporation Registration Statement on Form S-8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We refer to the registration statement on Form S-8 (the “Registration Statement”) to be filed by Flywire Corporation, a Delaware corporation (the “Company”), with the Securities and Exchange Commission (the “Commission”) in connection with the registration under the Securities Act of 1933, as amended (the “Act”), of an aggregate of 6,558,055 shares of the Company’s voting common stock, $0.0001 par value per share (the “Shares”), that are issuable by the Company (i) upon the exercise or settlement of awards granted or to be granted under the Company’s 2021 Equity Incentive Plan and</w:t>
      </w:r>
    </w:p>
    <w:p>
      <w:pPr>
        <w:spacing w:after="0" w:line="1" w:lineRule="exact"/>
        <w:rPr>
          <w:sz w:val="20"/>
          <w:szCs w:val="20"/>
          <w:color w:val="auto"/>
        </w:rPr>
      </w:pPr>
    </w:p>
    <w:p>
      <w:pPr>
        <w:ind w:left="4" w:right="80" w:hanging="4"/>
        <w:spacing w:after="0" w:line="290" w:lineRule="auto"/>
        <w:tabs>
          <w:tab w:leader="none" w:pos="269" w:val="left"/>
        </w:tabs>
        <w:numPr>
          <w:ilvl w:val="0"/>
          <w:numId w:val="1"/>
        </w:numPr>
        <w:rPr>
          <w:rFonts w:ascii="Arial" w:cs="Arial" w:eastAsia="Arial" w:hAnsi="Arial"/>
          <w:sz w:val="17"/>
          <w:szCs w:val="17"/>
          <w:color w:val="auto"/>
        </w:rPr>
      </w:pPr>
      <w:r>
        <w:rPr>
          <w:rFonts w:ascii="Arial" w:cs="Arial" w:eastAsia="Arial" w:hAnsi="Arial"/>
          <w:sz w:val="17"/>
          <w:szCs w:val="17"/>
          <w:color w:val="auto"/>
        </w:rPr>
        <w:t>upon the exercise of purchase rights to acquire shares of voting common stock pursuant to the Company’s 2021 Employee Stock Purchase Plan. The Company’s 2021 Equity Incentive Plan and 2021 Employee Stock Purchase Plan are collectively referred to in this letter as the “Plans.”</w:t>
      </w:r>
    </w:p>
    <w:p>
      <w:pPr>
        <w:spacing w:after="0" w:line="161" w:lineRule="exact"/>
        <w:rPr>
          <w:sz w:val="20"/>
          <w:szCs w:val="20"/>
          <w:color w:val="auto"/>
        </w:rPr>
      </w:pPr>
    </w:p>
    <w:p>
      <w:pPr>
        <w:ind w:left="4" w:right="280"/>
        <w:spacing w:after="0" w:line="279" w:lineRule="auto"/>
        <w:rPr>
          <w:sz w:val="20"/>
          <w:szCs w:val="20"/>
          <w:color w:val="auto"/>
        </w:rPr>
      </w:pPr>
      <w:r>
        <w:rPr>
          <w:rFonts w:ascii="Arial" w:cs="Arial" w:eastAsia="Arial" w:hAnsi="Arial"/>
          <w:sz w:val="17"/>
          <w:szCs w:val="17"/>
          <w:color w:val="auto"/>
        </w:rPr>
        <w:t>As your counsel, we have examined such matters of fact and questions of law as we have deemed necessary in order to render the opinion set forth herein. In connection with our opinion expressed below, we have relied as to certain factual matters on information obtained from public officials, officers of the Company and other sources believed by us to be responsible. We express no opinion as to matters governed by any laws other than the laws of the Delaware General Corporation Law and the federal laws of the United States.</w:t>
      </w:r>
    </w:p>
    <w:p>
      <w:pPr>
        <w:spacing w:after="0" w:line="17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Based upon and subject to the foregoing, we advise you that, in our opinion, when the Shares have been issued and sold pursuant to the applicable provisions of the Plans, and in accordance with the Registration Statement, such Shares will be validly issued, fully paid and nonassessable shares of the Company’s voting common stock.</w:t>
      </w:r>
    </w:p>
    <w:p>
      <w:pPr>
        <w:spacing w:after="0" w:line="184"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7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Gunderson Dettmer Stough Villeneuve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Franklin &amp; Hachigian, LLP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GUNDERSON DETTMER STOUGH VILLENEUVE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FRANKLIN &amp; HACHIGIAN, LLP</w:t>
      </w:r>
    </w:p>
    <w:p>
      <w:pPr>
        <w:sectPr>
          <w:pgSz w:w="11900" w:h="16838" w:orient="portrait"/>
          <w:cols w:equalWidth="0" w:num="1">
            <w:col w:w="11024"/>
          </w:cols>
          <w:pgMar w:left="436"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Flywire Corporation of our report dated March 10, 2023 relating to the financial statements and the effectiveness of internal control over financial reporting, which appears in Flywire Corporation’s Annual Report on Form 10-K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S-8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Flywire Corporation</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30"/>
        </w:trPr>
        <w:tc>
          <w:tcPr>
            <w:tcW w:w="1100" w:type="dxa"/>
            <w:vAlign w:val="bottom"/>
            <w:tcBorders>
              <w:top w:val="single" w:sz="8" w:color="auto"/>
              <w:left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spacing w:after="0"/>
              <w:rPr>
                <w:sz w:val="11"/>
                <w:szCs w:val="11"/>
                <w:color w:val="auto"/>
              </w:rPr>
            </w:pPr>
          </w:p>
        </w:tc>
        <w:tc>
          <w:tcPr>
            <w:tcW w:w="1520" w:type="dxa"/>
            <w:vAlign w:val="bottom"/>
            <w:tcBorders>
              <w:top w:val="single" w:sz="8" w:color="auto"/>
              <w:right w:val="single" w:sz="8" w:color="auto"/>
            </w:tcBorders>
          </w:tcPr>
          <w:p>
            <w:pPr>
              <w:spacing w:after="0"/>
              <w:rPr>
                <w:sz w:val="11"/>
                <w:szCs w:val="11"/>
                <w:color w:val="auto"/>
              </w:rPr>
            </w:pPr>
          </w:p>
        </w:tc>
        <w:tc>
          <w:tcPr>
            <w:tcW w:w="1400" w:type="dxa"/>
            <w:vAlign w:val="bottom"/>
            <w:tcBorders>
              <w:top w:val="single" w:sz="8" w:color="auto"/>
              <w:right w:val="single" w:sz="8" w:color="auto"/>
            </w:tcBorders>
          </w:tcPr>
          <w:p>
            <w:pPr>
              <w:jc w:val="center"/>
              <w:ind w:left="29"/>
              <w:spacing w:after="0" w:line="131" w:lineRule="exact"/>
              <w:rPr>
                <w:sz w:val="20"/>
                <w:szCs w:val="20"/>
                <w:color w:val="auto"/>
              </w:rPr>
            </w:pPr>
            <w:r>
              <w:rPr>
                <w:rFonts w:ascii="Arial" w:cs="Arial" w:eastAsia="Arial" w:hAnsi="Arial"/>
                <w:sz w:val="13"/>
                <w:szCs w:val="13"/>
                <w:b w:val="1"/>
                <w:bCs w:val="1"/>
                <w:color w:val="auto"/>
                <w:w w:val="83"/>
              </w:rPr>
              <w:t>Proposed</w:t>
            </w:r>
          </w:p>
        </w:tc>
        <w:tc>
          <w:tcPr>
            <w:tcW w:w="1860" w:type="dxa"/>
            <w:vAlign w:val="bottom"/>
            <w:tcBorders>
              <w:top w:val="single" w:sz="8" w:color="auto"/>
              <w:right w:val="single" w:sz="8" w:color="auto"/>
            </w:tcBorders>
          </w:tcPr>
          <w:p>
            <w:pPr>
              <w:spacing w:after="0"/>
              <w:rPr>
                <w:sz w:val="11"/>
                <w:szCs w:val="11"/>
                <w:color w:val="auto"/>
              </w:rPr>
            </w:pPr>
          </w:p>
        </w:tc>
        <w:tc>
          <w:tcPr>
            <w:tcW w:w="1300" w:type="dxa"/>
            <w:vAlign w:val="bottom"/>
            <w:tcBorders>
              <w:top w:val="single" w:sz="8" w:color="auto"/>
              <w:right w:val="single" w:sz="8" w:color="auto"/>
            </w:tcBorders>
          </w:tcPr>
          <w:p>
            <w:pPr>
              <w:spacing w:after="0"/>
              <w:rPr>
                <w:sz w:val="11"/>
                <w:szCs w:val="11"/>
                <w:color w:val="auto"/>
              </w:rPr>
            </w:pPr>
          </w:p>
        </w:tc>
        <w:tc>
          <w:tcPr>
            <w:tcW w:w="13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jc w:val="center"/>
              <w:ind w:left="9"/>
              <w:spacing w:after="0" w:line="135" w:lineRule="exact"/>
              <w:rPr>
                <w:sz w:val="20"/>
                <w:szCs w:val="20"/>
                <w:color w:val="auto"/>
              </w:rPr>
            </w:pPr>
            <w:r>
              <w:rPr>
                <w:rFonts w:ascii="Arial" w:cs="Arial" w:eastAsia="Arial" w:hAnsi="Arial"/>
                <w:sz w:val="13"/>
                <w:szCs w:val="13"/>
                <w:b w:val="1"/>
                <w:bCs w:val="1"/>
                <w:color w:val="auto"/>
                <w:w w:val="93"/>
              </w:rPr>
              <w:t>Maximum</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3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0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jc w:val="center"/>
              <w:ind w:left="15"/>
              <w:spacing w:after="0" w:line="140" w:lineRule="exact"/>
              <w:rPr>
                <w:sz w:val="20"/>
                <w:szCs w:val="20"/>
                <w:color w:val="auto"/>
              </w:rPr>
            </w:pPr>
            <w:r>
              <w:rPr>
                <w:rFonts w:ascii="Arial" w:cs="Arial" w:eastAsia="Arial" w:hAnsi="Arial"/>
                <w:sz w:val="13"/>
                <w:szCs w:val="13"/>
                <w:b w:val="1"/>
                <w:bCs w:val="1"/>
                <w:color w:val="auto"/>
                <w:w w:val="85"/>
              </w:rPr>
              <w:t>Security</w:t>
            </w:r>
          </w:p>
        </w:tc>
        <w:tc>
          <w:tcPr>
            <w:tcW w:w="1220" w:type="dxa"/>
            <w:vAlign w:val="bottom"/>
            <w:tcBorders>
              <w:right w:val="single" w:sz="8" w:color="auto"/>
            </w:tcBorders>
          </w:tcPr>
          <w:p>
            <w:pPr>
              <w:jc w:val="center"/>
              <w:ind w:left="2"/>
              <w:spacing w:after="0" w:line="140" w:lineRule="exact"/>
              <w:rPr>
                <w:sz w:val="20"/>
                <w:szCs w:val="20"/>
                <w:color w:val="auto"/>
              </w:rPr>
            </w:pPr>
            <w:r>
              <w:rPr>
                <w:rFonts w:ascii="Arial" w:cs="Arial" w:eastAsia="Arial" w:hAnsi="Arial"/>
                <w:sz w:val="13"/>
                <w:szCs w:val="13"/>
                <w:b w:val="1"/>
                <w:bCs w:val="1"/>
                <w:color w:val="auto"/>
                <w:w w:val="80"/>
              </w:rPr>
              <w:t>Fee</w:t>
            </w:r>
          </w:p>
        </w:tc>
        <w:tc>
          <w:tcPr>
            <w:tcW w:w="15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ind w:left="29"/>
              <w:spacing w:after="0" w:line="140" w:lineRule="exact"/>
              <w:rPr>
                <w:sz w:val="20"/>
                <w:szCs w:val="20"/>
                <w:color w:val="auto"/>
              </w:rPr>
            </w:pPr>
            <w:r>
              <w:rPr>
                <w:rFonts w:ascii="Arial" w:cs="Arial" w:eastAsia="Arial" w:hAnsi="Arial"/>
                <w:sz w:val="13"/>
                <w:szCs w:val="13"/>
                <w:b w:val="1"/>
                <w:bCs w:val="1"/>
                <w:color w:val="auto"/>
                <w:w w:val="90"/>
              </w:rPr>
              <w:t>Offering</w:t>
            </w:r>
          </w:p>
        </w:tc>
        <w:tc>
          <w:tcPr>
            <w:tcW w:w="1860" w:type="dxa"/>
            <w:vAlign w:val="bottom"/>
            <w:tcBorders>
              <w:right w:val="single" w:sz="8" w:color="auto"/>
            </w:tcBorders>
          </w:tcPr>
          <w:p>
            <w:pPr>
              <w:jc w:val="center"/>
              <w:ind w:left="5"/>
              <w:spacing w:after="0" w:line="140" w:lineRule="exact"/>
              <w:rPr>
                <w:sz w:val="20"/>
                <w:szCs w:val="20"/>
                <w:color w:val="auto"/>
              </w:rPr>
            </w:pPr>
            <w:r>
              <w:rPr>
                <w:rFonts w:ascii="Arial" w:cs="Arial" w:eastAsia="Arial" w:hAnsi="Arial"/>
                <w:sz w:val="13"/>
                <w:szCs w:val="13"/>
                <w:b w:val="1"/>
                <w:bCs w:val="1"/>
                <w:color w:val="auto"/>
                <w:w w:val="83"/>
              </w:rPr>
              <w:t>Aggregate</w:t>
            </w:r>
          </w:p>
        </w:tc>
        <w:tc>
          <w:tcPr>
            <w:tcW w:w="13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80"/>
              </w:rPr>
              <w:t>Class</w:t>
            </w:r>
          </w:p>
        </w:tc>
        <w:tc>
          <w:tcPr>
            <w:tcW w:w="1220" w:type="dxa"/>
            <w:vAlign w:val="bottom"/>
            <w:tcBorders>
              <w:right w:val="single" w:sz="8" w:color="auto"/>
            </w:tcBorders>
          </w:tcPr>
          <w:p>
            <w:pPr>
              <w:jc w:val="center"/>
              <w:ind w:left="2"/>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520" w:type="dxa"/>
            <w:vAlign w:val="bottom"/>
            <w:tcBorders>
              <w:right w:val="single" w:sz="8" w:color="auto"/>
            </w:tcBorders>
          </w:tcPr>
          <w:p>
            <w:pPr>
              <w:ind w:left="580"/>
              <w:spacing w:after="0" w:line="135" w:lineRule="exact"/>
              <w:rPr>
                <w:sz w:val="20"/>
                <w:szCs w:val="20"/>
                <w:color w:val="auto"/>
              </w:rPr>
            </w:pPr>
            <w:r>
              <w:rPr>
                <w:rFonts w:ascii="Arial" w:cs="Arial" w:eastAsia="Arial" w:hAnsi="Arial"/>
                <w:sz w:val="13"/>
                <w:szCs w:val="13"/>
                <w:b w:val="1"/>
                <w:bCs w:val="1"/>
                <w:color w:val="auto"/>
              </w:rPr>
              <w:t>Amount</w:t>
            </w:r>
          </w:p>
        </w:tc>
        <w:tc>
          <w:tcPr>
            <w:tcW w:w="1400" w:type="dxa"/>
            <w:vAlign w:val="bottom"/>
            <w:tcBorders>
              <w:right w:val="single" w:sz="8" w:color="auto"/>
            </w:tcBorders>
          </w:tcPr>
          <w:p>
            <w:pPr>
              <w:jc w:val="center"/>
              <w:ind w:left="29"/>
              <w:spacing w:after="0" w:line="135" w:lineRule="exact"/>
              <w:rPr>
                <w:sz w:val="20"/>
                <w:szCs w:val="20"/>
                <w:color w:val="auto"/>
              </w:rPr>
            </w:pPr>
            <w:r>
              <w:rPr>
                <w:rFonts w:ascii="Arial" w:cs="Arial" w:eastAsia="Arial" w:hAnsi="Arial"/>
                <w:sz w:val="13"/>
                <w:szCs w:val="13"/>
                <w:b w:val="1"/>
                <w:bCs w:val="1"/>
                <w:color w:val="auto"/>
                <w:w w:val="88"/>
              </w:rPr>
              <w:t>Price Per</w:t>
            </w:r>
          </w:p>
        </w:tc>
        <w:tc>
          <w:tcPr>
            <w:tcW w:w="186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b w:val="1"/>
                <w:bCs w:val="1"/>
                <w:color w:val="auto"/>
                <w:w w:val="90"/>
              </w:rPr>
              <w:t>Offering</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3"/>
                <w:szCs w:val="13"/>
                <w:b w:val="1"/>
                <w:bCs w:val="1"/>
                <w:color w:val="auto"/>
                <w:w w:val="86"/>
              </w:rPr>
              <w:t>Security Type</w:t>
            </w:r>
          </w:p>
        </w:tc>
        <w:tc>
          <w:tcPr>
            <w:tcW w:w="122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89"/>
              </w:rPr>
              <w:t>Title</w:t>
            </w:r>
          </w:p>
        </w:tc>
        <w:tc>
          <w:tcPr>
            <w:tcW w:w="122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3"/>
                <w:szCs w:val="13"/>
                <w:b w:val="1"/>
                <w:bCs w:val="1"/>
                <w:color w:val="auto"/>
                <w:w w:val="90"/>
              </w:rPr>
              <w:t>Rule(4)</w:t>
            </w:r>
          </w:p>
        </w:tc>
        <w:tc>
          <w:tcPr>
            <w:tcW w:w="152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3"/>
                <w:szCs w:val="13"/>
                <w:b w:val="1"/>
                <w:bCs w:val="1"/>
                <w:color w:val="auto"/>
                <w:w w:val="86"/>
              </w:rPr>
              <w:t>Registered(1)</w:t>
            </w:r>
          </w:p>
        </w:tc>
        <w:tc>
          <w:tcPr>
            <w:tcW w:w="14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88"/>
              </w:rPr>
              <w:t>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Fee(5)</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right w:val="single" w:sz="8" w:color="auto"/>
            </w:tcBorders>
          </w:tcPr>
          <w:p>
            <w:pPr>
              <w:jc w:val="center"/>
              <w:ind w:left="59"/>
              <w:spacing w:after="0" w:line="195" w:lineRule="exact"/>
              <w:rPr>
                <w:sz w:val="20"/>
                <w:szCs w:val="20"/>
                <w:color w:val="auto"/>
              </w:rPr>
            </w:pPr>
            <w:r>
              <w:rPr>
                <w:rFonts w:ascii="Arial" w:cs="Arial" w:eastAsia="Arial" w:hAnsi="Arial"/>
                <w:sz w:val="18"/>
                <w:szCs w:val="18"/>
                <w:color w:val="auto"/>
                <w:w w:val="95"/>
              </w:rPr>
              <w:t>Equity</w:t>
            </w:r>
          </w:p>
        </w:tc>
        <w:tc>
          <w:tcPr>
            <w:tcW w:w="1220" w:type="dxa"/>
            <w:vAlign w:val="bottom"/>
            <w:tcBorders>
              <w:right w:val="single" w:sz="8" w:color="auto"/>
            </w:tcBorders>
          </w:tcPr>
          <w:p>
            <w:pPr>
              <w:jc w:val="center"/>
              <w:ind w:left="15"/>
              <w:spacing w:after="0" w:line="195" w:lineRule="exact"/>
              <w:rPr>
                <w:sz w:val="20"/>
                <w:szCs w:val="20"/>
                <w:color w:val="auto"/>
              </w:rPr>
            </w:pPr>
            <w:r>
              <w:rPr>
                <w:rFonts w:ascii="Arial" w:cs="Arial" w:eastAsia="Arial" w:hAnsi="Arial"/>
                <w:sz w:val="18"/>
                <w:szCs w:val="18"/>
                <w:color w:val="auto"/>
                <w:w w:val="93"/>
              </w:rPr>
              <w:t>Voting</w:t>
            </w:r>
          </w:p>
        </w:tc>
        <w:tc>
          <w:tcPr>
            <w:tcW w:w="12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92"/>
              </w:rPr>
              <w:t>common</w:t>
            </w:r>
          </w:p>
        </w:tc>
        <w:tc>
          <w:tcPr>
            <w:tcW w:w="1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par</w:t>
            </w:r>
          </w:p>
        </w:tc>
        <w:tc>
          <w:tcPr>
            <w:tcW w:w="1220" w:type="dxa"/>
            <w:vAlign w:val="bottom"/>
            <w:tcBorders>
              <w:right w:val="single" w:sz="8" w:color="auto"/>
            </w:tcBorders>
            <w:vMerge w:val="restart"/>
          </w:tcPr>
          <w:p>
            <w:pPr>
              <w:jc w:val="center"/>
              <w:ind w:left="2"/>
              <w:spacing w:after="0"/>
              <w:rPr>
                <w:sz w:val="20"/>
                <w:szCs w:val="20"/>
                <w:color w:val="auto"/>
              </w:rPr>
            </w:pPr>
            <w:r>
              <w:rPr>
                <w:rFonts w:ascii="Arial" w:cs="Arial" w:eastAsia="Arial" w:hAnsi="Arial"/>
                <w:sz w:val="18"/>
                <w:szCs w:val="18"/>
                <w:color w:val="auto"/>
                <w:w w:val="91"/>
              </w:rPr>
              <w:t>Rule 457(h)</w:t>
            </w:r>
          </w:p>
        </w:tc>
        <w:tc>
          <w:tcPr>
            <w:tcW w:w="15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value $0.0001</w:t>
            </w:r>
          </w:p>
        </w:tc>
        <w:tc>
          <w:tcPr>
            <w:tcW w:w="1220" w:type="dxa"/>
            <w:vAlign w:val="bottom"/>
            <w:tcBorders>
              <w:right w:val="single" w:sz="8" w:color="auto"/>
            </w:tcBorders>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84"/>
              </w:rPr>
              <w:t>per share</w:t>
            </w:r>
          </w:p>
        </w:tc>
        <w:tc>
          <w:tcPr>
            <w:tcW w:w="122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2"/>
              </w:rPr>
              <w:t>Rule 457(c)</w:t>
            </w:r>
          </w:p>
        </w:tc>
        <w:tc>
          <w:tcPr>
            <w:tcW w:w="152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1"/>
              </w:rPr>
              <w:t>5,465,046 (2)</w:t>
            </w:r>
          </w:p>
        </w:tc>
        <w:tc>
          <w:tcPr>
            <w:tcW w:w="14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90"/>
              </w:rPr>
              <w:t>$26.2425 (4)</w:t>
            </w:r>
          </w:p>
        </w:tc>
        <w:tc>
          <w:tcPr>
            <w:tcW w:w="1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90"/>
              </w:rPr>
              <w:t>$143,416,469.66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0.00011020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$15,804.49</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right w:val="single" w:sz="8" w:color="auto"/>
            </w:tcBorders>
          </w:tcPr>
          <w:p>
            <w:pPr>
              <w:jc w:val="center"/>
              <w:ind w:left="59"/>
              <w:spacing w:after="0" w:line="195" w:lineRule="exact"/>
              <w:rPr>
                <w:sz w:val="20"/>
                <w:szCs w:val="20"/>
                <w:color w:val="auto"/>
              </w:rPr>
            </w:pPr>
            <w:r>
              <w:rPr>
                <w:rFonts w:ascii="Arial" w:cs="Arial" w:eastAsia="Arial" w:hAnsi="Arial"/>
                <w:sz w:val="18"/>
                <w:szCs w:val="18"/>
                <w:color w:val="auto"/>
                <w:w w:val="95"/>
              </w:rPr>
              <w:t>Equity</w:t>
            </w:r>
          </w:p>
        </w:tc>
        <w:tc>
          <w:tcPr>
            <w:tcW w:w="1220" w:type="dxa"/>
            <w:vAlign w:val="bottom"/>
            <w:tcBorders>
              <w:right w:val="single" w:sz="8" w:color="auto"/>
            </w:tcBorders>
          </w:tcPr>
          <w:p>
            <w:pPr>
              <w:jc w:val="center"/>
              <w:ind w:left="15"/>
              <w:spacing w:after="0" w:line="195" w:lineRule="exact"/>
              <w:rPr>
                <w:sz w:val="20"/>
                <w:szCs w:val="20"/>
                <w:color w:val="auto"/>
              </w:rPr>
            </w:pPr>
            <w:r>
              <w:rPr>
                <w:rFonts w:ascii="Arial" w:cs="Arial" w:eastAsia="Arial" w:hAnsi="Arial"/>
                <w:sz w:val="18"/>
                <w:szCs w:val="18"/>
                <w:color w:val="auto"/>
                <w:w w:val="93"/>
              </w:rPr>
              <w:t>Voting</w:t>
            </w:r>
          </w:p>
        </w:tc>
        <w:tc>
          <w:tcPr>
            <w:tcW w:w="12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92"/>
              </w:rPr>
              <w:t>common</w:t>
            </w:r>
          </w:p>
        </w:tc>
        <w:tc>
          <w:tcPr>
            <w:tcW w:w="1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par</w:t>
            </w:r>
          </w:p>
        </w:tc>
        <w:tc>
          <w:tcPr>
            <w:tcW w:w="1220" w:type="dxa"/>
            <w:vAlign w:val="bottom"/>
            <w:tcBorders>
              <w:right w:val="single" w:sz="8" w:color="auto"/>
            </w:tcBorders>
            <w:vMerge w:val="restart"/>
          </w:tcPr>
          <w:p>
            <w:pPr>
              <w:jc w:val="center"/>
              <w:ind w:left="2"/>
              <w:spacing w:after="0"/>
              <w:rPr>
                <w:sz w:val="20"/>
                <w:szCs w:val="20"/>
                <w:color w:val="auto"/>
              </w:rPr>
            </w:pPr>
            <w:r>
              <w:rPr>
                <w:rFonts w:ascii="Arial" w:cs="Arial" w:eastAsia="Arial" w:hAnsi="Arial"/>
                <w:sz w:val="18"/>
                <w:szCs w:val="18"/>
                <w:color w:val="auto"/>
                <w:w w:val="91"/>
              </w:rPr>
              <w:t>Rule 457(h)</w:t>
            </w:r>
          </w:p>
        </w:tc>
        <w:tc>
          <w:tcPr>
            <w:tcW w:w="15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value $0.0001</w:t>
            </w:r>
          </w:p>
        </w:tc>
        <w:tc>
          <w:tcPr>
            <w:tcW w:w="1220" w:type="dxa"/>
            <w:vAlign w:val="bottom"/>
            <w:tcBorders>
              <w:right w:val="single" w:sz="8" w:color="auto"/>
            </w:tcBorders>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84"/>
              </w:rPr>
              <w:t>per share</w:t>
            </w:r>
          </w:p>
        </w:tc>
        <w:tc>
          <w:tcPr>
            <w:tcW w:w="122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2"/>
              </w:rPr>
              <w:t>Rule 457(c)</w:t>
            </w:r>
          </w:p>
        </w:tc>
        <w:tc>
          <w:tcPr>
            <w:tcW w:w="152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1"/>
              </w:rPr>
              <w:t>1,093,009 (3)</w:t>
            </w:r>
          </w:p>
        </w:tc>
        <w:tc>
          <w:tcPr>
            <w:tcW w:w="14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90"/>
              </w:rPr>
              <w:t>$22.3061 (4)</w:t>
            </w:r>
          </w:p>
        </w:tc>
        <w:tc>
          <w:tcPr>
            <w:tcW w:w="1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91"/>
              </w:rPr>
              <w:t>$24,380,795.38</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0.00011020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$2,686.76</w:t>
            </w:r>
          </w:p>
        </w:tc>
        <w:tc>
          <w:tcPr>
            <w:tcW w:w="0" w:type="dxa"/>
            <w:vAlign w:val="bottom"/>
          </w:tcPr>
          <w:p>
            <w:pPr>
              <w:spacing w:after="0"/>
              <w:rPr>
                <w:sz w:val="1"/>
                <w:szCs w:val="1"/>
                <w:color w:val="auto"/>
              </w:rPr>
            </w:pPr>
          </w:p>
        </w:tc>
      </w:tr>
      <w:tr>
        <w:trPr>
          <w:trHeight w:val="210"/>
        </w:trPr>
        <w:tc>
          <w:tcPr>
            <w:tcW w:w="1100" w:type="dxa"/>
            <w:vAlign w:val="bottom"/>
            <w:tcBorders>
              <w:left w:val="single" w:sz="8" w:color="auto"/>
              <w:bottom w:val="single" w:sz="8" w:color="auto"/>
            </w:tcBorders>
          </w:tcPr>
          <w:p>
            <w:pPr>
              <w:spacing w:after="0"/>
              <w:rPr>
                <w:sz w:val="18"/>
                <w:szCs w:val="18"/>
                <w:color w:val="auto"/>
              </w:rPr>
            </w:pPr>
          </w:p>
        </w:tc>
        <w:tc>
          <w:tcPr>
            <w:tcW w:w="2440" w:type="dxa"/>
            <w:vAlign w:val="bottom"/>
            <w:tcBorders>
              <w:bottom w:val="single" w:sz="8" w:color="auto"/>
            </w:tcBorders>
            <w:gridSpan w:val="2"/>
          </w:tcPr>
          <w:p>
            <w:pPr>
              <w:jc w:val="center"/>
              <w:ind w:left="475"/>
              <w:spacing w:after="0"/>
              <w:rPr>
                <w:sz w:val="20"/>
                <w:szCs w:val="20"/>
                <w:color w:val="auto"/>
              </w:rPr>
            </w:pPr>
            <w:r>
              <w:rPr>
                <w:rFonts w:ascii="Arial" w:cs="Arial" w:eastAsia="Arial" w:hAnsi="Arial"/>
                <w:sz w:val="18"/>
                <w:szCs w:val="18"/>
                <w:b w:val="1"/>
                <w:bCs w:val="1"/>
                <w:color w:val="auto"/>
                <w:w w:val="91"/>
              </w:rPr>
              <w:t>Total Offering Amounts</w:t>
            </w:r>
          </w:p>
        </w:tc>
        <w:tc>
          <w:tcPr>
            <w:tcW w:w="15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90"/>
              </w:rPr>
              <w:t>$167,797,265.04</w:t>
            </w: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$18,491.25</w:t>
            </w: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440" w:type="dxa"/>
            <w:vAlign w:val="bottom"/>
            <w:tcBorders>
              <w:bottom w:val="single" w:sz="8" w:color="auto"/>
            </w:tcBorders>
            <w:gridSpan w:val="2"/>
          </w:tcPr>
          <w:p>
            <w:pPr>
              <w:jc w:val="center"/>
              <w:ind w:left="475"/>
              <w:spacing w:after="0"/>
              <w:rPr>
                <w:sz w:val="20"/>
                <w:szCs w:val="20"/>
                <w:color w:val="auto"/>
              </w:rPr>
            </w:pPr>
            <w:r>
              <w:rPr>
                <w:rFonts w:ascii="Arial" w:cs="Arial" w:eastAsia="Arial" w:hAnsi="Arial"/>
                <w:sz w:val="18"/>
                <w:szCs w:val="18"/>
                <w:b w:val="1"/>
                <w:bCs w:val="1"/>
                <w:color w:val="auto"/>
                <w:w w:val="87"/>
              </w:rPr>
              <w:t>Total Fee Offsets</w:t>
            </w:r>
          </w:p>
        </w:tc>
        <w:tc>
          <w:tcPr>
            <w:tcW w:w="15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1100" w:type="dxa"/>
            <w:vAlign w:val="bottom"/>
            <w:tcBorders>
              <w:left w:val="single" w:sz="8" w:color="auto"/>
              <w:bottom w:val="single" w:sz="8" w:color="auto"/>
            </w:tcBorders>
          </w:tcPr>
          <w:p>
            <w:pPr>
              <w:spacing w:after="0"/>
              <w:rPr>
                <w:sz w:val="18"/>
                <w:szCs w:val="18"/>
                <w:color w:val="auto"/>
              </w:rPr>
            </w:pPr>
          </w:p>
        </w:tc>
        <w:tc>
          <w:tcPr>
            <w:tcW w:w="244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8"/>
                <w:szCs w:val="18"/>
                <w:b w:val="1"/>
                <w:bCs w:val="1"/>
                <w:color w:val="auto"/>
                <w:w w:val="90"/>
              </w:rPr>
              <w:t>Net Fee Due</w:t>
            </w:r>
          </w:p>
        </w:tc>
        <w:tc>
          <w:tcPr>
            <w:tcW w:w="15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$18,491.25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80" w:hanging="424"/>
        <w:spacing w:after="0" w:line="284"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any additional shares of Registrant’s voting common stock, par value $0.0001 per share (the “Common Stock”), that become issuable under (a) the Registrant’s 2021 Equity Incentive Plan (the “2021 EIP”) and (b) the Registrant’s 2021 Employee Stock Purchase Plan (the “2021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2021 EIP and 2021 ESPP were previously registered on a Registration Statement on June 2, 2021 (File No. 333-256695) and March 29, 2022 (File No. 333-263956).</w:t>
      </w:r>
    </w:p>
    <w:p>
      <w:pPr>
        <w:spacing w:after="0" w:line="4" w:lineRule="exact"/>
        <w:rPr>
          <w:rFonts w:ascii="Arial" w:cs="Arial" w:eastAsia="Arial" w:hAnsi="Arial"/>
          <w:sz w:val="16"/>
          <w:szCs w:val="16"/>
          <w:color w:val="auto"/>
        </w:rPr>
      </w:pPr>
    </w:p>
    <w:p>
      <w:pPr>
        <w:ind w:left="424" w:right="20" w:hanging="424"/>
        <w:spacing w:after="0" w:line="271"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5,465,046 shares of Common Stock that were automatically added to the shares reserved for issuance under the 2021 EIP on January 1, 2023 pursuant to an “evergreen” provision contained in the 2021 EIP (the “2021 EIP Evergreen Shares”). The number of shares of Common Stock available for issuance under the 2021 EIP is subject to an automatic annual increase on the first day of each fiscal year of the Registrant equal to the least of (i) 5% of the total number of Common Stock actually issued and outstanding on the last day of the preceding fiscal year, or (ii) a number of shares of Common Stock determined by the Registrant’s board of directors.</w:t>
      </w:r>
    </w:p>
    <w:p>
      <w:pPr>
        <w:sectPr>
          <w:pgSz w:w="11900" w:h="16838" w:orient="portrait"/>
          <w:cols w:equalWidth="0" w:num="1">
            <w:col w:w="11024"/>
          </w:cols>
          <w:pgMar w:left="436" w:top="121" w:right="439" w:bottom="1440" w:gutter="0" w:footer="0" w:header="0"/>
        </w:sectPr>
      </w:pPr>
    </w:p>
    <w:bookmarkStart w:id="8" w:name="page9"/>
    <w:bookmarkEnd w:id="8"/>
    <w:p>
      <w:pPr>
        <w:ind w:left="424" w:right="20" w:hanging="424"/>
        <w:spacing w:after="0" w:line="25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1,093,009 shares of Common Stock that were automatically added to the shares reserved for issuance under the 2021 ESPP on January 1, 2023 pursuant to an “evergreen” provision contained in the 2021 ESPP (the “2021 ESPP Evergreen Shares”). The number of shares of Common Stock available for issuance under the 2021 ESPP is subject to an automatic annual increase on the first day of each fiscal year of the Registrant equal to the least of (i) one percent (1%) of the total number of shares of Common Stock actually issued and outstanding on the last day of the preceding fiscal year, (ii) 2,000,000 shares of Common Stock, or (iii) a number of shares of Common Stock determined by the Registrant’s board of directors.</w:t>
      </w:r>
    </w:p>
    <w:p>
      <w:pPr>
        <w:spacing w:after="0" w:line="1" w:lineRule="exact"/>
        <w:rPr>
          <w:rFonts w:ascii="Arial" w:cs="Arial" w:eastAsia="Arial" w:hAnsi="Arial"/>
          <w:sz w:val="18"/>
          <w:szCs w:val="18"/>
          <w:color w:val="auto"/>
        </w:rPr>
      </w:pPr>
    </w:p>
    <w:p>
      <w:pPr>
        <w:ind w:left="424" w:hanging="424"/>
        <w:spacing w:after="0" w:line="28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estimate is made pursuant to Rule 457(h)(1) and Rule 457(c) of the Securities Act solely for purposes of calculating the registration fee. The price per share and aggregate offering price of the 2021 EIP Evergreen Shares are based upon the average of the high and low prices of the Common Stock on March 14, 2023, as reported on the Nasdaq Global Select Market, which date is within five business days prior to the filing of this Registration Statement. The price per share and aggregate offering price of the 2021 ESPP Evergreen Shares are based upon the average of the high and low prices of the Common Stock on March 14, 2023, as reported on the Nasdaq Global Select Market, which date is within five</w:t>
      </w:r>
    </w:p>
    <w:p>
      <w:pPr>
        <w:spacing w:after="0" w:line="2" w:lineRule="exact"/>
        <w:rPr>
          <w:rFonts w:ascii="Arial" w:cs="Arial" w:eastAsia="Arial" w:hAnsi="Arial"/>
          <w:sz w:val="16"/>
          <w:szCs w:val="16"/>
          <w:color w:val="auto"/>
        </w:rPr>
      </w:pPr>
    </w:p>
    <w:p>
      <w:pPr>
        <w:ind w:left="424" w:right="120"/>
        <w:spacing w:after="0" w:line="250" w:lineRule="auto"/>
        <w:rPr>
          <w:rFonts w:ascii="Arial" w:cs="Arial" w:eastAsia="Arial" w:hAnsi="Arial"/>
          <w:sz w:val="16"/>
          <w:szCs w:val="16"/>
          <w:color w:val="auto"/>
        </w:rPr>
      </w:pPr>
      <w:r>
        <w:rPr>
          <w:rFonts w:ascii="Arial" w:cs="Arial" w:eastAsia="Arial" w:hAnsi="Arial"/>
          <w:sz w:val="18"/>
          <w:szCs w:val="18"/>
          <w:color w:val="auto"/>
        </w:rPr>
        <w:t>(5) business days prior to the filing of this Registration Statement, multiplied by 85%, which is the percentage of the price per share applicable to purchasers under the 2021 ESPP.</w:t>
      </w: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7" Type="http://schemas.openxmlformats.org/officeDocument/2006/relationships/hyperlink" Target="http://www.sec.gov/Archives/edgar/data/1580560/000119312521178839/d189841ds8.htm" TargetMode="External"/><Relationship Id="rId18" Type="http://schemas.openxmlformats.org/officeDocument/2006/relationships/hyperlink" Target="http://www.sec.gov/Archives/edgar/data/1580560/000119312522088234/d341773ds8.htm" TargetMode="External"/><Relationship Id="rId19" Type="http://schemas.openxmlformats.org/officeDocument/2006/relationships/hyperlink" Target="http://www.sec.gov/Archives/edgar/data/1580560/000095017023007149/flyw-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2023-03-16T05:26:29Z</dcterms:created>
  <dcterms:modified xsi:type="dcterms:W3CDTF">2023-03-16T05:26:29Z</dcterms:modified>
</cp:coreProperties>
</file>