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7654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Butterfield Peter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540"/>
        <w:spacing w:after="0" w:line="348" w:lineRule="auto"/>
        <w:rPr>
          <w:sz w:val="20"/>
          <w:szCs w:val="20"/>
          <w:color w:val="auto"/>
        </w:rPr>
      </w:pPr>
      <w:r>
        <w:rPr>
          <w:rFonts w:ascii="Arial" w:cs="Arial" w:eastAsia="Arial" w:hAnsi="Arial"/>
          <w:sz w:val="15"/>
          <w:szCs w:val="15"/>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12/17/2021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7"/>
        <w:spacing w:after="0"/>
        <w:rPr>
          <w:sz w:val="20"/>
          <w:szCs w:val="20"/>
          <w:color w:val="auto"/>
        </w:rPr>
      </w:pPr>
      <w:r>
        <w:rPr>
          <w:rFonts w:ascii="Arial" w:cs="Arial" w:eastAsia="Arial" w:hAnsi="Arial"/>
          <w:sz w:val="17"/>
          <w:szCs w:val="17"/>
          <w:color w:val="0000FF"/>
        </w:rPr>
        <w:t>General Counsel and CCO</w:t>
      </w:r>
    </w:p>
    <w:p>
      <w:pPr>
        <w:spacing w:after="0" w:line="435"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540" w:type="dxa"/>
            <w:vAlign w:val="bottom"/>
            <w:gridSpan w:val="6"/>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44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0"/>
            <w:vMerge w:val="restart"/>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BOSTON</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02111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84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gridSpan w:val="3"/>
          </w:tcPr>
          <w:p>
            <w:pPr>
              <w:jc w:val="right"/>
              <w:ind w:right="100"/>
              <w:spacing w:after="0"/>
              <w:rPr>
                <w:sz w:val="20"/>
                <w:szCs w:val="20"/>
                <w:color w:val="auto"/>
              </w:rPr>
            </w:pPr>
            <w:r>
              <w:rPr>
                <w:rFonts w:ascii="Arial" w:cs="Arial" w:eastAsia="Arial" w:hAnsi="Arial"/>
                <w:sz w:val="17"/>
                <w:szCs w:val="17"/>
                <w:color w:val="0000FF"/>
              </w:rPr>
              <w:t>12/17/2021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2,300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3.2766</w:t>
            </w:r>
          </w:p>
        </w:tc>
        <w:tc>
          <w:tcPr>
            <w:tcW w:w="1340" w:type="dxa"/>
            <w:vAlign w:val="bottom"/>
            <w:gridSpan w:val="3"/>
          </w:tcPr>
          <w:p>
            <w:pPr>
              <w:jc w:val="right"/>
              <w:ind w:right="359"/>
              <w:spacing w:after="0"/>
              <w:rPr>
                <w:sz w:val="20"/>
                <w:szCs w:val="20"/>
                <w:color w:val="auto"/>
              </w:rPr>
            </w:pPr>
            <w:r>
              <w:rPr>
                <w:rFonts w:ascii="Arial" w:cs="Arial" w:eastAsia="Arial" w:hAnsi="Arial"/>
                <w:sz w:val="17"/>
                <w:szCs w:val="17"/>
                <w:color w:val="0000FF"/>
              </w:rPr>
              <w:t>2,300</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0000FF"/>
              </w:rPr>
              <w:t>12/17/2021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2,300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35.0037</w:t>
            </w:r>
            <w:r>
              <w:rPr>
                <w:rFonts w:ascii="Arial" w:cs="Arial" w:eastAsia="Arial" w:hAnsi="Arial"/>
                <w:sz w:val="21"/>
                <w:szCs w:val="21"/>
                <w:color w:val="008000"/>
                <w:w w:val="86"/>
                <w:vertAlign w:val="superscript"/>
              </w:rPr>
              <w:t>(2)</w:t>
            </w: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519"/>
              <w:spacing w:after="0"/>
              <w:rPr>
                <w:sz w:val="20"/>
                <w:szCs w:val="20"/>
                <w:color w:val="auto"/>
              </w:rPr>
            </w:pPr>
            <w:r>
              <w:rPr>
                <w:rFonts w:ascii="Arial" w:cs="Arial" w:eastAsia="Arial" w:hAnsi="Arial"/>
                <w:sz w:val="17"/>
                <w:szCs w:val="17"/>
                <w:color w:val="0000FF"/>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560" w:type="dxa"/>
            <w:vAlign w:val="bottom"/>
          </w:tcPr>
          <w:p>
            <w:pPr>
              <w:ind w:left="140"/>
              <w:spacing w:after="0" w:line="143" w:lineRule="exact"/>
              <w:rPr>
                <w:sz w:val="20"/>
                <w:szCs w:val="20"/>
                <w:color w:val="auto"/>
              </w:rPr>
            </w:pPr>
            <w:r>
              <w:rPr>
                <w:rFonts w:ascii="Arial" w:cs="Arial" w:eastAsia="Arial" w:hAnsi="Arial"/>
                <w:sz w:val="13"/>
                <w:szCs w:val="13"/>
                <w:color w:val="0000FF"/>
              </w:rPr>
              <w:t>Voting</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2,300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3.2766</w:t>
            </w: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Arial" w:cs="Arial" w:eastAsia="Arial" w:hAnsi="Arial"/>
                <w:sz w:val="13"/>
                <w:szCs w:val="13"/>
                <w:color w:val="0000FF"/>
              </w:rPr>
              <w:t>12/17/2021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ind w:right="8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w w:val="98"/>
              </w:rPr>
              <w:t>2,300</w:t>
            </w:r>
          </w:p>
        </w:tc>
        <w:tc>
          <w:tcPr>
            <w:tcW w:w="800" w:type="dxa"/>
            <w:vAlign w:val="bottom"/>
            <w:vMerge w:val="continue"/>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Arial" w:cs="Arial" w:eastAsia="Arial" w:hAnsi="Arial"/>
                <w:sz w:val="13"/>
                <w:szCs w:val="13"/>
                <w:color w:val="0000FF"/>
                <w:w w:val="92"/>
              </w:rPr>
              <w:t>11/27/2028</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700" w:type="dxa"/>
            <w:vAlign w:val="bottom"/>
          </w:tcPr>
          <w:p>
            <w:pPr>
              <w:ind w:left="260"/>
              <w:spacing w:after="0" w:line="143" w:lineRule="exact"/>
              <w:rPr>
                <w:sz w:val="20"/>
                <w:szCs w:val="20"/>
                <w:color w:val="auto"/>
              </w:rPr>
            </w:pPr>
            <w:r>
              <w:rPr>
                <w:rFonts w:ascii="Arial" w:cs="Arial" w:eastAsia="Arial" w:hAnsi="Arial"/>
                <w:sz w:val="13"/>
                <w:szCs w:val="13"/>
                <w:color w:val="0000FF"/>
                <w:w w:val="89"/>
              </w:rPr>
              <w:t>169,700</w:t>
            </w:r>
          </w:p>
        </w:tc>
        <w:tc>
          <w:tcPr>
            <w:tcW w:w="24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-2287905</wp:posOffset>
            </wp:positionV>
            <wp:extent cx="29210" cy="2292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29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45" w:lineRule="exact"/>
        <w:rPr>
          <w:rFonts w:ascii="Arial" w:cs="Arial" w:eastAsia="Arial" w:hAnsi="Arial"/>
          <w:sz w:val="13"/>
          <w:szCs w:val="13"/>
          <w:color w:val="008000"/>
        </w:rPr>
      </w:pPr>
    </w:p>
    <w:p>
      <w:pPr>
        <w:ind w:left="40" w:right="1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$35.00 to $35.06,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(2) to this Form 4.</w:t>
      </w:r>
    </w:p>
    <w:p>
      <w:pPr>
        <w:spacing w:after="0" w:line="31" w:lineRule="exact"/>
        <w:rPr>
          <w:rFonts w:ascii="Arial" w:cs="Arial" w:eastAsia="Arial" w:hAnsi="Arial"/>
          <w:sz w:val="13"/>
          <w:szCs w:val="13"/>
          <w:color w:val="008000"/>
        </w:rPr>
      </w:pPr>
    </w:p>
    <w:p>
      <w:pPr>
        <w:ind w:left="40" w:right="5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originally subject to this option shall vest over 4 years of service following October 3, 2018, with 25% vesting upon completion of 1 year of continuous service to the Issuer and the balance vesting in 36 equal monthly installments thereafter.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General Counsel and CCO</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Peter Butterfield</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12/21/2021</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2021-12-21T16:18:47Z</dcterms:created>
  <dcterms:modified xsi:type="dcterms:W3CDTF">2021-12-21T16:18:47Z</dcterms:modified>
</cp:coreProperties>
</file>