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890" cy="565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65086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Butterfield Peter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120"/>
        <w:spacing w:after="0" w:line="415" w:lineRule="auto"/>
        <w:rPr>
          <w:sz w:val="20"/>
          <w:szCs w:val="20"/>
          <w:color w:val="auto"/>
        </w:rPr>
      </w:pPr>
      <w:r>
        <w:rPr>
          <w:rFonts w:ascii="Arial" w:cs="Arial" w:eastAsia="Arial" w:hAnsi="Arial"/>
          <w:sz w:val="15"/>
          <w:szCs w:val="15"/>
          <w:color w:val="0000FF"/>
        </w:rPr>
        <w:t>C/O FLYWIRE CORPORATION 141 TREMONT STREET, SUITE 10</w:t>
      </w:r>
    </w:p>
    <w:p>
      <w:pPr>
        <w:spacing w:after="0" w:line="138"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BOSTON</w:t>
            </w:r>
          </w:p>
        </w:tc>
        <w:tc>
          <w:tcPr>
            <w:tcW w:w="1100" w:type="dxa"/>
            <w:vAlign w:val="bottom"/>
          </w:tcPr>
          <w:p>
            <w:pPr>
              <w:ind w:left="2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Flywire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FLYW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1180" w:type="dxa"/>
            <w:vAlign w:val="bottom"/>
            <w:gridSpan w:val="3"/>
          </w:tcPr>
          <w:p>
            <w:pPr>
              <w:ind w:left="80"/>
              <w:spacing w:after="0"/>
              <w:rPr>
                <w:sz w:val="20"/>
                <w:szCs w:val="20"/>
                <w:color w:val="auto"/>
              </w:rPr>
            </w:pPr>
            <w:r>
              <w:rPr>
                <w:rFonts w:ascii="Arial" w:cs="Arial" w:eastAsia="Arial" w:hAnsi="Arial"/>
                <w:sz w:val="17"/>
                <w:szCs w:val="17"/>
                <w:color w:val="0000FF"/>
              </w:rPr>
              <w:t>10/18/2023</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General Counsel and CCO</w:t>
            </w: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0"/>
                <w:szCs w:val="10"/>
                <w:color w:val="auto"/>
              </w:rPr>
            </w:pPr>
          </w:p>
        </w:tc>
        <w:tc>
          <w:tcPr>
            <w:tcW w:w="118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ind w:left="5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2"/>
          </w:tcPr>
          <w:p>
            <w:pPr>
              <w:ind w:left="660"/>
              <w:spacing w:after="0"/>
              <w:rPr>
                <w:sz w:val="20"/>
                <w:szCs w:val="20"/>
                <w:color w:val="auto"/>
              </w:rPr>
            </w:pPr>
            <w:r>
              <w:rPr>
                <w:rFonts w:ascii="Arial" w:cs="Arial" w:eastAsia="Arial" w:hAnsi="Arial"/>
                <w:sz w:val="17"/>
                <w:szCs w:val="17"/>
                <w:color w:val="0000FF"/>
              </w:rPr>
              <w:t>10/18/2023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11,232</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3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3.9466</w:t>
            </w:r>
          </w:p>
        </w:tc>
        <w:tc>
          <w:tcPr>
            <w:tcW w:w="14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157,377</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10/18/2023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11,132</w:t>
            </w:r>
            <w:r>
              <w:rPr>
                <w:rFonts w:ascii="Arial" w:cs="Arial" w:eastAsia="Arial" w:hAnsi="Arial"/>
                <w:sz w:val="21"/>
                <w:szCs w:val="21"/>
                <w:color w:val="008000"/>
                <w:w w:val="83"/>
                <w:vertAlign w:val="superscript"/>
              </w:rPr>
              <w:t>(2)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28.5926</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146,245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10/18/2023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100</w:t>
            </w:r>
            <w:r>
              <w:rPr>
                <w:rFonts w:ascii="Arial" w:cs="Arial" w:eastAsia="Arial" w:hAnsi="Arial"/>
                <w:sz w:val="21"/>
                <w:szCs w:val="21"/>
                <w:color w:val="008000"/>
                <w:w w:val="83"/>
                <w:vertAlign w:val="superscript"/>
              </w:rPr>
              <w:t>(2)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29.4</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146,145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rPr>
              <w:t>Voting</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11,232</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3.9466</w:t>
            </w: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10/18/2023</w:t>
            </w:r>
          </w:p>
        </w:tc>
        <w:tc>
          <w:tcPr>
            <w:tcW w:w="1140" w:type="dxa"/>
            <w:vAlign w:val="bottom"/>
          </w:tcPr>
          <w:p>
            <w:pPr>
              <w:spacing w:after="0"/>
              <w:rPr>
                <w:sz w:val="6"/>
                <w:szCs w:val="6"/>
                <w:color w:val="auto"/>
              </w:rPr>
            </w:pPr>
          </w:p>
        </w:tc>
        <w:tc>
          <w:tcPr>
            <w:tcW w:w="420" w:type="dxa"/>
            <w:vAlign w:val="bottom"/>
            <w:vMerge w:val="restart"/>
          </w:tcPr>
          <w:p>
            <w:pPr>
              <w:ind w:left="140"/>
              <w:spacing w:after="0" w:line="142"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w w:val="80"/>
              </w:rPr>
              <w:t>11,232</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w w:val="98"/>
              </w:rPr>
              <w:t>01/20/2031</w:t>
            </w:r>
          </w:p>
        </w:tc>
        <w:tc>
          <w:tcPr>
            <w:tcW w:w="5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80" w:type="dxa"/>
            <w:vAlign w:val="bottom"/>
            <w:vMerge w:val="restart"/>
          </w:tcPr>
          <w:p>
            <w:pPr>
              <w:ind w:left="300"/>
              <w:spacing w:after="0" w:line="142" w:lineRule="exact"/>
              <w:rPr>
                <w:sz w:val="20"/>
                <w:szCs w:val="20"/>
                <w:color w:val="auto"/>
              </w:rPr>
            </w:pPr>
            <w:r>
              <w:rPr>
                <w:rFonts w:ascii="Arial" w:cs="Arial" w:eastAsia="Arial" w:hAnsi="Arial"/>
                <w:sz w:val="13"/>
                <w:szCs w:val="13"/>
                <w:color w:val="0000FF"/>
                <w:w w:val="90"/>
              </w:rPr>
              <w:t>73,794</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Reporting Person, entered into prior to the effectiveness of the revised requirements of Rule 10b5-1(c).</w:t>
      </w:r>
    </w:p>
    <w:p>
      <w:pPr>
        <w:spacing w:after="0" w:line="55" w:lineRule="exact"/>
        <w:rPr>
          <w:rFonts w:ascii="Arial" w:cs="Arial" w:eastAsia="Arial" w:hAnsi="Arial"/>
          <w:sz w:val="12"/>
          <w:szCs w:val="12"/>
          <w:color w:val="008000"/>
        </w:rPr>
      </w:pPr>
    </w:p>
    <w:p>
      <w:pPr>
        <w:jc w:val="both"/>
        <w:ind w:left="40" w:right="18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to cover tax withholding obligations upon the settlement of certain time-based restricted stock unit awards. These shares of common stock were automatically sold in a non-discretionary transaction by the Reporting Person.</w:t>
      </w:r>
    </w:p>
    <w:p>
      <w:pPr>
        <w:spacing w:after="0" w:line="32"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$28.31 to $29.23,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32" w:lineRule="exact"/>
        <w:rPr>
          <w:rFonts w:ascii="Arial" w:cs="Arial" w:eastAsia="Arial" w:hAnsi="Arial"/>
          <w:sz w:val="13"/>
          <w:szCs w:val="13"/>
          <w:color w:val="008000"/>
        </w:rPr>
      </w:pPr>
    </w:p>
    <w:p>
      <w:pPr>
        <w:ind w:left="40" w:right="3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this option vest over 4 years of service following January 21, 2021, with 25% vesting upon completion of 1 year of continuous service to the Issuer and the balance vesting in 36 equal monthly installments thereafter.</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Peter Butterfield</w:t>
            </w:r>
          </w:p>
        </w:tc>
        <w:tc>
          <w:tcPr>
            <w:tcW w:w="760" w:type="dxa"/>
            <w:vAlign w:val="bottom"/>
          </w:tcPr>
          <w:p>
            <w:pPr>
              <w:spacing w:after="0"/>
              <w:rPr>
                <w:sz w:val="20"/>
                <w:szCs w:val="20"/>
                <w:color w:val="auto"/>
              </w:rPr>
            </w:pPr>
            <w:r>
              <w:rPr>
                <w:rFonts w:ascii="Arial" w:cs="Arial" w:eastAsia="Arial" w:hAnsi="Arial"/>
                <w:sz w:val="17"/>
                <w:szCs w:val="17"/>
                <w:color w:val="0000FF"/>
                <w:w w:val="86"/>
              </w:rPr>
              <w:t>10/19/2023</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2023-10-19T15:18:04Z</dcterms:created>
  <dcterms:modified xsi:type="dcterms:W3CDTF">2023-10-19T15:18:04Z</dcterms:modified>
</cp:coreProperties>
</file>