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62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62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09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Massaro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36"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04/03/2023</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099"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09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jc w:val="center"/>
              <w:ind w:right="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6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04/03/2023</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51"/>
              <w:spacing w:after="0"/>
              <w:rPr>
                <w:sz w:val="20"/>
                <w:szCs w:val="20"/>
                <w:color w:val="auto"/>
              </w:rPr>
            </w:pPr>
            <w:r>
              <w:rPr>
                <w:rFonts w:ascii="Times New Roman" w:cs="Times New Roman" w:eastAsia="Times New Roman" w:hAnsi="Times New Roman"/>
                <w:sz w:val="17"/>
                <w:szCs w:val="17"/>
                <w:color w:val="0000FF"/>
              </w:rPr>
              <w:t>27,138</w:t>
            </w:r>
          </w:p>
        </w:tc>
        <w:tc>
          <w:tcPr>
            <w:tcW w:w="460" w:type="dxa"/>
            <w:vAlign w:val="bottom"/>
            <w:tcBorders>
              <w:bottom w:val="single" w:sz="8" w:color="2C2C2C"/>
            </w:tcBorders>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29.1075</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1,219,267</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6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04/04/2023</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51"/>
              <w:spacing w:after="0"/>
              <w:rPr>
                <w:sz w:val="20"/>
                <w:szCs w:val="20"/>
                <w:color w:val="auto"/>
              </w:rPr>
            </w:pPr>
            <w:r>
              <w:rPr>
                <w:rFonts w:ascii="Times New Roman" w:cs="Times New Roman" w:eastAsia="Times New Roman" w:hAnsi="Times New Roman"/>
                <w:sz w:val="17"/>
                <w:szCs w:val="17"/>
                <w:color w:val="0000FF"/>
              </w:rPr>
              <w:t>19,033</w:t>
            </w:r>
          </w:p>
        </w:tc>
        <w:tc>
          <w:tcPr>
            <w:tcW w:w="460" w:type="dxa"/>
            <w:vAlign w:val="bottom"/>
            <w:tcBorders>
              <w:bottom w:val="single" w:sz="8" w:color="2C2C2C"/>
            </w:tcBorders>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29.1058</w:t>
            </w:r>
            <w:r>
              <w:rPr>
                <w:rFonts w:ascii="Times New Roman" w:cs="Times New Roman" w:eastAsia="Times New Roman" w:hAnsi="Times New Roman"/>
                <w:sz w:val="22"/>
                <w:szCs w:val="22"/>
                <w:color w:val="008000"/>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1,200,234</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300,000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82,932</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transactions were effected pursuant to a Rule 10b5-1 trading plan adopted by the Reporting Person, entered into prior to the effectiveness of the revised requirements of Rule 10b5-1(c).</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$28.79 to $29.35,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$28.91 to $29.39,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p>
      <w:pPr>
        <w:spacing w:after="0" w:line="20"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Qualified Annuity Trust, of which the Reporting Person is a trustee. The Reporting Person disclaims beneficial ownership of these shares and this report shall not be deemed an admission that the Reporting Person is the beneficials owner of such shares for purposes of Section 16 or for any other purpose, except to the extent of the Reporting Person's pecuniary interests therein, if any.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Massaro</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04/05/2023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2023-04-05T15:43:42Z</dcterms:created>
  <dcterms:modified xsi:type="dcterms:W3CDTF">2023-04-05T15:43:42Z</dcterms:modified>
</cp:coreProperties>
</file>