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5781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816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415"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08/15/2023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60" w:right="600" w:hanging="238"/>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2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75,000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3.95</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line="309" w:lineRule="exact"/>
              <w:rPr>
                <w:sz w:val="20"/>
                <w:szCs w:val="20"/>
                <w:color w:val="auto"/>
              </w:rPr>
            </w:pPr>
            <w:r>
              <w:rPr>
                <w:rFonts w:ascii="Arial" w:cs="Arial" w:eastAsia="Arial" w:hAnsi="Arial"/>
                <w:sz w:val="33"/>
                <w:szCs w:val="33"/>
                <w:color w:val="0000FF"/>
                <w:w w:val="76"/>
                <w:vertAlign w:val="subscript"/>
              </w:rPr>
              <w:t>321,345</w:t>
            </w:r>
            <w:r>
              <w:rPr>
                <w:rFonts w:ascii="Arial" w:cs="Arial" w:eastAsia="Arial" w:hAnsi="Arial"/>
                <w:sz w:val="11"/>
                <w:szCs w:val="11"/>
                <w:color w:val="008000"/>
                <w:w w:val="76"/>
              </w:rPr>
              <w:t>(1)(2)(3)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08/15/2023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(4)</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75,000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30.2889</w:t>
            </w:r>
            <w:r>
              <w:rPr>
                <w:rFonts w:ascii="Arial" w:cs="Arial" w:eastAsia="Arial" w:hAnsi="Arial"/>
                <w:sz w:val="21"/>
                <w:szCs w:val="21"/>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246,345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27,805</w:t>
            </w:r>
            <w:r>
              <w:rPr>
                <w:rFonts w:ascii="Arial" w:cs="Arial" w:eastAsia="Arial" w:hAnsi="Arial"/>
                <w:sz w:val="21"/>
                <w:szCs w:val="21"/>
                <w:color w:val="008000"/>
                <w:w w:val="83"/>
                <w:vertAlign w:val="superscript"/>
              </w:rPr>
              <w:t>(3)</w:t>
            </w:r>
          </w:p>
        </w:tc>
        <w:tc>
          <w:tcPr>
            <w:tcW w:w="260" w:type="dxa"/>
            <w:vAlign w:val="bottom"/>
          </w:tcPr>
          <w:p>
            <w:pPr>
              <w:spacing w:after="0"/>
              <w:rPr>
                <w:sz w:val="21"/>
                <w:szCs w:val="21"/>
                <w:color w:val="auto"/>
              </w:rPr>
            </w:pPr>
          </w:p>
        </w:tc>
        <w:tc>
          <w:tcPr>
            <w:tcW w:w="660" w:type="dxa"/>
            <w:vAlign w:val="bottom"/>
            <w:vMerge w:val="restart"/>
          </w:tcPr>
          <w:p>
            <w:pPr>
              <w:jc w:val="center"/>
              <w:ind w:right="294"/>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vMerge w:val="restart"/>
          </w:tcPr>
          <w:p>
            <w:pPr>
              <w:ind w:left="140"/>
              <w:spacing w:after="0"/>
              <w:rPr>
                <w:sz w:val="20"/>
                <w:szCs w:val="20"/>
                <w:color w:val="auto"/>
              </w:rPr>
            </w:pPr>
            <w:r>
              <w:rPr>
                <w:rFonts w:ascii="Arial" w:cs="Arial" w:eastAsia="Arial" w:hAnsi="Arial"/>
                <w:sz w:val="13"/>
                <w:szCs w:val="13"/>
                <w:color w:val="0000FF"/>
                <w:w w:val="92"/>
              </w:rPr>
              <w:t>Voting</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08/15/2023</w:t>
            </w:r>
          </w:p>
        </w:tc>
        <w:tc>
          <w:tcPr>
            <w:tcW w:w="1140" w:type="dxa"/>
            <w:vAlign w:val="bottom"/>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w w:val="85"/>
              </w:rPr>
              <w:t>75,000</w:t>
            </w: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0000FF"/>
                <w:w w:val="98"/>
              </w:rPr>
              <w:t>01/20/2031</w:t>
            </w:r>
          </w:p>
        </w:tc>
        <w:tc>
          <w:tcPr>
            <w:tcW w:w="1220" w:type="dxa"/>
            <w:vAlign w:val="bottom"/>
            <w:gridSpan w:val="2"/>
            <w:vMerge w:val="restart"/>
          </w:tcPr>
          <w:p>
            <w:pPr>
              <w:ind w:left="60"/>
              <w:spacing w:after="0" w:line="15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75,000</w:t>
            </w:r>
          </w:p>
        </w:tc>
        <w:tc>
          <w:tcPr>
            <w:tcW w:w="140" w:type="dxa"/>
            <w:vAlign w:val="bottom"/>
          </w:tcPr>
          <w:p>
            <w:pPr>
              <w:spacing w:after="0"/>
              <w:rPr>
                <w:sz w:val="8"/>
                <w:szCs w:val="8"/>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5"/>
              </w:rPr>
              <w:t>120,000</w:t>
            </w:r>
          </w:p>
        </w:tc>
        <w:tc>
          <w:tcPr>
            <w:tcW w:w="260" w:type="dxa"/>
            <w:vAlign w:val="bottom"/>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Arial" w:cs="Arial" w:eastAsia="Arial" w:hAnsi="Arial"/>
                <w:sz w:val="13"/>
                <w:szCs w:val="13"/>
                <w:color w:val="0000FF"/>
                <w:w w:val="98"/>
              </w:rPr>
              <w:t>Stock</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Adjusted to reflect 639 shares acquired under the Issuer's Employee Stock Purchase Plan.</w:t>
      </w:r>
    </w:p>
    <w:p>
      <w:pPr>
        <w:spacing w:after="0" w:line="43" w:lineRule="exact"/>
        <w:rPr>
          <w:rFonts w:ascii="Arial" w:cs="Arial" w:eastAsia="Arial" w:hAnsi="Arial"/>
          <w:sz w:val="13"/>
          <w:szCs w:val="13"/>
          <w:color w:val="008000"/>
        </w:rPr>
      </w:pPr>
    </w:p>
    <w:p>
      <w:pPr>
        <w:ind w:left="40" w:right="4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reflects an annuity payment and final distribution of 18,125 shares from the Michael Ellis 2021 Grantor Retained Annuity Trust No. 1, of which the Reporting Person is a trustee, to the Reporting Person.</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Amount reflects an annuity payment of 1,122 shares from the Michael Ellis 2021 Grantor Retained Annuity Trust No. 2, of which the Reporting Person is a trustee, to the Reporting Person.</w:t>
      </w:r>
    </w:p>
    <w:p>
      <w:pPr>
        <w:spacing w:after="0" w:line="43"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32" w:lineRule="exact"/>
        <w:rPr>
          <w:rFonts w:ascii="Arial" w:cs="Arial" w:eastAsia="Arial" w:hAnsi="Arial"/>
          <w:sz w:val="13"/>
          <w:szCs w:val="13"/>
          <w:color w:val="008000"/>
        </w:rPr>
      </w:pPr>
    </w:p>
    <w:p>
      <w:pPr>
        <w:ind w:left="40" w:right="2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$29.93 to $30.48,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5 to this Form 4.</w:t>
      </w:r>
    </w:p>
    <w:p>
      <w:pPr>
        <w:spacing w:after="0" w:line="32"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originally subject to this option vest over 4 years of service following January 21, 2021, with 25% vesting upon completion of 1 year of continuous service to the Issuer and the balance vesting in</w:t>
      </w:r>
    </w:p>
    <w:p>
      <w:pPr>
        <w:spacing w:after="0" w:line="13" w:lineRule="exact"/>
        <w:rPr>
          <w:rFonts w:ascii="Arial" w:cs="Arial" w:eastAsia="Arial" w:hAnsi="Arial"/>
          <w:sz w:val="12"/>
          <w:szCs w:val="12"/>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Michael G. Ellis</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08/17/2023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2023-08-17T15:23:52Z</dcterms:created>
  <dcterms:modified xsi:type="dcterms:W3CDTF">2023-08-17T15:23:52Z</dcterms:modified>
</cp:coreProperties>
</file>