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552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552440"/>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Natauri Jo</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980" w:type="dxa"/>
            <w:vAlign w:val="bottom"/>
            <w:tcBorders>
              <w:top w:val="single" w:sz="8" w:color="0000EE"/>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05/25/2021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Flywire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FLYW</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47"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377"/>
        <w:spacing w:after="0" w:line="269" w:lineRule="auto"/>
        <w:rPr>
          <w:sz w:val="20"/>
          <w:szCs w:val="20"/>
          <w:color w:val="auto"/>
        </w:rPr>
      </w:pPr>
      <w:r>
        <w:rPr>
          <w:rFonts w:ascii="Arial" w:cs="Arial" w:eastAsia="Arial" w:hAnsi="Arial"/>
          <w:sz w:val="20"/>
          <w:szCs w:val="20"/>
          <w:color w:val="0000FF"/>
        </w:rPr>
        <w:t>C/O GOLDMAN SACHS GROUP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200 WEST STREET</w:t>
      </w:r>
    </w:p>
    <w:p>
      <w:pPr>
        <w:spacing w:after="0" w:line="33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97"/>
        <w:spacing w:after="0"/>
        <w:rPr>
          <w:sz w:val="20"/>
          <w:szCs w:val="20"/>
          <w:color w:val="auto"/>
        </w:rPr>
      </w:pPr>
      <w:r>
        <w:rPr>
          <w:rFonts w:ascii="Arial" w:cs="Arial" w:eastAsia="Arial" w:hAnsi="Arial"/>
          <w:sz w:val="39"/>
          <w:szCs w:val="39"/>
          <w:color w:val="0000FF"/>
          <w:vertAlign w:val="superscript"/>
        </w:rPr>
        <w:t>NEW</w:t>
      </w:r>
      <w:r>
        <w:rPr>
          <w:rFonts w:ascii="Arial" w:cs="Arial" w:eastAsia="Arial" w:hAnsi="Arial"/>
          <w:sz w:val="20"/>
          <w:szCs w:val="20"/>
          <w:color w:val="0000FF"/>
        </w:rPr>
        <w:t xml:space="preserve"> NY 10282 YORK</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40"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20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9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9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9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9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vMerge w:val="continue"/>
          </w:tcPr>
          <w:p>
            <w:pPr>
              <w:spacing w:after="0"/>
              <w:rPr>
                <w:sz w:val="17"/>
                <w:szCs w:val="17"/>
                <w:color w:val="auto"/>
              </w:rPr>
            </w:pPr>
          </w:p>
        </w:tc>
        <w:tc>
          <w:tcPr>
            <w:tcW w:w="10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9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940" w:type="dxa"/>
            <w:vAlign w:val="bottom"/>
            <w:vMerge w:val="restart"/>
          </w:tcPr>
          <w:p>
            <w:pPr>
              <w:ind w:left="80"/>
              <w:spacing w:after="0"/>
              <w:rPr>
                <w:sz w:val="20"/>
                <w:szCs w:val="20"/>
                <w:color w:val="auto"/>
              </w:rPr>
            </w:pPr>
            <w:r>
              <w:rPr>
                <w:rFonts w:ascii="Arial" w:cs="Arial" w:eastAsia="Arial" w:hAnsi="Arial"/>
                <w:sz w:val="20"/>
                <w:szCs w:val="20"/>
                <w:color w:val="0000FF"/>
              </w:rPr>
              <w:t>Series E-1 Preferred Stock</w:t>
            </w:r>
            <w:r>
              <w:rPr>
                <w:rFonts w:ascii="Arial" w:cs="Arial" w:eastAsia="Arial" w:hAnsi="Arial"/>
                <w:sz w:val="25"/>
                <w:szCs w:val="25"/>
                <w:color w:val="008000"/>
                <w:vertAlign w:val="superscript"/>
              </w:rPr>
              <w:t>(1)</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(2)</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(2)</w:t>
            </w:r>
          </w:p>
        </w:tc>
        <w:tc>
          <w:tcPr>
            <w:tcW w:w="172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7"/>
              </w:rPr>
              <w:t>2,909,892</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(2)</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(4)</w:t>
            </w:r>
          </w:p>
        </w:tc>
        <w:tc>
          <w:tcPr>
            <w:tcW w:w="0" w:type="dxa"/>
            <w:vAlign w:val="bottom"/>
          </w:tcPr>
          <w:p>
            <w:pPr>
              <w:spacing w:after="0"/>
              <w:rPr>
                <w:sz w:val="1"/>
                <w:szCs w:val="1"/>
                <w:color w:val="auto"/>
              </w:rPr>
            </w:pPr>
          </w:p>
        </w:tc>
      </w:tr>
      <w:tr>
        <w:trPr>
          <w:trHeight w:val="190"/>
        </w:trPr>
        <w:tc>
          <w:tcPr>
            <w:tcW w:w="29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2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(3)</w:t>
            </w:r>
          </w:p>
        </w:tc>
        <w:tc>
          <w:tcPr>
            <w:tcW w:w="10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vMerge w:val="continue"/>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940" w:type="dxa"/>
            <w:vAlign w:val="bottom"/>
            <w:vMerge w:val="restart"/>
          </w:tcPr>
          <w:p>
            <w:pPr>
              <w:ind w:left="80"/>
              <w:spacing w:after="0"/>
              <w:rPr>
                <w:sz w:val="20"/>
                <w:szCs w:val="20"/>
                <w:color w:val="auto"/>
              </w:rPr>
            </w:pPr>
            <w:r>
              <w:rPr>
                <w:rFonts w:ascii="Arial" w:cs="Arial" w:eastAsia="Arial" w:hAnsi="Arial"/>
                <w:sz w:val="20"/>
                <w:szCs w:val="20"/>
                <w:color w:val="0000FF"/>
              </w:rPr>
              <w:t>Series E-2 Preferred Stock</w:t>
            </w:r>
            <w:r>
              <w:rPr>
                <w:rFonts w:ascii="Arial" w:cs="Arial" w:eastAsia="Arial" w:hAnsi="Arial"/>
                <w:sz w:val="25"/>
                <w:szCs w:val="25"/>
                <w:color w:val="008000"/>
                <w:vertAlign w:val="superscript"/>
              </w:rPr>
              <w:t>(1)</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(5)</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(5)</w:t>
            </w:r>
          </w:p>
        </w:tc>
        <w:tc>
          <w:tcPr>
            <w:tcW w:w="1720" w:type="dxa"/>
            <w:vAlign w:val="bottom"/>
          </w:tcPr>
          <w:p>
            <w:pPr>
              <w:jc w:val="center"/>
              <w:spacing w:after="0"/>
              <w:rPr>
                <w:sz w:val="20"/>
                <w:szCs w:val="20"/>
                <w:color w:val="auto"/>
              </w:rPr>
            </w:pPr>
            <w:r>
              <w:rPr>
                <w:rFonts w:ascii="Arial" w:cs="Arial" w:eastAsia="Arial" w:hAnsi="Arial"/>
                <w:sz w:val="20"/>
                <w:szCs w:val="20"/>
                <w:color w:val="0000FF"/>
                <w:w w:val="88"/>
              </w:rPr>
              <w:t>Class B Common</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5"/>
              </w:rPr>
              <w:t>4,115,058</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(5)</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(4)</w:t>
            </w:r>
          </w:p>
        </w:tc>
        <w:tc>
          <w:tcPr>
            <w:tcW w:w="0" w:type="dxa"/>
            <w:vAlign w:val="bottom"/>
          </w:tcPr>
          <w:p>
            <w:pPr>
              <w:spacing w:after="0"/>
              <w:rPr>
                <w:sz w:val="1"/>
                <w:szCs w:val="1"/>
                <w:color w:val="auto"/>
              </w:rPr>
            </w:pPr>
          </w:p>
        </w:tc>
      </w:tr>
      <w:tr>
        <w:trPr>
          <w:trHeight w:val="190"/>
        </w:trPr>
        <w:tc>
          <w:tcPr>
            <w:tcW w:w="29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2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(3)</w:t>
            </w:r>
          </w:p>
        </w:tc>
        <w:tc>
          <w:tcPr>
            <w:tcW w:w="10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vMerge w:val="continue"/>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940" w:type="dxa"/>
            <w:vAlign w:val="bottom"/>
            <w:vMerge w:val="restart"/>
          </w:tcPr>
          <w:p>
            <w:pPr>
              <w:ind w:left="80"/>
              <w:spacing w:after="0"/>
              <w:rPr>
                <w:sz w:val="20"/>
                <w:szCs w:val="20"/>
                <w:color w:val="auto"/>
              </w:rPr>
            </w:pPr>
            <w:r>
              <w:rPr>
                <w:rFonts w:ascii="Arial" w:cs="Arial" w:eastAsia="Arial" w:hAnsi="Arial"/>
                <w:sz w:val="20"/>
                <w:szCs w:val="20"/>
                <w:color w:val="0000FF"/>
              </w:rPr>
              <w:t>Series F-1 Preferred Stock</w:t>
            </w:r>
            <w:r>
              <w:rPr>
                <w:rFonts w:ascii="Arial" w:cs="Arial" w:eastAsia="Arial" w:hAnsi="Arial"/>
                <w:sz w:val="25"/>
                <w:szCs w:val="25"/>
                <w:color w:val="008000"/>
                <w:vertAlign w:val="superscript"/>
              </w:rPr>
              <w:t>(1)</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(2)</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(2)</w:t>
            </w:r>
          </w:p>
        </w:tc>
        <w:tc>
          <w:tcPr>
            <w:tcW w:w="172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8"/>
              </w:rPr>
              <w:t>172,125</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(2)</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(4)</w:t>
            </w:r>
          </w:p>
        </w:tc>
        <w:tc>
          <w:tcPr>
            <w:tcW w:w="0" w:type="dxa"/>
            <w:vAlign w:val="bottom"/>
          </w:tcPr>
          <w:p>
            <w:pPr>
              <w:spacing w:after="0"/>
              <w:rPr>
                <w:sz w:val="1"/>
                <w:szCs w:val="1"/>
                <w:color w:val="auto"/>
              </w:rPr>
            </w:pPr>
          </w:p>
        </w:tc>
      </w:tr>
      <w:tr>
        <w:trPr>
          <w:trHeight w:val="190"/>
        </w:trPr>
        <w:tc>
          <w:tcPr>
            <w:tcW w:w="29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2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(3)</w:t>
            </w:r>
          </w:p>
        </w:tc>
        <w:tc>
          <w:tcPr>
            <w:tcW w:w="10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120" w:firstLine="5"/>
        <w:spacing w:after="0" w:line="297" w:lineRule="auto"/>
        <w:tabs>
          <w:tab w:leader="none" w:pos="19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 Reporting Person is a managing director of Goldman Sachs &amp; Co., LLC ("Goldman Sachs"). The Reporting Person disclaims beneficial ownership of the securities reported herein except to the extent of the Reporting Person's pecuniary interest therein, if any, and this report shall not be deemed an admission that the Reporting Person is the beneficial owner of, or has any pecuniary interest in, such securities for purposes of Section 16 of the Securities Exchange Act of 1934, as amended, or for any other purpose.</w:t>
      </w:r>
    </w:p>
    <w:p>
      <w:pPr>
        <w:ind w:left="40" w:right="1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share of Flywire Corporation's (the "Issuer") Series E-1 Preferred Stock and Series F-1 Preferred Stock is convertible into Class A Common Stock on a 1 for 1 basis at the holder's election and will automatically convert immediately prior to the Reclassification (as defined herein). The shares have no expiration date.</w:t>
      </w:r>
    </w:p>
    <w:p>
      <w:pPr>
        <w:spacing w:after="0" w:line="26" w:lineRule="exact"/>
        <w:rPr>
          <w:rFonts w:ascii="Arial" w:cs="Arial" w:eastAsia="Arial" w:hAnsi="Arial"/>
          <w:sz w:val="15"/>
          <w:szCs w:val="15"/>
          <w:color w:val="008000"/>
        </w:rPr>
      </w:pPr>
    </w:p>
    <w:p>
      <w:pPr>
        <w:ind w:left="40" w:right="280" w:firstLine="5"/>
        <w:spacing w:after="0" w:line="288"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Immediately prior to the closing of the initial public offering of the Issuer's Voting Common Stock, each share of Class A Common Stock will be reclassified into one share of Voting Common Stock, and each share of Class B Common Stock will be reclassified into one share of Non-Voting Common Stock (the "Reclassification").</w:t>
      </w:r>
    </w:p>
    <w:p>
      <w:pPr>
        <w:spacing w:after="0" w:line="3" w:lineRule="exact"/>
        <w:rPr>
          <w:rFonts w:ascii="Arial" w:cs="Arial" w:eastAsia="Arial" w:hAnsi="Arial"/>
          <w:sz w:val="14"/>
          <w:szCs w:val="14"/>
          <w:color w:val="008000"/>
        </w:rPr>
      </w:pPr>
    </w:p>
    <w:p>
      <w:pPr>
        <w:ind w:left="40" w:right="140" w:firstLine="5"/>
        <w:spacing w:after="0" w:line="235"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Goldman Sachs and The Goldman Sachs Group, Inc. ("GS Group") may be deemed to beneficially own indirectly, in the aggregate, 2,909,892 shares of the Issuer's Series E-1 Preferred Stock, 4,115,058 shares of the Issuer's Series E-2 Preferred Stock and 172,125 shares of the Issuer's Series F-1 Preferred Stock by reason of the direct or indirect beneficial ownership of such shares by Goldman Sachs PSI Global Holdings, LLC ("GSPSI"), StoneBridge 2020, L.P. ("SB Fund"), StoneBridge 2020 Offshore Holdings II, L.P. ("SB Fund Offshore" and, together with SB Fund, the "SB Funds") and Bridge Street Opportunity Advisors, L.L.C. ("Bridge Street"). Goldman Sachs is a subsidiary of GS Group. Goldman Sachs is the investment manager of the SB Funds, and Bridge Street is the general partner of the SB Funds. Each of Bridge Street and GSPSI is wholly owned by GS Group.</w:t>
      </w:r>
    </w:p>
    <w:p>
      <w:pPr>
        <w:spacing w:after="0" w:line="37" w:lineRule="exact"/>
        <w:rPr>
          <w:rFonts w:ascii="Arial" w:cs="Arial" w:eastAsia="Arial" w:hAnsi="Arial"/>
          <w:sz w:val="15"/>
          <w:szCs w:val="15"/>
          <w:color w:val="008000"/>
        </w:rPr>
      </w:pPr>
    </w:p>
    <w:p>
      <w:pPr>
        <w:ind w:left="40" w:right="6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share of the Issuer's Series E-2 Preferred Stock is convertible into Class B Common Stock on a 1 for 1 basis at the holder's election and will automatically convert immediately prior to the Reclassification. The shares have no expiration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6"/>
              </w:rPr>
              <w:t>/s/ Jo Natauri</w:t>
            </w:r>
          </w:p>
        </w:tc>
        <w:tc>
          <w:tcPr>
            <w:tcW w:w="114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7"/>
              </w:rPr>
              <w:t>05/25/2021</w:t>
            </w: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spacing w:after="0"/>
        <w:rPr>
          <w:rFonts w:ascii="Arial" w:cs="Arial" w:eastAsia="Arial" w:hAnsi="Arial"/>
          <w:sz w:val="14"/>
          <w:szCs w:val="14"/>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w:t>
      </w:r>
    </w:p>
    <w:p>
      <w:pPr>
        <w:sectPr>
          <w:pgSz w:w="11900" w:h="16838" w:orient="portrait"/>
          <w:cols w:equalWidth="0" w:num="1">
            <w:col w:w="10940"/>
          </w:cols>
          <w:pgMar w:left="480" w:top="236"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Number.</w:t>
      </w:r>
    </w:p>
    <w:sectPr>
      <w:pgSz w:w="11900" w:h="16838" w:orient="portrait"/>
      <w:cols w:equalWidth="0" w:num="1">
        <w:col w:w="9939"/>
      </w:cols>
      <w:pgMar w:left="52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76123" TargetMode="External"/><Relationship Id="rId11"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2021-05-25T19:45:18Z</dcterms:created>
  <dcterms:modified xsi:type="dcterms:W3CDTF">2021-05-25T19:45:18Z</dcterms:modified>
</cp:coreProperties>
</file>