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-227965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5195570</wp:posOffset>
            </wp:positionH>
            <wp:positionV relativeFrom="paragraph">
              <wp:posOffset>-601345</wp:posOffset>
            </wp:positionV>
            <wp:extent cx="56515" cy="6146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25400</wp:posOffset>
            </wp:positionV>
            <wp:extent cx="6998970" cy="9444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970" cy="9444355"/>
                    </a:xfrm>
                    <a:prstGeom prst="rect">
                      <a:avLst/>
                    </a:prstGeom>
                    <a:noFill/>
                  </pic:spPr>
                </pic:pic>
              </a:graphicData>
            </a:graphic>
          </wp:anchor>
        </w:drawing>
      </w:r>
    </w:p>
    <w:p>
      <w:pPr>
        <w:spacing w:after="0" w:line="111" w:lineRule="exact"/>
        <w:rPr>
          <w:sz w:val="24"/>
          <w:szCs w:val="24"/>
          <w:color w:val="auto"/>
        </w:rPr>
      </w:pPr>
    </w:p>
    <w:p>
      <w:pPr>
        <w:sectPr>
          <w:pgSz w:w="11900" w:h="16864" w:orient="portrait"/>
          <w:cols w:equalWidth="0" w:num="2">
            <w:col w:w="2160" w:space="520"/>
            <w:col w:w="8400"/>
          </w:cols>
          <w:pgMar w:left="460" w:top="213"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GOLDMAN SACHS GROUP INC</w:t>
        </w:r>
      </w:hyperlink>
    </w:p>
    <w:p>
      <w:pPr>
        <w:spacing w:after="0" w:line="28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200 WEST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Flywire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FLYW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11/15/2022</w:t>
      </w:r>
    </w:p>
    <w:p>
      <w:pPr>
        <w:spacing w:after="0" w:line="20" w:lineRule="exact"/>
        <w:rPr>
          <w:sz w:val="24"/>
          <w:szCs w:val="24"/>
          <w:color w:val="auto"/>
        </w:rPr>
      </w:pPr>
      <w:r>
        <w:rPr>
          <w:sz w:val="24"/>
          <w:szCs w:val="24"/>
          <w:color w:val="auto"/>
        </w:rPr>
        <w:br w:type="column"/>
      </w:r>
    </w:p>
    <w:p>
      <w:pPr>
        <w:ind w:left="-1" w:right="740" w:firstLine="1"/>
        <w:spacing w:after="0" w:line="268" w:lineRule="auto"/>
        <w:tabs>
          <w:tab w:leader="none" w:pos="137"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84"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0"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81" w:lineRule="exact"/>
        <w:rPr>
          <w:sz w:val="24"/>
          <w:szCs w:val="24"/>
          <w:color w:val="auto"/>
        </w:rPr>
      </w:pPr>
    </w:p>
    <w:p>
      <w:pPr>
        <w:sectPr>
          <w:pgSz w:w="11900" w:h="16864" w:orient="portrait"/>
          <w:cols w:equalWidth="0" w:num="3">
            <w:col w:w="3180" w:space="720"/>
            <w:col w:w="3121" w:space="720"/>
            <w:col w:w="3339"/>
          </w:cols>
          <w:pgMar w:left="460" w:top="213" w:right="359" w:bottom="0" w:gutter="0" w:footer="0" w:header="0"/>
          <w:type w:val="continuous"/>
        </w:sectPr>
      </w:pP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20" w:type="dxa"/>
            <w:vAlign w:val="bottom"/>
            <w:gridSpan w:val="7"/>
          </w:tcPr>
          <w:p>
            <w:pPr>
              <w:jc w:val="center"/>
              <w:spacing w:after="0"/>
              <w:rPr>
                <w:sz w:val="20"/>
                <w:szCs w:val="20"/>
                <w:color w:val="auto"/>
              </w:rPr>
            </w:pPr>
            <w:r>
              <w:rPr>
                <w:rFonts w:ascii="Arial" w:cs="Arial" w:eastAsia="Arial" w:hAnsi="Arial"/>
                <w:sz w:val="12"/>
                <w:szCs w:val="12"/>
                <w:color w:val="auto"/>
              </w:rPr>
              <w:t>4. If Amendment, Date of Original Filed (Month/Day/Year)</w:t>
            </w:r>
          </w:p>
        </w:tc>
        <w:tc>
          <w:tcPr>
            <w:tcW w:w="540" w:type="dxa"/>
            <w:vAlign w:val="bottom"/>
          </w:tcPr>
          <w:p>
            <w:pPr>
              <w:spacing w:after="0"/>
              <w:rPr>
                <w:sz w:val="15"/>
                <w:szCs w:val="15"/>
                <w:color w:val="auto"/>
              </w:rPr>
            </w:pPr>
          </w:p>
        </w:tc>
        <w:tc>
          <w:tcPr>
            <w:tcW w:w="3260" w:type="dxa"/>
            <w:vAlign w:val="bottom"/>
            <w:gridSpan w:val="9"/>
          </w:tcPr>
          <w:p>
            <w:pPr>
              <w:ind w:left="2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10282</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80" w:type="dxa"/>
            <w:vAlign w:val="bottom"/>
            <w:gridSpan w:val="7"/>
          </w:tcPr>
          <w:p>
            <w:pPr>
              <w:ind w:left="480"/>
              <w:spacing w:after="0"/>
              <w:rPr>
                <w:sz w:val="20"/>
                <w:szCs w:val="20"/>
                <w:color w:val="auto"/>
              </w:rPr>
            </w:pPr>
            <w:r>
              <w:rPr>
                <w:rFonts w:ascii="Arial" w:cs="Arial" w:eastAsia="Arial" w:hAnsi="Arial"/>
                <w:sz w:val="12"/>
                <w:szCs w:val="12"/>
                <w:color w:val="auto"/>
              </w:rPr>
              <w:t>Form filed by One Reporting Person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80" w:type="dxa"/>
            <w:vAlign w:val="bottom"/>
            <w:gridSpan w:val="7"/>
          </w:tcPr>
          <w:p>
            <w:pPr>
              <w:ind w:left="14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More than One Reporting Person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8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020" w:type="dxa"/>
            <w:vAlign w:val="bottom"/>
            <w:gridSpan w:val="3"/>
          </w:tcPr>
          <w:p>
            <w:pPr>
              <w:ind w:left="8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gridSpan w:val="3"/>
          </w:tcPr>
          <w:p>
            <w:pPr>
              <w:spacing w:after="0"/>
              <w:rPr>
                <w:sz w:val="10"/>
                <w:szCs w:val="10"/>
                <w:color w:val="auto"/>
              </w:rPr>
            </w:pPr>
          </w:p>
        </w:tc>
        <w:tc>
          <w:tcPr>
            <w:tcW w:w="3400" w:type="dxa"/>
            <w:vAlign w:val="bottom"/>
            <w:tcBorders>
              <w:bottom w:val="single" w:sz="8" w:color="2C2C2C"/>
            </w:tcBorders>
            <w:gridSpan w:val="6"/>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480" w:type="dxa"/>
            <w:vAlign w:val="bottom"/>
            <w:tcBorders>
              <w:top w:val="single" w:sz="8" w:color="2C2C2C"/>
            </w:tcBorders>
            <w:gridSpan w:val="17"/>
          </w:tcPr>
          <w:p>
            <w:pPr>
              <w:jc w:val="center"/>
              <w:ind w:left="475"/>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360" w:type="dxa"/>
            <w:vAlign w:val="bottom"/>
            <w:tcBorders>
              <w:bottom w:val="single" w:sz="8" w:color="2C2C2C"/>
            </w:tcBorders>
            <w:gridSpan w:val="4"/>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3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ind w:left="16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3"/>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180" w:type="dxa"/>
            <w:vAlign w:val="bottom"/>
            <w:gridSpan w:val="3"/>
          </w:tcPr>
          <w:p>
            <w:pPr>
              <w:ind w:left="8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ind w:left="160"/>
              <w:spacing w:after="0" w:line="124" w:lineRule="exact"/>
              <w:rPr>
                <w:sz w:val="20"/>
                <w:szCs w:val="20"/>
                <w:color w:val="auto"/>
              </w:rPr>
            </w:pPr>
            <w:r>
              <w:rPr>
                <w:rFonts w:ascii="Arial" w:cs="Arial" w:eastAsia="Arial" w:hAnsi="Arial"/>
                <w:sz w:val="11"/>
                <w:szCs w:val="11"/>
                <w:b w:val="1"/>
                <w:bCs w:val="1"/>
                <w:color w:val="auto"/>
              </w:rPr>
              <w:t>Date</w:t>
            </w: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88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118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Indirect 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3"/>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Beneficially</w:t>
            </w:r>
          </w:p>
        </w:tc>
        <w:tc>
          <w:tcPr>
            <w:tcW w:w="480" w:type="dxa"/>
            <w:vAlign w:val="bottom"/>
          </w:tcPr>
          <w:p>
            <w:pPr>
              <w:spacing w:after="0"/>
              <w:rPr>
                <w:sz w:val="10"/>
                <w:szCs w:val="10"/>
                <w:color w:val="auto"/>
              </w:rPr>
            </w:pP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or Indirect</w:t>
            </w:r>
          </w:p>
        </w:tc>
        <w:tc>
          <w:tcPr>
            <w:tcW w:w="118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Ownership (Instr.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2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4)</w:t>
            </w: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60"/>
              <w:spacing w:after="0" w:line="124" w:lineRule="exact"/>
              <w:rPr>
                <w:sz w:val="20"/>
                <w:szCs w:val="20"/>
                <w:color w:val="auto"/>
              </w:rPr>
            </w:pPr>
            <w:r>
              <w:rPr>
                <w:rFonts w:ascii="Arial" w:cs="Arial" w:eastAsia="Arial" w:hAnsi="Arial"/>
                <w:sz w:val="11"/>
                <w:szCs w:val="11"/>
                <w:b w:val="1"/>
                <w:bCs w:val="1"/>
                <w:color w:val="auto"/>
              </w:rPr>
              <w:t>(A) or</w:t>
            </w:r>
          </w:p>
        </w:tc>
        <w:tc>
          <w:tcPr>
            <w:tcW w:w="5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360" w:type="dxa"/>
            <w:vAlign w:val="bottom"/>
            <w:tcBorders>
              <w:bottom w:val="single" w:sz="8" w:color="2C2C2C"/>
            </w:tcBorders>
            <w:gridSpan w:val="4"/>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6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600" w:type="dxa"/>
            <w:vAlign w:val="bottom"/>
            <w:gridSpan w:val="5"/>
          </w:tcPr>
          <w:p>
            <w:pPr>
              <w:jc w:val="center"/>
              <w:ind w:left="449"/>
              <w:spacing w:after="0"/>
              <w:rPr>
                <w:sz w:val="20"/>
                <w:szCs w:val="20"/>
                <w:color w:val="auto"/>
              </w:rPr>
            </w:pPr>
            <w:r>
              <w:rPr>
                <w:rFonts w:ascii="Times New Roman" w:cs="Times New Roman" w:eastAsia="Times New Roman" w:hAnsi="Times New Roman"/>
                <w:sz w:val="16"/>
                <w:szCs w:val="16"/>
                <w:color w:val="0000FF"/>
                <w:w w:val="98"/>
              </w:rPr>
              <w:t>11/15/2022</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720" w:type="dxa"/>
            <w:vAlign w:val="bottom"/>
          </w:tcPr>
          <w:p>
            <w:pPr>
              <w:jc w:val="center"/>
              <w:ind w:left="56"/>
              <w:spacing w:after="0"/>
              <w:rPr>
                <w:sz w:val="20"/>
                <w:szCs w:val="20"/>
                <w:color w:val="auto"/>
              </w:rPr>
            </w:pPr>
            <w:r>
              <w:rPr>
                <w:rFonts w:ascii="Times New Roman" w:cs="Times New Roman" w:eastAsia="Times New Roman" w:hAnsi="Times New Roman"/>
                <w:sz w:val="16"/>
                <w:szCs w:val="16"/>
                <w:color w:val="0000FF"/>
                <w:w w:val="99"/>
              </w:rPr>
              <w:t>236,105</w:t>
            </w:r>
          </w:p>
        </w:tc>
        <w:tc>
          <w:tcPr>
            <w:tcW w:w="620" w:type="dxa"/>
            <w:vAlign w:val="bottom"/>
          </w:tcPr>
          <w:p>
            <w:pPr>
              <w:jc w:val="right"/>
              <w:ind w:right="157"/>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240" w:type="dxa"/>
            <w:vAlign w:val="bottom"/>
            <w:gridSpan w:val="4"/>
          </w:tcPr>
          <w:p>
            <w:pPr>
              <w:jc w:val="right"/>
              <w:ind w:right="283"/>
              <w:spacing w:after="0"/>
              <w:rPr>
                <w:sz w:val="20"/>
                <w:szCs w:val="20"/>
                <w:color w:val="auto"/>
              </w:rPr>
            </w:pPr>
            <w:r>
              <w:rPr>
                <w:rFonts w:ascii="Times New Roman" w:cs="Times New Roman" w:eastAsia="Times New Roman" w:hAnsi="Times New Roman"/>
                <w:sz w:val="16"/>
                <w:szCs w:val="16"/>
                <w:color w:val="0000FF"/>
              </w:rPr>
              <w:t>735,976</w:t>
            </w:r>
          </w:p>
        </w:tc>
        <w:tc>
          <w:tcPr>
            <w:tcW w:w="340" w:type="dxa"/>
            <w:vAlign w:val="bottom"/>
          </w:tcPr>
          <w:p>
            <w:pPr>
              <w:spacing w:after="0"/>
              <w:rPr>
                <w:sz w:val="22"/>
                <w:szCs w:val="22"/>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460" w:type="dxa"/>
            <w:vAlign w:val="bottom"/>
            <w:gridSpan w:val="6"/>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600" w:type="dxa"/>
            <w:vAlign w:val="bottom"/>
            <w:gridSpan w:val="5"/>
            <w:vMerge w:val="restart"/>
          </w:tcPr>
          <w:p>
            <w:pPr>
              <w:jc w:val="center"/>
              <w:ind w:left="449"/>
              <w:spacing w:after="0"/>
              <w:rPr>
                <w:sz w:val="20"/>
                <w:szCs w:val="20"/>
                <w:color w:val="auto"/>
              </w:rPr>
            </w:pPr>
            <w:r>
              <w:rPr>
                <w:rFonts w:ascii="Times New Roman" w:cs="Times New Roman" w:eastAsia="Times New Roman" w:hAnsi="Times New Roman"/>
                <w:sz w:val="16"/>
                <w:szCs w:val="16"/>
                <w:color w:val="0000FF"/>
                <w:w w:val="98"/>
              </w:rPr>
              <w:t>11/15/2022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720" w:type="dxa"/>
            <w:vAlign w:val="bottom"/>
            <w:vMerge w:val="restart"/>
          </w:tcPr>
          <w:p>
            <w:pPr>
              <w:jc w:val="center"/>
              <w:ind w:left="56"/>
              <w:spacing w:after="0"/>
              <w:rPr>
                <w:sz w:val="20"/>
                <w:szCs w:val="20"/>
                <w:color w:val="auto"/>
              </w:rPr>
            </w:pPr>
            <w:r>
              <w:rPr>
                <w:rFonts w:ascii="Times New Roman" w:cs="Times New Roman" w:eastAsia="Times New Roman" w:hAnsi="Times New Roman"/>
                <w:sz w:val="16"/>
                <w:szCs w:val="16"/>
                <w:color w:val="0000FF"/>
                <w:w w:val="99"/>
              </w:rPr>
              <w:t>236,105</w:t>
            </w:r>
          </w:p>
        </w:tc>
        <w:tc>
          <w:tcPr>
            <w:tcW w:w="620" w:type="dxa"/>
            <w:vAlign w:val="bottom"/>
            <w:vMerge w:val="restart"/>
          </w:tcPr>
          <w:p>
            <w:pPr>
              <w:jc w:val="right"/>
              <w:ind w:right="157"/>
              <w:spacing w:after="0"/>
              <w:rPr>
                <w:sz w:val="20"/>
                <w:szCs w:val="20"/>
                <w:color w:val="auto"/>
              </w:rPr>
            </w:pPr>
            <w:r>
              <w:rPr>
                <w:rFonts w:ascii="Times New Roman" w:cs="Times New Roman" w:eastAsia="Times New Roman" w:hAnsi="Times New Roman"/>
                <w:sz w:val="16"/>
                <w:szCs w:val="16"/>
                <w:color w:val="0000FF"/>
              </w:rPr>
              <w:t>D</w:t>
            </w:r>
          </w:p>
        </w:tc>
        <w:tc>
          <w:tcPr>
            <w:tcW w:w="54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23.85</w:t>
            </w:r>
          </w:p>
        </w:tc>
        <w:tc>
          <w:tcPr>
            <w:tcW w:w="1240" w:type="dxa"/>
            <w:vAlign w:val="bottom"/>
            <w:gridSpan w:val="4"/>
            <w:vMerge w:val="restart"/>
          </w:tcPr>
          <w:p>
            <w:pPr>
              <w:jc w:val="right"/>
              <w:ind w:right="283"/>
              <w:spacing w:after="0"/>
              <w:rPr>
                <w:sz w:val="20"/>
                <w:szCs w:val="20"/>
                <w:color w:val="auto"/>
              </w:rPr>
            </w:pPr>
            <w:r>
              <w:rPr>
                <w:rFonts w:ascii="Times New Roman" w:cs="Times New Roman" w:eastAsia="Times New Roman" w:hAnsi="Times New Roman"/>
                <w:sz w:val="16"/>
                <w:szCs w:val="16"/>
                <w:color w:val="0000FF"/>
              </w:rPr>
              <w:t>499,871</w:t>
            </w:r>
          </w:p>
        </w:tc>
        <w:tc>
          <w:tcPr>
            <w:tcW w:w="34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460" w:type="dxa"/>
            <w:vAlign w:val="bottom"/>
            <w:gridSpan w:val="6"/>
            <w:vMerge w:val="continue"/>
          </w:tcPr>
          <w:p>
            <w:pPr>
              <w:spacing w:after="0"/>
              <w:rPr>
                <w:sz w:val="6"/>
                <w:szCs w:val="6"/>
                <w:color w:val="auto"/>
              </w:rPr>
            </w:pPr>
          </w:p>
        </w:tc>
        <w:tc>
          <w:tcPr>
            <w:tcW w:w="1600" w:type="dxa"/>
            <w:vAlign w:val="bottom"/>
            <w:gridSpan w:val="5"/>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240" w:type="dxa"/>
            <w:vAlign w:val="bottom"/>
            <w:gridSpan w:val="4"/>
            <w:vMerge w:val="continue"/>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360" w:type="dxa"/>
            <w:vAlign w:val="bottom"/>
            <w:tcBorders>
              <w:bottom w:val="single" w:sz="8" w:color="2C2C2C"/>
            </w:tcBorders>
            <w:gridSpan w:val="4"/>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gridSpan w:val="3"/>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gridSpan w:val="3"/>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gridSpan w:val="2"/>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46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600" w:type="dxa"/>
            <w:vAlign w:val="bottom"/>
            <w:gridSpan w:val="5"/>
          </w:tcPr>
          <w:p>
            <w:pPr>
              <w:jc w:val="center"/>
              <w:ind w:left="449"/>
              <w:spacing w:after="0"/>
              <w:rPr>
                <w:sz w:val="20"/>
                <w:szCs w:val="20"/>
                <w:color w:val="auto"/>
              </w:rPr>
            </w:pPr>
            <w:r>
              <w:rPr>
                <w:rFonts w:ascii="Times New Roman" w:cs="Times New Roman" w:eastAsia="Times New Roman" w:hAnsi="Times New Roman"/>
                <w:sz w:val="16"/>
                <w:szCs w:val="16"/>
                <w:color w:val="0000FF"/>
                <w:w w:val="98"/>
              </w:rPr>
              <w:t>11/16/2022</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720" w:type="dxa"/>
            <w:vAlign w:val="bottom"/>
          </w:tcPr>
          <w:p>
            <w:pPr>
              <w:jc w:val="center"/>
              <w:ind w:left="56"/>
              <w:spacing w:after="0"/>
              <w:rPr>
                <w:sz w:val="20"/>
                <w:szCs w:val="20"/>
                <w:color w:val="auto"/>
              </w:rPr>
            </w:pPr>
            <w:r>
              <w:rPr>
                <w:rFonts w:ascii="Times New Roman" w:cs="Times New Roman" w:eastAsia="Times New Roman" w:hAnsi="Times New Roman"/>
                <w:sz w:val="16"/>
                <w:szCs w:val="16"/>
                <w:color w:val="0000FF"/>
                <w:w w:val="99"/>
              </w:rPr>
              <w:t>84,024</w:t>
            </w:r>
          </w:p>
        </w:tc>
        <w:tc>
          <w:tcPr>
            <w:tcW w:w="620" w:type="dxa"/>
            <w:vAlign w:val="bottom"/>
          </w:tcPr>
          <w:p>
            <w:pPr>
              <w:jc w:val="right"/>
              <w:ind w:right="157"/>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1240" w:type="dxa"/>
            <w:vAlign w:val="bottom"/>
            <w:gridSpan w:val="4"/>
          </w:tcPr>
          <w:p>
            <w:pPr>
              <w:jc w:val="right"/>
              <w:ind w:right="283"/>
              <w:spacing w:after="0"/>
              <w:rPr>
                <w:sz w:val="20"/>
                <w:szCs w:val="20"/>
                <w:color w:val="auto"/>
              </w:rPr>
            </w:pPr>
            <w:r>
              <w:rPr>
                <w:rFonts w:ascii="Times New Roman" w:cs="Times New Roman" w:eastAsia="Times New Roman" w:hAnsi="Times New Roman"/>
                <w:sz w:val="16"/>
                <w:szCs w:val="16"/>
                <w:color w:val="0000FF"/>
              </w:rPr>
              <w:t>578,624</w:t>
            </w:r>
          </w:p>
        </w:tc>
        <w:tc>
          <w:tcPr>
            <w:tcW w:w="340" w:type="dxa"/>
            <w:vAlign w:val="bottom"/>
          </w:tcPr>
          <w:p>
            <w:pPr>
              <w:spacing w:after="0"/>
              <w:rPr>
                <w:sz w:val="22"/>
                <w:szCs w:val="22"/>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460" w:type="dxa"/>
            <w:vAlign w:val="bottom"/>
            <w:gridSpan w:val="6"/>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600" w:type="dxa"/>
            <w:vAlign w:val="bottom"/>
            <w:gridSpan w:val="5"/>
            <w:vMerge w:val="restart"/>
          </w:tcPr>
          <w:p>
            <w:pPr>
              <w:jc w:val="center"/>
              <w:ind w:left="449"/>
              <w:spacing w:after="0"/>
              <w:rPr>
                <w:sz w:val="20"/>
                <w:szCs w:val="20"/>
                <w:color w:val="auto"/>
              </w:rPr>
            </w:pPr>
            <w:r>
              <w:rPr>
                <w:rFonts w:ascii="Times New Roman" w:cs="Times New Roman" w:eastAsia="Times New Roman" w:hAnsi="Times New Roman"/>
                <w:sz w:val="16"/>
                <w:szCs w:val="16"/>
                <w:color w:val="0000FF"/>
                <w:w w:val="98"/>
              </w:rPr>
              <w:t>11/16/2022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720" w:type="dxa"/>
            <w:vAlign w:val="bottom"/>
            <w:vMerge w:val="restart"/>
          </w:tcPr>
          <w:p>
            <w:pPr>
              <w:jc w:val="center"/>
              <w:ind w:left="56"/>
              <w:spacing w:after="0"/>
              <w:rPr>
                <w:sz w:val="20"/>
                <w:szCs w:val="20"/>
                <w:color w:val="auto"/>
              </w:rPr>
            </w:pPr>
            <w:r>
              <w:rPr>
                <w:rFonts w:ascii="Times New Roman" w:cs="Times New Roman" w:eastAsia="Times New Roman" w:hAnsi="Times New Roman"/>
                <w:sz w:val="16"/>
                <w:szCs w:val="16"/>
                <w:color w:val="0000FF"/>
                <w:w w:val="99"/>
              </w:rPr>
              <w:t>84,024</w:t>
            </w:r>
          </w:p>
        </w:tc>
        <w:tc>
          <w:tcPr>
            <w:tcW w:w="620" w:type="dxa"/>
            <w:vAlign w:val="bottom"/>
            <w:vMerge w:val="restart"/>
          </w:tcPr>
          <w:p>
            <w:pPr>
              <w:jc w:val="right"/>
              <w:ind w:right="157"/>
              <w:spacing w:after="0"/>
              <w:rPr>
                <w:sz w:val="20"/>
                <w:szCs w:val="20"/>
                <w:color w:val="auto"/>
              </w:rPr>
            </w:pPr>
            <w:r>
              <w:rPr>
                <w:rFonts w:ascii="Times New Roman" w:cs="Times New Roman" w:eastAsia="Times New Roman" w:hAnsi="Times New Roman"/>
                <w:sz w:val="16"/>
                <w:szCs w:val="16"/>
                <w:color w:val="0000FF"/>
              </w:rPr>
              <w:t>D</w:t>
            </w:r>
          </w:p>
        </w:tc>
        <w:tc>
          <w:tcPr>
            <w:tcW w:w="54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22.53</w:t>
            </w:r>
          </w:p>
        </w:tc>
        <w:tc>
          <w:tcPr>
            <w:tcW w:w="1240" w:type="dxa"/>
            <w:vAlign w:val="bottom"/>
            <w:gridSpan w:val="4"/>
            <w:vMerge w:val="restart"/>
          </w:tcPr>
          <w:p>
            <w:pPr>
              <w:jc w:val="right"/>
              <w:ind w:right="283"/>
              <w:spacing w:after="0"/>
              <w:rPr>
                <w:sz w:val="20"/>
                <w:szCs w:val="20"/>
                <w:color w:val="auto"/>
              </w:rPr>
            </w:pPr>
            <w:r>
              <w:rPr>
                <w:rFonts w:ascii="Times New Roman" w:cs="Times New Roman" w:eastAsia="Times New Roman" w:hAnsi="Times New Roman"/>
                <w:sz w:val="16"/>
                <w:szCs w:val="16"/>
                <w:color w:val="0000FF"/>
              </w:rPr>
              <w:t>494,600</w:t>
            </w:r>
          </w:p>
        </w:tc>
        <w:tc>
          <w:tcPr>
            <w:tcW w:w="340" w:type="dxa"/>
            <w:vAlign w:val="bottom"/>
          </w:tcPr>
          <w:p>
            <w:pPr>
              <w:spacing w:after="0"/>
              <w:rPr>
                <w:sz w:val="20"/>
                <w:szCs w:val="20"/>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I</w:t>
            </w:r>
          </w:p>
        </w:tc>
        <w:tc>
          <w:tcPr>
            <w:tcW w:w="11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460" w:type="dxa"/>
            <w:vAlign w:val="bottom"/>
            <w:gridSpan w:val="6"/>
            <w:vMerge w:val="continue"/>
          </w:tcPr>
          <w:p>
            <w:pPr>
              <w:spacing w:after="0"/>
              <w:rPr>
                <w:sz w:val="6"/>
                <w:szCs w:val="6"/>
                <w:color w:val="auto"/>
              </w:rPr>
            </w:pPr>
          </w:p>
        </w:tc>
        <w:tc>
          <w:tcPr>
            <w:tcW w:w="1600" w:type="dxa"/>
            <w:vAlign w:val="bottom"/>
            <w:gridSpan w:val="5"/>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240" w:type="dxa"/>
            <w:vAlign w:val="bottom"/>
            <w:gridSpan w:val="4"/>
            <w:vMerge w:val="continue"/>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gridSpan w:val="5"/>
          </w:tcPr>
          <w:p>
            <w:pPr>
              <w:spacing w:after="0"/>
              <w:rPr>
                <w:sz w:val="9"/>
                <w:szCs w:val="9"/>
                <w:color w:val="auto"/>
              </w:rPr>
            </w:pPr>
          </w:p>
        </w:tc>
        <w:tc>
          <w:tcPr>
            <w:tcW w:w="3400" w:type="dxa"/>
            <w:vAlign w:val="bottom"/>
            <w:tcBorders>
              <w:bottom w:val="single" w:sz="8" w:color="2C2C2C"/>
            </w:tcBorders>
            <w:gridSpan w:val="6"/>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8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6000" w:type="dxa"/>
            <w:vAlign w:val="bottom"/>
            <w:tcBorders>
              <w:top w:val="single" w:sz="8" w:color="2C2C2C"/>
            </w:tcBorders>
            <w:gridSpan w:val="15"/>
          </w:tcPr>
          <w:p>
            <w:pPr>
              <w:jc w:val="center"/>
              <w:ind w:left="49"/>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240" w:type="dxa"/>
            <w:vAlign w:val="bottom"/>
            <w:tcBorders>
              <w:top w:val="single" w:sz="8" w:color="2C2C2C"/>
            </w:tcBorders>
          </w:tcPr>
          <w:p>
            <w:pPr>
              <w:spacing w:after="0"/>
              <w:rPr>
                <w:sz w:val="17"/>
                <w:szCs w:val="17"/>
                <w:color w:val="auto"/>
              </w:rPr>
            </w:pPr>
          </w:p>
        </w:tc>
        <w:tc>
          <w:tcPr>
            <w:tcW w:w="92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60" w:type="dxa"/>
            <w:vAlign w:val="bottom"/>
            <w:gridSpan w:val="13"/>
          </w:tcPr>
          <w:p>
            <w:pPr>
              <w:jc w:val="center"/>
              <w:ind w:right="262"/>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8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spacing w:after="0" w:line="124"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8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1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of Securities</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9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spacing w:after="0" w:line="124"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8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7"/>
              </w:rPr>
              <w:t>Underlying</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0"/>
                <w:szCs w:val="10"/>
                <w:color w:val="auto"/>
              </w:rPr>
            </w:pPr>
          </w:p>
        </w:tc>
        <w:tc>
          <w:tcPr>
            <w:tcW w:w="9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Direct (D)</w:t>
            </w:r>
          </w:p>
        </w:tc>
        <w:tc>
          <w:tcPr>
            <w:tcW w:w="9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or Indirect</w:t>
            </w:r>
          </w:p>
        </w:tc>
        <w:tc>
          <w:tcPr>
            <w:tcW w:w="9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restart"/>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line="124" w:lineRule="exact"/>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line="124" w:lineRule="exact"/>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540" w:type="dxa"/>
            <w:vAlign w:val="bottom"/>
          </w:tcPr>
          <w:p>
            <w:pPr>
              <w:spacing w:after="0" w:line="124" w:lineRule="exact"/>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3"/>
                <w:szCs w:val="13"/>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4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Non-</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ind w:left="680"/>
              <w:spacing w:after="0"/>
              <w:rPr>
                <w:sz w:val="20"/>
                <w:szCs w:val="20"/>
                <w:color w:val="auto"/>
              </w:rPr>
            </w:pPr>
            <w:r>
              <w:rPr>
                <w:rFonts w:ascii="Times New Roman" w:cs="Times New Roman" w:eastAsia="Times New Roman" w:hAnsi="Times New Roman"/>
                <w:sz w:val="10"/>
                <w:szCs w:val="10"/>
                <w:color w:val="008000"/>
                <w:w w:val="94"/>
              </w:rPr>
              <w:t>(2)(3)</w:t>
            </w: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5" w:lineRule="exact"/>
              <w:rPr>
                <w:sz w:val="20"/>
                <w:szCs w:val="20"/>
                <w:color w:val="auto"/>
              </w:rPr>
            </w:pPr>
            <w:r>
              <w:rPr>
                <w:rFonts w:ascii="Times New Roman" w:cs="Times New Roman" w:eastAsia="Times New Roman" w:hAnsi="Times New Roman"/>
                <w:sz w:val="12"/>
                <w:szCs w:val="12"/>
                <w:color w:val="0000FF"/>
              </w:rPr>
              <w:t>Voting</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620" w:type="dxa"/>
            <w:vAlign w:val="bottom"/>
            <w:vMerge w:val="continue"/>
          </w:tcPr>
          <w:p>
            <w:pPr>
              <w:spacing w:after="0"/>
              <w:rPr>
                <w:sz w:val="5"/>
                <w:szCs w:val="5"/>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236,105</w:t>
            </w: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vMerge w:val="restart"/>
          </w:tcPr>
          <w:p>
            <w:pPr>
              <w:ind w:left="180"/>
              <w:spacing w:after="0" w:line="137" w:lineRule="exact"/>
              <w:rPr>
                <w:sz w:val="20"/>
                <w:szCs w:val="20"/>
                <w:color w:val="auto"/>
              </w:rPr>
            </w:pPr>
            <w:r>
              <w:rPr>
                <w:rFonts w:ascii="Times New Roman" w:cs="Times New Roman" w:eastAsia="Times New Roman" w:hAnsi="Times New Roman"/>
                <w:sz w:val="12"/>
                <w:szCs w:val="12"/>
                <w:color w:val="0000FF"/>
              </w:rPr>
              <w:t>11/15/2022</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gridSpan w:val="2"/>
            <w:vMerge w:val="restart"/>
          </w:tcPr>
          <w:p>
            <w:pPr>
              <w:ind w:left="160"/>
              <w:spacing w:after="0" w:line="137" w:lineRule="exact"/>
              <w:rPr>
                <w:sz w:val="20"/>
                <w:szCs w:val="20"/>
                <w:color w:val="auto"/>
              </w:rPr>
            </w:pPr>
            <w:r>
              <w:rPr>
                <w:rFonts w:ascii="Times New Roman" w:cs="Times New Roman" w:eastAsia="Times New Roman" w:hAnsi="Times New Roman"/>
                <w:sz w:val="12"/>
                <w:szCs w:val="12"/>
                <w:color w:val="0000FF"/>
              </w:rPr>
              <w:t>C</w:t>
            </w:r>
          </w:p>
        </w:tc>
        <w:tc>
          <w:tcPr>
            <w:tcW w:w="220" w:type="dxa"/>
            <w:vAlign w:val="bottom"/>
          </w:tcPr>
          <w:p>
            <w:pPr>
              <w:spacing w:after="0"/>
              <w:rPr>
                <w:sz w:val="5"/>
                <w:szCs w:val="5"/>
                <w:color w:val="auto"/>
              </w:rPr>
            </w:pPr>
          </w:p>
        </w:tc>
        <w:tc>
          <w:tcPr>
            <w:tcW w:w="800" w:type="dxa"/>
            <w:vAlign w:val="bottom"/>
            <w:gridSpan w:val="2"/>
            <w:vMerge w:val="restart"/>
          </w:tcPr>
          <w:p>
            <w:pPr>
              <w:jc w:val="right"/>
              <w:ind w:right="80"/>
              <w:spacing w:after="0" w:line="137" w:lineRule="exact"/>
              <w:rPr>
                <w:sz w:val="20"/>
                <w:szCs w:val="20"/>
                <w:color w:val="auto"/>
              </w:rPr>
            </w:pPr>
            <w:r>
              <w:rPr>
                <w:rFonts w:ascii="Times New Roman" w:cs="Times New Roman" w:eastAsia="Times New Roman" w:hAnsi="Times New Roman"/>
                <w:sz w:val="12"/>
                <w:szCs w:val="12"/>
                <w:color w:val="0000FF"/>
              </w:rPr>
              <w:t>236,105</w:t>
            </w: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restart"/>
          </w:tcPr>
          <w:p>
            <w:pPr>
              <w:ind w:left="40"/>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540" w:type="dxa"/>
            <w:vAlign w:val="bottom"/>
            <w:vMerge w:val="continue"/>
          </w:tcPr>
          <w:p>
            <w:pPr>
              <w:spacing w:after="0"/>
              <w:rPr>
                <w:sz w:val="5"/>
                <w:szCs w:val="5"/>
                <w:color w:val="auto"/>
              </w:rPr>
            </w:pPr>
          </w:p>
        </w:tc>
        <w:tc>
          <w:tcPr>
            <w:tcW w:w="760" w:type="dxa"/>
            <w:vAlign w:val="bottom"/>
            <w:gridSpan w:val="3"/>
            <w:vMerge w:val="restart"/>
          </w:tcPr>
          <w:p>
            <w:pPr>
              <w:jc w:val="right"/>
              <w:ind w:right="162"/>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20" w:type="dxa"/>
            <w:vAlign w:val="bottom"/>
            <w:gridSpan w:val="2"/>
            <w:vMerge w:val="restart"/>
          </w:tcPr>
          <w:p>
            <w:pPr>
              <w:ind w:left="160"/>
              <w:spacing w:after="0" w:line="137" w:lineRule="exact"/>
              <w:rPr>
                <w:sz w:val="20"/>
                <w:szCs w:val="20"/>
                <w:color w:val="auto"/>
              </w:rPr>
            </w:pPr>
            <w:r>
              <w:rPr>
                <w:rFonts w:ascii="Times New Roman" w:cs="Times New Roman" w:eastAsia="Times New Roman" w:hAnsi="Times New Roman"/>
                <w:sz w:val="12"/>
                <w:szCs w:val="12"/>
                <w:color w:val="0000FF"/>
              </w:rPr>
              <w:t>2,126,243</w:t>
            </w:r>
          </w:p>
        </w:tc>
        <w:tc>
          <w:tcPr>
            <w:tcW w:w="500" w:type="dxa"/>
            <w:vAlign w:val="bottom"/>
            <w:vMerge w:val="restart"/>
          </w:tcPr>
          <w:p>
            <w:pPr>
              <w:ind w:left="360"/>
              <w:spacing w:after="0" w:line="137" w:lineRule="exact"/>
              <w:rPr>
                <w:sz w:val="20"/>
                <w:szCs w:val="20"/>
                <w:color w:val="auto"/>
              </w:rPr>
            </w:pPr>
            <w:r>
              <w:rPr>
                <w:rFonts w:ascii="Times New Roman" w:cs="Times New Roman" w:eastAsia="Times New Roman" w:hAnsi="Times New Roman"/>
                <w:sz w:val="12"/>
                <w:szCs w:val="12"/>
                <w:color w:val="0000FF"/>
              </w:rPr>
              <w:t>I</w:t>
            </w:r>
          </w:p>
        </w:tc>
        <w:tc>
          <w:tcPr>
            <w:tcW w:w="2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gridSpan w:val="2"/>
          </w:tcPr>
          <w:p>
            <w:pPr>
              <w:ind w:left="60"/>
              <w:spacing w:after="0" w:line="74" w:lineRule="exact"/>
              <w:rPr>
                <w:sz w:val="20"/>
                <w:szCs w:val="20"/>
                <w:color w:val="auto"/>
              </w:rPr>
            </w:pPr>
            <w:r>
              <w:rPr>
                <w:rFonts w:ascii="Times New Roman" w:cs="Times New Roman" w:eastAsia="Times New Roman" w:hAnsi="Times New Roman"/>
                <w:sz w:val="8"/>
                <w:szCs w:val="8"/>
                <w:color w:val="0000FF"/>
              </w:rPr>
              <w:t>See footnote</w:t>
            </w: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vMerge w:val="restart"/>
          </w:tcPr>
          <w:p>
            <w:pPr>
              <w:jc w:val="right"/>
              <w:ind w:right="157"/>
              <w:spacing w:after="0"/>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ind w:left="60"/>
              <w:spacing w:after="0" w:line="74" w:lineRule="exact"/>
              <w:rPr>
                <w:sz w:val="20"/>
                <w:szCs w:val="20"/>
                <w:color w:val="auto"/>
              </w:rPr>
            </w:pPr>
            <w:r>
              <w:rPr>
                <w:rFonts w:ascii="Times New Roman" w:cs="Times New Roman" w:eastAsia="Times New Roman" w:hAnsi="Times New Roman"/>
                <w:sz w:val="8"/>
                <w:szCs w:val="8"/>
                <w:color w:val="008000"/>
              </w:rPr>
              <w:t>(4)(5)</w:t>
            </w: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Non-</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color w:val="0000FF"/>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ind w:left="680"/>
              <w:spacing w:after="0"/>
              <w:rPr>
                <w:sz w:val="20"/>
                <w:szCs w:val="20"/>
                <w:color w:val="auto"/>
              </w:rPr>
            </w:pPr>
            <w:r>
              <w:rPr>
                <w:rFonts w:ascii="Times New Roman" w:cs="Times New Roman" w:eastAsia="Times New Roman" w:hAnsi="Times New Roman"/>
                <w:sz w:val="10"/>
                <w:szCs w:val="10"/>
                <w:color w:val="008000"/>
                <w:w w:val="94"/>
              </w:rPr>
              <w:t>(2)(3)</w:t>
            </w: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5" w:lineRule="exact"/>
              <w:rPr>
                <w:sz w:val="20"/>
                <w:szCs w:val="20"/>
                <w:color w:val="auto"/>
              </w:rPr>
            </w:pPr>
            <w:r>
              <w:rPr>
                <w:rFonts w:ascii="Times New Roman" w:cs="Times New Roman" w:eastAsia="Times New Roman" w:hAnsi="Times New Roman"/>
                <w:sz w:val="12"/>
                <w:szCs w:val="12"/>
                <w:color w:val="0000FF"/>
              </w:rPr>
              <w:t>Voting</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(6)</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(6)</w:t>
            </w:r>
          </w:p>
        </w:tc>
        <w:tc>
          <w:tcPr>
            <w:tcW w:w="620" w:type="dxa"/>
            <w:vAlign w:val="bottom"/>
            <w:vMerge w:val="continue"/>
          </w:tcPr>
          <w:p>
            <w:pPr>
              <w:spacing w:after="0"/>
              <w:rPr>
                <w:sz w:val="5"/>
                <w:szCs w:val="5"/>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84,024</w:t>
            </w: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vMerge w:val="restart"/>
          </w:tcPr>
          <w:p>
            <w:pPr>
              <w:ind w:left="180"/>
              <w:spacing w:after="0" w:line="125" w:lineRule="exact"/>
              <w:rPr>
                <w:sz w:val="20"/>
                <w:szCs w:val="20"/>
                <w:color w:val="auto"/>
              </w:rPr>
            </w:pPr>
            <w:r>
              <w:rPr>
                <w:rFonts w:ascii="Times New Roman" w:cs="Times New Roman" w:eastAsia="Times New Roman" w:hAnsi="Times New Roman"/>
                <w:sz w:val="12"/>
                <w:szCs w:val="12"/>
                <w:color w:val="0000FF"/>
              </w:rPr>
              <w:t>11/16/2022</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gridSpan w:val="2"/>
            <w:vMerge w:val="restart"/>
          </w:tcPr>
          <w:p>
            <w:pPr>
              <w:ind w:left="160"/>
              <w:spacing w:after="0" w:line="125" w:lineRule="exact"/>
              <w:rPr>
                <w:sz w:val="20"/>
                <w:szCs w:val="20"/>
                <w:color w:val="auto"/>
              </w:rPr>
            </w:pPr>
            <w:r>
              <w:rPr>
                <w:rFonts w:ascii="Times New Roman" w:cs="Times New Roman" w:eastAsia="Times New Roman" w:hAnsi="Times New Roman"/>
                <w:sz w:val="12"/>
                <w:szCs w:val="12"/>
                <w:color w:val="0000FF"/>
              </w:rPr>
              <w:t>C</w:t>
            </w:r>
          </w:p>
        </w:tc>
        <w:tc>
          <w:tcPr>
            <w:tcW w:w="220" w:type="dxa"/>
            <w:vAlign w:val="bottom"/>
          </w:tcPr>
          <w:p>
            <w:pPr>
              <w:spacing w:after="0"/>
              <w:rPr>
                <w:sz w:val="5"/>
                <w:szCs w:val="5"/>
                <w:color w:val="auto"/>
              </w:rPr>
            </w:pPr>
          </w:p>
        </w:tc>
        <w:tc>
          <w:tcPr>
            <w:tcW w:w="800" w:type="dxa"/>
            <w:vAlign w:val="bottom"/>
            <w:gridSpan w:val="2"/>
            <w:vMerge w:val="restart"/>
          </w:tcPr>
          <w:p>
            <w:pPr>
              <w:jc w:val="right"/>
              <w:ind w:right="100"/>
              <w:spacing w:after="0" w:line="125" w:lineRule="exact"/>
              <w:rPr>
                <w:sz w:val="20"/>
                <w:szCs w:val="20"/>
                <w:color w:val="auto"/>
              </w:rPr>
            </w:pPr>
            <w:r>
              <w:rPr>
                <w:rFonts w:ascii="Times New Roman" w:cs="Times New Roman" w:eastAsia="Times New Roman" w:hAnsi="Times New Roman"/>
                <w:sz w:val="12"/>
                <w:szCs w:val="12"/>
                <w:color w:val="0000FF"/>
              </w:rPr>
              <w:t>84,024</w:t>
            </w: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restart"/>
          </w:tcPr>
          <w:p>
            <w:pPr>
              <w:ind w:left="40"/>
              <w:spacing w:after="0" w:line="125" w:lineRule="exact"/>
              <w:rPr>
                <w:sz w:val="20"/>
                <w:szCs w:val="20"/>
                <w:color w:val="auto"/>
              </w:rPr>
            </w:pPr>
            <w:r>
              <w:rPr>
                <w:rFonts w:ascii="Times New Roman" w:cs="Times New Roman" w:eastAsia="Times New Roman" w:hAnsi="Times New Roman"/>
                <w:sz w:val="12"/>
                <w:szCs w:val="12"/>
                <w:color w:val="0000FF"/>
              </w:rPr>
              <w:t>Common</w:t>
            </w:r>
          </w:p>
        </w:tc>
        <w:tc>
          <w:tcPr>
            <w:tcW w:w="540" w:type="dxa"/>
            <w:vAlign w:val="bottom"/>
            <w:vMerge w:val="continue"/>
          </w:tcPr>
          <w:p>
            <w:pPr>
              <w:spacing w:after="0"/>
              <w:rPr>
                <w:sz w:val="5"/>
                <w:szCs w:val="5"/>
                <w:color w:val="auto"/>
              </w:rPr>
            </w:pPr>
          </w:p>
        </w:tc>
        <w:tc>
          <w:tcPr>
            <w:tcW w:w="760" w:type="dxa"/>
            <w:vAlign w:val="bottom"/>
            <w:gridSpan w:val="3"/>
            <w:vMerge w:val="restart"/>
          </w:tcPr>
          <w:p>
            <w:pPr>
              <w:jc w:val="right"/>
              <w:ind w:right="162"/>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20" w:type="dxa"/>
            <w:vAlign w:val="bottom"/>
            <w:gridSpan w:val="2"/>
            <w:vMerge w:val="restart"/>
          </w:tcPr>
          <w:p>
            <w:pPr>
              <w:ind w:left="160"/>
              <w:spacing w:after="0" w:line="125" w:lineRule="exact"/>
              <w:rPr>
                <w:sz w:val="20"/>
                <w:szCs w:val="20"/>
                <w:color w:val="auto"/>
              </w:rPr>
            </w:pPr>
            <w:r>
              <w:rPr>
                <w:rFonts w:ascii="Times New Roman" w:cs="Times New Roman" w:eastAsia="Times New Roman" w:hAnsi="Times New Roman"/>
                <w:sz w:val="12"/>
                <w:szCs w:val="12"/>
                <w:color w:val="0000FF"/>
              </w:rPr>
              <w:t>2,042,219</w:t>
            </w:r>
          </w:p>
        </w:tc>
        <w:tc>
          <w:tcPr>
            <w:tcW w:w="500" w:type="dxa"/>
            <w:vAlign w:val="bottom"/>
            <w:vMerge w:val="restart"/>
          </w:tcPr>
          <w:p>
            <w:pPr>
              <w:ind w:left="360"/>
              <w:spacing w:after="0" w:line="125" w:lineRule="exact"/>
              <w:rPr>
                <w:sz w:val="20"/>
                <w:szCs w:val="20"/>
                <w:color w:val="auto"/>
              </w:rPr>
            </w:pPr>
            <w:r>
              <w:rPr>
                <w:rFonts w:ascii="Times New Roman" w:cs="Times New Roman" w:eastAsia="Times New Roman" w:hAnsi="Times New Roman"/>
                <w:sz w:val="12"/>
                <w:szCs w:val="12"/>
                <w:color w:val="0000FF"/>
              </w:rPr>
              <w:t>I</w:t>
            </w:r>
          </w:p>
        </w:tc>
        <w:tc>
          <w:tcPr>
            <w:tcW w:w="2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gridSpan w:val="2"/>
          </w:tcPr>
          <w:p>
            <w:pPr>
              <w:ind w:left="60"/>
              <w:spacing w:after="0" w:line="62" w:lineRule="exact"/>
              <w:rPr>
                <w:sz w:val="20"/>
                <w:szCs w:val="20"/>
                <w:color w:val="auto"/>
              </w:rPr>
            </w:pPr>
            <w:r>
              <w:rPr>
                <w:rFonts w:ascii="Times New Roman" w:cs="Times New Roman" w:eastAsia="Times New Roman" w:hAnsi="Times New Roman"/>
                <w:sz w:val="7"/>
                <w:szCs w:val="7"/>
                <w:color w:val="0000FF"/>
              </w:rPr>
              <w:t>See footnote</w:t>
            </w: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restart"/>
          </w:tcPr>
          <w:p>
            <w:pPr>
              <w:jc w:val="right"/>
              <w:ind w:right="157"/>
              <w:spacing w:after="0"/>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ind w:left="60"/>
              <w:spacing w:after="0" w:line="86" w:lineRule="exact"/>
              <w:rPr>
                <w:sz w:val="20"/>
                <w:szCs w:val="20"/>
                <w:color w:val="auto"/>
              </w:rPr>
            </w:pPr>
            <w:r>
              <w:rPr>
                <w:rFonts w:ascii="Times New Roman" w:cs="Times New Roman" w:eastAsia="Times New Roman" w:hAnsi="Times New Roman"/>
                <w:sz w:val="9"/>
                <w:szCs w:val="9"/>
                <w:color w:val="008000"/>
              </w:rPr>
              <w:t>(4)(5)</w:t>
            </w: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360" w:type="dxa"/>
            <w:vAlign w:val="bottom"/>
            <w:tcBorders>
              <w:bottom w:val="single" w:sz="8" w:color="2C2C2C"/>
            </w:tcBorders>
            <w:gridSpan w:val="4"/>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2460" w:type="dxa"/>
            <w:vAlign w:val="bottom"/>
            <w:tcBorders>
              <w:top w:val="single" w:sz="8" w:color="2C2C2C"/>
            </w:tcBorders>
            <w:gridSpan w:val="6"/>
          </w:tcPr>
          <w:p>
            <w:pPr>
              <w:ind w:left="60"/>
              <w:spacing w:after="0" w:line="219"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32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0" w:type="dxa"/>
            <w:vAlign w:val="bottom"/>
            <w:gridSpan w:val="8"/>
          </w:tcPr>
          <w:p>
            <w:pPr>
              <w:ind w:left="20"/>
              <w:spacing w:after="0" w:line="210" w:lineRule="exact"/>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GOLDMAN SACHS GROUP INC</w:t>
              </w:r>
            </w:hyperlink>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80" w:type="dxa"/>
            <w:vAlign w:val="bottom"/>
            <w:tcBorders>
              <w:top w:val="single" w:sz="8" w:color="0000EE"/>
              <w:bottom w:val="single" w:sz="8" w:color="9A9A9A"/>
            </w:tcBorders>
          </w:tcPr>
          <w:p>
            <w:pPr>
              <w:spacing w:after="0"/>
              <w:rPr>
                <w:sz w:val="13"/>
                <w:szCs w:val="13"/>
                <w:color w:val="auto"/>
              </w:rPr>
            </w:pPr>
          </w:p>
        </w:tc>
        <w:tc>
          <w:tcPr>
            <w:tcW w:w="100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(First)</w:t>
            </w:r>
          </w:p>
        </w:tc>
        <w:tc>
          <w:tcPr>
            <w:tcW w:w="320" w:type="dxa"/>
            <w:vAlign w:val="bottom"/>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w w:val="99"/>
              </w:rPr>
              <w:t>200 WEST STREET</w:t>
            </w: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8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0000FF"/>
              </w:rPr>
              <w:t>10282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(State)</w:t>
            </w:r>
          </w:p>
        </w:tc>
        <w:tc>
          <w:tcPr>
            <w:tcW w:w="320" w:type="dxa"/>
            <w:vAlign w:val="bottom"/>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360" w:type="dxa"/>
            <w:vAlign w:val="bottom"/>
            <w:tcBorders>
              <w:bottom w:val="single" w:sz="8" w:color="2C2C2C"/>
            </w:tcBorders>
            <w:gridSpan w:val="4"/>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0" w:type="dxa"/>
            <w:vAlign w:val="bottom"/>
            <w:gridSpan w:val="8"/>
          </w:tcPr>
          <w:p>
            <w:pPr>
              <w:ind w:left="20"/>
              <w:spacing w:after="0" w:line="210"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GOLDMAN SACHS &amp; CO. LLC</w:t>
              </w:r>
            </w:hyperlink>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180" w:type="dxa"/>
            <w:vAlign w:val="bottom"/>
            <w:tcBorders>
              <w:top w:val="single" w:sz="8" w:color="0000EE"/>
              <w:bottom w:val="single" w:sz="8" w:color="9A9A9A"/>
            </w:tcBorders>
          </w:tcPr>
          <w:p>
            <w:pPr>
              <w:spacing w:after="0"/>
              <w:rPr>
                <w:sz w:val="13"/>
                <w:szCs w:val="13"/>
                <w:color w:val="auto"/>
              </w:rPr>
            </w:pPr>
          </w:p>
        </w:tc>
        <w:tc>
          <w:tcPr>
            <w:tcW w:w="100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(First)</w:t>
            </w:r>
          </w:p>
        </w:tc>
        <w:tc>
          <w:tcPr>
            <w:tcW w:w="320" w:type="dxa"/>
            <w:vAlign w:val="bottom"/>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w w:val="99"/>
              </w:rPr>
              <w:t>200 WEST STREET</w:t>
            </w: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80" w:type="dxa"/>
            <w:vAlign w:val="bottom"/>
          </w:tcPr>
          <w:p>
            <w:pPr>
              <w:spacing w:after="0"/>
              <w:rPr>
                <w:sz w:val="18"/>
                <w:szCs w:val="18"/>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0000FF"/>
              </w:rPr>
              <w:t>10282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2"/>
                <w:szCs w:val="12"/>
                <w:color w:val="auto"/>
              </w:rPr>
              <w:t>(State)</w:t>
            </w:r>
          </w:p>
        </w:tc>
        <w:tc>
          <w:tcPr>
            <w:tcW w:w="320" w:type="dxa"/>
            <w:vAlign w:val="bottom"/>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-5220335</wp:posOffset>
            </wp:positionV>
            <wp:extent cx="28575" cy="2208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2208530"/>
                    </a:xfrm>
                    <a:prstGeom prst="rect">
                      <a:avLst/>
                    </a:prstGeom>
                    <a:noFill/>
                  </pic:spPr>
                </pic:pic>
              </a:graphicData>
            </a:graphic>
          </wp:anchor>
        </w:drawing>
      </w:r>
    </w:p>
    <w:p>
      <w:pPr>
        <w:spacing w:after="0" w:line="103" w:lineRule="exact"/>
        <w:rPr>
          <w:sz w:val="20"/>
          <w:szCs w:val="20"/>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6">
        <w:r>
          <w:rPr>
            <w:rFonts w:ascii="Times New Roman" w:cs="Times New Roman" w:eastAsia="Times New Roman" w:hAnsi="Times New Roman"/>
            <w:sz w:val="20"/>
            <w:szCs w:val="20"/>
            <w:u w:val="single" w:color="auto"/>
            <w:color w:val="0000EE"/>
          </w:rPr>
          <w:t>Goldman Sachs PSI Global Holdings, LLC</w:t>
        </w:r>
      </w:hyperlink>
    </w:p>
    <w:p>
      <w:pPr>
        <w:sectPr>
          <w:pgSz w:w="11900" w:h="16864" w:orient="portrait"/>
          <w:cols w:equalWidth="0" w:num="1">
            <w:col w:w="11080"/>
          </w:cols>
          <w:pgMar w:left="460" w:top="213" w:right="359" w:bottom="0" w:gutter="0" w:footer="0" w:header="0"/>
          <w:type w:val="continuous"/>
        </w:sectPr>
      </w:pPr>
    </w:p>
    <w:p>
      <w:pPr>
        <w:spacing w:after="0" w:line="280" w:lineRule="exact"/>
        <w:rPr>
          <w:sz w:val="20"/>
          <w:szCs w:val="20"/>
          <w:color w:val="auto"/>
        </w:rPr>
      </w:pPr>
    </w:p>
    <w:p>
      <w:pPr>
        <w:ind w:left="120"/>
        <w:spacing w:after="0"/>
        <w:tabs>
          <w:tab w:leader="none" w:pos="1480" w:val="left"/>
          <w:tab w:leader="none" w:pos="290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ectPr>
          <w:pgSz w:w="11900" w:h="16864" w:orient="portrait"/>
          <w:cols w:equalWidth="0" w:num="1">
            <w:col w:w="11080"/>
          </w:cols>
          <w:pgMar w:left="460" w:top="213"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page">
              <wp:posOffset>278765</wp:posOffset>
            </wp:positionH>
            <wp:positionV relativeFrom="page">
              <wp:posOffset>88900</wp:posOffset>
            </wp:positionV>
            <wp:extent cx="2813050" cy="55333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13050" cy="5533390"/>
                    </a:xfrm>
                    <a:prstGeom prst="rect">
                      <a:avLst/>
                    </a:prstGeom>
                    <a:noFill/>
                  </pic:spPr>
                </pic:pic>
              </a:graphicData>
            </a:graphic>
          </wp:anchor>
        </w:drawing>
        <w:t>200 WEST STREET</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4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8"/>
        </w:trPr>
        <w:tc>
          <w:tcPr>
            <w:tcW w:w="8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6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10282</w:t>
            </w:r>
          </w:p>
        </w:tc>
        <w:tc>
          <w:tcPr>
            <w:tcW w:w="80" w:type="dxa"/>
            <w:vAlign w:val="bottom"/>
          </w:tcPr>
          <w:p>
            <w:pPr>
              <w:spacing w:after="0"/>
              <w:rPr>
                <w:sz w:val="18"/>
                <w:szCs w:val="18"/>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7"/>
        </w:trPr>
        <w:tc>
          <w:tcPr>
            <w:tcW w:w="8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20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r>
        <w:trPr>
          <w:trHeight w:val="76"/>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gridSpan w:val="2"/>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35"/>
        </w:trPr>
        <w:tc>
          <w:tcPr>
            <w:tcW w:w="266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1"/>
        </w:trPr>
        <w:tc>
          <w:tcPr>
            <w:tcW w:w="80" w:type="dxa"/>
            <w:vAlign w:val="bottom"/>
          </w:tcPr>
          <w:p>
            <w:pPr>
              <w:spacing w:after="0"/>
              <w:rPr>
                <w:sz w:val="18"/>
                <w:szCs w:val="18"/>
                <w:color w:val="auto"/>
              </w:rPr>
            </w:pPr>
          </w:p>
        </w:tc>
        <w:tc>
          <w:tcPr>
            <w:tcW w:w="2580" w:type="dxa"/>
            <w:vAlign w:val="bottom"/>
            <w:gridSpan w:val="4"/>
          </w:tcPr>
          <w:p>
            <w:pPr>
              <w:ind w:left="20"/>
              <w:spacing w:after="0" w:line="210"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StoneBridge 2020, L.P.</w:t>
              </w:r>
            </w:hyperlink>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58"/>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6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87"/>
        </w:trPr>
        <w:tc>
          <w:tcPr>
            <w:tcW w:w="8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200" w:type="dxa"/>
            <w:vAlign w:val="bottom"/>
            <w:gridSpan w:val="2"/>
          </w:tcPr>
          <w:p>
            <w:pPr>
              <w:ind w:left="20"/>
              <w:spacing w:after="0"/>
              <w:rPr>
                <w:sz w:val="20"/>
                <w:szCs w:val="20"/>
                <w:color w:val="auto"/>
              </w:rPr>
            </w:pPr>
            <w:r>
              <w:rPr>
                <w:rFonts w:ascii="Arial" w:cs="Arial" w:eastAsia="Arial" w:hAnsi="Arial"/>
                <w:sz w:val="12"/>
                <w:szCs w:val="12"/>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(Middle)</w:t>
            </w:r>
          </w:p>
        </w:tc>
      </w:tr>
      <w:tr>
        <w:trPr>
          <w:trHeight w:val="255"/>
        </w:trPr>
        <w:tc>
          <w:tcPr>
            <w:tcW w:w="80" w:type="dxa"/>
            <w:vAlign w:val="bottom"/>
          </w:tcPr>
          <w:p>
            <w:pPr>
              <w:spacing w:after="0"/>
              <w:rPr>
                <w:sz w:val="22"/>
                <w:szCs w:val="22"/>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w w:val="99"/>
              </w:rPr>
              <w:t>200 WEST 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2"/>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36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6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r>
      <w:tr>
        <w:trPr>
          <w:trHeight w:val="250"/>
        </w:trPr>
        <w:tc>
          <w:tcPr>
            <w:tcW w:w="14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8"/>
        </w:trPr>
        <w:tc>
          <w:tcPr>
            <w:tcW w:w="8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6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10282-2198</w:t>
            </w:r>
          </w:p>
        </w:tc>
        <w:tc>
          <w:tcPr>
            <w:tcW w:w="80" w:type="dxa"/>
            <w:vAlign w:val="bottom"/>
          </w:tcPr>
          <w:p>
            <w:pPr>
              <w:spacing w:after="0"/>
              <w:rPr>
                <w:sz w:val="18"/>
                <w:szCs w:val="18"/>
                <w:color w:val="auto"/>
              </w:rPr>
            </w:pPr>
          </w:p>
        </w:tc>
      </w:tr>
      <w:tr>
        <w:trPr>
          <w:trHeight w:val="142"/>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87"/>
        </w:trPr>
        <w:tc>
          <w:tcPr>
            <w:tcW w:w="8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20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2"/>
                <w:szCs w:val="12"/>
                <w:color w:val="auto"/>
              </w:rPr>
              <w:t>(Zip)</w:t>
            </w:r>
          </w:p>
        </w:tc>
      </w:tr>
    </w:tbl>
    <w:p>
      <w:pPr>
        <w:spacing w:after="0" w:line="123"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9">
        <w:r>
          <w:rPr>
            <w:rFonts w:ascii="Times New Roman" w:cs="Times New Roman" w:eastAsia="Times New Roman" w:hAnsi="Times New Roman"/>
            <w:sz w:val="20"/>
            <w:szCs w:val="20"/>
            <w:u w:val="single" w:color="auto"/>
            <w:color w:val="0000EE"/>
          </w:rPr>
          <w:t>Stonebridge 2020 Offshore Holdings II, L.P.</w:t>
        </w:r>
      </w:hyperlink>
    </w:p>
    <w:p>
      <w:pPr>
        <w:spacing w:after="0" w:line="280" w:lineRule="exact"/>
        <w:rPr>
          <w:sz w:val="20"/>
          <w:szCs w:val="20"/>
          <w:color w:val="auto"/>
        </w:rPr>
      </w:pPr>
    </w:p>
    <w:tbl>
      <w:tblPr>
        <w:tblLayout w:type="fixed"/>
        <w:tblInd w:w="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(Last)</w:t>
            </w:r>
          </w:p>
        </w:tc>
        <w:tc>
          <w:tcPr>
            <w:tcW w:w="920" w:type="dxa"/>
            <w:vAlign w:val="bottom"/>
          </w:tcPr>
          <w:p>
            <w:pPr>
              <w:ind w:left="20"/>
              <w:spacing w:after="0"/>
              <w:rPr>
                <w:sz w:val="20"/>
                <w:szCs w:val="20"/>
                <w:color w:val="auto"/>
              </w:rPr>
            </w:pPr>
            <w:r>
              <w:rPr>
                <w:rFonts w:ascii="Arial" w:cs="Arial" w:eastAsia="Arial" w:hAnsi="Arial"/>
                <w:sz w:val="12"/>
                <w:szCs w:val="12"/>
                <w:color w:val="auto"/>
              </w:rPr>
              <w:t>(First)</w:t>
            </w:r>
          </w:p>
        </w:tc>
        <w:tc>
          <w:tcPr>
            <w:tcW w:w="1900" w:type="dxa"/>
            <w:vAlign w:val="bottom"/>
          </w:tcPr>
          <w:p>
            <w:pPr>
              <w:ind w:left="520"/>
              <w:spacing w:after="0"/>
              <w:rPr>
                <w:sz w:val="20"/>
                <w:szCs w:val="20"/>
                <w:color w:val="auto"/>
              </w:rPr>
            </w:pPr>
            <w:r>
              <w:rPr>
                <w:rFonts w:ascii="Arial" w:cs="Arial" w:eastAsia="Arial" w:hAnsi="Arial"/>
                <w:sz w:val="12"/>
                <w:szCs w:val="12"/>
                <w:color w:val="auto"/>
              </w:rPr>
              <w:t>(Middle)</w:t>
            </w:r>
          </w:p>
        </w:tc>
      </w:tr>
      <w:tr>
        <w:trPr>
          <w:trHeight w:val="255"/>
        </w:trPr>
        <w:tc>
          <w:tcPr>
            <w:tcW w:w="20" w:type="dxa"/>
            <w:vAlign w:val="bottom"/>
          </w:tcPr>
          <w:p>
            <w:pPr>
              <w:spacing w:after="0"/>
              <w:rPr>
                <w:sz w:val="22"/>
                <w:szCs w:val="22"/>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w w:val="99"/>
              </w:rPr>
              <w:t>200 WEST STREET</w:t>
            </w:r>
          </w:p>
        </w:tc>
        <w:tc>
          <w:tcPr>
            <w:tcW w:w="92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192"/>
        </w:trPr>
        <w:tc>
          <w:tcPr>
            <w:tcW w:w="20" w:type="dxa"/>
            <w:vAlign w:val="bottom"/>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1900" w:type="dxa"/>
            <w:vAlign w:val="bottom"/>
            <w:tcBorders>
              <w:bottom w:val="single" w:sz="8" w:color="9A9A9A"/>
            </w:tcBorders>
          </w:tcPr>
          <w:p>
            <w:pPr>
              <w:spacing w:after="0"/>
              <w:rPr>
                <w:sz w:val="16"/>
                <w:szCs w:val="16"/>
                <w:color w:val="auto"/>
              </w:rPr>
            </w:pPr>
          </w:p>
        </w:tc>
      </w:tr>
      <w:tr>
        <w:trPr>
          <w:trHeight w:val="250"/>
        </w:trPr>
        <w:tc>
          <w:tcPr>
            <w:tcW w:w="14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18"/>
        </w:trPr>
        <w:tc>
          <w:tcPr>
            <w:tcW w:w="2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90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10282</w:t>
            </w:r>
          </w:p>
        </w:tc>
      </w:tr>
      <w:tr>
        <w:trPr>
          <w:trHeight w:val="142"/>
        </w:trPr>
        <w:tc>
          <w:tcPr>
            <w:tcW w:w="2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900" w:type="dxa"/>
            <w:vAlign w:val="bottom"/>
            <w:tcBorders>
              <w:bottom w:val="single" w:sz="8" w:color="9A9A9A"/>
            </w:tcBorders>
          </w:tcPr>
          <w:p>
            <w:pPr>
              <w:spacing w:after="0"/>
              <w:rPr>
                <w:sz w:val="12"/>
                <w:szCs w:val="12"/>
                <w:color w:val="auto"/>
              </w:rPr>
            </w:pPr>
          </w:p>
        </w:tc>
      </w:tr>
      <w:tr>
        <w:trPr>
          <w:trHeight w:val="287"/>
        </w:trPr>
        <w:tc>
          <w:tcPr>
            <w:tcW w:w="2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(City)</w:t>
            </w:r>
          </w:p>
        </w:tc>
        <w:tc>
          <w:tcPr>
            <w:tcW w:w="920" w:type="dxa"/>
            <w:vAlign w:val="bottom"/>
          </w:tcPr>
          <w:p>
            <w:pPr>
              <w:ind w:left="20"/>
              <w:spacing w:after="0"/>
              <w:rPr>
                <w:sz w:val="20"/>
                <w:szCs w:val="20"/>
                <w:color w:val="auto"/>
              </w:rPr>
            </w:pPr>
            <w:r>
              <w:rPr>
                <w:rFonts w:ascii="Arial" w:cs="Arial" w:eastAsia="Arial" w:hAnsi="Arial"/>
                <w:sz w:val="12"/>
                <w:szCs w:val="12"/>
                <w:color w:val="auto"/>
              </w:rPr>
              <w:t>(State)</w:t>
            </w:r>
          </w:p>
        </w:tc>
        <w:tc>
          <w:tcPr>
            <w:tcW w:w="190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3"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20">
        <w:r>
          <w:rPr>
            <w:rFonts w:ascii="Times New Roman" w:cs="Times New Roman" w:eastAsia="Times New Roman" w:hAnsi="Times New Roman"/>
            <w:sz w:val="20"/>
            <w:szCs w:val="20"/>
            <w:u w:val="single" w:color="auto"/>
            <w:color w:val="0000EE"/>
          </w:rPr>
          <w:t>Bridge Street Opportunity Advisors, L.L.C.</w:t>
        </w:r>
      </w:hyperlink>
    </w:p>
    <w:p>
      <w:pPr>
        <w:spacing w:after="0" w:line="280" w:lineRule="exact"/>
        <w:rPr>
          <w:sz w:val="20"/>
          <w:szCs w:val="20"/>
          <w:color w:val="auto"/>
        </w:rPr>
      </w:pPr>
    </w:p>
    <w:tbl>
      <w:tblPr>
        <w:tblLayout w:type="fixed"/>
        <w:tblInd w:w="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(Last)</w:t>
            </w:r>
          </w:p>
        </w:tc>
        <w:tc>
          <w:tcPr>
            <w:tcW w:w="920" w:type="dxa"/>
            <w:vAlign w:val="bottom"/>
          </w:tcPr>
          <w:p>
            <w:pPr>
              <w:ind w:left="20"/>
              <w:spacing w:after="0"/>
              <w:rPr>
                <w:sz w:val="20"/>
                <w:szCs w:val="20"/>
                <w:color w:val="auto"/>
              </w:rPr>
            </w:pPr>
            <w:r>
              <w:rPr>
                <w:rFonts w:ascii="Arial" w:cs="Arial" w:eastAsia="Arial" w:hAnsi="Arial"/>
                <w:sz w:val="12"/>
                <w:szCs w:val="12"/>
                <w:color w:val="auto"/>
              </w:rPr>
              <w:t>(First)</w:t>
            </w:r>
          </w:p>
        </w:tc>
        <w:tc>
          <w:tcPr>
            <w:tcW w:w="1900" w:type="dxa"/>
            <w:vAlign w:val="bottom"/>
          </w:tcPr>
          <w:p>
            <w:pPr>
              <w:ind w:left="520"/>
              <w:spacing w:after="0"/>
              <w:rPr>
                <w:sz w:val="20"/>
                <w:szCs w:val="20"/>
                <w:color w:val="auto"/>
              </w:rPr>
            </w:pPr>
            <w:r>
              <w:rPr>
                <w:rFonts w:ascii="Arial" w:cs="Arial" w:eastAsia="Arial" w:hAnsi="Arial"/>
                <w:sz w:val="12"/>
                <w:szCs w:val="12"/>
                <w:color w:val="auto"/>
              </w:rPr>
              <w:t>(Middle)</w:t>
            </w:r>
          </w:p>
        </w:tc>
      </w:tr>
      <w:tr>
        <w:trPr>
          <w:trHeight w:val="255"/>
        </w:trPr>
        <w:tc>
          <w:tcPr>
            <w:tcW w:w="20" w:type="dxa"/>
            <w:vAlign w:val="bottom"/>
          </w:tcPr>
          <w:p>
            <w:pPr>
              <w:spacing w:after="0"/>
              <w:rPr>
                <w:sz w:val="22"/>
                <w:szCs w:val="22"/>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w w:val="99"/>
              </w:rPr>
              <w:t>200 WEST STREET</w:t>
            </w:r>
          </w:p>
        </w:tc>
        <w:tc>
          <w:tcPr>
            <w:tcW w:w="92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192"/>
        </w:trPr>
        <w:tc>
          <w:tcPr>
            <w:tcW w:w="20" w:type="dxa"/>
            <w:vAlign w:val="bottom"/>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1900" w:type="dxa"/>
            <w:vAlign w:val="bottom"/>
            <w:tcBorders>
              <w:bottom w:val="single" w:sz="8" w:color="9A9A9A"/>
            </w:tcBorders>
          </w:tcPr>
          <w:p>
            <w:pPr>
              <w:spacing w:after="0"/>
              <w:rPr>
                <w:sz w:val="16"/>
                <w:szCs w:val="16"/>
                <w:color w:val="auto"/>
              </w:rPr>
            </w:pPr>
          </w:p>
        </w:tc>
      </w:tr>
      <w:tr>
        <w:trPr>
          <w:trHeight w:val="250"/>
        </w:trPr>
        <w:tc>
          <w:tcPr>
            <w:tcW w:w="14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2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18"/>
        </w:trPr>
        <w:tc>
          <w:tcPr>
            <w:tcW w:w="20" w:type="dxa"/>
            <w:vAlign w:val="bottom"/>
          </w:tcPr>
          <w:p>
            <w:pPr>
              <w:spacing w:after="0"/>
              <w:rPr>
                <w:sz w:val="18"/>
                <w:szCs w:val="18"/>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90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10282</w:t>
            </w:r>
          </w:p>
        </w:tc>
      </w:tr>
      <w:tr>
        <w:trPr>
          <w:trHeight w:val="142"/>
        </w:trPr>
        <w:tc>
          <w:tcPr>
            <w:tcW w:w="2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900" w:type="dxa"/>
            <w:vAlign w:val="bottom"/>
            <w:tcBorders>
              <w:bottom w:val="single" w:sz="8" w:color="9A9A9A"/>
            </w:tcBorders>
          </w:tcPr>
          <w:p>
            <w:pPr>
              <w:spacing w:after="0"/>
              <w:rPr>
                <w:sz w:val="12"/>
                <w:szCs w:val="12"/>
                <w:color w:val="auto"/>
              </w:rPr>
            </w:pPr>
          </w:p>
        </w:tc>
      </w:tr>
      <w:tr>
        <w:trPr>
          <w:trHeight w:val="287"/>
        </w:trPr>
        <w:tc>
          <w:tcPr>
            <w:tcW w:w="2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12"/>
                <w:szCs w:val="12"/>
                <w:color w:val="auto"/>
              </w:rPr>
              <w:t>(City)</w:t>
            </w:r>
          </w:p>
        </w:tc>
        <w:tc>
          <w:tcPr>
            <w:tcW w:w="920" w:type="dxa"/>
            <w:vAlign w:val="bottom"/>
          </w:tcPr>
          <w:p>
            <w:pPr>
              <w:ind w:left="20"/>
              <w:spacing w:after="0"/>
              <w:rPr>
                <w:sz w:val="20"/>
                <w:szCs w:val="20"/>
                <w:color w:val="auto"/>
              </w:rPr>
            </w:pPr>
            <w:r>
              <w:rPr>
                <w:rFonts w:ascii="Arial" w:cs="Arial" w:eastAsia="Arial" w:hAnsi="Arial"/>
                <w:sz w:val="12"/>
                <w:szCs w:val="12"/>
                <w:color w:val="auto"/>
              </w:rPr>
              <w:t>(State)</w:t>
            </w:r>
          </w:p>
        </w:tc>
        <w:tc>
          <w:tcPr>
            <w:tcW w:w="1900" w:type="dxa"/>
            <w:vAlign w:val="bottom"/>
          </w:tcPr>
          <w:p>
            <w:pPr>
              <w:ind w:left="520"/>
              <w:spacing w:after="0"/>
              <w:rPr>
                <w:sz w:val="20"/>
                <w:szCs w:val="20"/>
                <w:color w:val="auto"/>
              </w:rPr>
            </w:pPr>
            <w:r>
              <w:rPr>
                <w:rFonts w:ascii="Arial" w:cs="Arial" w:eastAsia="Arial" w:hAnsi="Arial"/>
                <w:sz w:val="12"/>
                <w:szCs w:val="12"/>
                <w:color w:val="auto"/>
              </w:rPr>
              <w:t>(Zip)</w:t>
            </w:r>
          </w:p>
        </w:tc>
      </w:tr>
    </w:tbl>
    <w:p>
      <w:pPr>
        <w:spacing w:after="0" w:line="12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jc w:val="both"/>
        <w:ind w:left="20" w:right="60" w:hanging="4"/>
        <w:spacing w:after="0" w:line="255"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Non-Voting Common Stock is convertible into an equal number of shares of Voting Common Stock immediately prior to the execution of the sale of such shares as reported in Table I. On November 15, 2022, the reporting person consummated the sale of all 236,105 shares of Non-Voting Common Stock, resulting in the automatic conversion of such shares into Voting Common Stock upon the execution of the sale of such shares as reported in Table I.</w:t>
      </w:r>
    </w:p>
    <w:p>
      <w:pPr>
        <w:spacing w:after="0" w:line="17" w:lineRule="exact"/>
        <w:rPr>
          <w:rFonts w:ascii="Times New Roman" w:cs="Times New Roman" w:eastAsia="Times New Roman" w:hAnsi="Times New Roman"/>
          <w:sz w:val="12"/>
          <w:szCs w:val="12"/>
          <w:color w:val="008000"/>
        </w:rPr>
      </w:pPr>
    </w:p>
    <w:p>
      <w:pPr>
        <w:ind w:left="20" w:right="180" w:hanging="4"/>
        <w:spacing w:after="0" w:line="246"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This statement is being filed by The Goldman Sachs Group, Inc. ("GS Group"), Goldman Sachs &amp; Co. LLC ("Goldman Sachs"), Goldman Sachs PSI Global Holdings, LLC ("GSPSI"), StoneBridge 2020, L.P. ("SB Fund"), StoneBridge 2020 Offshore Holdings II, L.P. ("SB Fund Offshore" and, together with SB Fund, the "SB Funds") and Bridge Street Opportunity Advisors, L.L.C. ("Bridge Street"). Ms. Jo Natauri serves as a member of the Board of Directors of the Issuer and is an employee of GS Group. Each of GS Group, Goldman Sachs, GSPSI, the SB Funds and Bridge Street is a director by deputization of the Issuer for purposes of Section 16 of the Securities Exchange Act of 1934, as amended. Each Reporting Person disclaims beneficial ownership of the securities reported herein except to the extent of its pecuniary interest therein, if any. (Continued in Footnote 3 below)</w:t>
      </w:r>
    </w:p>
    <w:p>
      <w:pPr>
        <w:spacing w:after="0" w:line="22" w:lineRule="exact"/>
        <w:rPr>
          <w:rFonts w:ascii="Times New Roman" w:cs="Times New Roman" w:eastAsia="Times New Roman" w:hAnsi="Times New Roman"/>
          <w:sz w:val="12"/>
          <w:szCs w:val="12"/>
          <w:color w:val="008000"/>
        </w:rPr>
      </w:pPr>
    </w:p>
    <w:p>
      <w:pPr>
        <w:ind w:left="20" w:right="460" w:hanging="4"/>
        <w:spacing w:after="0" w:line="275"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2 above). This report shall not be deemed an admission that any of the Reporting Persons are a member of a group or the beneficial owner of any securities not directly owned by the Reporting Person.</w:t>
      </w:r>
    </w:p>
    <w:p>
      <w:pPr>
        <w:spacing w:after="0" w:line="5" w:lineRule="exact"/>
        <w:rPr>
          <w:rFonts w:ascii="Times New Roman" w:cs="Times New Roman" w:eastAsia="Times New Roman" w:hAnsi="Times New Roman"/>
          <w:sz w:val="12"/>
          <w:szCs w:val="12"/>
          <w:color w:val="008000"/>
        </w:rPr>
      </w:pPr>
    </w:p>
    <w:p>
      <w:pPr>
        <w:ind w:left="20" w:right="40" w:hanging="4"/>
        <w:spacing w:after="0" w:line="275"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Goldman Sachs is a subsidiary of GS Group. Goldman Sachs is the investment manager of the SB Funds, and Bridge Street is the general partner of the SB Funds. Each of Bridge Street and GSPSI is wholly owned by GS Group.</w:t>
      </w:r>
    </w:p>
    <w:p>
      <w:pPr>
        <w:spacing w:after="0" w:line="5" w:lineRule="exact"/>
        <w:rPr>
          <w:rFonts w:ascii="Times New Roman" w:cs="Times New Roman" w:eastAsia="Times New Roman" w:hAnsi="Times New Roman"/>
          <w:sz w:val="12"/>
          <w:szCs w:val="12"/>
          <w:color w:val="008000"/>
        </w:rPr>
      </w:pPr>
    </w:p>
    <w:p>
      <w:pPr>
        <w:ind w:left="20" w:right="140" w:hanging="4"/>
        <w:spacing w:after="0" w:line="275"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Because of the relationships among GS Group, Goldman Sachs, Bridge Street, the SB Funds and GSPSI, each of GS Group and Goldman Sachs may be deemed a beneficial owner of any shares of the Issuer held by GSPSI and the SB Funds, and Bridge Street may be deemed a beneficial owner of any shares of the Issuer held by the SB Funds.</w:t>
      </w:r>
    </w:p>
    <w:p>
      <w:pPr>
        <w:spacing w:after="0" w:line="5" w:lineRule="exact"/>
        <w:rPr>
          <w:rFonts w:ascii="Times New Roman" w:cs="Times New Roman" w:eastAsia="Times New Roman" w:hAnsi="Times New Roman"/>
          <w:sz w:val="12"/>
          <w:szCs w:val="12"/>
          <w:color w:val="008000"/>
        </w:rPr>
      </w:pPr>
    </w:p>
    <w:p>
      <w:pPr>
        <w:ind w:left="20" w:hanging="4"/>
        <w:spacing w:after="0" w:line="255" w:lineRule="auto"/>
        <w:tabs>
          <w:tab w:leader="none" w:pos="14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Non-Voting Common Stock is convertible into an equal number of shares of Voting Common Stock immediately prior to the execution of the sale of such shares as reported in Table I. On November 16, 2022, the reporting person consummated the sale of all 84,024 shares of Non-Voting Common Stock, resulting in the automatic conversion of such shares into Voting Common Stock upon the execution of the sale of such shares as reported in Table I.</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ind w:left="6580"/>
        <w:spacing w:after="0" w:line="222" w:lineRule="auto"/>
        <w:rPr>
          <w:sz w:val="20"/>
          <w:szCs w:val="20"/>
          <w:color w:val="auto"/>
        </w:rPr>
      </w:pPr>
      <w:r>
        <w:rPr>
          <w:rFonts w:ascii="Times New Roman" w:cs="Times New Roman" w:eastAsia="Times New Roman" w:hAnsi="Times New Roman"/>
          <w:sz w:val="16"/>
          <w:szCs w:val="16"/>
          <w:color w:val="0000FF"/>
        </w:rPr>
        <w:t xml:space="preserve">/s/ Jamison Yardley, Attorney-in- </w:t>
      </w:r>
      <w:r>
        <w:rPr>
          <w:rFonts w:ascii="Times New Roman" w:cs="Times New Roman" w:eastAsia="Times New Roman" w:hAnsi="Times New Roman"/>
          <w:sz w:val="32"/>
          <w:szCs w:val="32"/>
          <w:color w:val="0000FF"/>
          <w:vertAlign w:val="subscript"/>
        </w:rPr>
        <w:t>11/17/2022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-25400</wp:posOffset>
            </wp:positionV>
            <wp:extent cx="13557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35572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-17145</wp:posOffset>
            </wp:positionV>
            <wp:extent cx="15303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53035" cy="7620"/>
                    </a:xfrm>
                    <a:prstGeom prst="rect">
                      <a:avLst/>
                    </a:prstGeom>
                    <a:noFill/>
                  </pic:spPr>
                </pic:pic>
              </a:graphicData>
            </a:graphic>
          </wp:anchor>
        </w:drawing>
        <w:drawing>
          <wp:anchor simplePos="0" relativeHeight="251657728" behindDoc="1" locked="0" layoutInCell="0" allowOverlap="1">
            <wp:simplePos x="0" y="0"/>
            <wp:positionH relativeFrom="column">
              <wp:posOffset>5570220</wp:posOffset>
            </wp:positionH>
            <wp:positionV relativeFrom="paragraph">
              <wp:posOffset>-80010</wp:posOffset>
            </wp:positionV>
            <wp:extent cx="46101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461010" cy="7620"/>
                    </a:xfrm>
                    <a:prstGeom prst="rect">
                      <a:avLst/>
                    </a:prstGeom>
                    <a:noFill/>
                  </pic:spPr>
                </pic:pic>
              </a:graphicData>
            </a:graphic>
          </wp:anchor>
        </w:drawing>
      </w:r>
    </w:p>
    <w:p>
      <w:pPr>
        <w:ind w:left="6580"/>
        <w:spacing w:after="0" w:line="181" w:lineRule="auto"/>
        <w:rPr>
          <w:sz w:val="20"/>
          <w:szCs w:val="20"/>
          <w:color w:val="auto"/>
        </w:rPr>
      </w:pPr>
      <w:r>
        <w:rPr>
          <w:rFonts w:ascii="Times New Roman" w:cs="Times New Roman" w:eastAsia="Times New Roman" w:hAnsi="Times New Roman"/>
          <w:sz w:val="15"/>
          <w:szCs w:val="15"/>
          <w:color w:val="0000FF"/>
        </w:rPr>
        <w:t xml:space="preserve">/s/ Jamison Yardley, Attorney-in- </w:t>
      </w:r>
      <w:r>
        <w:rPr>
          <w:rFonts w:ascii="Times New Roman" w:cs="Times New Roman" w:eastAsia="Times New Roman" w:hAnsi="Times New Roman"/>
          <w:sz w:val="30"/>
          <w:szCs w:val="30"/>
          <w:color w:val="0000FF"/>
          <w:vertAlign w:val="subscript"/>
        </w:rPr>
        <w:t>11/17/2022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-25400</wp:posOffset>
            </wp:positionV>
            <wp:extent cx="135572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35572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-17145</wp:posOffset>
            </wp:positionV>
            <wp:extent cx="15303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53035" cy="7620"/>
                    </a:xfrm>
                    <a:prstGeom prst="rect">
                      <a:avLst/>
                    </a:prstGeom>
                    <a:noFill/>
                  </pic:spPr>
                </pic:pic>
              </a:graphicData>
            </a:graphic>
          </wp:anchor>
        </w:drawing>
        <w:drawing>
          <wp:anchor simplePos="0" relativeHeight="251657728" behindDoc="1" locked="0" layoutInCell="0" allowOverlap="1">
            <wp:simplePos x="0" y="0"/>
            <wp:positionH relativeFrom="column">
              <wp:posOffset>5570220</wp:posOffset>
            </wp:positionH>
            <wp:positionV relativeFrom="paragraph">
              <wp:posOffset>-80010</wp:posOffset>
            </wp:positionV>
            <wp:extent cx="46101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461010" cy="7620"/>
                    </a:xfrm>
                    <a:prstGeom prst="rect">
                      <a:avLst/>
                    </a:prstGeom>
                    <a:noFill/>
                  </pic:spPr>
                </pic:pic>
              </a:graphicData>
            </a:graphic>
          </wp:anchor>
        </w:drawing>
      </w:r>
    </w:p>
    <w:p>
      <w:pPr>
        <w:ind w:left="6580"/>
        <w:spacing w:after="0" w:line="181" w:lineRule="auto"/>
        <w:rPr>
          <w:sz w:val="20"/>
          <w:szCs w:val="20"/>
          <w:color w:val="auto"/>
        </w:rPr>
      </w:pPr>
      <w:r>
        <w:rPr>
          <w:rFonts w:ascii="Times New Roman" w:cs="Times New Roman" w:eastAsia="Times New Roman" w:hAnsi="Times New Roman"/>
          <w:sz w:val="15"/>
          <w:szCs w:val="15"/>
          <w:color w:val="0000FF"/>
        </w:rPr>
        <w:t xml:space="preserve">/s/ Jamison Yardley, Attorney-in- </w:t>
      </w:r>
      <w:r>
        <w:rPr>
          <w:rFonts w:ascii="Times New Roman" w:cs="Times New Roman" w:eastAsia="Times New Roman" w:hAnsi="Times New Roman"/>
          <w:sz w:val="30"/>
          <w:szCs w:val="30"/>
          <w:color w:val="0000FF"/>
          <w:vertAlign w:val="subscript"/>
        </w:rPr>
        <w:t>11/17/2022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-25400</wp:posOffset>
            </wp:positionV>
            <wp:extent cx="135572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5572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-17145</wp:posOffset>
            </wp:positionV>
            <wp:extent cx="15303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53035" cy="7620"/>
                    </a:xfrm>
                    <a:prstGeom prst="rect">
                      <a:avLst/>
                    </a:prstGeom>
                    <a:noFill/>
                  </pic:spPr>
                </pic:pic>
              </a:graphicData>
            </a:graphic>
          </wp:anchor>
        </w:drawing>
        <w:drawing>
          <wp:anchor simplePos="0" relativeHeight="251657728" behindDoc="1" locked="0" layoutInCell="0" allowOverlap="1">
            <wp:simplePos x="0" y="0"/>
            <wp:positionH relativeFrom="column">
              <wp:posOffset>5570220</wp:posOffset>
            </wp:positionH>
            <wp:positionV relativeFrom="paragraph">
              <wp:posOffset>-80010</wp:posOffset>
            </wp:positionV>
            <wp:extent cx="46101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461010" cy="7620"/>
                    </a:xfrm>
                    <a:prstGeom prst="rect">
                      <a:avLst/>
                    </a:prstGeom>
                    <a:noFill/>
                  </pic:spPr>
                </pic:pic>
              </a:graphicData>
            </a:graphic>
          </wp:anchor>
        </w:drawing>
      </w:r>
    </w:p>
    <w:p>
      <w:pPr>
        <w:ind w:left="6580"/>
        <w:spacing w:after="0" w:line="181" w:lineRule="auto"/>
        <w:rPr>
          <w:sz w:val="20"/>
          <w:szCs w:val="20"/>
          <w:color w:val="auto"/>
        </w:rPr>
      </w:pPr>
      <w:r>
        <w:rPr>
          <w:rFonts w:ascii="Times New Roman" w:cs="Times New Roman" w:eastAsia="Times New Roman" w:hAnsi="Times New Roman"/>
          <w:sz w:val="15"/>
          <w:szCs w:val="15"/>
          <w:color w:val="0000FF"/>
        </w:rPr>
        <w:t xml:space="preserve">/s/ Jamison Yardley, Attorney-in- </w:t>
      </w:r>
      <w:r>
        <w:rPr>
          <w:rFonts w:ascii="Times New Roman" w:cs="Times New Roman" w:eastAsia="Times New Roman" w:hAnsi="Times New Roman"/>
          <w:sz w:val="30"/>
          <w:szCs w:val="30"/>
          <w:color w:val="0000FF"/>
          <w:vertAlign w:val="subscript"/>
        </w:rPr>
        <w:t>11/17/2022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-25400</wp:posOffset>
            </wp:positionV>
            <wp:extent cx="135572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35572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-17145</wp:posOffset>
            </wp:positionV>
            <wp:extent cx="15303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53035" cy="7620"/>
                    </a:xfrm>
                    <a:prstGeom prst="rect">
                      <a:avLst/>
                    </a:prstGeom>
                    <a:noFill/>
                  </pic:spPr>
                </pic:pic>
              </a:graphicData>
            </a:graphic>
          </wp:anchor>
        </w:drawing>
        <w:drawing>
          <wp:anchor simplePos="0" relativeHeight="251657728" behindDoc="1" locked="0" layoutInCell="0" allowOverlap="1">
            <wp:simplePos x="0" y="0"/>
            <wp:positionH relativeFrom="column">
              <wp:posOffset>5570220</wp:posOffset>
            </wp:positionH>
            <wp:positionV relativeFrom="paragraph">
              <wp:posOffset>-80010</wp:posOffset>
            </wp:positionV>
            <wp:extent cx="46101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461010" cy="7620"/>
                    </a:xfrm>
                    <a:prstGeom prst="rect">
                      <a:avLst/>
                    </a:prstGeom>
                    <a:noFill/>
                  </pic:spPr>
                </pic:pic>
              </a:graphicData>
            </a:graphic>
          </wp:anchor>
        </w:drawing>
      </w:r>
    </w:p>
    <w:p>
      <w:pPr>
        <w:ind w:left="6580"/>
        <w:spacing w:after="0" w:line="181" w:lineRule="auto"/>
        <w:rPr>
          <w:sz w:val="20"/>
          <w:szCs w:val="20"/>
          <w:color w:val="auto"/>
        </w:rPr>
      </w:pPr>
      <w:r>
        <w:rPr>
          <w:rFonts w:ascii="Times New Roman" w:cs="Times New Roman" w:eastAsia="Times New Roman" w:hAnsi="Times New Roman"/>
          <w:sz w:val="15"/>
          <w:szCs w:val="15"/>
          <w:color w:val="0000FF"/>
        </w:rPr>
        <w:t xml:space="preserve">/s/ Jamison Yardley, Attorney-in- </w:t>
      </w:r>
      <w:r>
        <w:rPr>
          <w:rFonts w:ascii="Times New Roman" w:cs="Times New Roman" w:eastAsia="Times New Roman" w:hAnsi="Times New Roman"/>
          <w:sz w:val="30"/>
          <w:szCs w:val="30"/>
          <w:color w:val="0000FF"/>
          <w:vertAlign w:val="subscript"/>
        </w:rPr>
        <w:t>11/17/2022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-25400</wp:posOffset>
            </wp:positionV>
            <wp:extent cx="135572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35572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-17145</wp:posOffset>
            </wp:positionV>
            <wp:extent cx="15303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53035" cy="7620"/>
                    </a:xfrm>
                    <a:prstGeom prst="rect">
                      <a:avLst/>
                    </a:prstGeom>
                    <a:noFill/>
                  </pic:spPr>
                </pic:pic>
              </a:graphicData>
            </a:graphic>
          </wp:anchor>
        </w:drawing>
        <w:drawing>
          <wp:anchor simplePos="0" relativeHeight="251657728" behindDoc="1" locked="0" layoutInCell="0" allowOverlap="1">
            <wp:simplePos x="0" y="0"/>
            <wp:positionH relativeFrom="column">
              <wp:posOffset>5570220</wp:posOffset>
            </wp:positionH>
            <wp:positionV relativeFrom="paragraph">
              <wp:posOffset>-80010</wp:posOffset>
            </wp:positionV>
            <wp:extent cx="46101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461010" cy="7620"/>
                    </a:xfrm>
                    <a:prstGeom prst="rect">
                      <a:avLst/>
                    </a:prstGeom>
                    <a:noFill/>
                  </pic:spPr>
                </pic:pic>
              </a:graphicData>
            </a:graphic>
          </wp:anchor>
        </w:drawing>
      </w:r>
    </w:p>
    <w:p>
      <w:pPr>
        <w:ind w:left="6580"/>
        <w:spacing w:after="0" w:line="181" w:lineRule="auto"/>
        <w:rPr>
          <w:sz w:val="20"/>
          <w:szCs w:val="20"/>
          <w:color w:val="auto"/>
        </w:rPr>
      </w:pPr>
      <w:r>
        <w:rPr>
          <w:rFonts w:ascii="Times New Roman" w:cs="Times New Roman" w:eastAsia="Times New Roman" w:hAnsi="Times New Roman"/>
          <w:sz w:val="15"/>
          <w:szCs w:val="15"/>
          <w:color w:val="0000FF"/>
        </w:rPr>
        <w:t xml:space="preserve">/s/ Jamison Yardley, Attorney-in- </w:t>
      </w:r>
      <w:r>
        <w:rPr>
          <w:rFonts w:ascii="Times New Roman" w:cs="Times New Roman" w:eastAsia="Times New Roman" w:hAnsi="Times New Roman"/>
          <w:sz w:val="30"/>
          <w:szCs w:val="30"/>
          <w:color w:val="0000FF"/>
          <w:vertAlign w:val="subscript"/>
        </w:rPr>
        <w:t>11/17/2022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-25400</wp:posOffset>
            </wp:positionV>
            <wp:extent cx="135572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355725"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4172585</wp:posOffset>
            </wp:positionH>
            <wp:positionV relativeFrom="paragraph">
              <wp:posOffset>-17145</wp:posOffset>
            </wp:positionV>
            <wp:extent cx="15303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53035" cy="7620"/>
                    </a:xfrm>
                    <a:prstGeom prst="rect">
                      <a:avLst/>
                    </a:prstGeom>
                    <a:noFill/>
                  </pic:spPr>
                </pic:pic>
              </a:graphicData>
            </a:graphic>
          </wp:anchor>
        </w:drawing>
        <w:drawing>
          <wp:anchor simplePos="0" relativeHeight="251657728" behindDoc="1" locked="0" layoutInCell="0" allowOverlap="1">
            <wp:simplePos x="0" y="0"/>
            <wp:positionH relativeFrom="column">
              <wp:posOffset>5570220</wp:posOffset>
            </wp:positionH>
            <wp:positionV relativeFrom="paragraph">
              <wp:posOffset>-80010</wp:posOffset>
            </wp:positionV>
            <wp:extent cx="46101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461010" cy="7620"/>
                    </a:xfrm>
                    <a:prstGeom prst="rect">
                      <a:avLst/>
                    </a:prstGeom>
                    <a:noFill/>
                  </pic:spPr>
                </pic:pic>
              </a:graphicData>
            </a:graphic>
          </wp:anchor>
        </w:drawing>
      </w:r>
    </w:p>
    <w:p>
      <w:pPr>
        <w:spacing w:after="0" w:line="26"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20" w:right="3740" w:hanging="4"/>
        <w:spacing w:after="0" w:line="322" w:lineRule="auto"/>
        <w:tabs>
          <w:tab w:leader="none" w:pos="15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64" w:right="519" w:bottom="57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12" Type="http://schemas.openxmlformats.org/officeDocument/2006/relationships/hyperlink" Target="http://www.sec.gov/cgi-bin/browse-edgar?action=getcompany&amp;CIK=0000886982" TargetMode="External"/><Relationship Id="rId13" Type="http://schemas.openxmlformats.org/officeDocument/2006/relationships/hyperlink" Target="http://www.sec.gov/cgi-bin/browse-edgar?action=getcompany&amp;CIK=0001580560" TargetMode="External"/><Relationship Id="rId14" Type="http://schemas.openxmlformats.org/officeDocument/2006/relationships/hyperlink" Target="http://www.sec.gov/cgi-bin/browse-edgar?action=getcompany&amp;CIK=0000769993" TargetMode="External"/><Relationship Id="rId16" Type="http://schemas.openxmlformats.org/officeDocument/2006/relationships/hyperlink" Target="http://www.sec.gov/cgi-bin/browse-edgar?action=getcompany&amp;CIK=0001865223" TargetMode="External"/><Relationship Id="rId18" Type="http://schemas.openxmlformats.org/officeDocument/2006/relationships/hyperlink" Target="http://www.sec.gov/cgi-bin/browse-edgar?action=getcompany&amp;CIK=0001802332" TargetMode="External"/><Relationship Id="rId19" Type="http://schemas.openxmlformats.org/officeDocument/2006/relationships/hyperlink" Target="http://www.sec.gov/cgi-bin/browse-edgar?action=getcompany&amp;CIK=0001864626" TargetMode="External"/><Relationship Id="rId20" Type="http://schemas.openxmlformats.org/officeDocument/2006/relationships/hyperlink" Target="http://www.sec.gov/cgi-bin/browse-edgar?action=getcompany&amp;CIK=00016156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2022-11-17T16:18:19Z</dcterms:created>
  <dcterms:modified xsi:type="dcterms:W3CDTF">2022-11-17T16:18:19Z</dcterms:modified>
</cp:coreProperties>
</file>