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Butterfield Peter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FLYWIRE CORPORATION</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 TREMONT STREET, SUITE 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Flywire Corp</w:t>
              </w:r>
            </w:hyperlink>
            <w:r>
              <w:rPr/>
              <w:t xml:space="preserve"> [ </w:t>
            </w:r>
            <w:r>
              <w:rPr>
                <w:rFonts w:ascii="Times;serif" w:hAnsi="Times;serif"/>
                <w:color w:val="0000FF"/>
                <w:sz w:val="24"/>
                <w:shd w:fill="FFFFFF" w:val="clear"/>
              </w:rPr>
              <w:t>FLYW</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 and CCO</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12/08/2023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231"/>
              <w:gridCol w:w="6303"/>
            </w:tblGrid>
            <w:tr>
              <w:trPr/>
              <w:tc>
                <w:tcPr>
                  <w:tcW w:w="231" w:type="dxa"/>
                  <w:tcBorders/>
                  <w:vAlign w:val="center"/>
                </w:tcPr>
                <w:tbl>
                  <w:tblPr>
                    <w:tblW w:w="346" w:type="dxa"/>
                    <w:jc w:val="left"/>
                    <w:tblInd w:w="0" w:type="dxa"/>
                    <w:tblLayout w:type="fixed"/>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sz w:val="4"/>
                      <w:szCs w:val="4"/>
                    </w:rPr>
                  </w:pPr>
                  <w:r>
                    <w:rPr>
                      <w:sz w:val="4"/>
                      <w:szCs w:val="4"/>
                    </w:rPr>
                  </w:r>
                </w:p>
              </w:tc>
              <w:tc>
                <w:tcPr>
                  <w:tcW w:w="63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12/08/2023</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3.9466</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144,493</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12/08/2023</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2,161</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21.7838</w:t>
            </w:r>
            <w:r>
              <w:rPr>
                <w:rFonts w:ascii="Times;serif" w:hAnsi="Times;serif"/>
                <w:color w:val="008000"/>
                <w:position w:val="7"/>
                <w:sz w:val="16"/>
                <w:sz w:val="20"/>
                <w:shd w:fill="FFFFFF" w:val="clear"/>
              </w:rPr>
              <w:t>(2)</w:t>
            </w:r>
            <w:r>
              <w:rPr/>
              <w:t xml:space="preserve"> </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142,332</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678"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67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3.9466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12/08/2023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125</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01/20/2031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Voting 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74,107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transaction was effected pursuant to a Rule 10b5-1 trading plan adopted by the Reporting Person on September 8,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$21.59 to $22.01,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2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subject to this option vest over 4 years of service following January 21, 2021, with 25% vesting upon completion of 1 year of continuous service to the Issuer and the balance vesting in 36 equal monthly installments thereafter.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Butterfield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12/12/2023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62133" TargetMode="External"/><Relationship Id="rId4" Type="http://schemas.openxmlformats.org/officeDocument/2006/relationships/hyperlink" Target="http://www.sec.gov/cgi-bin/browse-edgar?action=getcompany&amp;CIK=000158056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728</Words>
  <Characters>3898</Characters>
  <CharactersWithSpaces>4544</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