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September 30, 2025</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3" w:lineRule="exact"/>
        <w:rPr>
          <w:sz w:val="24"/>
          <w:szCs w:val="24"/>
          <w:color w:val="auto"/>
        </w:rPr>
      </w:pPr>
    </w:p>
    <w:p>
      <w:pPr>
        <w:ind w:left="360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457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001-40430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123825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FLYWIRE CORPORATION</w:t>
      </w:r>
    </w:p>
    <w:p>
      <w:pPr>
        <w:spacing w:after="0" w:line="4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500" w:type="dxa"/>
            <w:vAlign w:val="bottom"/>
            <w:gridSpan w:val="3"/>
          </w:tcPr>
          <w:p>
            <w:pPr>
              <w:jc w:val="center"/>
              <w:ind w:left="1062"/>
              <w:spacing w:after="0"/>
              <w:rPr>
                <w:sz w:val="20"/>
                <w:szCs w:val="20"/>
                <w:color w:val="auto"/>
              </w:rPr>
            </w:pPr>
            <w:r>
              <w:rPr>
                <w:rFonts w:ascii="Arial" w:cs="Arial" w:eastAsia="Arial" w:hAnsi="Arial"/>
                <w:sz w:val="16"/>
                <w:szCs w:val="16"/>
                <w:b w:val="1"/>
                <w:bCs w:val="1"/>
                <w:color w:val="auto"/>
              </w:rPr>
              <w:t>Delaware</w:t>
            </w:r>
          </w:p>
        </w:tc>
        <w:tc>
          <w:tcPr>
            <w:tcW w:w="2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tcPr>
          <w:p>
            <w:pPr>
              <w:jc w:val="right"/>
              <w:ind w:right="2304"/>
              <w:spacing w:after="0"/>
              <w:rPr>
                <w:sz w:val="20"/>
                <w:szCs w:val="20"/>
                <w:color w:val="auto"/>
              </w:rPr>
            </w:pPr>
            <w:r>
              <w:rPr>
                <w:rFonts w:ascii="Arial" w:cs="Arial" w:eastAsia="Arial" w:hAnsi="Arial"/>
                <w:sz w:val="16"/>
                <w:szCs w:val="16"/>
                <w:b w:val="1"/>
                <w:bCs w:val="1"/>
                <w:color w:val="auto"/>
              </w:rPr>
              <w:t>27-0690799</w:t>
            </w:r>
          </w:p>
        </w:tc>
        <w:tc>
          <w:tcPr>
            <w:tcW w:w="0" w:type="dxa"/>
            <w:vAlign w:val="bottom"/>
          </w:tcPr>
          <w:p>
            <w:pPr>
              <w:spacing w:after="0"/>
              <w:rPr>
                <w:sz w:val="1"/>
                <w:szCs w:val="1"/>
                <w:color w:val="auto"/>
              </w:rPr>
            </w:pPr>
          </w:p>
        </w:tc>
      </w:tr>
      <w:tr>
        <w:trPr>
          <w:trHeight w:val="162"/>
        </w:trPr>
        <w:tc>
          <w:tcPr>
            <w:tcW w:w="450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(State or other jurisdiction of</w:t>
            </w:r>
          </w:p>
        </w:tc>
        <w:tc>
          <w:tcPr>
            <w:tcW w:w="2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tcPr>
          <w:p>
            <w:pPr>
              <w:jc w:val="center"/>
              <w:ind w:right="2124"/>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450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incorporation or organization)</w:t>
            </w:r>
          </w:p>
        </w:tc>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Pr>
          <w:p>
            <w:pPr>
              <w:jc w:val="center"/>
              <w:ind w:right="2124"/>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379"/>
        </w:trPr>
        <w:tc>
          <w:tcPr>
            <w:tcW w:w="4500" w:type="dxa"/>
            <w:vAlign w:val="bottom"/>
            <w:gridSpan w:val="3"/>
          </w:tcPr>
          <w:p>
            <w:pPr>
              <w:jc w:val="center"/>
              <w:ind w:left="1062"/>
              <w:spacing w:after="0"/>
              <w:rPr>
                <w:sz w:val="20"/>
                <w:szCs w:val="20"/>
                <w:color w:val="auto"/>
              </w:rPr>
            </w:pPr>
            <w:r>
              <w:rPr>
                <w:rFonts w:ascii="Arial" w:cs="Arial" w:eastAsia="Arial" w:hAnsi="Arial"/>
                <w:sz w:val="16"/>
                <w:szCs w:val="16"/>
                <w:b w:val="1"/>
                <w:bCs w:val="1"/>
                <w:color w:val="auto"/>
              </w:rPr>
              <w:t>141 Tremont St #10</w:t>
            </w:r>
          </w:p>
        </w:tc>
        <w:tc>
          <w:tcPr>
            <w:tcW w:w="2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0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rPr>
              <w:t>Boston, MA</w:t>
            </w:r>
          </w:p>
        </w:tc>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Pr>
          <w:p>
            <w:pPr>
              <w:jc w:val="right"/>
              <w:ind w:right="2504"/>
              <w:spacing w:after="0"/>
              <w:rPr>
                <w:sz w:val="20"/>
                <w:szCs w:val="20"/>
                <w:color w:val="auto"/>
              </w:rPr>
            </w:pPr>
            <w:r>
              <w:rPr>
                <w:rFonts w:ascii="Arial" w:cs="Arial" w:eastAsia="Arial" w:hAnsi="Arial"/>
                <w:sz w:val="16"/>
                <w:szCs w:val="16"/>
                <w:b w:val="1"/>
                <w:bCs w:val="1"/>
                <w:color w:val="auto"/>
              </w:rPr>
              <w:t>02111</w:t>
            </w:r>
          </w:p>
        </w:tc>
        <w:tc>
          <w:tcPr>
            <w:tcW w:w="0" w:type="dxa"/>
            <w:vAlign w:val="bottom"/>
          </w:tcPr>
          <w:p>
            <w:pPr>
              <w:spacing w:after="0"/>
              <w:rPr>
                <w:sz w:val="1"/>
                <w:szCs w:val="1"/>
                <w:color w:val="auto"/>
              </w:rPr>
            </w:pPr>
          </w:p>
        </w:tc>
      </w:tr>
      <w:tr>
        <w:trPr>
          <w:trHeight w:val="196"/>
        </w:trPr>
        <w:tc>
          <w:tcPr>
            <w:tcW w:w="4500" w:type="dxa"/>
            <w:vAlign w:val="bottom"/>
            <w:gridSpan w:val="3"/>
          </w:tcPr>
          <w:p>
            <w:pPr>
              <w:jc w:val="center"/>
              <w:ind w:left="1062"/>
              <w:spacing w:after="0"/>
              <w:rPr>
                <w:sz w:val="20"/>
                <w:szCs w:val="20"/>
                <w:color w:val="auto"/>
              </w:rPr>
            </w:pPr>
            <w:r>
              <w:rPr>
                <w:rFonts w:ascii="Arial" w:cs="Arial" w:eastAsia="Arial" w:hAnsi="Arial"/>
                <w:sz w:val="14"/>
                <w:szCs w:val="14"/>
                <w:b w:val="1"/>
                <w:bCs w:val="1"/>
                <w:color w:val="auto"/>
              </w:rPr>
              <w:t>(Address of principal executive offices)</w:t>
            </w:r>
          </w:p>
        </w:tc>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Pr>
          <w:p>
            <w:pPr>
              <w:jc w:val="center"/>
              <w:ind w:right="2124"/>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291"/>
        </w:trPr>
        <w:tc>
          <w:tcPr>
            <w:tcW w:w="11240" w:type="dxa"/>
            <w:vAlign w:val="bottom"/>
            <w:gridSpan w:val="8"/>
          </w:tcPr>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329-4524</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820" w:type="dxa"/>
            <w:vAlign w:val="bottom"/>
            <w:gridSpan w:val="7"/>
          </w:tcPr>
          <w:p>
            <w:pPr>
              <w:jc w:val="center"/>
              <w:ind w:left="3302"/>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33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rPr>
              <w:t>Trading</w:t>
            </w:r>
          </w:p>
        </w:tc>
        <w:tc>
          <w:tcPr>
            <w:tcW w:w="3420" w:type="dxa"/>
            <w:vAlign w:val="bottom"/>
          </w:tcPr>
          <w:p>
            <w:pPr>
              <w:jc w:val="center"/>
              <w:ind w:right="144"/>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8"/>
        </w:trPr>
        <w:tc>
          <w:tcPr>
            <w:tcW w:w="37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98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rPr>
              <w:t>Symbol(s)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350"/>
        </w:trPr>
        <w:tc>
          <w:tcPr>
            <w:tcW w:w="450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rPr>
              <w:t>Voting common stock, $0.0001 par value per</w:t>
            </w:r>
          </w:p>
        </w:tc>
        <w:tc>
          <w:tcPr>
            <w:tcW w:w="3320" w:type="dxa"/>
            <w:vAlign w:val="bottom"/>
            <w:gridSpan w:val="4"/>
          </w:tcPr>
          <w:p>
            <w:pPr>
              <w:jc w:val="center"/>
              <w:ind w:right="1100"/>
              <w:spacing w:after="0"/>
              <w:rPr>
                <w:sz w:val="20"/>
                <w:szCs w:val="20"/>
                <w:color w:val="auto"/>
              </w:rPr>
            </w:pPr>
            <w:r>
              <w:rPr>
                <w:rFonts w:ascii="Arial" w:cs="Arial" w:eastAsia="Arial" w:hAnsi="Arial"/>
                <w:sz w:val="16"/>
                <w:szCs w:val="16"/>
                <w:b w:val="1"/>
                <w:bCs w:val="1"/>
                <w:color w:val="auto"/>
              </w:rPr>
              <w:t>FLYW</w:t>
            </w:r>
          </w:p>
        </w:tc>
        <w:tc>
          <w:tcPr>
            <w:tcW w:w="3420" w:type="dxa"/>
            <w:vAlign w:val="bottom"/>
          </w:tcPr>
          <w:p>
            <w:pPr>
              <w:ind w:left="380"/>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r>
        <w:trPr>
          <w:trHeight w:val="223"/>
        </w:trPr>
        <w:tc>
          <w:tcPr>
            <w:tcW w:w="450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rPr>
              <w:t>share</w:t>
            </w:r>
          </w:p>
        </w:tc>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tcPr>
          <w:p>
            <w:pPr>
              <w:ind w:left="380"/>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120" w:firstLine="50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40" w:firstLine="50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180" w:firstLine="509"/>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2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20"/>
              <w:spacing w:after="0"/>
              <w:rPr>
                <w:sz w:val="20"/>
                <w:szCs w:val="20"/>
                <w:color w:val="auto"/>
              </w:rPr>
            </w:pPr>
            <w:r>
              <w:rPr>
                <w:rFonts w:ascii="Arial" w:cs="Arial" w:eastAsia="Arial" w:hAnsi="Arial"/>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4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5320" w:type="dxa"/>
            <w:vAlign w:val="bottom"/>
          </w:tcPr>
          <w:p>
            <w:pPr>
              <w:ind w:left="3220"/>
              <w:spacing w:after="0"/>
              <w:rPr>
                <w:sz w:val="20"/>
                <w:szCs w:val="20"/>
                <w:color w:val="auto"/>
              </w:rPr>
            </w:pPr>
            <w:r>
              <w:rPr>
                <w:rFonts w:ascii="Arial" w:cs="Arial" w:eastAsia="Arial" w:hAnsi="Arial"/>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 w:lineRule="exact"/>
        <w:rPr>
          <w:sz w:val="24"/>
          <w:szCs w:val="24"/>
          <w:color w:val="auto"/>
        </w:rPr>
      </w:pPr>
    </w:p>
    <w:p>
      <w:pPr>
        <w:ind w:right="140" w:firstLine="50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tabs>
          <w:tab w:leader="none" w:pos="93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6" w:lineRule="exact"/>
        <w:rPr>
          <w:sz w:val="24"/>
          <w:szCs w:val="24"/>
          <w:color w:val="auto"/>
        </w:rPr>
      </w:pPr>
    </w:p>
    <w:p>
      <w:pPr>
        <w:ind w:right="360" w:firstLine="509"/>
        <w:spacing w:after="0" w:line="286" w:lineRule="auto"/>
        <w:rPr>
          <w:sz w:val="20"/>
          <w:szCs w:val="20"/>
          <w:color w:val="auto"/>
        </w:rPr>
      </w:pPr>
      <w:r>
        <w:rPr>
          <w:rFonts w:ascii="Arial" w:cs="Arial" w:eastAsia="Arial" w:hAnsi="Arial"/>
          <w:sz w:val="16"/>
          <w:szCs w:val="16"/>
          <w:color w:val="auto"/>
        </w:rPr>
        <w:t>As of October 31, 2025, the registrant had 120,253,612 shares of voting common stock, $0.0001 par value per share, outstanding and 1,873,320 shares of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gridSpan w:val="16"/>
          </w:tcPr>
          <w:p>
            <w:pPr>
              <w:ind w:left="3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38"/>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320" w:type="dxa"/>
            <w:vAlign w:val="bottom"/>
            <w:gridSpan w:val="38"/>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85"/>
        </w:trPr>
        <w:tc>
          <w:tcPr>
            <w:tcW w:w="1140" w:type="dxa"/>
            <w:vAlign w:val="bottom"/>
            <w:gridSpan w:val="7"/>
          </w:tcPr>
          <w:p>
            <w:pPr>
              <w:spacing w:after="0"/>
              <w:rPr>
                <w:sz w:val="20"/>
                <w:szCs w:val="20"/>
                <w:color w:val="auto"/>
              </w:rPr>
            </w:pPr>
            <w:r>
              <w:rPr>
                <w:rFonts w:ascii="Arial" w:cs="Arial" w:eastAsia="Arial" w:hAnsi="Arial"/>
                <w:sz w:val="18"/>
                <w:szCs w:val="18"/>
                <w:b w:val="1"/>
                <w:bCs w:val="1"/>
                <w:color w:val="0000FF"/>
              </w:rPr>
              <w:t>PART I.</w:t>
            </w:r>
          </w:p>
        </w:tc>
        <w:tc>
          <w:tcPr>
            <w:tcW w:w="426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FINANCIAL INFORMATION</w:t>
            </w:r>
          </w:p>
        </w:tc>
        <w:tc>
          <w:tcPr>
            <w:tcW w:w="506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640" w:type="dxa"/>
            <w:vAlign w:val="bottom"/>
            <w:gridSpan w:val="3"/>
          </w:tcPr>
          <w:p>
            <w:pPr>
              <w:spacing w:after="0" w:line="182" w:lineRule="exact"/>
              <w:rPr>
                <w:sz w:val="20"/>
                <w:szCs w:val="20"/>
                <w:color w:val="auto"/>
              </w:rPr>
            </w:pPr>
            <w:r>
              <w:rPr>
                <w:rFonts w:ascii="Arial" w:cs="Arial" w:eastAsia="Arial" w:hAnsi="Arial"/>
                <w:sz w:val="18"/>
                <w:szCs w:val="18"/>
                <w:color w:val="0000FF"/>
              </w:rPr>
              <w:t>Item 1.</w:t>
            </w: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320" w:type="dxa"/>
            <w:vAlign w:val="bottom"/>
            <w:gridSpan w:val="38"/>
          </w:tcPr>
          <w:p>
            <w:pPr>
              <w:spacing w:after="0" w:line="182" w:lineRule="exact"/>
              <w:rPr>
                <w:sz w:val="20"/>
                <w:szCs w:val="20"/>
                <w:color w:val="auto"/>
              </w:rPr>
            </w:pPr>
            <w:r>
              <w:rPr>
                <w:rFonts w:ascii="Arial" w:cs="Arial" w:eastAsia="Arial" w:hAnsi="Arial"/>
                <w:sz w:val="18"/>
                <w:szCs w:val="18"/>
                <w:color w:val="0000FF"/>
              </w:rPr>
              <w:t>Financial Statements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7"/>
              </w:rPr>
              <w:t>Condensed Consolidated Balance</w:t>
            </w:r>
          </w:p>
        </w:tc>
        <w:tc>
          <w:tcPr>
            <w:tcW w:w="40" w:type="dxa"/>
            <w:vAlign w:val="bottom"/>
          </w:tcPr>
          <w:p>
            <w:pPr>
              <w:spacing w:after="0"/>
              <w:rPr>
                <w:sz w:val="15"/>
                <w:szCs w:val="15"/>
                <w:color w:val="auto"/>
              </w:rPr>
            </w:pPr>
          </w:p>
        </w:tc>
        <w:tc>
          <w:tcPr>
            <w:tcW w:w="6600" w:type="dxa"/>
            <w:vAlign w:val="bottom"/>
            <w:gridSpan w:val="24"/>
          </w:tcPr>
          <w:p>
            <w:pPr>
              <w:jc w:val="center"/>
              <w:ind w:right="5920"/>
              <w:spacing w:after="0" w:line="182" w:lineRule="exact"/>
              <w:rPr>
                <w:sz w:val="20"/>
                <w:szCs w:val="20"/>
                <w:color w:val="auto"/>
              </w:rPr>
            </w:pPr>
            <w:r>
              <w:rPr>
                <w:rFonts w:ascii="Arial" w:cs="Arial" w:eastAsia="Arial" w:hAnsi="Arial"/>
                <w:sz w:val="18"/>
                <w:szCs w:val="18"/>
                <w:color w:val="0000FF"/>
                <w:w w:val="99"/>
              </w:rPr>
              <w:t>Sheets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4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980" w:type="dxa"/>
            <w:vAlign w:val="bottom"/>
            <w:gridSpan w:val="18"/>
          </w:tcPr>
          <w:p>
            <w:pPr>
              <w:spacing w:after="0" w:line="182" w:lineRule="exact"/>
              <w:rPr>
                <w:sz w:val="20"/>
                <w:szCs w:val="20"/>
                <w:color w:val="auto"/>
              </w:rPr>
            </w:pPr>
            <w:r>
              <w:rPr>
                <w:rFonts w:ascii="Arial" w:cs="Arial" w:eastAsia="Arial" w:hAnsi="Arial"/>
                <w:sz w:val="18"/>
                <w:szCs w:val="18"/>
                <w:color w:val="0000FF"/>
              </w:rPr>
              <w:t>Operations and Comprehensive Income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20" w:type="dxa"/>
            <w:vAlign w:val="bottom"/>
            <w:tcBorders>
              <w:top w:val="single" w:sz="8" w:color="0000FF"/>
            </w:tcBorders>
            <w:gridSpan w:val="34"/>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24"/>
          </w:tcPr>
          <w:p>
            <w:pPr>
              <w:spacing w:after="0" w:line="182"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680" w:type="dxa"/>
            <w:vAlign w:val="bottom"/>
            <w:tcBorders>
              <w:top w:val="single" w:sz="8" w:color="0000FF"/>
            </w:tcBorders>
            <w:gridSpan w:val="8"/>
          </w:tcPr>
          <w:p>
            <w:pPr>
              <w:spacing w:after="0"/>
              <w:rPr>
                <w:sz w:val="15"/>
                <w:szCs w:val="15"/>
                <w:color w:val="auto"/>
              </w:rPr>
            </w:pPr>
          </w:p>
        </w:tc>
        <w:tc>
          <w:tcPr>
            <w:tcW w:w="156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Borders>
              <w:bottom w:val="single" w:sz="8" w:color="0000FF"/>
            </w:tcBorders>
            <w:gridSpan w:val="28"/>
          </w:tcPr>
          <w:p>
            <w:pPr>
              <w:spacing w:after="0" w:line="182" w:lineRule="exact"/>
              <w:rPr>
                <w:sz w:val="20"/>
                <w:szCs w:val="20"/>
                <w:color w:val="auto"/>
              </w:rPr>
            </w:pPr>
            <w:r>
              <w:rPr>
                <w:rFonts w:ascii="Arial" w:cs="Arial" w:eastAsia="Arial" w:hAnsi="Arial"/>
                <w:sz w:val="18"/>
                <w:szCs w:val="18"/>
                <w:color w:val="0000FF"/>
                <w:w w:val="99"/>
              </w:rPr>
              <w:t>Notes to Condensed Consolidated Financial Statements</w:t>
            </w:r>
          </w:p>
        </w:tc>
        <w:tc>
          <w:tcPr>
            <w:tcW w:w="20" w:type="dxa"/>
            <w:vAlign w:val="bottom"/>
            <w:tcBorders>
              <w:bottom w:val="single" w:sz="8" w:color="0000EE"/>
            </w:tcBorders>
          </w:tcPr>
          <w:p>
            <w:pPr>
              <w:spacing w:after="0"/>
              <w:rPr>
                <w:sz w:val="15"/>
                <w:szCs w:val="15"/>
                <w:color w:val="auto"/>
              </w:rPr>
            </w:pPr>
          </w:p>
        </w:tc>
        <w:tc>
          <w:tcPr>
            <w:tcW w:w="482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1.</w:t>
            </w:r>
          </w:p>
        </w:tc>
        <w:tc>
          <w:tcPr>
            <w:tcW w:w="8300" w:type="dxa"/>
            <w:vAlign w:val="bottom"/>
            <w:gridSpan w:val="34"/>
          </w:tcPr>
          <w:p>
            <w:pPr>
              <w:ind w:left="40"/>
              <w:spacing w:after="0" w:line="182" w:lineRule="exact"/>
              <w:rPr>
                <w:sz w:val="20"/>
                <w:szCs w:val="20"/>
                <w:color w:val="auto"/>
              </w:rPr>
            </w:pPr>
            <w:r>
              <w:rPr>
                <w:rFonts w:ascii="Arial" w:cs="Arial" w:eastAsia="Arial" w:hAnsi="Arial"/>
                <w:sz w:val="18"/>
                <w:szCs w:val="18"/>
                <w:color w:val="0000FF"/>
              </w:rPr>
              <w:t>Business Overview and Summary of Significant Accounting Policies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2.</w:t>
            </w:r>
          </w:p>
        </w:tc>
        <w:tc>
          <w:tcPr>
            <w:tcW w:w="5420" w:type="dxa"/>
            <w:vAlign w:val="bottom"/>
            <w:gridSpan w:val="31"/>
          </w:tcPr>
          <w:p>
            <w:pPr>
              <w:ind w:left="40"/>
              <w:spacing w:after="0" w:line="182" w:lineRule="exact"/>
              <w:rPr>
                <w:sz w:val="20"/>
                <w:szCs w:val="20"/>
                <w:color w:val="auto"/>
              </w:rPr>
            </w:pPr>
            <w:r>
              <w:rPr>
                <w:rFonts w:ascii="Arial" w:cs="Arial" w:eastAsia="Arial" w:hAnsi="Arial"/>
                <w:sz w:val="18"/>
                <w:szCs w:val="18"/>
                <w:color w:val="0000FF"/>
              </w:rPr>
              <w:t>Revenue and Recognition</w:t>
            </w:r>
          </w:p>
        </w:tc>
        <w:tc>
          <w:tcPr>
            <w:tcW w:w="64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80" w:type="dxa"/>
            <w:vAlign w:val="bottom"/>
            <w:gridSpan w:val="4"/>
            <w:vMerge w:val="restart"/>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3.</w:t>
            </w:r>
          </w:p>
        </w:tc>
        <w:tc>
          <w:tcPr>
            <w:tcW w:w="2120" w:type="dxa"/>
            <w:vAlign w:val="bottom"/>
            <w:gridSpan w:val="15"/>
          </w:tcPr>
          <w:p>
            <w:pPr>
              <w:ind w:left="40"/>
              <w:spacing w:after="0" w:line="182" w:lineRule="exact"/>
              <w:rPr>
                <w:sz w:val="20"/>
                <w:szCs w:val="20"/>
                <w:color w:val="auto"/>
              </w:rPr>
            </w:pPr>
            <w:r>
              <w:rPr>
                <w:rFonts w:ascii="Arial" w:cs="Arial" w:eastAsia="Arial" w:hAnsi="Arial"/>
                <w:sz w:val="18"/>
                <w:szCs w:val="18"/>
                <w:color w:val="0000FF"/>
              </w:rPr>
              <w:t>Segment Information</w:t>
            </w:r>
          </w:p>
        </w:tc>
        <w:tc>
          <w:tcPr>
            <w:tcW w:w="2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80" w:type="dxa"/>
            <w:vAlign w:val="bottom"/>
            <w:gridSpan w:val="4"/>
            <w:vMerge w:val="restart"/>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4.</w:t>
            </w:r>
          </w:p>
        </w:tc>
        <w:tc>
          <w:tcPr>
            <w:tcW w:w="1700" w:type="dxa"/>
            <w:vAlign w:val="bottom"/>
            <w:gridSpan w:val="10"/>
          </w:tcPr>
          <w:p>
            <w:pPr>
              <w:ind w:left="40"/>
              <w:spacing w:after="0" w:line="182" w:lineRule="exact"/>
              <w:rPr>
                <w:sz w:val="20"/>
                <w:szCs w:val="20"/>
                <w:color w:val="auto"/>
              </w:rPr>
            </w:pPr>
            <w:r>
              <w:rPr>
                <w:rFonts w:ascii="Arial" w:cs="Arial" w:eastAsia="Arial" w:hAnsi="Arial"/>
                <w:sz w:val="18"/>
                <w:szCs w:val="18"/>
                <w:color w:val="0000FF"/>
              </w:rPr>
              <w:t>Investments</w:t>
            </w:r>
          </w:p>
        </w:tc>
        <w:tc>
          <w:tcPr>
            <w:tcW w:w="1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7300" w:type="dxa"/>
            <w:vAlign w:val="bottom"/>
            <w:gridSpan w:val="30"/>
            <w:vMerge w:val="restart"/>
          </w:tcPr>
          <w:p>
            <w:pPr>
              <w:jc w:val="center"/>
              <w:ind w:right="6200"/>
              <w:spacing w:after="0" w:line="202" w:lineRule="exact"/>
              <w:rPr>
                <w:sz w:val="20"/>
                <w:szCs w:val="20"/>
                <w:color w:val="auto"/>
              </w:rPr>
            </w:pPr>
            <w:r>
              <w:rPr>
                <w:rFonts w:ascii="Arial" w:cs="Arial" w:eastAsia="Arial" w:hAnsi="Arial"/>
                <w:sz w:val="18"/>
                <w:szCs w:val="18"/>
                <w:color w:val="0000FF"/>
                <w:w w:val="92"/>
              </w:rPr>
              <w:t>Measurements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5.</w:t>
            </w:r>
          </w:p>
        </w:tc>
        <w:tc>
          <w:tcPr>
            <w:tcW w:w="1000" w:type="dxa"/>
            <w:vAlign w:val="bottom"/>
            <w:gridSpan w:val="4"/>
          </w:tcPr>
          <w:p>
            <w:pPr>
              <w:ind w:left="40"/>
              <w:spacing w:after="0" w:line="182" w:lineRule="exact"/>
              <w:rPr>
                <w:sz w:val="20"/>
                <w:szCs w:val="20"/>
                <w:color w:val="auto"/>
              </w:rPr>
            </w:pPr>
            <w:r>
              <w:rPr>
                <w:rFonts w:ascii="Arial" w:cs="Arial" w:eastAsia="Arial" w:hAnsi="Arial"/>
                <w:sz w:val="18"/>
                <w:szCs w:val="18"/>
                <w:color w:val="0000FF"/>
              </w:rPr>
              <w:t>Fair Value</w:t>
            </w:r>
          </w:p>
        </w:tc>
        <w:tc>
          <w:tcPr>
            <w:tcW w:w="7300" w:type="dxa"/>
            <w:vAlign w:val="bottom"/>
            <w:gridSpan w:val="3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80" w:type="dxa"/>
            <w:vAlign w:val="bottom"/>
            <w:gridSpan w:val="4"/>
            <w:vMerge w:val="restart"/>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6.</w:t>
            </w:r>
          </w:p>
        </w:tc>
        <w:tc>
          <w:tcPr>
            <w:tcW w:w="2100" w:type="dxa"/>
            <w:vAlign w:val="bottom"/>
            <w:gridSpan w:val="14"/>
          </w:tcPr>
          <w:p>
            <w:pPr>
              <w:ind w:left="40"/>
              <w:spacing w:after="0" w:line="182" w:lineRule="exact"/>
              <w:rPr>
                <w:sz w:val="20"/>
                <w:szCs w:val="20"/>
                <w:color w:val="auto"/>
              </w:rPr>
            </w:pPr>
            <w:r>
              <w:rPr>
                <w:rFonts w:ascii="Arial" w:cs="Arial" w:eastAsia="Arial" w:hAnsi="Arial"/>
                <w:sz w:val="18"/>
                <w:szCs w:val="18"/>
                <w:color w:val="0000FF"/>
              </w:rPr>
              <w:t>Derivative Instruments</w:t>
            </w:r>
          </w:p>
        </w:tc>
        <w:tc>
          <w:tcPr>
            <w:tcW w:w="22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0" w:type="dxa"/>
            <w:vAlign w:val="bottom"/>
            <w:gridSpan w:val="22"/>
            <w:vMerge w:val="restart"/>
          </w:tcPr>
          <w:p>
            <w:pPr>
              <w:ind w:left="40"/>
              <w:spacing w:after="0" w:line="202" w:lineRule="exact"/>
              <w:rPr>
                <w:sz w:val="20"/>
                <w:szCs w:val="20"/>
                <w:color w:val="auto"/>
              </w:rPr>
            </w:pPr>
            <w:r>
              <w:rPr>
                <w:rFonts w:ascii="Arial" w:cs="Arial" w:eastAsia="Arial" w:hAnsi="Arial"/>
                <w:sz w:val="18"/>
                <w:szCs w:val="18"/>
                <w:color w:val="0000FF"/>
              </w:rPr>
              <w:t>Other Current Liabilities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7.</w:t>
            </w:r>
          </w:p>
        </w:tc>
        <w:tc>
          <w:tcPr>
            <w:tcW w:w="1880" w:type="dxa"/>
            <w:vAlign w:val="bottom"/>
            <w:gridSpan w:val="11"/>
          </w:tcPr>
          <w:p>
            <w:pPr>
              <w:ind w:left="40"/>
              <w:spacing w:after="0" w:line="182" w:lineRule="exact"/>
              <w:rPr>
                <w:sz w:val="20"/>
                <w:szCs w:val="20"/>
                <w:color w:val="auto"/>
              </w:rPr>
            </w:pPr>
            <w:r>
              <w:rPr>
                <w:rFonts w:ascii="Arial" w:cs="Arial" w:eastAsia="Arial" w:hAnsi="Arial"/>
                <w:sz w:val="18"/>
                <w:szCs w:val="18"/>
                <w:color w:val="0000FF"/>
                <w:w w:val="97"/>
              </w:rPr>
              <w:t>Accrued Expenses and</w:t>
            </w:r>
          </w:p>
        </w:tc>
        <w:tc>
          <w:tcPr>
            <w:tcW w:w="20" w:type="dxa"/>
            <w:vAlign w:val="bottom"/>
            <w:vMerge w:val="continue"/>
          </w:tcPr>
          <w:p>
            <w:pPr>
              <w:spacing w:after="0"/>
              <w:rPr>
                <w:sz w:val="15"/>
                <w:szCs w:val="15"/>
                <w:color w:val="auto"/>
              </w:rPr>
            </w:pPr>
          </w:p>
        </w:tc>
        <w:tc>
          <w:tcPr>
            <w:tcW w:w="6400" w:type="dxa"/>
            <w:vAlign w:val="bottom"/>
            <w:gridSpan w:val="2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8.</w:t>
            </w:r>
          </w:p>
        </w:tc>
        <w:tc>
          <w:tcPr>
            <w:tcW w:w="3820" w:type="dxa"/>
            <w:vAlign w:val="bottom"/>
            <w:gridSpan w:val="27"/>
          </w:tcPr>
          <w:p>
            <w:pPr>
              <w:ind w:left="40"/>
              <w:spacing w:after="0" w:line="182" w:lineRule="exact"/>
              <w:rPr>
                <w:sz w:val="20"/>
                <w:szCs w:val="20"/>
                <w:color w:val="auto"/>
              </w:rPr>
            </w:pPr>
            <w:r>
              <w:rPr>
                <w:rFonts w:ascii="Arial" w:cs="Arial" w:eastAsia="Arial" w:hAnsi="Arial"/>
                <w:sz w:val="18"/>
                <w:szCs w:val="18"/>
                <w:color w:val="0000FF"/>
              </w:rPr>
              <w:t>Property and Equipment, net</w:t>
            </w:r>
          </w:p>
        </w:tc>
        <w:tc>
          <w:tcPr>
            <w:tcW w:w="20" w:type="dxa"/>
            <w:vAlign w:val="bottom"/>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80" w:type="dxa"/>
            <w:vAlign w:val="bottom"/>
            <w:gridSpan w:val="4"/>
            <w:vMerge w:val="restart"/>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9.</w:t>
            </w:r>
          </w:p>
        </w:tc>
        <w:tc>
          <w:tcPr>
            <w:tcW w:w="2320" w:type="dxa"/>
            <w:vAlign w:val="bottom"/>
            <w:gridSpan w:val="16"/>
          </w:tcPr>
          <w:p>
            <w:pPr>
              <w:ind w:left="40"/>
              <w:spacing w:after="0" w:line="182" w:lineRule="exact"/>
              <w:rPr>
                <w:sz w:val="20"/>
                <w:szCs w:val="20"/>
                <w:color w:val="auto"/>
              </w:rPr>
            </w:pPr>
            <w:r>
              <w:rPr>
                <w:rFonts w:ascii="Arial" w:cs="Arial" w:eastAsia="Arial" w:hAnsi="Arial"/>
                <w:sz w:val="18"/>
                <w:szCs w:val="18"/>
                <w:color w:val="0000FF"/>
              </w:rPr>
              <w:t>Restructuring</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180" w:type="dxa"/>
            <w:vAlign w:val="bottom"/>
            <w:gridSpan w:val="29"/>
            <w:vMerge w:val="restart"/>
          </w:tcPr>
          <w:p>
            <w:pPr>
              <w:jc w:val="center"/>
              <w:ind w:right="6280"/>
              <w:spacing w:after="0" w:line="202" w:lineRule="exact"/>
              <w:rPr>
                <w:sz w:val="20"/>
                <w:szCs w:val="20"/>
                <w:color w:val="auto"/>
              </w:rPr>
            </w:pPr>
            <w:r>
              <w:rPr>
                <w:rFonts w:ascii="Arial" w:cs="Arial" w:eastAsia="Arial" w:hAnsi="Arial"/>
                <w:sz w:val="18"/>
                <w:szCs w:val="18"/>
                <w:color w:val="0000FF"/>
                <w:w w:val="81"/>
              </w:rPr>
              <w:t>Combinations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8"/>
          </w:tcPr>
          <w:p>
            <w:pPr>
              <w:spacing w:after="0" w:line="182" w:lineRule="exact"/>
              <w:rPr>
                <w:sz w:val="20"/>
                <w:szCs w:val="20"/>
                <w:color w:val="auto"/>
              </w:rPr>
            </w:pPr>
            <w:r>
              <w:rPr>
                <w:rFonts w:ascii="Arial" w:cs="Arial" w:eastAsia="Arial" w:hAnsi="Arial"/>
                <w:sz w:val="18"/>
                <w:szCs w:val="18"/>
                <w:color w:val="0000FF"/>
              </w:rPr>
              <w:t>Note 10. Business</w:t>
            </w:r>
          </w:p>
        </w:tc>
        <w:tc>
          <w:tcPr>
            <w:tcW w:w="7180" w:type="dxa"/>
            <w:vAlign w:val="bottom"/>
            <w:gridSpan w:val="2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80" w:type="dxa"/>
            <w:vAlign w:val="bottom"/>
            <w:gridSpan w:val="21"/>
            <w:vMerge w:val="restart"/>
          </w:tcPr>
          <w:p>
            <w:pPr>
              <w:spacing w:after="0" w:line="202" w:lineRule="exact"/>
              <w:rPr>
                <w:sz w:val="20"/>
                <w:szCs w:val="20"/>
                <w:color w:val="auto"/>
              </w:rPr>
            </w:pPr>
            <w:r>
              <w:rPr>
                <w:rFonts w:ascii="Arial" w:cs="Arial" w:eastAsia="Arial" w:hAnsi="Arial"/>
                <w:sz w:val="18"/>
                <w:szCs w:val="18"/>
                <w:color w:val="0000FF"/>
              </w:rPr>
              <w:t>Intangible Assets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60" w:type="dxa"/>
            <w:vAlign w:val="bottom"/>
            <w:gridSpan w:val="16"/>
          </w:tcPr>
          <w:p>
            <w:pPr>
              <w:spacing w:after="0" w:line="182" w:lineRule="exact"/>
              <w:rPr>
                <w:sz w:val="20"/>
                <w:szCs w:val="20"/>
                <w:color w:val="auto"/>
              </w:rPr>
            </w:pPr>
            <w:r>
              <w:rPr>
                <w:rFonts w:ascii="Arial" w:cs="Arial" w:eastAsia="Arial" w:hAnsi="Arial"/>
                <w:sz w:val="18"/>
                <w:szCs w:val="18"/>
                <w:color w:val="0000FF"/>
              </w:rPr>
              <w:t>Note 11. Goodwill and Acquired</w:t>
            </w:r>
          </w:p>
        </w:tc>
        <w:tc>
          <w:tcPr>
            <w:tcW w:w="6280" w:type="dxa"/>
            <w:vAlign w:val="bottom"/>
            <w:gridSpan w:val="21"/>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900" w:type="dxa"/>
            <w:vAlign w:val="bottom"/>
            <w:gridSpan w:val="26"/>
          </w:tcPr>
          <w:p>
            <w:pPr>
              <w:spacing w:after="0" w:line="182" w:lineRule="exact"/>
              <w:rPr>
                <w:sz w:val="20"/>
                <w:szCs w:val="20"/>
                <w:color w:val="auto"/>
              </w:rPr>
            </w:pPr>
            <w:r>
              <w:rPr>
                <w:rFonts w:ascii="Arial" w:cs="Arial" w:eastAsia="Arial" w:hAnsi="Arial"/>
                <w:sz w:val="18"/>
                <w:szCs w:val="18"/>
                <w:color w:val="0000FF"/>
              </w:rPr>
              <w:t>Note 12. Debt</w:t>
            </w:r>
          </w:p>
        </w:tc>
        <w:tc>
          <w:tcPr>
            <w:tcW w:w="340" w:type="dxa"/>
            <w:vAlign w:val="bottom"/>
            <w:gridSpan w:val="3"/>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20" w:type="dxa"/>
            <w:vAlign w:val="bottom"/>
            <w:tcBorders>
              <w:bottom w:val="single" w:sz="8" w:color="0000EE"/>
            </w:tcBorders>
            <w:gridSpan w:val="14"/>
          </w:tcPr>
          <w:p>
            <w:pPr>
              <w:spacing w:after="0" w:line="182" w:lineRule="exact"/>
              <w:rPr>
                <w:sz w:val="20"/>
                <w:szCs w:val="20"/>
                <w:color w:val="auto"/>
              </w:rPr>
            </w:pPr>
            <w:r>
              <w:rPr>
                <w:rFonts w:ascii="Arial" w:cs="Arial" w:eastAsia="Arial" w:hAnsi="Arial"/>
                <w:sz w:val="18"/>
                <w:szCs w:val="18"/>
                <w:color w:val="0000FF"/>
              </w:rPr>
              <w:t>Note 13. Stockholders’ Equity</w:t>
            </w:r>
          </w:p>
        </w:tc>
        <w:tc>
          <w:tcPr>
            <w:tcW w:w="6420" w:type="dxa"/>
            <w:vAlign w:val="bottom"/>
            <w:gridSpan w:val="23"/>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40" w:type="dxa"/>
            <w:vAlign w:val="bottom"/>
            <w:gridSpan w:val="37"/>
          </w:tcPr>
          <w:p>
            <w:pPr>
              <w:spacing w:after="0" w:line="182" w:lineRule="exact"/>
              <w:rPr>
                <w:sz w:val="20"/>
                <w:szCs w:val="20"/>
                <w:color w:val="auto"/>
              </w:rPr>
            </w:pPr>
            <w:r>
              <w:rPr>
                <w:rFonts w:ascii="Arial" w:cs="Arial" w:eastAsia="Arial" w:hAnsi="Arial"/>
                <w:sz w:val="18"/>
                <w:szCs w:val="18"/>
                <w:color w:val="0000FF"/>
              </w:rPr>
              <w:t>Note 14. Stock-Based Compensation</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420" w:type="dxa"/>
            <w:vAlign w:val="bottom"/>
            <w:gridSpan w:val="2"/>
            <w:vMerge w:val="restart"/>
          </w:tcPr>
          <w:p>
            <w:pPr>
              <w:spacing w:after="0" w:line="20" w:lineRule="exact"/>
              <w:rPr>
                <w:sz w:val="1"/>
                <w:szCs w:val="1"/>
                <w:color w:val="auto"/>
              </w:rPr>
            </w:pPr>
          </w:p>
        </w:tc>
        <w:tc>
          <w:tcPr>
            <w:tcW w:w="920" w:type="dxa"/>
            <w:vAlign w:val="bottom"/>
            <w:gridSpan w:val="7"/>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00" w:type="dxa"/>
            <w:vAlign w:val="bottom"/>
            <w:gridSpan w:val="20"/>
          </w:tcPr>
          <w:p>
            <w:pPr>
              <w:spacing w:after="0" w:line="182" w:lineRule="exact"/>
              <w:rPr>
                <w:sz w:val="20"/>
                <w:szCs w:val="20"/>
                <w:color w:val="auto"/>
              </w:rPr>
            </w:pPr>
            <w:r>
              <w:rPr>
                <w:rFonts w:ascii="Arial" w:cs="Arial" w:eastAsia="Arial" w:hAnsi="Arial"/>
                <w:sz w:val="18"/>
                <w:szCs w:val="18"/>
                <w:color w:val="0000FF"/>
              </w:rPr>
              <w:t>Note 15. Net Income per Share</w:t>
            </w:r>
          </w:p>
        </w:tc>
        <w:tc>
          <w:tcPr>
            <w:tcW w:w="420" w:type="dxa"/>
            <w:vAlign w:val="bottom"/>
            <w:gridSpan w:val="2"/>
            <w:vMerge w:val="continue"/>
          </w:tcPr>
          <w:p>
            <w:pPr>
              <w:spacing w:after="0"/>
              <w:rPr>
                <w:sz w:val="15"/>
                <w:szCs w:val="15"/>
                <w:color w:val="auto"/>
              </w:rPr>
            </w:pPr>
          </w:p>
        </w:tc>
        <w:tc>
          <w:tcPr>
            <w:tcW w:w="920" w:type="dxa"/>
            <w:vAlign w:val="bottom"/>
            <w:gridSpan w:val="7"/>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4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Note 16. Income Taxes</w:t>
            </w:r>
          </w:p>
        </w:tc>
        <w:tc>
          <w:tcPr>
            <w:tcW w:w="880" w:type="dxa"/>
            <w:vAlign w:val="bottom"/>
            <w:gridSpan w:val="7"/>
          </w:tcPr>
          <w:p>
            <w:pPr>
              <w:spacing w:after="0"/>
              <w:rPr>
                <w:sz w:val="15"/>
                <w:szCs w:val="15"/>
                <w:color w:val="auto"/>
              </w:rPr>
            </w:pPr>
          </w:p>
        </w:tc>
        <w:tc>
          <w:tcPr>
            <w:tcW w:w="920" w:type="dxa"/>
            <w:vAlign w:val="bottom"/>
            <w:gridSpan w:val="7"/>
          </w:tcPr>
          <w:p>
            <w:pPr>
              <w:spacing w:after="0"/>
              <w:rPr>
                <w:sz w:val="15"/>
                <w:szCs w:val="15"/>
                <w:color w:val="auto"/>
              </w:rPr>
            </w:pPr>
          </w:p>
        </w:tc>
        <w:tc>
          <w:tcPr>
            <w:tcW w:w="140" w:type="dxa"/>
            <w:vAlign w:val="bottom"/>
            <w:gridSpan w:val="2"/>
          </w:tcPr>
          <w:p>
            <w:pPr>
              <w:spacing w:after="0"/>
              <w:rPr>
                <w:sz w:val="15"/>
                <w:szCs w:val="15"/>
                <w:color w:val="auto"/>
              </w:rPr>
            </w:pPr>
          </w:p>
        </w:tc>
        <w:tc>
          <w:tcPr>
            <w:tcW w:w="2220" w:type="dxa"/>
            <w:vAlign w:val="bottom"/>
            <w:gridSpan w:val="4"/>
          </w:tcPr>
          <w:p>
            <w:pPr>
              <w:spacing w:after="0"/>
              <w:rPr>
                <w:sz w:val="15"/>
                <w:szCs w:val="15"/>
                <w:color w:val="auto"/>
              </w:rPr>
            </w:pPr>
          </w:p>
        </w:tc>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2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7"/>
              </w:rPr>
              <w:t>Note 17. Commitments</w:t>
            </w:r>
          </w:p>
        </w:tc>
        <w:tc>
          <w:tcPr>
            <w:tcW w:w="7020" w:type="dxa"/>
            <w:vAlign w:val="bottom"/>
            <w:gridSpan w:val="27"/>
          </w:tcPr>
          <w:p>
            <w:pPr>
              <w:jc w:val="center"/>
              <w:ind w:right="5500"/>
              <w:spacing w:after="0" w:line="182" w:lineRule="exact"/>
              <w:rPr>
                <w:sz w:val="20"/>
                <w:szCs w:val="20"/>
                <w:color w:val="auto"/>
              </w:rPr>
            </w:pPr>
            <w:r>
              <w:rPr>
                <w:rFonts w:ascii="Arial" w:cs="Arial" w:eastAsia="Arial" w:hAnsi="Arial"/>
                <w:sz w:val="18"/>
                <w:szCs w:val="18"/>
                <w:color w:val="0000FF"/>
                <w:w w:val="99"/>
              </w:rPr>
              <w:t>and Contingencies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240" w:type="dxa"/>
            <w:vAlign w:val="bottom"/>
            <w:gridSpan w:val="11"/>
            <w:shd w:val="clear" w:color="auto" w:fill="0000FF"/>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40" w:type="dxa"/>
            <w:vAlign w:val="bottom"/>
            <w:gridSpan w:val="37"/>
          </w:tcPr>
          <w:p>
            <w:pPr>
              <w:spacing w:after="0" w:line="182" w:lineRule="exact"/>
              <w:rPr>
                <w:sz w:val="20"/>
                <w:szCs w:val="20"/>
                <w:color w:val="auto"/>
              </w:rPr>
            </w:pPr>
            <w:r>
              <w:rPr>
                <w:rFonts w:ascii="Arial" w:cs="Arial" w:eastAsia="Arial" w:hAnsi="Arial"/>
                <w:sz w:val="18"/>
                <w:szCs w:val="18"/>
                <w:color w:val="0000FF"/>
              </w:rPr>
              <w:t>Note 18. Revision of Previously Issued Unaudited Quarterly Information and Annual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line="202" w:lineRule="exact"/>
              <w:rPr>
                <w:sz w:val="20"/>
                <w:szCs w:val="20"/>
                <w:color w:val="auto"/>
              </w:rPr>
            </w:pPr>
            <w:r>
              <w:rPr>
                <w:rFonts w:ascii="Arial" w:cs="Arial" w:eastAsia="Arial" w:hAnsi="Arial"/>
                <w:sz w:val="18"/>
                <w:szCs w:val="18"/>
                <w:color w:val="0000FF"/>
              </w:rPr>
              <w:t>Item 2.</w:t>
            </w: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160" w:type="dxa"/>
            <w:vAlign w:val="bottom"/>
            <w:gridSpan w:val="18"/>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83"/>
        </w:trPr>
        <w:tc>
          <w:tcPr>
            <w:tcW w:w="1140" w:type="dxa"/>
            <w:vAlign w:val="bottom"/>
            <w:gridSpan w:val="7"/>
            <w:vMerge w:val="continue"/>
          </w:tcPr>
          <w:p>
            <w:pPr>
              <w:spacing w:after="0"/>
              <w:rPr>
                <w:sz w:val="15"/>
                <w:szCs w:val="15"/>
                <w:color w:val="auto"/>
              </w:rPr>
            </w:pPr>
          </w:p>
        </w:tc>
        <w:tc>
          <w:tcPr>
            <w:tcW w:w="8800" w:type="dxa"/>
            <w:vAlign w:val="bottom"/>
            <w:gridSpan w:val="37"/>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3.</w:t>
            </w:r>
          </w:p>
        </w:tc>
        <w:tc>
          <w:tcPr>
            <w:tcW w:w="8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Borders>
              <w:top w:val="single" w:sz="8" w:color="0000FF"/>
              <w:bottom w:val="single" w:sz="8" w:color="0000FF"/>
            </w:tcBorders>
            <w:gridSpan w:val="30"/>
          </w:tcPr>
          <w:p>
            <w:pPr>
              <w:spacing w:after="0" w:line="182"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6"/>
          </w:tcPr>
          <w:p>
            <w:pPr>
              <w:spacing w:after="0"/>
              <w:rPr>
                <w:sz w:val="15"/>
                <w:szCs w:val="15"/>
                <w:color w:val="auto"/>
              </w:rPr>
            </w:pPr>
          </w:p>
        </w:tc>
        <w:tc>
          <w:tcPr>
            <w:tcW w:w="224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83"/>
        </w:trPr>
        <w:tc>
          <w:tcPr>
            <w:tcW w:w="5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4.</w:t>
            </w:r>
          </w:p>
        </w:tc>
        <w:tc>
          <w:tcPr>
            <w:tcW w:w="8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Borders>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9"/>
              </w:rPr>
              <w:t>Controls and Procedures</w:t>
            </w:r>
          </w:p>
        </w:tc>
        <w:tc>
          <w:tcPr>
            <w:tcW w:w="2700" w:type="dxa"/>
            <w:vAlign w:val="bottom"/>
            <w:gridSpan w:val="22"/>
          </w:tcPr>
          <w:p>
            <w:pPr>
              <w:spacing w:after="0"/>
              <w:rPr>
                <w:sz w:val="15"/>
                <w:szCs w:val="15"/>
                <w:color w:val="auto"/>
              </w:rPr>
            </w:pPr>
          </w:p>
        </w:tc>
        <w:tc>
          <w:tcPr>
            <w:tcW w:w="140" w:type="dxa"/>
            <w:vAlign w:val="bottom"/>
            <w:gridSpan w:val="2"/>
          </w:tcPr>
          <w:p>
            <w:pPr>
              <w:spacing w:after="0"/>
              <w:rPr>
                <w:sz w:val="15"/>
                <w:szCs w:val="15"/>
                <w:color w:val="auto"/>
              </w:rPr>
            </w:pPr>
          </w:p>
        </w:tc>
        <w:tc>
          <w:tcPr>
            <w:tcW w:w="446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85"/>
        </w:trPr>
        <w:tc>
          <w:tcPr>
            <w:tcW w:w="1140" w:type="dxa"/>
            <w:vAlign w:val="bottom"/>
            <w:gridSpan w:val="7"/>
          </w:tcPr>
          <w:p>
            <w:pPr>
              <w:spacing w:after="0"/>
              <w:rPr>
                <w:sz w:val="20"/>
                <w:szCs w:val="20"/>
                <w:color w:val="auto"/>
              </w:rPr>
            </w:pPr>
            <w:r>
              <w:rPr>
                <w:rFonts w:ascii="Arial" w:cs="Arial" w:eastAsia="Arial" w:hAnsi="Arial"/>
                <w:sz w:val="18"/>
                <w:szCs w:val="18"/>
                <w:color w:val="0000FF"/>
              </w:rPr>
              <w:t>PART II.</w:t>
            </w:r>
          </w:p>
        </w:tc>
        <w:tc>
          <w:tcPr>
            <w:tcW w:w="9320" w:type="dxa"/>
            <w:vAlign w:val="bottom"/>
            <w:gridSpan w:val="38"/>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1.</w:t>
            </w:r>
          </w:p>
        </w:tc>
        <w:tc>
          <w:tcPr>
            <w:tcW w:w="80" w:type="dxa"/>
            <w:vAlign w:val="bottom"/>
            <w:tcBorders>
              <w:top w:val="single" w:sz="8" w:color="0000FF"/>
              <w:bottom w:val="single" w:sz="8" w:color="0000EE"/>
            </w:tcBorders>
          </w:tcPr>
          <w:p>
            <w:pPr>
              <w:spacing w:after="0"/>
              <w:rPr>
                <w:sz w:val="15"/>
                <w:szCs w:val="15"/>
                <w:color w:val="auto"/>
              </w:rPr>
            </w:pPr>
          </w:p>
        </w:tc>
        <w:tc>
          <w:tcPr>
            <w:tcW w:w="60" w:type="dxa"/>
            <w:vAlign w:val="bottom"/>
            <w:tcBorders>
              <w:top w:val="single" w:sz="8" w:color="0000FF"/>
            </w:tcBorders>
            <w:gridSpan w:val="2"/>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Legal Proceedings</w:t>
            </w:r>
          </w:p>
        </w:tc>
        <w:tc>
          <w:tcPr>
            <w:tcW w:w="460" w:type="dxa"/>
            <w:vAlign w:val="bottom"/>
            <w:tcBorders>
              <w:top w:val="single" w:sz="8" w:color="0000FF"/>
            </w:tcBorders>
            <w:gridSpan w:val="2"/>
          </w:tcPr>
          <w:p>
            <w:pPr>
              <w:spacing w:after="0"/>
              <w:rPr>
                <w:sz w:val="15"/>
                <w:szCs w:val="15"/>
                <w:color w:val="auto"/>
              </w:rPr>
            </w:pPr>
          </w:p>
        </w:tc>
        <w:tc>
          <w:tcPr>
            <w:tcW w:w="540" w:type="dxa"/>
            <w:vAlign w:val="bottom"/>
            <w:gridSpan w:val="4"/>
          </w:tcPr>
          <w:p>
            <w:pPr>
              <w:spacing w:after="0"/>
              <w:rPr>
                <w:sz w:val="15"/>
                <w:szCs w:val="15"/>
                <w:color w:val="auto"/>
              </w:rPr>
            </w:pPr>
          </w:p>
        </w:tc>
        <w:tc>
          <w:tcPr>
            <w:tcW w:w="2300" w:type="dxa"/>
            <w:vAlign w:val="bottom"/>
            <w:gridSpan w:val="20"/>
          </w:tcPr>
          <w:p>
            <w:pPr>
              <w:spacing w:after="0"/>
              <w:rPr>
                <w:sz w:val="15"/>
                <w:szCs w:val="15"/>
                <w:color w:val="auto"/>
              </w:rPr>
            </w:pPr>
          </w:p>
        </w:tc>
        <w:tc>
          <w:tcPr>
            <w:tcW w:w="446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3"/>
        </w:trPr>
        <w:tc>
          <w:tcPr>
            <w:tcW w:w="1140" w:type="dxa"/>
            <w:vAlign w:val="bottom"/>
            <w:gridSpan w:val="7"/>
          </w:tcPr>
          <w:p>
            <w:pPr>
              <w:spacing w:after="0" w:line="182" w:lineRule="exact"/>
              <w:rPr>
                <w:sz w:val="20"/>
                <w:szCs w:val="20"/>
                <w:color w:val="auto"/>
              </w:rPr>
            </w:pPr>
            <w:r>
              <w:rPr>
                <w:rFonts w:ascii="Arial" w:cs="Arial" w:eastAsia="Arial" w:hAnsi="Arial"/>
                <w:sz w:val="18"/>
                <w:szCs w:val="18"/>
                <w:color w:val="0000FF"/>
              </w:rPr>
              <w:t>Item 1A.</w:t>
            </w:r>
          </w:p>
        </w:tc>
        <w:tc>
          <w:tcPr>
            <w:tcW w:w="1020" w:type="dxa"/>
            <w:vAlign w:val="bottom"/>
            <w:gridSpan w:val="4"/>
          </w:tcPr>
          <w:p>
            <w:pPr>
              <w:spacing w:after="0" w:line="182" w:lineRule="exact"/>
              <w:rPr>
                <w:sz w:val="20"/>
                <w:szCs w:val="20"/>
                <w:color w:val="auto"/>
              </w:rPr>
            </w:pPr>
            <w:r>
              <w:rPr>
                <w:rFonts w:ascii="Arial" w:cs="Arial" w:eastAsia="Arial" w:hAnsi="Arial"/>
                <w:sz w:val="18"/>
                <w:szCs w:val="18"/>
                <w:color w:val="0000FF"/>
                <w:w w:val="99"/>
              </w:rPr>
              <w:t>Risk Factors</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2.</w:t>
            </w:r>
          </w:p>
        </w:tc>
        <w:tc>
          <w:tcPr>
            <w:tcW w:w="80" w:type="dxa"/>
            <w:vAlign w:val="bottom"/>
            <w:tcBorders>
              <w:top w:val="single" w:sz="8" w:color="0000FF"/>
              <w:bottom w:val="single" w:sz="8" w:color="0000EE"/>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8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5"/>
              </w:rPr>
              <w:t>Unregistered</w:t>
            </w:r>
          </w:p>
        </w:tc>
        <w:tc>
          <w:tcPr>
            <w:tcW w:w="3860" w:type="dxa"/>
            <w:vAlign w:val="bottom"/>
            <w:tcBorders>
              <w:bottom w:val="single" w:sz="8" w:color="0000FF"/>
            </w:tcBorders>
            <w:gridSpan w:val="29"/>
          </w:tcPr>
          <w:p>
            <w:pPr>
              <w:ind w:left="80"/>
              <w:spacing w:after="0" w:line="182" w:lineRule="exact"/>
              <w:rPr>
                <w:sz w:val="20"/>
                <w:szCs w:val="20"/>
                <w:color w:val="auto"/>
              </w:rPr>
            </w:pPr>
            <w:r>
              <w:rPr>
                <w:rFonts w:ascii="Arial" w:cs="Arial" w:eastAsia="Arial" w:hAnsi="Arial"/>
                <w:sz w:val="18"/>
                <w:szCs w:val="18"/>
                <w:color w:val="0000FF"/>
                <w:w w:val="99"/>
              </w:rPr>
              <w:t>Sales of Equity Securities and Use of Proceeds</w:t>
            </w:r>
          </w:p>
        </w:tc>
        <w:tc>
          <w:tcPr>
            <w:tcW w:w="446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3"/>
        </w:trPr>
        <w:tc>
          <w:tcPr>
            <w:tcW w:w="5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3.</w:t>
            </w:r>
          </w:p>
        </w:tc>
        <w:tc>
          <w:tcPr>
            <w:tcW w:w="80" w:type="dxa"/>
            <w:vAlign w:val="bottom"/>
            <w:tcBorders>
              <w:bottom w:val="single" w:sz="8" w:color="0000EE"/>
            </w:tcBorders>
          </w:tcPr>
          <w:p>
            <w:pPr>
              <w:spacing w:after="0"/>
              <w:rPr>
                <w:sz w:val="15"/>
                <w:szCs w:val="15"/>
                <w:color w:val="auto"/>
              </w:rPr>
            </w:pPr>
          </w:p>
        </w:tc>
        <w:tc>
          <w:tcPr>
            <w:tcW w:w="22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tcBorders>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99"/>
              </w:rPr>
              <w:t>Defaults Upon Senior Securities</w:t>
            </w:r>
          </w:p>
        </w:tc>
        <w:tc>
          <w:tcPr>
            <w:tcW w:w="2300" w:type="dxa"/>
            <w:vAlign w:val="bottom"/>
            <w:gridSpan w:val="20"/>
          </w:tcPr>
          <w:p>
            <w:pPr>
              <w:spacing w:after="0"/>
              <w:rPr>
                <w:sz w:val="15"/>
                <w:szCs w:val="15"/>
                <w:color w:val="auto"/>
              </w:rPr>
            </w:pPr>
          </w:p>
        </w:tc>
        <w:tc>
          <w:tcPr>
            <w:tcW w:w="446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3"/>
        </w:trPr>
        <w:tc>
          <w:tcPr>
            <w:tcW w:w="5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4.</w:t>
            </w:r>
          </w:p>
        </w:tc>
        <w:tc>
          <w:tcPr>
            <w:tcW w:w="80" w:type="dxa"/>
            <w:vAlign w:val="bottom"/>
            <w:tcBorders>
              <w:bottom w:val="single" w:sz="8" w:color="0000EE"/>
            </w:tcBorders>
          </w:tcPr>
          <w:p>
            <w:pPr>
              <w:spacing w:after="0"/>
              <w:rPr>
                <w:sz w:val="15"/>
                <w:szCs w:val="15"/>
                <w:color w:val="auto"/>
              </w:rPr>
            </w:pPr>
          </w:p>
        </w:tc>
        <w:tc>
          <w:tcPr>
            <w:tcW w:w="22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9"/>
              </w:rPr>
              <w:t>Mine Safety Disclosures</w:t>
            </w:r>
          </w:p>
        </w:tc>
        <w:tc>
          <w:tcPr>
            <w:tcW w:w="620" w:type="dxa"/>
            <w:vAlign w:val="bottom"/>
            <w:gridSpan w:val="5"/>
          </w:tcPr>
          <w:p>
            <w:pPr>
              <w:spacing w:after="0"/>
              <w:rPr>
                <w:sz w:val="15"/>
                <w:szCs w:val="15"/>
                <w:color w:val="auto"/>
              </w:rPr>
            </w:pPr>
          </w:p>
        </w:tc>
        <w:tc>
          <w:tcPr>
            <w:tcW w:w="6760" w:type="dxa"/>
            <w:vAlign w:val="bottom"/>
            <w:gridSpan w:val="2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2"/>
        </w:trPr>
        <w:tc>
          <w:tcPr>
            <w:tcW w:w="560" w:type="dxa"/>
            <w:vAlign w:val="bottom"/>
            <w:gridSpan w:val="2"/>
          </w:tcPr>
          <w:p>
            <w:pPr>
              <w:spacing w:after="0" w:line="182" w:lineRule="exact"/>
              <w:rPr>
                <w:sz w:val="20"/>
                <w:szCs w:val="20"/>
                <w:color w:val="auto"/>
              </w:rPr>
            </w:pPr>
            <w:r>
              <w:rPr>
                <w:rFonts w:ascii="Arial" w:cs="Arial" w:eastAsia="Arial" w:hAnsi="Arial"/>
                <w:sz w:val="18"/>
                <w:szCs w:val="18"/>
                <w:color w:val="0000FF"/>
                <w:w w:val="98"/>
              </w:rPr>
              <w:t>Item 5.</w:t>
            </w:r>
          </w:p>
        </w:tc>
        <w:tc>
          <w:tcPr>
            <w:tcW w:w="8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7"/>
          </w:tcPr>
          <w:p>
            <w:pPr>
              <w:spacing w:after="0" w:line="182" w:lineRule="exact"/>
              <w:rPr>
                <w:sz w:val="20"/>
                <w:szCs w:val="20"/>
                <w:color w:val="auto"/>
              </w:rPr>
            </w:pPr>
            <w:r>
              <w:rPr>
                <w:rFonts w:ascii="Arial" w:cs="Arial" w:eastAsia="Arial" w:hAnsi="Arial"/>
                <w:sz w:val="18"/>
                <w:szCs w:val="18"/>
                <w:color w:val="0000FF"/>
              </w:rPr>
              <w:t>Other Information</w:t>
            </w:r>
          </w:p>
        </w:tc>
        <w:tc>
          <w:tcPr>
            <w:tcW w:w="7380" w:type="dxa"/>
            <w:vAlign w:val="bottom"/>
            <w:gridSpan w:val="3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6</w:t>
            </w:r>
            <w:r>
              <w:rPr>
                <w:rFonts w:ascii="Arial" w:cs="Arial" w:eastAsia="Arial" w:hAnsi="Arial"/>
                <w:sz w:val="18"/>
                <w:szCs w:val="18"/>
                <w:color w:val="000000"/>
                <w:w w:val="98"/>
              </w:rPr>
              <w:t>.</w:t>
            </w:r>
          </w:p>
        </w:tc>
        <w:tc>
          <w:tcPr>
            <w:tcW w:w="80" w:type="dxa"/>
            <w:vAlign w:val="bottom"/>
            <w:tcBorders>
              <w:top w:val="single" w:sz="8" w:color="0000EE"/>
            </w:tcBorders>
          </w:tcPr>
          <w:p>
            <w:pPr>
              <w:spacing w:after="0"/>
              <w:rPr>
                <w:sz w:val="15"/>
                <w:szCs w:val="15"/>
                <w:color w:val="auto"/>
              </w:rPr>
            </w:pPr>
          </w:p>
        </w:tc>
        <w:tc>
          <w:tcPr>
            <w:tcW w:w="22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Exhibits</w:t>
            </w:r>
          </w:p>
        </w:tc>
        <w:tc>
          <w:tcPr>
            <w:tcW w:w="38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line="20" w:lineRule="exact"/>
              <w:rPr>
                <w:sz w:val="1"/>
                <w:szCs w:val="1"/>
                <w:color w:val="auto"/>
              </w:rPr>
            </w:pPr>
          </w:p>
        </w:tc>
      </w:tr>
      <w:tr>
        <w:trPr>
          <w:trHeight w:val="183"/>
        </w:trPr>
        <w:tc>
          <w:tcPr>
            <w:tcW w:w="1140" w:type="dxa"/>
            <w:vAlign w:val="bottom"/>
            <w:gridSpan w:val="7"/>
          </w:tcPr>
          <w:p>
            <w:pPr>
              <w:spacing w:after="0" w:line="182" w:lineRule="exact"/>
              <w:rPr>
                <w:sz w:val="20"/>
                <w:szCs w:val="20"/>
                <w:color w:val="auto"/>
              </w:rPr>
            </w:pPr>
            <w:r>
              <w:rPr>
                <w:rFonts w:ascii="Arial" w:cs="Arial" w:eastAsia="Arial" w:hAnsi="Arial"/>
                <w:sz w:val="18"/>
                <w:szCs w:val="18"/>
                <w:color w:val="0000FF"/>
              </w:rPr>
              <w:t>Signatures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8"/>
        </w:trPr>
        <w:tc>
          <w:tcPr>
            <w:tcW w:w="5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140" w:lineRule="exact"/>
        <w:rPr>
          <w:sz w:val="20"/>
          <w:szCs w:val="20"/>
          <w:color w:val="auto"/>
        </w:rPr>
      </w:pPr>
    </w:p>
    <w:p>
      <w:pPr>
        <w:ind w:left="640" w:right="40" w:hanging="258"/>
        <w:spacing w:after="0" w:line="252" w:lineRule="auto"/>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62"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plan and our ability to effectively manage our growth;</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cross-border expansion plans and ability to expand internationally;</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and ability to access, our cash and cash equivalents to meet our liquidity needs;</w:t>
      </w:r>
    </w:p>
    <w:p>
      <w:pPr>
        <w:spacing w:after="0" w:line="116" w:lineRule="exact"/>
        <w:rPr>
          <w:rFonts w:ascii="Times New Roman" w:cs="Times New Roman" w:eastAsia="Times New Roman" w:hAnsi="Times New Roman"/>
          <w:sz w:val="18"/>
          <w:szCs w:val="18"/>
          <w:color w:val="auto"/>
        </w:rPr>
      </w:pPr>
    </w:p>
    <w:p>
      <w:pPr>
        <w:ind w:left="640" w:right="1760" w:hanging="258"/>
        <w:spacing w:after="0" w:line="252" w:lineRule="auto"/>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economic, foreign currency exchange rate, inflation, tariffs and international trade conflict, banking, legal, immigration, social and health risks and public health measures that may affect cross-border commerce, education and travel, our business or the global economy;</w:t>
      </w:r>
    </w:p>
    <w:p>
      <w:pPr>
        <w:spacing w:after="0" w:line="62"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beliefs and objectives for future operations;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enhance and protect our brand;</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grow the payment volume that we process;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client base;</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solutions and services and bring them to market in a timely and cost-effective manner;</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concerning relationships with third parties, including financial institutions and strategic partners;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16" w:lineRule="exact"/>
        <w:rPr>
          <w:rFonts w:ascii="Times New Roman" w:cs="Times New Roman" w:eastAsia="Times New Roman" w:hAnsi="Times New Roman"/>
          <w:sz w:val="18"/>
          <w:szCs w:val="18"/>
          <w:color w:val="auto"/>
        </w:rPr>
      </w:pPr>
    </w:p>
    <w:p>
      <w:pPr>
        <w:ind w:left="640" w:hanging="258"/>
        <w:spacing w:after="0" w:line="252" w:lineRule="auto"/>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recent and future acquisitions or investments in complementary companies, products, services, or technologies, including the expected benefits and synergies of the acquisition of Sertifi LLC (Sertifi), including the potential benefits of Sertifi’s platform, financial results and margins;</w:t>
      </w:r>
    </w:p>
    <w:p>
      <w:pPr>
        <w:spacing w:after="0" w:line="62"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enter new client verticals and sub-verticals, including our relatively new business-to-business (B2B) sector;</w:t>
      </w:r>
    </w:p>
    <w:p>
      <w:pPr>
        <w:spacing w:after="0" w:line="116" w:lineRule="exact"/>
        <w:rPr>
          <w:rFonts w:ascii="Times New Roman" w:cs="Times New Roman" w:eastAsia="Times New Roman" w:hAnsi="Times New Roman"/>
          <w:sz w:val="18"/>
          <w:szCs w:val="18"/>
          <w:color w:val="auto"/>
        </w:rPr>
      </w:pPr>
    </w:p>
    <w:p>
      <w:pPr>
        <w:ind w:left="640" w:right="1060" w:hanging="258"/>
        <w:spacing w:after="0" w:line="270" w:lineRule="auto"/>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litigation and legal and regulatory matters;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w:t>
      </w:r>
    </w:p>
    <w:p>
      <w:pPr>
        <w:spacing w:after="0" w:line="116" w:lineRule="exact"/>
        <w:rPr>
          <w:rFonts w:ascii="Times New Roman" w:cs="Times New Roman" w:eastAsia="Times New Roman" w:hAnsi="Times New Roman"/>
          <w:sz w:val="18"/>
          <w:szCs w:val="18"/>
          <w:color w:val="auto"/>
        </w:rPr>
      </w:pPr>
    </w:p>
    <w:p>
      <w:pPr>
        <w:ind w:left="640" w:right="40" w:hanging="258"/>
        <w:spacing w:after="0" w:line="252" w:lineRule="auto"/>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other financial services, economic and trade sanctions, anti-money laundering (AML) and countering the financing of terrorism (CFT), taxation, privacy and data protection;</w:t>
      </w:r>
    </w:p>
    <w:p>
      <w:pPr>
        <w:spacing w:after="0" w:line="62"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and industry trends, projected growth, or trend analysis;</w:t>
      </w:r>
    </w:p>
    <w:p>
      <w:pPr>
        <w:spacing w:after="0" w:line="116" w:lineRule="exact"/>
        <w:rPr>
          <w:rFonts w:ascii="Times New Roman" w:cs="Times New Roman" w:eastAsia="Times New Roman" w:hAnsi="Times New Roman"/>
          <w:sz w:val="18"/>
          <w:szCs w:val="18"/>
          <w:color w:val="auto"/>
        </w:rPr>
      </w:pPr>
    </w:p>
    <w:p>
      <w:pPr>
        <w:ind w:left="640" w:right="140" w:hanging="258"/>
        <w:spacing w:after="0" w:line="244" w:lineRule="auto"/>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global events and geopolitical conflict, including without limitation the recent hostilities in Ukraine and involving Israel, Hamas and Iran;</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76" w:right="419" w:bottom="1440" w:gutter="0" w:footer="0" w:header="0"/>
        </w:sectPr>
      </w:pPr>
    </w:p>
    <w:bookmarkStart w:id="3" w:name="page4"/>
    <w:bookmarkEnd w:id="3"/>
    <w:p>
      <w:pPr>
        <w:ind w:left="640" w:right="80" w:hanging="258"/>
        <w:spacing w:after="0" w:line="252" w:lineRule="auto"/>
        <w:tabs>
          <w:tab w:leader="none" w:pos="6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adapt to recommended or implemented U.S. policy changes, in particular those that impact higher education, the desire for foreign students to study in the U.S., immigration and visa policy, and changes to regulatory agencies and depth of enforcement of regulations;</w:t>
      </w:r>
    </w:p>
    <w:p>
      <w:pPr>
        <w:spacing w:after="0" w:line="62" w:lineRule="exact"/>
        <w:rPr>
          <w:rFonts w:ascii="Times New Roman" w:cs="Times New Roman" w:eastAsia="Times New Roman" w:hAnsi="Times New Roman"/>
          <w:sz w:val="18"/>
          <w:szCs w:val="18"/>
          <w:color w:val="auto"/>
        </w:rPr>
      </w:pPr>
    </w:p>
    <w:p>
      <w:pPr>
        <w:ind w:left="640" w:right="20" w:hanging="258"/>
        <w:spacing w:after="0" w:line="270" w:lineRule="auto"/>
        <w:tabs>
          <w:tab w:leader="none" w:pos="6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adapt to changes in U.S. federal income or other tax laws or the interpretation of tax laws, including without limitation the Inflation Reduction Act of 2022 and The One Big Beautiful Bill Act of 2025;</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qualified employees;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protect, and enhance our intellectual property;</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security and availability of our solutions;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increased expenses associated with being a public company; and</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market price of our common stock.</w:t>
      </w:r>
    </w:p>
    <w:p>
      <w:pPr>
        <w:spacing w:after="0" w:line="18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5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4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36"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Unless otherwise noted or unless the context provides otherwise, all references in this Quarterly Report on Form 10-Q to our “common stock” refer to our voting common stock.</w:t>
      </w:r>
    </w:p>
    <w:p>
      <w:pPr>
        <w:spacing w:after="0" w:line="12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Investors, the media, and others should note that we intend to announce material information to the public through filings with the Securities and Exchange Commission (SEC), the investor relations page on our website (https://ir.flywire.com), blog posts on our website (www.flywire.com), press releases, public conference calls, webcasts, and social media channels, including our X (formerly known as Twitter) feed (@flywire), Facebook page (https://www.facebook.com/Flywire) and LinkedIn page (https://www.linkedin.com/company/flywire).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(Unaudited) (Amounts in thousands, except par value per share and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2025</w:t>
            </w:r>
          </w:p>
        </w:tc>
        <w:tc>
          <w:tcPr>
            <w:tcW w:w="120" w:type="dxa"/>
            <w:vAlign w:val="bottom"/>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6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13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89"/>
        </w:trPr>
        <w:tc>
          <w:tcPr>
            <w:tcW w:w="6620" w:type="dxa"/>
            <w:vAlign w:val="bottom"/>
          </w:tcPr>
          <w:p>
            <w:pPr>
              <w:spacing w:after="0"/>
              <w:rPr>
                <w:sz w:val="20"/>
                <w:szCs w:val="20"/>
                <w:color w:val="auto"/>
              </w:rPr>
            </w:pPr>
            <w:r>
              <w:rPr>
                <w:rFonts w:ascii="Arial" w:cs="Arial" w:eastAsia="Arial" w:hAnsi="Arial"/>
                <w:sz w:val="16"/>
                <w:szCs w:val="16"/>
                <w:color w:val="auto"/>
              </w:rPr>
              <w:t>Current assets:</w:t>
            </w: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6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Cash and cash equivalents</w:t>
            </w:r>
          </w:p>
        </w:tc>
        <w:tc>
          <w:tcPr>
            <w:tcW w:w="184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354,914</w:t>
            </w:r>
          </w:p>
        </w:tc>
        <w:tc>
          <w:tcPr>
            <w:tcW w:w="58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495,242</w:t>
            </w:r>
          </w:p>
        </w:tc>
      </w:tr>
      <w:tr>
        <w:trPr>
          <w:trHeight w:val="189"/>
        </w:trPr>
        <w:tc>
          <w:tcPr>
            <w:tcW w:w="6620" w:type="dxa"/>
            <w:vAlign w:val="bottom"/>
          </w:tcPr>
          <w:p>
            <w:pPr>
              <w:ind w:left="160"/>
              <w:spacing w:after="0"/>
              <w:rPr>
                <w:sz w:val="20"/>
                <w:szCs w:val="20"/>
                <w:color w:val="auto"/>
              </w:rPr>
            </w:pPr>
            <w:r>
              <w:rPr>
                <w:rFonts w:ascii="Arial" w:cs="Arial" w:eastAsia="Arial" w:hAnsi="Arial"/>
                <w:sz w:val="16"/>
                <w:szCs w:val="16"/>
                <w:color w:val="auto"/>
              </w:rPr>
              <w:t>Short-term investments</w:t>
            </w: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22,430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115,848</w:t>
            </w:r>
          </w:p>
        </w:tc>
      </w:tr>
      <w:tr>
        <w:trPr>
          <w:trHeight w:val="189"/>
        </w:trPr>
        <w:tc>
          <w:tcPr>
            <w:tcW w:w="66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Accounts receivable, net of allowance of $1,105 and $410, respectively</w:t>
            </w:r>
          </w:p>
        </w:tc>
        <w:tc>
          <w:tcPr>
            <w:tcW w:w="13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40,354</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23,703</w:t>
            </w:r>
          </w:p>
        </w:tc>
      </w:tr>
      <w:tr>
        <w:trPr>
          <w:trHeight w:val="189"/>
        </w:trPr>
        <w:tc>
          <w:tcPr>
            <w:tcW w:w="6620" w:type="dxa"/>
            <w:vAlign w:val="bottom"/>
          </w:tcPr>
          <w:p>
            <w:pPr>
              <w:ind w:left="160"/>
              <w:spacing w:after="0"/>
              <w:rPr>
                <w:sz w:val="20"/>
                <w:szCs w:val="20"/>
                <w:color w:val="auto"/>
              </w:rPr>
            </w:pPr>
            <w:r>
              <w:rPr>
                <w:rFonts w:ascii="Arial" w:cs="Arial" w:eastAsia="Arial" w:hAnsi="Arial"/>
                <w:sz w:val="16"/>
                <w:szCs w:val="16"/>
                <w:color w:val="auto"/>
              </w:rPr>
              <w:t>Unbilled receivables, net of allowance of $31 and $36, respectively</w:t>
            </w: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13,883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15,453</w:t>
            </w:r>
          </w:p>
        </w:tc>
      </w:tr>
      <w:tr>
        <w:trPr>
          <w:trHeight w:val="189"/>
        </w:trPr>
        <w:tc>
          <w:tcPr>
            <w:tcW w:w="66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Funds receivable from payment partners</w:t>
            </w:r>
          </w:p>
        </w:tc>
        <w:tc>
          <w:tcPr>
            <w:tcW w:w="13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133,398</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90,110</w:t>
            </w:r>
          </w:p>
        </w:tc>
      </w:tr>
      <w:tr>
        <w:trPr>
          <w:trHeight w:val="189"/>
        </w:trPr>
        <w:tc>
          <w:tcPr>
            <w:tcW w:w="662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13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41,149</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22,528</w:t>
            </w:r>
          </w:p>
        </w:tc>
      </w:tr>
      <w:tr>
        <w:trPr>
          <w:trHeight w:val="183"/>
        </w:trPr>
        <w:tc>
          <w:tcPr>
            <w:tcW w:w="6620" w:type="dxa"/>
            <w:vAlign w:val="bottom"/>
            <w:shd w:val="clear" w:color="auto" w:fill="CFF0FC"/>
          </w:tcPr>
          <w:p>
            <w:pPr>
              <w:ind w:left="300"/>
              <w:spacing w:after="0" w:line="183" w:lineRule="exact"/>
              <w:rPr>
                <w:sz w:val="20"/>
                <w:szCs w:val="20"/>
                <w:color w:val="auto"/>
              </w:rPr>
            </w:pPr>
            <w:r>
              <w:rPr>
                <w:rFonts w:ascii="Arial" w:cs="Arial" w:eastAsia="Arial" w:hAnsi="Arial"/>
                <w:sz w:val="16"/>
                <w:szCs w:val="16"/>
                <w:color w:val="auto"/>
              </w:rPr>
              <w:t>Total current assets</w:t>
            </w:r>
          </w:p>
        </w:tc>
        <w:tc>
          <w:tcPr>
            <w:tcW w:w="13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606,128</w:t>
            </w: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762,884</w:t>
            </w:r>
          </w:p>
        </w:tc>
      </w:tr>
      <w:tr>
        <w:trPr>
          <w:trHeight w:val="189"/>
        </w:trPr>
        <w:tc>
          <w:tcPr>
            <w:tcW w:w="6620" w:type="dxa"/>
            <w:vAlign w:val="bottom"/>
          </w:tcPr>
          <w:p>
            <w:pPr>
              <w:spacing w:after="0"/>
              <w:rPr>
                <w:sz w:val="20"/>
                <w:szCs w:val="20"/>
                <w:color w:val="auto"/>
              </w:rPr>
            </w:pPr>
            <w:r>
              <w:rPr>
                <w:rFonts w:ascii="Arial" w:cs="Arial" w:eastAsia="Arial" w:hAnsi="Arial"/>
                <w:sz w:val="16"/>
                <w:szCs w:val="16"/>
                <w:color w:val="auto"/>
              </w:rPr>
              <w:t>Long-term investments</w:t>
            </w: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4,394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50,125</w:t>
            </w:r>
          </w:p>
        </w:tc>
      </w:tr>
      <w:tr>
        <w:trPr>
          <w:trHeight w:val="18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13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20,356</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17,160</w:t>
            </w:r>
          </w:p>
        </w:tc>
      </w:tr>
      <w:tr>
        <w:trPr>
          <w:trHeight w:val="189"/>
        </w:trPr>
        <w:tc>
          <w:tcPr>
            <w:tcW w:w="66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194,199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118,684</w:t>
            </w:r>
          </w:p>
        </w:tc>
      </w:tr>
      <w:tr>
        <w:trPr>
          <w:trHeight w:val="18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13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406,149</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149,558</w:t>
            </w:r>
          </w:p>
        </w:tc>
      </w:tr>
      <w:tr>
        <w:trPr>
          <w:trHeight w:val="189"/>
        </w:trPr>
        <w:tc>
          <w:tcPr>
            <w:tcW w:w="6620" w:type="dxa"/>
            <w:vAlign w:val="bottom"/>
          </w:tcPr>
          <w:p>
            <w:pPr>
              <w:spacing w:after="0"/>
              <w:rPr>
                <w:sz w:val="20"/>
                <w:szCs w:val="20"/>
                <w:color w:val="auto"/>
              </w:rPr>
            </w:pPr>
            <w:r>
              <w:rPr>
                <w:rFonts w:ascii="Arial" w:cs="Arial" w:eastAsia="Arial" w:hAnsi="Arial"/>
                <w:sz w:val="16"/>
                <w:szCs w:val="16"/>
                <w:color w:val="auto"/>
              </w:rPr>
              <w:t>Other assets</w:t>
            </w:r>
          </w:p>
        </w:tc>
        <w:tc>
          <w:tcPr>
            <w:tcW w:w="13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28,641</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24,035</w:t>
            </w:r>
          </w:p>
        </w:tc>
      </w:tr>
      <w:tr>
        <w:trPr>
          <w:trHeight w:val="223"/>
        </w:trPr>
        <w:tc>
          <w:tcPr>
            <w:tcW w:w="6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1840" w:type="dxa"/>
            <w:vAlign w:val="bottom"/>
            <w:gridSpan w:val="2"/>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1,259,867</w:t>
            </w:r>
          </w:p>
        </w:tc>
        <w:tc>
          <w:tcPr>
            <w:tcW w:w="580" w:type="dxa"/>
            <w:vAlign w:val="bottom"/>
            <w:gridSpan w:val="2"/>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1,122,446</w:t>
            </w:r>
          </w:p>
        </w:tc>
      </w:tr>
      <w:tr>
        <w:trPr>
          <w:trHeight w:val="169"/>
        </w:trPr>
        <w:tc>
          <w:tcPr>
            <w:tcW w:w="662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1360" w:type="dxa"/>
            <w:vAlign w:val="bottom"/>
            <w:tcBorders>
              <w:top w:val="single" w:sz="8" w:color="CFF0FC"/>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18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3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189"/>
        </w:trPr>
        <w:tc>
          <w:tcPr>
            <w:tcW w:w="662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84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18,858</w:t>
            </w:r>
          </w:p>
        </w:tc>
        <w:tc>
          <w:tcPr>
            <w:tcW w:w="58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15,353</w:t>
            </w:r>
          </w:p>
        </w:tc>
      </w:tr>
      <w:tr>
        <w:trPr>
          <w:trHeight w:val="189"/>
        </w:trPr>
        <w:tc>
          <w:tcPr>
            <w:tcW w:w="66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Funds payable to clients</w:t>
            </w:r>
          </w:p>
        </w:tc>
        <w:tc>
          <w:tcPr>
            <w:tcW w:w="13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302,943</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217,788</w:t>
            </w:r>
          </w:p>
        </w:tc>
      </w:tr>
      <w:tr>
        <w:trPr>
          <w:trHeight w:val="189"/>
        </w:trPr>
        <w:tc>
          <w:tcPr>
            <w:tcW w:w="6620" w:type="dxa"/>
            <w:vAlign w:val="bottom"/>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52,665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49,297</w:t>
            </w:r>
          </w:p>
        </w:tc>
      </w:tr>
      <w:tr>
        <w:trPr>
          <w:trHeight w:val="189"/>
        </w:trPr>
        <w:tc>
          <w:tcPr>
            <w:tcW w:w="6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Deferred revenue</w:t>
            </w:r>
          </w:p>
        </w:tc>
        <w:tc>
          <w:tcPr>
            <w:tcW w:w="136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21,454</w:t>
            </w:r>
          </w:p>
        </w:tc>
        <w:tc>
          <w:tcPr>
            <w:tcW w:w="12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7,337</w:t>
            </w:r>
          </w:p>
        </w:tc>
      </w:tr>
      <w:tr>
        <w:trPr>
          <w:trHeight w:val="183"/>
        </w:trPr>
        <w:tc>
          <w:tcPr>
            <w:tcW w:w="6620" w:type="dxa"/>
            <w:vAlign w:val="bottom"/>
          </w:tcPr>
          <w:p>
            <w:pPr>
              <w:ind w:left="300"/>
              <w:spacing w:after="0" w:line="183" w:lineRule="exact"/>
              <w:rPr>
                <w:sz w:val="20"/>
                <w:szCs w:val="20"/>
                <w:color w:val="auto"/>
              </w:rPr>
            </w:pPr>
            <w:r>
              <w:rPr>
                <w:rFonts w:ascii="Arial" w:cs="Arial" w:eastAsia="Arial" w:hAnsi="Arial"/>
                <w:sz w:val="16"/>
                <w:szCs w:val="16"/>
                <w:color w:val="auto"/>
              </w:rPr>
              <w:t>Total current liabilities</w:t>
            </w:r>
          </w:p>
        </w:tc>
        <w:tc>
          <w:tcPr>
            <w:tcW w:w="13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395,920</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289,775</w:t>
            </w:r>
          </w:p>
        </w:tc>
      </w:tr>
      <w:tr>
        <w:trPr>
          <w:trHeight w:val="183"/>
        </w:trPr>
        <w:tc>
          <w:tcPr>
            <w:tcW w:w="6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Deferred tax liabilities</w:t>
            </w:r>
          </w:p>
        </w:tc>
        <w:tc>
          <w:tcPr>
            <w:tcW w:w="13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13,009</w:t>
            </w: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12,643</w:t>
            </w:r>
          </w:p>
        </w:tc>
      </w:tr>
      <w:tr>
        <w:trPr>
          <w:trHeight w:val="189"/>
        </w:trPr>
        <w:tc>
          <w:tcPr>
            <w:tcW w:w="6620" w:type="dxa"/>
            <w:vAlign w:val="bottom"/>
          </w:tcPr>
          <w:p>
            <w:pPr>
              <w:spacing w:after="0"/>
              <w:rPr>
                <w:sz w:val="20"/>
                <w:szCs w:val="20"/>
                <w:color w:val="auto"/>
              </w:rPr>
            </w:pPr>
            <w:r>
              <w:rPr>
                <w:rFonts w:ascii="Arial" w:cs="Arial" w:eastAsia="Arial" w:hAnsi="Arial"/>
                <w:sz w:val="16"/>
                <w:szCs w:val="16"/>
                <w:color w:val="auto"/>
              </w:rPr>
              <w:t>Long-term debt</w:t>
            </w: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136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6,812</w:t>
            </w:r>
          </w:p>
        </w:tc>
        <w:tc>
          <w:tcPr>
            <w:tcW w:w="12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5,261</w:t>
            </w:r>
          </w:p>
        </w:tc>
      </w:tr>
      <w:tr>
        <w:trPr>
          <w:trHeight w:val="198"/>
        </w:trPr>
        <w:tc>
          <w:tcPr>
            <w:tcW w:w="662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430,741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307,679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-1380490</wp:posOffset>
            </wp:positionV>
            <wp:extent cx="7132320" cy="1500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0050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p>
      <w:pPr>
        <w:spacing w:after="0"/>
        <w:rPr>
          <w:sz w:val="20"/>
          <w:szCs w:val="20"/>
          <w:color w:val="auto"/>
        </w:rPr>
      </w:pPr>
      <w:r>
        <w:rPr>
          <w:rFonts w:ascii="Arial" w:cs="Arial" w:eastAsia="Arial" w:hAnsi="Arial"/>
          <w:sz w:val="16"/>
          <w:szCs w:val="16"/>
          <w:color w:val="auto"/>
        </w:rPr>
        <w:t>Commitments and contingencies (Note 17)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60" w:right="680"/>
        <w:spacing w:after="0" w:line="246" w:lineRule="auto"/>
        <w:rPr>
          <w:sz w:val="20"/>
          <w:szCs w:val="20"/>
          <w:color w:val="auto"/>
        </w:rPr>
      </w:pPr>
      <w:r>
        <w:rPr>
          <w:rFonts w:ascii="Arial" w:cs="Arial" w:eastAsia="Arial" w:hAnsi="Arial"/>
          <w:sz w:val="16"/>
          <w:szCs w:val="16"/>
          <w:color w:val="auto"/>
        </w:rPr>
        <w:t>Preferred stock, $0.0001 par value; 10,000,000 shares authorized, none issued and outstanding as of September 30, 2025 and December 31, 2024</w:t>
      </w:r>
    </w:p>
    <w:p>
      <w:pPr>
        <w:spacing w:after="0" w:line="1" w:lineRule="exact"/>
        <w:rPr>
          <w:sz w:val="20"/>
          <w:szCs w:val="20"/>
          <w:color w:val="auto"/>
        </w:rPr>
      </w:pPr>
    </w:p>
    <w:p>
      <w:pPr>
        <w:ind w:left="160" w:right="220"/>
        <w:spacing w:after="0" w:line="246" w:lineRule="auto"/>
        <w:rPr>
          <w:sz w:val="20"/>
          <w:szCs w:val="20"/>
          <w:color w:val="auto"/>
        </w:rPr>
      </w:pPr>
      <w:r>
        <w:rPr>
          <w:rFonts w:ascii="Arial" w:cs="Arial" w:eastAsia="Arial" w:hAnsi="Arial"/>
          <w:sz w:val="16"/>
          <w:szCs w:val="16"/>
          <w:color w:val="auto"/>
        </w:rPr>
        <w:t>Voting common stock, $0.0001 par value; 2,000,000,000 shares authorized, 129,761,844 shares issued and 120,238,939 shares outstanding as of September 30, 2025; 126,853,852 shares issued and 122,182,878 shares outstanding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60" w:right="300"/>
        <w:spacing w:after="0" w:line="246" w:lineRule="auto"/>
        <w:rPr>
          <w:sz w:val="20"/>
          <w:szCs w:val="20"/>
          <w:color w:val="auto"/>
        </w:rPr>
      </w:pPr>
      <w:r>
        <w:rPr>
          <w:rFonts w:ascii="Arial" w:cs="Arial" w:eastAsia="Arial" w:hAnsi="Arial"/>
          <w:sz w:val="16"/>
          <w:szCs w:val="16"/>
          <w:color w:val="auto"/>
        </w:rPr>
        <w:t>Non-voting common stock, $0.0001 par value; 10,000,000 shares authorized, 1,873,320 shares issued and outstanding as of September 30, 2025 and December 31, 2024, respectively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Treasury voting common stock, at cost; 9,522,905 and 4,670,974 shares as of September 30, 2025 and</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Additional paid-in capital</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other 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1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72"/>
        </w:trPr>
        <w:tc>
          <w:tcPr>
            <w:tcW w:w="1180" w:type="dxa"/>
            <w:vAlign w:val="bottom"/>
          </w:tcPr>
          <w:p>
            <w:pPr>
              <w:jc w:val="right"/>
              <w:ind w:right="379"/>
              <w:spacing w:after="0"/>
              <w:rPr>
                <w:sz w:val="20"/>
                <w:szCs w:val="20"/>
                <w:color w:val="auto"/>
              </w:rPr>
            </w:pPr>
            <w:r>
              <w:rPr>
                <w:rFonts w:ascii="Arial" w:cs="Arial" w:eastAsia="Arial" w:hAnsi="Arial"/>
                <w:sz w:val="16"/>
                <w:szCs w:val="16"/>
                <w:color w:val="auto"/>
              </w:rPr>
              <w:t>13</w:t>
            </w: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473"/>
        </w:trPr>
        <w:tc>
          <w:tcPr>
            <w:tcW w:w="11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1180" w:type="dxa"/>
            <w:vAlign w:val="bottom"/>
          </w:tcPr>
          <w:p>
            <w:pPr>
              <w:jc w:val="right"/>
              <w:ind w:right="379"/>
              <w:spacing w:after="0"/>
              <w:rPr>
                <w:sz w:val="20"/>
                <w:szCs w:val="20"/>
                <w:color w:val="auto"/>
              </w:rPr>
            </w:pPr>
            <w:r>
              <w:rPr>
                <w:rFonts w:ascii="Arial" w:cs="Arial" w:eastAsia="Arial" w:hAnsi="Arial"/>
                <w:sz w:val="16"/>
                <w:szCs w:val="16"/>
                <w:color w:val="auto"/>
              </w:rPr>
              <w:t>(108,687)</w:t>
            </w:r>
          </w:p>
        </w:tc>
        <w:tc>
          <w:tcPr>
            <w:tcW w:w="1200" w:type="dxa"/>
            <w:vAlign w:val="bottom"/>
          </w:tcPr>
          <w:p>
            <w:pPr>
              <w:jc w:val="right"/>
              <w:spacing w:after="0"/>
              <w:rPr>
                <w:sz w:val="20"/>
                <w:szCs w:val="20"/>
                <w:color w:val="auto"/>
              </w:rPr>
            </w:pPr>
            <w:r>
              <w:rPr>
                <w:rFonts w:ascii="Arial" w:cs="Arial" w:eastAsia="Arial" w:hAnsi="Arial"/>
                <w:sz w:val="16"/>
                <w:szCs w:val="16"/>
                <w:color w:val="auto"/>
              </w:rPr>
              <w:t>(46,268)</w:t>
            </w:r>
          </w:p>
        </w:tc>
      </w:tr>
      <w:tr>
        <w:trPr>
          <w:trHeight w:val="258"/>
        </w:trPr>
        <w:tc>
          <w:tcPr>
            <w:tcW w:w="1180" w:type="dxa"/>
            <w:vAlign w:val="bottom"/>
          </w:tcPr>
          <w:p>
            <w:pPr>
              <w:jc w:val="right"/>
              <w:ind w:right="379"/>
              <w:spacing w:after="0"/>
              <w:rPr>
                <w:sz w:val="20"/>
                <w:szCs w:val="20"/>
                <w:color w:val="auto"/>
              </w:rPr>
            </w:pPr>
            <w:r>
              <w:rPr>
                <w:rFonts w:ascii="Arial" w:cs="Arial" w:eastAsia="Arial" w:hAnsi="Arial"/>
                <w:sz w:val="16"/>
                <w:szCs w:val="16"/>
                <w:color w:val="auto"/>
                <w:w w:val="98"/>
              </w:rPr>
              <w:t>1,090,002</w:t>
            </w:r>
          </w:p>
        </w:tc>
        <w:tc>
          <w:tcPr>
            <w:tcW w:w="1200" w:type="dxa"/>
            <w:vAlign w:val="bottom"/>
          </w:tcPr>
          <w:p>
            <w:pPr>
              <w:jc w:val="right"/>
              <w:spacing w:after="0"/>
              <w:rPr>
                <w:sz w:val="20"/>
                <w:szCs w:val="20"/>
                <w:color w:val="auto"/>
              </w:rPr>
            </w:pPr>
            <w:r>
              <w:rPr>
                <w:rFonts w:ascii="Arial" w:cs="Arial" w:eastAsia="Arial" w:hAnsi="Arial"/>
                <w:sz w:val="16"/>
                <w:szCs w:val="16"/>
                <w:color w:val="auto"/>
              </w:rPr>
              <w:t>1,033,958</w:t>
            </w:r>
          </w:p>
        </w:tc>
      </w:tr>
      <w:tr>
        <w:trPr>
          <w:trHeight w:val="201"/>
        </w:trPr>
        <w:tc>
          <w:tcPr>
            <w:tcW w:w="1180" w:type="dxa"/>
            <w:vAlign w:val="bottom"/>
          </w:tcPr>
          <w:p>
            <w:pPr>
              <w:jc w:val="right"/>
              <w:ind w:right="379"/>
              <w:spacing w:after="0"/>
              <w:rPr>
                <w:sz w:val="20"/>
                <w:szCs w:val="20"/>
                <w:color w:val="auto"/>
              </w:rPr>
            </w:pPr>
            <w:r>
              <w:rPr>
                <w:rFonts w:ascii="Arial" w:cs="Arial" w:eastAsia="Arial" w:hAnsi="Arial"/>
                <w:sz w:val="16"/>
                <w:szCs w:val="16"/>
                <w:color w:val="auto"/>
              </w:rPr>
              <w:t>5,204</w:t>
            </w:r>
          </w:p>
        </w:tc>
        <w:tc>
          <w:tcPr>
            <w:tcW w:w="1200" w:type="dxa"/>
            <w:vAlign w:val="bottom"/>
          </w:tcPr>
          <w:p>
            <w:pPr>
              <w:jc w:val="right"/>
              <w:spacing w:after="0"/>
              <w:rPr>
                <w:sz w:val="20"/>
                <w:szCs w:val="20"/>
                <w:color w:val="auto"/>
              </w:rPr>
            </w:pPr>
            <w:r>
              <w:rPr>
                <w:rFonts w:ascii="Arial" w:cs="Arial" w:eastAsia="Arial" w:hAnsi="Arial"/>
                <w:sz w:val="16"/>
                <w:szCs w:val="16"/>
                <w:color w:val="auto"/>
              </w:rPr>
              <w:t>(2,066)</w:t>
            </w:r>
          </w:p>
        </w:tc>
      </w:tr>
    </w:tbl>
    <w:p>
      <w:pPr>
        <w:spacing w:after="0" w:line="7" w:lineRule="exact"/>
        <w:rPr>
          <w:sz w:val="20"/>
          <w:szCs w:val="20"/>
          <w:color w:val="auto"/>
        </w:rPr>
      </w:pPr>
    </w:p>
    <w:p>
      <w:pPr>
        <w:sectPr>
          <w:pgSz w:w="11900" w:h="16838" w:orient="portrait"/>
          <w:cols w:equalWidth="0" w:num="2">
            <w:col w:w="8120" w:space="720"/>
            <w:col w:w="2400"/>
          </w:cols>
          <w:pgMar w:left="320" w:top="1201"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55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Accumulated deficit</w:t>
            </w:r>
          </w:p>
        </w:tc>
        <w:tc>
          <w:tcPr>
            <w:tcW w:w="244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(157,406)</w:t>
            </w:r>
          </w:p>
        </w:tc>
        <w:tc>
          <w:tcPr>
            <w:tcW w:w="12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(170,870)</w:t>
            </w:r>
          </w:p>
        </w:tc>
      </w:tr>
      <w:tr>
        <w:trPr>
          <w:trHeight w:val="183"/>
        </w:trPr>
        <w:tc>
          <w:tcPr>
            <w:tcW w:w="5540" w:type="dxa"/>
            <w:vAlign w:val="bottom"/>
          </w:tcPr>
          <w:p>
            <w:pPr>
              <w:spacing w:after="0" w:line="183" w:lineRule="exact"/>
              <w:rPr>
                <w:sz w:val="20"/>
                <w:szCs w:val="20"/>
                <w:color w:val="auto"/>
              </w:rPr>
            </w:pPr>
            <w:r>
              <w:rPr>
                <w:rFonts w:ascii="Arial" w:cs="Arial" w:eastAsia="Arial" w:hAnsi="Arial"/>
                <w:sz w:val="16"/>
                <w:szCs w:val="16"/>
                <w:b w:val="1"/>
                <w:bCs w:val="1"/>
                <w:color w:val="auto"/>
              </w:rPr>
              <w:t>Total stockholders’ equity</w:t>
            </w:r>
          </w:p>
        </w:tc>
        <w:tc>
          <w:tcPr>
            <w:tcW w:w="24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829,126</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814,767</w:t>
            </w:r>
          </w:p>
        </w:tc>
      </w:tr>
      <w:tr>
        <w:trPr>
          <w:trHeight w:val="203"/>
        </w:trPr>
        <w:tc>
          <w:tcPr>
            <w:tcW w:w="55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liabilities and stockholders’ equity</w:t>
            </w:r>
          </w:p>
        </w:tc>
        <w:tc>
          <w:tcPr>
            <w:tcW w:w="24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1,259,867</w:t>
            </w:r>
          </w:p>
        </w:tc>
        <w:tc>
          <w:tcPr>
            <w:tcW w:w="580" w:type="dxa"/>
            <w:vAlign w:val="bottom"/>
            <w:gridSpan w:val="2"/>
            <w:shd w:val="clear" w:color="auto" w:fill="CFF0FC"/>
          </w:tcPr>
          <w:p>
            <w:pPr>
              <w:jc w:val="right"/>
              <w:ind w:right="38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1,122,446</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24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-281940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jc w:val="center"/>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200,138</w:t>
            </w:r>
          </w:p>
        </w:tc>
        <w:tc>
          <w:tcPr>
            <w:tcW w:w="48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156,815</w:t>
            </w:r>
          </w:p>
        </w:tc>
        <w:tc>
          <w:tcPr>
            <w:tcW w:w="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465,481</w:t>
            </w:r>
          </w:p>
        </w:tc>
        <w:tc>
          <w:tcPr>
            <w:tcW w:w="440" w:type="dxa"/>
            <w:vAlign w:val="bottom"/>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374,594</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Costs and operating expenses: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Payment processing services costs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72,318</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54,557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176,768</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136,106</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Technology and development</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17,650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51,667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49,266</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Selling and marketing</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41,911</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34,228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116,857</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96,082</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36,006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31,065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99,239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94,620</w:t>
            </w:r>
          </w:p>
        </w:tc>
        <w:tc>
          <w:tcPr>
            <w:tcW w:w="0" w:type="dxa"/>
            <w:vAlign w:val="bottom"/>
          </w:tcPr>
          <w:p>
            <w:pPr>
              <w:spacing w:after="0"/>
              <w:rPr>
                <w:sz w:val="1"/>
                <w:szCs w:val="1"/>
                <w:color w:val="auto"/>
              </w:rPr>
            </w:pPr>
          </w:p>
        </w:tc>
      </w:tr>
      <w:tr>
        <w:trPr>
          <w:trHeight w:val="189"/>
        </w:trPr>
        <w:tc>
          <w:tcPr>
            <w:tcW w:w="46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Restructuring</w:t>
            </w:r>
          </w:p>
        </w:tc>
        <w:tc>
          <w:tcPr>
            <w:tcW w:w="1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8,690</w:t>
            </w: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620" w:type="dxa"/>
            <w:vAlign w:val="bottom"/>
          </w:tcPr>
          <w:p>
            <w:pPr>
              <w:ind w:left="180"/>
              <w:spacing w:after="0" w:line="183" w:lineRule="exact"/>
              <w:rPr>
                <w:sz w:val="20"/>
                <w:szCs w:val="20"/>
                <w:color w:val="auto"/>
              </w:rPr>
            </w:pPr>
            <w:r>
              <w:rPr>
                <w:rFonts w:ascii="Arial" w:cs="Arial" w:eastAsia="Arial" w:hAnsi="Arial"/>
                <w:sz w:val="16"/>
                <w:szCs w:val="16"/>
                <w:color w:val="auto"/>
              </w:rPr>
              <w:t>Total costs and operating expenses</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167,885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136,545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453,221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376,074</w:t>
            </w: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Income (loss) from operations</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32,253</w:t>
            </w:r>
          </w:p>
        </w:tc>
        <w:tc>
          <w:tcPr>
            <w:tcW w:w="48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20,270</w:t>
            </w:r>
          </w:p>
        </w:tc>
        <w:tc>
          <w:tcPr>
            <w:tcW w:w="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12,260</w:t>
            </w:r>
          </w:p>
        </w:tc>
        <w:tc>
          <w:tcPr>
            <w:tcW w:w="440" w:type="dxa"/>
            <w:vAlign w:val="bottom"/>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170"/>
        </w:trPr>
        <w:tc>
          <w:tcPr>
            <w:tcW w:w="462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Other (expense) income:</w:t>
            </w: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(2,986)</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16,568</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(Loss) gain from remeasurement of foreign currency</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6,897</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2,079</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Gain on available-for-sale debt securities</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shd w:val="clear" w:color="auto" w:fill="CFF0FC"/>
          </w:tcPr>
          <w:p>
            <w:pPr>
              <w:ind w:left="180"/>
              <w:spacing w:after="0" w:line="183" w:lineRule="exact"/>
              <w:rPr>
                <w:sz w:val="20"/>
                <w:szCs w:val="20"/>
                <w:color w:val="auto"/>
              </w:rPr>
            </w:pPr>
            <w:r>
              <w:rPr>
                <w:rFonts w:ascii="Arial" w:cs="Arial" w:eastAsia="Arial" w:hAnsi="Arial"/>
                <w:sz w:val="16"/>
                <w:szCs w:val="16"/>
                <w:color w:val="auto"/>
              </w:rPr>
              <w:t>Total other (expense) income, net</w:t>
            </w:r>
          </w:p>
        </w:tc>
        <w:tc>
          <w:tcPr>
            <w:tcW w:w="1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(1,054)</w:t>
            </w: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10,299</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8,869</w:t>
            </w: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18,244</w:t>
            </w:r>
          </w:p>
        </w:tc>
        <w:tc>
          <w:tcPr>
            <w:tcW w:w="0" w:type="dxa"/>
            <w:vAlign w:val="bottom"/>
          </w:tcPr>
          <w:p>
            <w:pPr>
              <w:spacing w:after="0"/>
              <w:rPr>
                <w:sz w:val="1"/>
                <w:szCs w:val="1"/>
                <w:color w:val="auto"/>
              </w:rPr>
            </w:pP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color w:val="auto"/>
              </w:rPr>
              <w:t>Income before income taxes</w:t>
            </w:r>
          </w:p>
        </w:tc>
        <w:tc>
          <w:tcPr>
            <w:tcW w:w="180" w:type="dxa"/>
            <w:vAlign w:val="bottom"/>
          </w:tcPr>
          <w:p>
            <w:pPr>
              <w:spacing w:after="0"/>
              <w:rPr>
                <w:sz w:val="15"/>
                <w:szCs w:val="15"/>
                <w:color w:val="auto"/>
              </w:rPr>
            </w:pPr>
          </w:p>
        </w:tc>
        <w:tc>
          <w:tcPr>
            <w:tcW w:w="1400" w:type="dxa"/>
            <w:vAlign w:val="bottom"/>
          </w:tcPr>
          <w:p>
            <w:pPr>
              <w:jc w:val="right"/>
              <w:spacing w:after="0" w:line="183" w:lineRule="exact"/>
              <w:rPr>
                <w:sz w:val="20"/>
                <w:szCs w:val="20"/>
                <w:color w:val="auto"/>
              </w:rPr>
            </w:pPr>
            <w:r>
              <w:rPr>
                <w:rFonts w:ascii="Arial" w:cs="Arial" w:eastAsia="Arial" w:hAnsi="Arial"/>
                <w:sz w:val="16"/>
                <w:szCs w:val="16"/>
                <w:color w:val="auto"/>
              </w:rPr>
              <w:t>31,199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30,569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21,129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16,764</w:t>
            </w:r>
          </w:p>
        </w:tc>
        <w:tc>
          <w:tcPr>
            <w:tcW w:w="0" w:type="dxa"/>
            <w:vAlign w:val="bottom"/>
          </w:tcPr>
          <w:p>
            <w:pPr>
              <w:spacing w:after="0"/>
              <w:rPr>
                <w:sz w:val="1"/>
                <w:szCs w:val="1"/>
                <w:color w:val="auto"/>
              </w:rPr>
            </w:pPr>
          </w:p>
        </w:tc>
      </w:tr>
      <w:tr>
        <w:trPr>
          <w:trHeight w:val="189"/>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(benefit from) income taxes</w:t>
            </w:r>
          </w:p>
        </w:tc>
        <w:tc>
          <w:tcPr>
            <w:tcW w:w="1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1,568</w:t>
            </w:r>
          </w:p>
        </w:tc>
        <w:tc>
          <w:tcPr>
            <w:tcW w:w="1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(8,327)</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7,665</w:t>
            </w: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b w:val="1"/>
                <w:bCs w:val="1"/>
                <w:color w:val="auto"/>
              </w:rPr>
              <w:t>Net income</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line="183" w:lineRule="exact"/>
              <w:rPr>
                <w:sz w:val="20"/>
                <w:szCs w:val="20"/>
                <w:color w:val="auto"/>
              </w:rPr>
            </w:pPr>
            <w:r>
              <w:rPr>
                <w:rFonts w:ascii="Arial" w:cs="Arial" w:eastAsia="Arial" w:hAnsi="Arial"/>
                <w:sz w:val="16"/>
                <w:szCs w:val="16"/>
                <w:color w:val="auto"/>
              </w:rPr>
              <w:t>29,631</w:t>
            </w:r>
          </w:p>
        </w:tc>
        <w:tc>
          <w:tcPr>
            <w:tcW w:w="480" w:type="dxa"/>
            <w:vAlign w:val="bottom"/>
            <w:gridSpan w:val="2"/>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38,896</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13,464</w:t>
            </w:r>
          </w:p>
        </w:tc>
        <w:tc>
          <w:tcPr>
            <w:tcW w:w="440" w:type="dxa"/>
            <w:vAlign w:val="bottom"/>
            <w:gridSpan w:val="2"/>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18,799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2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Other comprehensive income:</w:t>
            </w: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Foreign currency translation adjustment</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(1,917)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3,736</w:t>
            </w: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100"/>
              <w:spacing w:after="0" w:line="175" w:lineRule="exact"/>
              <w:rPr>
                <w:sz w:val="20"/>
                <w:szCs w:val="20"/>
                <w:color w:val="auto"/>
              </w:rPr>
            </w:pPr>
            <w:r>
              <w:rPr>
                <w:rFonts w:ascii="Arial" w:cs="Arial" w:eastAsia="Arial" w:hAnsi="Arial"/>
                <w:sz w:val="16"/>
                <w:szCs w:val="16"/>
                <w:color w:val="auto"/>
              </w:rPr>
              <w:t>Unrealized gains (losses) on available-for-sale debt securities,</w:t>
            </w:r>
          </w:p>
        </w:tc>
        <w:tc>
          <w:tcPr>
            <w:tcW w:w="180" w:type="dxa"/>
            <w:vAlign w:val="bottom"/>
            <w:shd w:val="clear" w:color="auto" w:fill="CFF0FC"/>
          </w:tcPr>
          <w:p>
            <w:pPr>
              <w:spacing w:after="0"/>
              <w:rPr>
                <w:sz w:val="15"/>
                <w:szCs w:val="15"/>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702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107"/>
        </w:trPr>
        <w:tc>
          <w:tcPr>
            <w:tcW w:w="4620" w:type="dxa"/>
            <w:vAlign w:val="bottom"/>
            <w:vMerge w:val="restart"/>
            <w:shd w:val="clear" w:color="auto" w:fill="CFF0FC"/>
          </w:tcPr>
          <w:p>
            <w:pPr>
              <w:ind w:left="100"/>
              <w:spacing w:after="0"/>
              <w:rPr>
                <w:sz w:val="20"/>
                <w:szCs w:val="20"/>
                <w:color w:val="auto"/>
              </w:rPr>
            </w:pPr>
            <w:r>
              <w:rPr>
                <w:rFonts w:ascii="Arial" w:cs="Arial" w:eastAsia="Arial" w:hAnsi="Arial"/>
                <w:sz w:val="16"/>
                <w:szCs w:val="16"/>
                <w:color w:val="auto"/>
              </w:rPr>
              <w:t>net of taxes</w:t>
            </w:r>
          </w:p>
        </w:tc>
        <w:tc>
          <w:tcPr>
            <w:tcW w:w="180" w:type="dxa"/>
            <w:vAlign w:val="bottom"/>
            <w:shd w:val="clear" w:color="auto" w:fill="CFF0FC"/>
          </w:tcPr>
          <w:p>
            <w:pPr>
              <w:spacing w:after="0"/>
              <w:rPr>
                <w:sz w:val="9"/>
                <w:szCs w:val="9"/>
                <w:color w:val="auto"/>
              </w:rPr>
            </w:pPr>
          </w:p>
        </w:tc>
        <w:tc>
          <w:tcPr>
            <w:tcW w:w="14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3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2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4620" w:type="dxa"/>
            <w:vAlign w:val="bottom"/>
            <w:tcBorders>
              <w:bottom w:val="single" w:sz="8" w:color="CFF0FC"/>
            </w:tcBorders>
            <w:vMerge w:val="continue"/>
            <w:shd w:val="clear" w:color="auto" w:fill="CFF0FC"/>
          </w:tcPr>
          <w:p>
            <w:pPr>
              <w:spacing w:after="0"/>
              <w:rPr>
                <w:sz w:val="7"/>
                <w:szCs w:val="7"/>
                <w:color w:val="auto"/>
              </w:rPr>
            </w:pPr>
          </w:p>
        </w:tc>
        <w:tc>
          <w:tcPr>
            <w:tcW w:w="180" w:type="dxa"/>
            <w:vAlign w:val="bottom"/>
            <w:tcBorders>
              <w:bottom w:val="single" w:sz="8" w:color="auto"/>
            </w:tcBorders>
            <w:shd w:val="clear" w:color="auto" w:fill="CFF0FC"/>
          </w:tcPr>
          <w:p>
            <w:pPr>
              <w:spacing w:after="0"/>
              <w:rPr>
                <w:sz w:val="7"/>
                <w:szCs w:val="7"/>
                <w:color w:val="auto"/>
              </w:rPr>
            </w:pPr>
          </w:p>
        </w:tc>
        <w:tc>
          <w:tcPr>
            <w:tcW w:w="1400" w:type="dxa"/>
            <w:vAlign w:val="bottom"/>
            <w:tcBorders>
              <w:bottom w:val="single" w:sz="8" w:color="auto"/>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360" w:type="dxa"/>
            <w:vAlign w:val="bottom"/>
            <w:tcBorders>
              <w:bottom w:val="single" w:sz="8" w:color="auto"/>
            </w:tcBorders>
            <w:shd w:val="clear" w:color="auto" w:fill="CFF0FC"/>
          </w:tcPr>
          <w:p>
            <w:pPr>
              <w:spacing w:after="0"/>
              <w:rPr>
                <w:sz w:val="7"/>
                <w:szCs w:val="7"/>
                <w:color w:val="auto"/>
              </w:rPr>
            </w:pPr>
          </w:p>
        </w:tc>
        <w:tc>
          <w:tcPr>
            <w:tcW w:w="1220" w:type="dxa"/>
            <w:vAlign w:val="bottom"/>
            <w:tcBorders>
              <w:bottom w:val="single" w:sz="8" w:color="auto"/>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180" w:type="dxa"/>
            <w:vAlign w:val="bottom"/>
            <w:tcBorders>
              <w:bottom w:val="single" w:sz="8" w:color="auto"/>
            </w:tcBorders>
            <w:shd w:val="clear" w:color="auto" w:fill="CFF0FC"/>
          </w:tcPr>
          <w:p>
            <w:pPr>
              <w:spacing w:after="0"/>
              <w:rPr>
                <w:sz w:val="7"/>
                <w:szCs w:val="7"/>
                <w:color w:val="auto"/>
              </w:rPr>
            </w:pPr>
          </w:p>
        </w:tc>
        <w:tc>
          <w:tcPr>
            <w:tcW w:w="1380" w:type="dxa"/>
            <w:vAlign w:val="bottom"/>
            <w:tcBorders>
              <w:bottom w:val="single" w:sz="8" w:color="auto"/>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340" w:type="dxa"/>
            <w:vAlign w:val="bottom"/>
            <w:tcBorders>
              <w:bottom w:val="single" w:sz="8" w:color="auto"/>
            </w:tcBorders>
            <w:shd w:val="clear" w:color="auto" w:fill="CFF0FC"/>
          </w:tcPr>
          <w:p>
            <w:pPr>
              <w:spacing w:after="0"/>
              <w:rPr>
                <w:sz w:val="7"/>
                <w:szCs w:val="7"/>
                <w:color w:val="auto"/>
              </w:rPr>
            </w:pPr>
          </w:p>
        </w:tc>
        <w:tc>
          <w:tcPr>
            <w:tcW w:w="1220" w:type="dxa"/>
            <w:vAlign w:val="bottom"/>
            <w:tcBorders>
              <w:bottom w:val="single" w:sz="8" w:color="auto"/>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4620" w:type="dxa"/>
            <w:vAlign w:val="bottom"/>
          </w:tcPr>
          <w:p>
            <w:pPr>
              <w:ind w:left="180"/>
              <w:spacing w:after="0" w:line="183" w:lineRule="exact"/>
              <w:rPr>
                <w:sz w:val="20"/>
                <w:szCs w:val="20"/>
                <w:color w:val="auto"/>
              </w:rPr>
            </w:pPr>
            <w:r>
              <w:rPr>
                <w:rFonts w:ascii="Arial" w:cs="Arial" w:eastAsia="Arial" w:hAnsi="Arial"/>
                <w:sz w:val="16"/>
                <w:szCs w:val="16"/>
                <w:color w:val="auto"/>
              </w:rPr>
              <w:t>Total other comprehensive (loss) income</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(1,897)</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5,606</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7,270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4,385</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Comprehensive income</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27,734</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44,502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20,734</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-2167890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-2167890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-2167890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-1911350</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-1893570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-1911350</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-1893570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-1911350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-1893570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-1156970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-1156970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-1156970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-908050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-908050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-908050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-282575</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-282575</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-282575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-25400</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17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Net income attributable to common stockholders – basic and diluted</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Net income per share attributable to common stockholders – basic</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Net income per share attributable to common stockholders – diluted</w:t>
      </w:r>
    </w:p>
    <w:p>
      <w:pPr>
        <w:spacing w:after="0" w:line="1"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Weighted average common shares outstanding – basic Weighted average common shares outstanding – diluted</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29,631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38,896</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13,464</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18,799</w:t>
            </w:r>
          </w:p>
        </w:tc>
      </w:tr>
      <w:tr>
        <w:trPr>
          <w:trHeight w:val="378"/>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0.24</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0.31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378"/>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0.30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258"/>
        </w:trPr>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122,434,615</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124,887,591</w:t>
            </w:r>
          </w:p>
        </w:tc>
        <w:tc>
          <w:tcPr>
            <w:tcW w:w="4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122,504,476</w:t>
            </w:r>
          </w:p>
        </w:tc>
        <w:tc>
          <w:tcPr>
            <w:tcW w:w="4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124,204,873</w:t>
            </w:r>
          </w:p>
        </w:tc>
      </w:tr>
      <w:tr>
        <w:trPr>
          <w:trHeight w:val="215"/>
        </w:trPr>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127,675,613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129,155,010</w:t>
            </w: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127,495,177</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129,321,537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-966470</wp:posOffset>
            </wp:positionV>
            <wp:extent cx="713232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-487045</wp:posOffset>
            </wp:positionV>
            <wp:extent cx="713232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-126365</wp:posOffset>
            </wp:positionV>
            <wp:extent cx="713232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4340" w:space="280"/>
            <w:col w:w="6620"/>
          </w:cols>
          <w:pgMar w:left="320" w:top="1417"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21" w:lineRule="auto"/>
        <w:rPr>
          <w:sz w:val="20"/>
          <w:szCs w:val="20"/>
          <w:color w:val="auto"/>
        </w:rPr>
      </w:pPr>
      <w:r>
        <w:rPr>
          <w:rFonts w:ascii="Arial" w:cs="Arial" w:eastAsia="Arial" w:hAnsi="Arial"/>
          <w:sz w:val="13"/>
          <w:szCs w:val="13"/>
          <w:b w:val="1"/>
          <w:bCs w:val="1"/>
          <w:color w:val="auto"/>
        </w:rPr>
        <w:t xml:space="preserve">Balances at June 30, 2025 </w:t>
      </w:r>
      <w:r>
        <w:rPr>
          <w:rFonts w:ascii="Arial" w:cs="Arial" w:eastAsia="Arial" w:hAnsi="Arial"/>
          <w:sz w:val="13"/>
          <w:szCs w:val="13"/>
          <w:color w:val="auto"/>
        </w:rPr>
        <w:t>Issuance of common stock upon exercise of stock options, net of tax withheld</w:t>
      </w:r>
    </w:p>
    <w:p>
      <w:pPr>
        <w:spacing w:after="0" w:line="1" w:lineRule="exact"/>
        <w:rPr>
          <w:sz w:val="20"/>
          <w:szCs w:val="20"/>
          <w:color w:val="auto"/>
        </w:rPr>
      </w:pPr>
    </w:p>
    <w:p>
      <w:pPr>
        <w:ind w:right="40"/>
        <w:spacing w:after="0" w:line="216" w:lineRule="auto"/>
        <w:rPr>
          <w:sz w:val="20"/>
          <w:szCs w:val="20"/>
          <w:color w:val="auto"/>
        </w:rPr>
      </w:pPr>
      <w:r>
        <w:rPr>
          <w:rFonts w:ascii="Arial" w:cs="Arial" w:eastAsia="Arial" w:hAnsi="Arial"/>
          <w:sz w:val="13"/>
          <w:szCs w:val="13"/>
          <w:color w:val="auto"/>
        </w:rPr>
        <w:t>Issuance of common stock upon settlement of restricted stock units, net of tax withheld</w:t>
      </w:r>
    </w:p>
    <w:p>
      <w:pPr>
        <w:spacing w:after="0" w:line="1" w:lineRule="exact"/>
        <w:rPr>
          <w:sz w:val="20"/>
          <w:szCs w:val="20"/>
          <w:color w:val="auto"/>
        </w:rPr>
      </w:pPr>
    </w:p>
    <w:p>
      <w:pPr>
        <w:ind w:right="120"/>
        <w:spacing w:after="0" w:line="216" w:lineRule="auto"/>
        <w:rPr>
          <w:sz w:val="20"/>
          <w:szCs w:val="20"/>
          <w:color w:val="auto"/>
        </w:rPr>
      </w:pPr>
      <w:r>
        <w:rPr>
          <w:rFonts w:ascii="Arial" w:cs="Arial" w:eastAsia="Arial" w:hAnsi="Arial"/>
          <w:sz w:val="13"/>
          <w:szCs w:val="13"/>
          <w:color w:val="auto"/>
        </w:rPr>
        <w:t>Issuance of treasury stock Issuance of common stock under employee stock purchase plan Common stock repurchases, including related costs Foreign currency translation adjustment</w:t>
      </w:r>
    </w:p>
    <w:p>
      <w:pPr>
        <w:spacing w:after="0" w:line="3" w:lineRule="exact"/>
        <w:rPr>
          <w:sz w:val="20"/>
          <w:szCs w:val="20"/>
          <w:color w:val="auto"/>
        </w:rPr>
      </w:pPr>
    </w:p>
    <w:p>
      <w:pPr>
        <w:ind w:right="100"/>
        <w:spacing w:after="0" w:line="224" w:lineRule="auto"/>
        <w:rPr>
          <w:sz w:val="20"/>
          <w:szCs w:val="20"/>
          <w:color w:val="auto"/>
        </w:rPr>
      </w:pPr>
      <w:r>
        <w:rPr>
          <w:rFonts w:ascii="Arial" w:cs="Arial" w:eastAsia="Arial" w:hAnsi="Arial"/>
          <w:sz w:val="13"/>
          <w:szCs w:val="13"/>
          <w:color w:val="auto"/>
        </w:rPr>
        <w:t>Unrealized gains on available-for-sale debt securities, net of taxes Stock-based compensation Net income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Balances at September 30, 2025</w:t>
      </w:r>
    </w:p>
    <w:p>
      <w:pPr>
        <w:spacing w:after="0" w:line="20" w:lineRule="exact"/>
        <w:rPr>
          <w:sz w:val="20"/>
          <w:szCs w:val="20"/>
          <w:color w:val="auto"/>
        </w:rPr>
      </w:pPr>
      <w:r>
        <w:rPr>
          <w:sz w:val="20"/>
          <w:szCs w:val="20"/>
          <w:color w:val="auto"/>
        </w:rPr>
        <w:br w:type="column"/>
      </w:r>
    </w:p>
    <w:p>
      <w:pPr>
        <w:jc w:val="center"/>
        <w:ind w:right="2080"/>
        <w:spacing w:after="0"/>
        <w:rPr>
          <w:sz w:val="20"/>
          <w:szCs w:val="20"/>
          <w:color w:val="auto"/>
        </w:rPr>
      </w:pPr>
      <w:r>
        <w:rPr>
          <w:rFonts w:ascii="Arial" w:cs="Arial" w:eastAsia="Arial" w:hAnsi="Arial"/>
          <w:sz w:val="17"/>
          <w:szCs w:val="17"/>
          <w:b w:val="1"/>
          <w:bCs w:val="1"/>
          <w:color w:val="auto"/>
        </w:rPr>
        <w:t>FLYWIRE CORPORATION</w:t>
      </w:r>
    </w:p>
    <w:p>
      <w:pPr>
        <w:spacing w:after="0" w:line="3" w:lineRule="exact"/>
        <w:rPr>
          <w:sz w:val="20"/>
          <w:szCs w:val="20"/>
          <w:color w:val="auto"/>
        </w:rPr>
      </w:pPr>
    </w:p>
    <w:p>
      <w:pPr>
        <w:jc w:val="center"/>
        <w:ind w:right="2080"/>
        <w:spacing w:after="0"/>
        <w:rPr>
          <w:sz w:val="20"/>
          <w:szCs w:val="20"/>
          <w:color w:val="auto"/>
        </w:rPr>
      </w:pPr>
      <w:r>
        <w:rPr>
          <w:rFonts w:ascii="Arial" w:cs="Arial" w:eastAsia="Arial" w:hAnsi="Arial"/>
          <w:sz w:val="17"/>
          <w:szCs w:val="17"/>
          <w:b w:val="1"/>
          <w:bCs w:val="1"/>
          <w:color w:val="auto"/>
        </w:rPr>
        <w:t>CONDENSED CONSOLIDATED STATEMENTS OF STOCKHOLDERS’ EQUITY</w:t>
      </w:r>
    </w:p>
    <w:p>
      <w:pPr>
        <w:jc w:val="center"/>
        <w:ind w:right="2080"/>
        <w:spacing w:after="0"/>
        <w:rPr>
          <w:sz w:val="20"/>
          <w:szCs w:val="20"/>
          <w:color w:val="auto"/>
        </w:rPr>
      </w:pPr>
      <w:r>
        <w:rPr>
          <w:rFonts w:ascii="Arial" w:cs="Arial" w:eastAsia="Arial" w:hAnsi="Arial"/>
          <w:sz w:val="17"/>
          <w:szCs w:val="17"/>
          <w:color w:val="auto"/>
        </w:rPr>
        <w:t>(Unaudited) (Amounts in thousands, except share amounts)</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8204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560" w:type="dxa"/>
            <w:vAlign w:val="bottom"/>
            <w:gridSpan w:val="3"/>
          </w:tcPr>
          <w:p>
            <w:pPr>
              <w:jc w:val="right"/>
              <w:spacing w:after="0" w:line="136" w:lineRule="exact"/>
              <w:rPr>
                <w:sz w:val="20"/>
                <w:szCs w:val="20"/>
                <w:color w:val="auto"/>
              </w:rPr>
            </w:pPr>
            <w:r>
              <w:rPr>
                <w:rFonts w:ascii="Arial" w:cs="Arial" w:eastAsia="Arial" w:hAnsi="Arial"/>
                <w:sz w:val="13"/>
                <w:szCs w:val="13"/>
                <w:b w:val="1"/>
                <w:bCs w:val="1"/>
                <w:color w:val="auto"/>
              </w:rPr>
              <w:t>Voting Common Stock</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3"/>
          </w:tcPr>
          <w:p>
            <w:pPr>
              <w:jc w:val="right"/>
              <w:ind w:right="317"/>
              <w:spacing w:after="0" w:line="136" w:lineRule="exact"/>
              <w:rPr>
                <w:sz w:val="20"/>
                <w:szCs w:val="20"/>
                <w:color w:val="auto"/>
              </w:rPr>
            </w:pPr>
            <w:r>
              <w:rPr>
                <w:rFonts w:ascii="Arial" w:cs="Arial" w:eastAsia="Arial" w:hAnsi="Arial"/>
                <w:sz w:val="13"/>
                <w:szCs w:val="13"/>
                <w:b w:val="1"/>
                <w:bCs w:val="1"/>
                <w:color w:val="auto"/>
              </w:rPr>
              <w:t>Non-Voting</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4"/>
          </w:tcPr>
          <w:p>
            <w:pPr>
              <w:jc w:val="right"/>
              <w:ind w:right="277"/>
              <w:spacing w:after="0" w:line="136" w:lineRule="exact"/>
              <w:rPr>
                <w:sz w:val="20"/>
                <w:szCs w:val="20"/>
                <w:color w:val="auto"/>
              </w:rPr>
            </w:pPr>
            <w:r>
              <w:rPr>
                <w:rFonts w:ascii="Arial" w:cs="Arial" w:eastAsia="Arial" w:hAnsi="Arial"/>
                <w:sz w:val="13"/>
                <w:szCs w:val="13"/>
                <w:b w:val="1"/>
                <w:bCs w:val="1"/>
                <w:color w:val="auto"/>
              </w:rPr>
              <w:t>Treasury Voting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57"/>
              <w:spacing w:after="0" w:line="136"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7"/>
              <w:spacing w:after="0" w:line="136"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217"/>
              <w:spacing w:after="0" w:line="13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560" w:type="dxa"/>
            <w:vAlign w:val="bottom"/>
            <w:gridSpan w:val="3"/>
            <w:vMerge w:val="restart"/>
          </w:tcPr>
          <w:p>
            <w:pPr>
              <w:jc w:val="right"/>
              <w:ind w:right="184"/>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3"/>
            <w:vMerge w:val="restart"/>
          </w:tcPr>
          <w:p>
            <w:pPr>
              <w:jc w:val="right"/>
              <w:ind w:right="19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4"/>
            <w:vMerge w:val="restart"/>
          </w:tcPr>
          <w:p>
            <w:pPr>
              <w:jc w:val="right"/>
              <w:ind w:right="297"/>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Comprehensi</w:t>
            </w:r>
          </w:p>
        </w:tc>
        <w:tc>
          <w:tcPr>
            <w:tcW w:w="12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04"/>
        </w:trPr>
        <w:tc>
          <w:tcPr>
            <w:tcW w:w="15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center"/>
              <w:ind w:right="77"/>
              <w:spacing w:after="0" w:line="139" w:lineRule="exact"/>
              <w:rPr>
                <w:sz w:val="20"/>
                <w:szCs w:val="20"/>
                <w:color w:val="auto"/>
              </w:rPr>
            </w:pPr>
            <w:r>
              <w:rPr>
                <w:rFonts w:ascii="Arial" w:cs="Arial" w:eastAsia="Arial" w:hAnsi="Arial"/>
                <w:sz w:val="13"/>
                <w:szCs w:val="13"/>
                <w:b w:val="1"/>
                <w:bCs w:val="1"/>
                <w:color w:val="auto"/>
                <w:w w:val="96"/>
              </w:rPr>
              <w:t>ve</w:t>
            </w: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74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97"/>
              <w:spacing w:after="0" w:line="111" w:lineRule="exact"/>
              <w:rPr>
                <w:sz w:val="20"/>
                <w:szCs w:val="20"/>
                <w:color w:val="auto"/>
              </w:rPr>
            </w:pPr>
            <w:r>
              <w:rPr>
                <w:rFonts w:ascii="Arial" w:cs="Arial" w:eastAsia="Arial" w:hAnsi="Arial"/>
                <w:sz w:val="12"/>
                <w:szCs w:val="12"/>
                <w:b w:val="1"/>
                <w:bCs w:val="1"/>
                <w:color w:val="auto"/>
              </w:rPr>
              <w:t>Income</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04"/>
        </w:trPr>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97"/>
              </w:rPr>
              <w:t>(Loss)</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740" w:type="dxa"/>
            <w:vAlign w:val="bottom"/>
          </w:tcPr>
          <w:p>
            <w:pPr>
              <w:jc w:val="right"/>
              <w:spacing w:after="0"/>
              <w:rPr>
                <w:sz w:val="20"/>
                <w:szCs w:val="20"/>
                <w:color w:val="auto"/>
              </w:rPr>
            </w:pPr>
            <w:r>
              <w:rPr>
                <w:rFonts w:ascii="Arial" w:cs="Arial" w:eastAsia="Arial" w:hAnsi="Arial"/>
                <w:sz w:val="13"/>
                <w:szCs w:val="13"/>
                <w:color w:val="auto"/>
                <w:w w:val="96"/>
              </w:rPr>
              <w:t>129,076,628</w:t>
            </w:r>
          </w:p>
        </w:tc>
        <w:tc>
          <w:tcPr>
            <w:tcW w:w="120" w:type="dxa"/>
            <w:vAlign w:val="bottom"/>
          </w:tcPr>
          <w:p>
            <w:pPr>
              <w:spacing w:after="0"/>
              <w:rPr>
                <w:sz w:val="13"/>
                <w:szCs w:val="13"/>
                <w:color w:val="auto"/>
              </w:rPr>
            </w:pPr>
          </w:p>
        </w:tc>
        <w:tc>
          <w:tcPr>
            <w:tcW w:w="700" w:type="dxa"/>
            <w:vAlign w:val="bottom"/>
          </w:tcPr>
          <w:p>
            <w:pPr>
              <w:jc w:val="right"/>
              <w:ind w:right="584"/>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3"/>
                <w:szCs w:val="13"/>
                <w:color w:val="auto"/>
                <w:w w:val="96"/>
              </w:rPr>
              <w:t>13</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1,873,320</w:t>
            </w:r>
          </w:p>
        </w:tc>
        <w:tc>
          <w:tcPr>
            <w:tcW w:w="120" w:type="dxa"/>
            <w:vAlign w:val="bottom"/>
          </w:tcPr>
          <w:p>
            <w:pPr>
              <w:spacing w:after="0"/>
              <w:rPr>
                <w:sz w:val="13"/>
                <w:szCs w:val="13"/>
                <w:color w:val="auto"/>
              </w:rPr>
            </w:pPr>
          </w:p>
        </w:tc>
        <w:tc>
          <w:tcPr>
            <w:tcW w:w="720" w:type="dxa"/>
            <w:vAlign w:val="bottom"/>
          </w:tcPr>
          <w:p>
            <w:pPr>
              <w:jc w:val="right"/>
              <w:ind w:right="577"/>
              <w:spacing w:after="0"/>
              <w:rPr>
                <w:sz w:val="20"/>
                <w:szCs w:val="20"/>
                <w:color w:val="auto"/>
              </w:rPr>
            </w:pPr>
            <w:r>
              <w:rPr>
                <w:rFonts w:ascii="Arial" w:cs="Arial" w:eastAsia="Arial" w:hAnsi="Arial"/>
                <w:sz w:val="13"/>
                <w:szCs w:val="13"/>
                <w:color w:val="auto"/>
                <w:w w:val="82"/>
              </w:rPr>
              <w:t>$</w:t>
            </w: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(8,769,147)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(98,739)</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1,071,085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7,101</w:t>
            </w:r>
          </w:p>
        </w:tc>
        <w:tc>
          <w:tcPr>
            <w:tcW w:w="1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(187,037)</w:t>
            </w:r>
          </w:p>
        </w:tc>
        <w:tc>
          <w:tcPr>
            <w:tcW w:w="1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792,423</w:t>
            </w:r>
          </w:p>
        </w:tc>
        <w:tc>
          <w:tcPr>
            <w:tcW w:w="0" w:type="dxa"/>
            <w:vAlign w:val="bottom"/>
          </w:tcPr>
          <w:p>
            <w:pPr>
              <w:spacing w:after="0"/>
              <w:rPr>
                <w:sz w:val="1"/>
                <w:szCs w:val="1"/>
                <w:color w:val="auto"/>
              </w:rPr>
            </w:pPr>
          </w:p>
        </w:tc>
      </w:tr>
      <w:tr>
        <w:trPr>
          <w:trHeight w:val="252"/>
        </w:trPr>
        <w:tc>
          <w:tcPr>
            <w:tcW w:w="740" w:type="dxa"/>
            <w:vAlign w:val="bottom"/>
          </w:tcPr>
          <w:p>
            <w:pPr>
              <w:jc w:val="right"/>
              <w:spacing w:after="0"/>
              <w:rPr>
                <w:sz w:val="20"/>
                <w:szCs w:val="20"/>
                <w:color w:val="auto"/>
              </w:rPr>
            </w:pPr>
            <w:r>
              <w:rPr>
                <w:rFonts w:ascii="Arial" w:cs="Arial" w:eastAsia="Arial" w:hAnsi="Arial"/>
                <w:sz w:val="13"/>
                <w:szCs w:val="13"/>
                <w:color w:val="auto"/>
              </w:rPr>
              <w:t>105,486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311</w:t>
            </w:r>
          </w:p>
        </w:tc>
        <w:tc>
          <w:tcPr>
            <w:tcW w:w="0" w:type="dxa"/>
            <w:vAlign w:val="bottom"/>
          </w:tcPr>
          <w:p>
            <w:pPr>
              <w:spacing w:after="0"/>
              <w:rPr>
                <w:sz w:val="1"/>
                <w:szCs w:val="1"/>
                <w:color w:val="auto"/>
              </w:rPr>
            </w:pPr>
          </w:p>
        </w:tc>
      </w:tr>
      <w:tr>
        <w:trPr>
          <w:trHeight w:val="405"/>
        </w:trPr>
        <w:tc>
          <w:tcPr>
            <w:tcW w:w="740" w:type="dxa"/>
            <w:vAlign w:val="bottom"/>
          </w:tcPr>
          <w:p>
            <w:pPr>
              <w:jc w:val="right"/>
              <w:spacing w:after="0"/>
              <w:rPr>
                <w:sz w:val="20"/>
                <w:szCs w:val="20"/>
                <w:color w:val="auto"/>
              </w:rPr>
            </w:pPr>
            <w:r>
              <w:rPr>
                <w:rFonts w:ascii="Arial" w:cs="Arial" w:eastAsia="Arial" w:hAnsi="Arial"/>
                <w:sz w:val="13"/>
                <w:szCs w:val="13"/>
                <w:color w:val="auto"/>
              </w:rPr>
              <w:t>450,612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(893)</w:t>
            </w:r>
          </w:p>
        </w:tc>
        <w:tc>
          <w:tcPr>
            <w:tcW w:w="0" w:type="dxa"/>
            <w:vAlign w:val="bottom"/>
          </w:tcPr>
          <w:p>
            <w:pPr>
              <w:spacing w:after="0"/>
              <w:rPr>
                <w:sz w:val="1"/>
                <w:szCs w:val="1"/>
                <w:color w:val="auto"/>
              </w:rPr>
            </w:pPr>
          </w:p>
        </w:tc>
      </w:tr>
      <w:tr>
        <w:trPr>
          <w:trHeight w:val="270"/>
        </w:trPr>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8,621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740" w:type="dxa"/>
            <w:vAlign w:val="bottom"/>
          </w:tcPr>
          <w:p>
            <w:pPr>
              <w:jc w:val="right"/>
              <w:spacing w:after="0"/>
              <w:rPr>
                <w:sz w:val="20"/>
                <w:szCs w:val="20"/>
                <w:color w:val="auto"/>
              </w:rPr>
            </w:pPr>
            <w:r>
              <w:rPr>
                <w:rFonts w:ascii="Arial" w:cs="Arial" w:eastAsia="Arial" w:hAnsi="Arial"/>
                <w:sz w:val="13"/>
                <w:szCs w:val="13"/>
                <w:color w:val="auto"/>
              </w:rPr>
              <w:t>129,118</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1,285</w:t>
            </w:r>
          </w:p>
        </w:tc>
        <w:tc>
          <w:tcPr>
            <w:tcW w:w="0" w:type="dxa"/>
            <w:vAlign w:val="bottom"/>
          </w:tcPr>
          <w:p>
            <w:pPr>
              <w:spacing w:after="0"/>
              <w:rPr>
                <w:sz w:val="1"/>
                <w:szCs w:val="1"/>
                <w:color w:val="auto"/>
              </w:rPr>
            </w:pPr>
          </w:p>
        </w:tc>
      </w:tr>
      <w:tr>
        <w:trPr>
          <w:trHeight w:val="270"/>
        </w:trPr>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(762,379)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(10,045)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(10,045)</w:t>
            </w:r>
          </w:p>
        </w:tc>
        <w:tc>
          <w:tcPr>
            <w:tcW w:w="0" w:type="dxa"/>
            <w:vAlign w:val="bottom"/>
          </w:tcPr>
          <w:p>
            <w:pPr>
              <w:spacing w:after="0"/>
              <w:rPr>
                <w:sz w:val="1"/>
                <w:szCs w:val="1"/>
                <w:color w:val="auto"/>
              </w:rPr>
            </w:pPr>
          </w:p>
        </w:tc>
      </w:tr>
      <w:tr>
        <w:trPr>
          <w:trHeight w:val="270"/>
        </w:trPr>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(1,917)</w:t>
            </w:r>
          </w:p>
        </w:tc>
        <w:tc>
          <w:tcPr>
            <w:tcW w:w="0" w:type="dxa"/>
            <w:vAlign w:val="bottom"/>
          </w:tcPr>
          <w:p>
            <w:pPr>
              <w:spacing w:after="0"/>
              <w:rPr>
                <w:sz w:val="1"/>
                <w:szCs w:val="1"/>
                <w:color w:val="auto"/>
              </w:rPr>
            </w:pPr>
          </w:p>
        </w:tc>
      </w:tr>
      <w:tr>
        <w:trPr>
          <w:trHeight w:val="270"/>
        </w:trPr>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72"/>
        </w:trPr>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18,311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18,311</w:t>
            </w:r>
          </w:p>
        </w:tc>
        <w:tc>
          <w:tcPr>
            <w:tcW w:w="0" w:type="dxa"/>
            <w:vAlign w:val="bottom"/>
          </w:tcPr>
          <w:p>
            <w:pPr>
              <w:spacing w:after="0"/>
              <w:rPr>
                <w:sz w:val="1"/>
                <w:szCs w:val="1"/>
                <w:color w:val="auto"/>
              </w:rPr>
            </w:pPr>
          </w:p>
        </w:tc>
      </w:tr>
      <w:tr>
        <w:trPr>
          <w:trHeight w:val="153"/>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29,631</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29,631</w:t>
            </w:r>
          </w:p>
        </w:tc>
        <w:tc>
          <w:tcPr>
            <w:tcW w:w="0" w:type="dxa"/>
            <w:vAlign w:val="bottom"/>
          </w:tcPr>
          <w:p>
            <w:pPr>
              <w:spacing w:after="0"/>
              <w:rPr>
                <w:sz w:val="1"/>
                <w:szCs w:val="1"/>
                <w:color w:val="auto"/>
              </w:rPr>
            </w:pPr>
          </w:p>
        </w:tc>
      </w:tr>
      <w:tr>
        <w:trPr>
          <w:trHeight w:val="128"/>
        </w:trPr>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129,761,844</w:t>
            </w:r>
          </w:p>
        </w:tc>
        <w:tc>
          <w:tcPr>
            <w:tcW w:w="120" w:type="dxa"/>
            <w:vAlign w:val="bottom"/>
          </w:tcPr>
          <w:p>
            <w:pPr>
              <w:spacing w:after="0"/>
              <w:rPr>
                <w:sz w:val="11"/>
                <w:szCs w:val="11"/>
                <w:color w:val="auto"/>
              </w:rPr>
            </w:pPr>
          </w:p>
        </w:tc>
        <w:tc>
          <w:tcPr>
            <w:tcW w:w="700" w:type="dxa"/>
            <w:vAlign w:val="bottom"/>
            <w:tcBorders>
              <w:bottom w:val="single" w:sz="8" w:color="auto"/>
            </w:tcBorders>
          </w:tcPr>
          <w:p>
            <w:pPr>
              <w:jc w:val="right"/>
              <w:ind w:right="584"/>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13</w:t>
            </w:r>
          </w:p>
        </w:tc>
        <w:tc>
          <w:tcPr>
            <w:tcW w:w="120" w:type="dxa"/>
            <w:vAlign w:val="bottom"/>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1,873,320</w:t>
            </w:r>
          </w:p>
        </w:tc>
        <w:tc>
          <w:tcPr>
            <w:tcW w:w="120" w:type="dxa"/>
            <w:vAlign w:val="bottom"/>
          </w:tcPr>
          <w:p>
            <w:pPr>
              <w:spacing w:after="0"/>
              <w:rPr>
                <w:sz w:val="11"/>
                <w:szCs w:val="11"/>
                <w:color w:val="auto"/>
              </w:rPr>
            </w:pPr>
          </w:p>
        </w:tc>
        <w:tc>
          <w:tcPr>
            <w:tcW w:w="720" w:type="dxa"/>
            <w:vAlign w:val="bottom"/>
            <w:tcBorders>
              <w:bottom w:val="single" w:sz="8" w:color="auto"/>
            </w:tcBorders>
          </w:tcPr>
          <w:p>
            <w:pPr>
              <w:jc w:val="right"/>
              <w:ind w:right="577"/>
              <w:spacing w:after="0" w:line="129" w:lineRule="exact"/>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(9,522,905)</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(108,687)</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1,090,002</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5,204</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(157,406)</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829,126</w:t>
            </w:r>
          </w:p>
        </w:tc>
        <w:tc>
          <w:tcPr>
            <w:tcW w:w="0" w:type="dxa"/>
            <w:vAlign w:val="bottom"/>
          </w:tcPr>
          <w:p>
            <w:pPr>
              <w:spacing w:after="0"/>
              <w:rPr>
                <w:sz w:val="1"/>
                <w:szCs w:val="1"/>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-1662430</wp:posOffset>
            </wp:positionV>
            <wp:extent cx="7132320" cy="85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-1319530</wp:posOffset>
            </wp:positionV>
            <wp:extent cx="7132320"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-976630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-633730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-290830</wp:posOffset>
            </wp:positionV>
            <wp:extent cx="7132320" cy="85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-110490</wp:posOffset>
            </wp:positionV>
            <wp:extent cx="7132320"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1980" w:space="100"/>
            <w:col w:w="9160"/>
          </w:cols>
          <w:pgMar w:left="320" w:top="14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18" w:lineRule="auto"/>
        <w:rPr>
          <w:sz w:val="20"/>
          <w:szCs w:val="20"/>
          <w:color w:val="auto"/>
        </w:rPr>
      </w:pPr>
      <w:r>
        <w:rPr>
          <w:rFonts w:ascii="Arial" w:cs="Arial" w:eastAsia="Arial" w:hAnsi="Arial"/>
          <w:sz w:val="13"/>
          <w:szCs w:val="13"/>
          <w:b w:val="1"/>
          <w:bCs w:val="1"/>
          <w:color w:val="auto"/>
        </w:rPr>
        <w:t xml:space="preserve">Balances at June 30, 2024 </w:t>
      </w:r>
      <w:r>
        <w:rPr>
          <w:rFonts w:ascii="Arial" w:cs="Arial" w:eastAsia="Arial" w:hAnsi="Arial"/>
          <w:sz w:val="13"/>
          <w:szCs w:val="13"/>
          <w:color w:val="auto"/>
        </w:rPr>
        <w:t>Issuance of common stock upon exercise of stock options Issuance of common stock upon settlement of restricted stock units Issuance of common stock under employee stock purchase plan Common stock repurchased Issuance of treasury stock Foreign currency translation adjustment</w:t>
      </w:r>
    </w:p>
    <w:p>
      <w:pPr>
        <w:spacing w:after="0" w:line="3" w:lineRule="exact"/>
        <w:rPr>
          <w:sz w:val="20"/>
          <w:szCs w:val="20"/>
          <w:color w:val="auto"/>
        </w:rPr>
      </w:pPr>
    </w:p>
    <w:p>
      <w:pPr>
        <w:ind w:right="40"/>
        <w:spacing w:after="0" w:line="224" w:lineRule="auto"/>
        <w:rPr>
          <w:sz w:val="20"/>
          <w:szCs w:val="20"/>
          <w:color w:val="auto"/>
        </w:rPr>
      </w:pPr>
      <w:r>
        <w:rPr>
          <w:rFonts w:ascii="Arial" w:cs="Arial" w:eastAsia="Arial" w:hAnsi="Arial"/>
          <w:sz w:val="13"/>
          <w:szCs w:val="13"/>
          <w:color w:val="auto"/>
        </w:rPr>
        <w:t>Unrealized gains on available-for-sale debt securities, net of taxes Stock-based compensation Net income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Balances at September 30, 2024</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b w:val="1"/>
          <w:bCs w:val="1"/>
          <w:color w:val="auto"/>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8464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540" w:type="dxa"/>
            <w:vAlign w:val="bottom"/>
            <w:gridSpan w:val="3"/>
          </w:tcPr>
          <w:p>
            <w:pPr>
              <w:jc w:val="right"/>
              <w:spacing w:after="0"/>
              <w:rPr>
                <w:sz w:val="20"/>
                <w:szCs w:val="20"/>
                <w:color w:val="auto"/>
              </w:rPr>
            </w:pPr>
            <w:r>
              <w:rPr>
                <w:rFonts w:ascii="Arial" w:cs="Arial" w:eastAsia="Arial" w:hAnsi="Arial"/>
                <w:sz w:val="13"/>
                <w:szCs w:val="13"/>
                <w:b w:val="1"/>
                <w:bCs w:val="1"/>
                <w:color w:val="auto"/>
              </w:rPr>
              <w:t>Voting Common 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right"/>
              <w:ind w:right="317"/>
              <w:spacing w:after="0"/>
              <w:rPr>
                <w:sz w:val="20"/>
                <w:szCs w:val="20"/>
                <w:color w:val="auto"/>
              </w:rPr>
            </w:pPr>
            <w:r>
              <w:rPr>
                <w:rFonts w:ascii="Arial" w:cs="Arial" w:eastAsia="Arial" w:hAnsi="Arial"/>
                <w:sz w:val="13"/>
                <w:szCs w:val="13"/>
                <w:b w:val="1"/>
                <w:bCs w:val="1"/>
                <w:color w:val="auto"/>
              </w:rPr>
              <w:t>Non-Voting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right"/>
              <w:ind w:right="317"/>
              <w:spacing w:after="0"/>
              <w:rPr>
                <w:sz w:val="20"/>
                <w:szCs w:val="20"/>
                <w:color w:val="auto"/>
              </w:rPr>
            </w:pPr>
            <w:r>
              <w:rPr>
                <w:rFonts w:ascii="Arial" w:cs="Arial" w:eastAsia="Arial" w:hAnsi="Arial"/>
                <w:sz w:val="13"/>
                <w:szCs w:val="13"/>
                <w:b w:val="1"/>
                <w:bCs w:val="1"/>
                <w:color w:val="auto"/>
              </w:rPr>
              <w:t>Treasury Voting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8"/>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3"/>
        </w:trPr>
        <w:tc>
          <w:tcPr>
            <w:tcW w:w="1540" w:type="dxa"/>
            <w:vAlign w:val="bottom"/>
            <w:gridSpan w:val="3"/>
          </w:tcPr>
          <w:p>
            <w:pPr>
              <w:jc w:val="right"/>
              <w:ind w:right="17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right"/>
              <w:ind w:right="197"/>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Comprehensi</w:t>
            </w:r>
          </w:p>
        </w:tc>
        <w:tc>
          <w:tcPr>
            <w:tcW w:w="12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81"/>
        </w:trPr>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jc w:val="center"/>
              <w:ind w:right="58"/>
              <w:spacing w:after="0" w:line="81" w:lineRule="exact"/>
              <w:rPr>
                <w:sz w:val="20"/>
                <w:szCs w:val="20"/>
                <w:color w:val="auto"/>
              </w:rPr>
            </w:pPr>
            <w:r>
              <w:rPr>
                <w:rFonts w:ascii="Arial" w:cs="Arial" w:eastAsia="Arial" w:hAnsi="Arial"/>
                <w:sz w:val="9"/>
                <w:szCs w:val="9"/>
                <w:b w:val="1"/>
                <w:bCs w:val="1"/>
                <w:color w:val="auto"/>
              </w:rPr>
              <w:t>ve</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7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ind w:right="78"/>
              <w:spacing w:after="0" w:line="111" w:lineRule="exact"/>
              <w:rPr>
                <w:sz w:val="20"/>
                <w:szCs w:val="20"/>
                <w:color w:val="auto"/>
              </w:rPr>
            </w:pPr>
            <w:r>
              <w:rPr>
                <w:rFonts w:ascii="Arial" w:cs="Arial" w:eastAsia="Arial" w:hAnsi="Arial"/>
                <w:sz w:val="12"/>
                <w:szCs w:val="12"/>
                <w:b w:val="1"/>
                <w:bCs w:val="1"/>
                <w:color w:val="auto"/>
              </w:rPr>
              <w:t>Income</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center"/>
              <w:ind w:right="58"/>
              <w:spacing w:after="0"/>
              <w:rPr>
                <w:sz w:val="20"/>
                <w:szCs w:val="20"/>
                <w:color w:val="auto"/>
              </w:rPr>
            </w:pPr>
            <w:r>
              <w:rPr>
                <w:rFonts w:ascii="Arial" w:cs="Arial" w:eastAsia="Arial" w:hAnsi="Arial"/>
                <w:sz w:val="13"/>
                <w:szCs w:val="13"/>
                <w:b w:val="1"/>
                <w:bCs w:val="1"/>
                <w:color w:val="auto"/>
                <w:w w:val="97"/>
              </w:rPr>
              <w:t>(Loss)</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720" w:type="dxa"/>
            <w:vAlign w:val="bottom"/>
          </w:tcPr>
          <w:p>
            <w:pPr>
              <w:jc w:val="right"/>
              <w:spacing w:after="0"/>
              <w:rPr>
                <w:sz w:val="20"/>
                <w:szCs w:val="20"/>
                <w:color w:val="auto"/>
              </w:rPr>
            </w:pPr>
            <w:r>
              <w:rPr>
                <w:rFonts w:ascii="Arial" w:cs="Arial" w:eastAsia="Arial" w:hAnsi="Arial"/>
                <w:sz w:val="13"/>
                <w:szCs w:val="13"/>
                <w:color w:val="auto"/>
                <w:w w:val="94"/>
              </w:rPr>
              <w:t>125,528,991</w:t>
            </w:r>
          </w:p>
        </w:tc>
        <w:tc>
          <w:tcPr>
            <w:tcW w:w="120" w:type="dxa"/>
            <w:vAlign w:val="bottom"/>
          </w:tcPr>
          <w:p>
            <w:pPr>
              <w:spacing w:after="0"/>
              <w:rPr>
                <w:sz w:val="13"/>
                <w:szCs w:val="13"/>
                <w:color w:val="auto"/>
              </w:rPr>
            </w:pPr>
          </w:p>
        </w:tc>
        <w:tc>
          <w:tcPr>
            <w:tcW w:w="700" w:type="dxa"/>
            <w:vAlign w:val="bottom"/>
          </w:tcPr>
          <w:p>
            <w:pPr>
              <w:jc w:val="right"/>
              <w:ind w:right="557"/>
              <w:spacing w:after="0"/>
              <w:rPr>
                <w:sz w:val="20"/>
                <w:szCs w:val="20"/>
                <w:color w:val="auto"/>
              </w:rPr>
            </w:pPr>
            <w:r>
              <w:rPr>
                <w:rFonts w:ascii="Arial" w:cs="Arial" w:eastAsia="Arial" w:hAnsi="Arial"/>
                <w:sz w:val="13"/>
                <w:szCs w:val="13"/>
                <w:color w:val="auto"/>
                <w:w w:val="82"/>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6"/>
              </w:rPr>
              <w:t>11</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1,873,320</w:t>
            </w:r>
          </w:p>
        </w:tc>
        <w:tc>
          <w:tcPr>
            <w:tcW w:w="140" w:type="dxa"/>
            <w:vAlign w:val="bottom"/>
          </w:tcPr>
          <w:p>
            <w:pPr>
              <w:spacing w:after="0"/>
              <w:rPr>
                <w:sz w:val="13"/>
                <w:szCs w:val="13"/>
                <w:color w:val="auto"/>
              </w:rPr>
            </w:pPr>
          </w:p>
        </w:tc>
        <w:tc>
          <w:tcPr>
            <w:tcW w:w="700" w:type="dxa"/>
            <w:vAlign w:val="bottom"/>
          </w:tcPr>
          <w:p>
            <w:pPr>
              <w:jc w:val="right"/>
              <w:ind w:right="557"/>
              <w:spacing w:after="0"/>
              <w:rPr>
                <w:sz w:val="20"/>
                <w:szCs w:val="20"/>
                <w:color w:val="auto"/>
              </w:rPr>
            </w:pPr>
            <w:r>
              <w:rPr>
                <w:rFonts w:ascii="Arial" w:cs="Arial" w:eastAsia="Arial" w:hAnsi="Arial"/>
                <w:sz w:val="13"/>
                <w:szCs w:val="13"/>
                <w:color w:val="auto"/>
                <w:w w:val="82"/>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(2,295,038)</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(741)</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997,057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99</w:t>
            </w:r>
          </w:p>
        </w:tc>
        <w:tc>
          <w:tcPr>
            <w:tcW w:w="1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(193,867)</w:t>
            </w:r>
          </w:p>
        </w:tc>
        <w:tc>
          <w:tcPr>
            <w:tcW w:w="10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802,560</w:t>
            </w:r>
          </w:p>
        </w:tc>
        <w:tc>
          <w:tcPr>
            <w:tcW w:w="0" w:type="dxa"/>
            <w:vAlign w:val="bottom"/>
          </w:tcPr>
          <w:p>
            <w:pPr>
              <w:spacing w:after="0"/>
              <w:rPr>
                <w:sz w:val="1"/>
                <w:szCs w:val="1"/>
                <w:color w:val="auto"/>
              </w:rPr>
            </w:pPr>
          </w:p>
        </w:tc>
      </w:tr>
      <w:tr>
        <w:trPr>
          <w:trHeight w:val="185"/>
        </w:trPr>
        <w:tc>
          <w:tcPr>
            <w:tcW w:w="720" w:type="dxa"/>
            <w:vAlign w:val="bottom"/>
          </w:tcPr>
          <w:p>
            <w:pPr>
              <w:jc w:val="right"/>
              <w:spacing w:after="0"/>
              <w:rPr>
                <w:sz w:val="20"/>
                <w:szCs w:val="20"/>
                <w:color w:val="auto"/>
              </w:rPr>
            </w:pPr>
            <w:r>
              <w:rPr>
                <w:rFonts w:ascii="Arial" w:cs="Arial" w:eastAsia="Arial" w:hAnsi="Arial"/>
                <w:sz w:val="13"/>
                <w:szCs w:val="13"/>
                <w:color w:val="auto"/>
              </w:rPr>
              <w:t>164,287</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729</w:t>
            </w:r>
          </w:p>
        </w:tc>
        <w:tc>
          <w:tcPr>
            <w:tcW w:w="0" w:type="dxa"/>
            <w:vAlign w:val="bottom"/>
          </w:tcPr>
          <w:p>
            <w:pPr>
              <w:spacing w:after="0"/>
              <w:rPr>
                <w:sz w:val="1"/>
                <w:szCs w:val="1"/>
                <w:color w:val="auto"/>
              </w:rPr>
            </w:pPr>
          </w:p>
        </w:tc>
      </w:tr>
      <w:tr>
        <w:trPr>
          <w:trHeight w:val="270"/>
        </w:trPr>
        <w:tc>
          <w:tcPr>
            <w:tcW w:w="720" w:type="dxa"/>
            <w:vAlign w:val="bottom"/>
          </w:tcPr>
          <w:p>
            <w:pPr>
              <w:jc w:val="right"/>
              <w:spacing w:after="0"/>
              <w:rPr>
                <w:sz w:val="20"/>
                <w:szCs w:val="20"/>
                <w:color w:val="auto"/>
              </w:rPr>
            </w:pPr>
            <w:r>
              <w:rPr>
                <w:rFonts w:ascii="Arial" w:cs="Arial" w:eastAsia="Arial" w:hAnsi="Arial"/>
                <w:sz w:val="13"/>
                <w:szCs w:val="13"/>
                <w:color w:val="auto"/>
              </w:rPr>
              <w:t>341,699</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20" w:type="dxa"/>
            <w:vAlign w:val="bottom"/>
          </w:tcPr>
          <w:p>
            <w:pPr>
              <w:jc w:val="right"/>
              <w:spacing w:after="0"/>
              <w:rPr>
                <w:sz w:val="20"/>
                <w:szCs w:val="20"/>
                <w:color w:val="auto"/>
              </w:rPr>
            </w:pPr>
            <w:r>
              <w:rPr>
                <w:rFonts w:ascii="Arial" w:cs="Arial" w:eastAsia="Arial" w:hAnsi="Arial"/>
                <w:sz w:val="13"/>
                <w:szCs w:val="13"/>
                <w:color w:val="auto"/>
              </w:rPr>
              <w:t>121,517</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1,693</w:t>
            </w:r>
          </w:p>
        </w:tc>
        <w:tc>
          <w:tcPr>
            <w:tcW w:w="0" w:type="dxa"/>
            <w:vAlign w:val="bottom"/>
          </w:tcPr>
          <w:p>
            <w:pPr>
              <w:spacing w:after="0"/>
              <w:rPr>
                <w:sz w:val="1"/>
                <w:szCs w:val="1"/>
                <w:color w:val="auto"/>
              </w:rPr>
            </w:pPr>
          </w:p>
        </w:tc>
      </w:tr>
      <w:tr>
        <w:trPr>
          <w:trHeight w:val="172"/>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(1,291,252)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(23,112)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(23,112)</w:t>
            </w:r>
          </w:p>
        </w:tc>
        <w:tc>
          <w:tcPr>
            <w:tcW w:w="0" w:type="dxa"/>
            <w:vAlign w:val="bottom"/>
          </w:tcPr>
          <w:p>
            <w:pPr>
              <w:spacing w:after="0"/>
              <w:rPr>
                <w:sz w:val="1"/>
                <w:szCs w:val="1"/>
                <w:color w:val="auto"/>
              </w:rPr>
            </w:pPr>
          </w:p>
        </w:tc>
      </w:tr>
      <w:tr>
        <w:trPr>
          <w:trHeight w:val="166"/>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5,653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4,904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4,904</w:t>
            </w:r>
          </w:p>
        </w:tc>
        <w:tc>
          <w:tcPr>
            <w:tcW w:w="0" w:type="dxa"/>
            <w:vAlign w:val="bottom"/>
          </w:tcPr>
          <w:p>
            <w:pPr>
              <w:spacing w:after="0"/>
              <w:rPr>
                <w:sz w:val="1"/>
                <w:szCs w:val="1"/>
                <w:color w:val="auto"/>
              </w:rPr>
            </w:pPr>
          </w:p>
        </w:tc>
      </w:tr>
      <w:tr>
        <w:trPr>
          <w:trHeight w:val="270"/>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702</w:t>
            </w:r>
          </w:p>
        </w:tc>
        <w:tc>
          <w:tcPr>
            <w:tcW w:w="0" w:type="dxa"/>
            <w:vAlign w:val="bottom"/>
          </w:tcPr>
          <w:p>
            <w:pPr>
              <w:spacing w:after="0"/>
              <w:rPr>
                <w:sz w:val="1"/>
                <w:szCs w:val="1"/>
                <w:color w:val="auto"/>
              </w:rPr>
            </w:pPr>
          </w:p>
        </w:tc>
      </w:tr>
      <w:tr>
        <w:trPr>
          <w:trHeight w:val="172"/>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16,873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16,873</w:t>
            </w:r>
          </w:p>
        </w:tc>
        <w:tc>
          <w:tcPr>
            <w:tcW w:w="0" w:type="dxa"/>
            <w:vAlign w:val="bottom"/>
          </w:tcPr>
          <w:p>
            <w:pPr>
              <w:spacing w:after="0"/>
              <w:rPr>
                <w:sz w:val="1"/>
                <w:szCs w:val="1"/>
                <w:color w:val="auto"/>
              </w:rPr>
            </w:pPr>
          </w:p>
        </w:tc>
      </w:tr>
      <w:tr>
        <w:trPr>
          <w:trHeight w:val="1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38,896</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38,896</w:t>
            </w:r>
          </w:p>
        </w:tc>
        <w:tc>
          <w:tcPr>
            <w:tcW w:w="0" w:type="dxa"/>
            <w:vAlign w:val="bottom"/>
          </w:tcPr>
          <w:p>
            <w:pPr>
              <w:spacing w:after="0"/>
              <w:rPr>
                <w:sz w:val="1"/>
                <w:szCs w:val="1"/>
                <w:color w:val="auto"/>
              </w:rPr>
            </w:pPr>
          </w:p>
        </w:tc>
      </w:tr>
      <w:tr>
        <w:trPr>
          <w:trHeight w:val="129"/>
        </w:trPr>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126,156,494</w:t>
            </w:r>
          </w:p>
        </w:tc>
        <w:tc>
          <w:tcPr>
            <w:tcW w:w="120" w:type="dxa"/>
            <w:vAlign w:val="bottom"/>
          </w:tcPr>
          <w:p>
            <w:pPr>
              <w:spacing w:after="0"/>
              <w:rPr>
                <w:sz w:val="11"/>
                <w:szCs w:val="11"/>
                <w:color w:val="auto"/>
              </w:rPr>
            </w:pPr>
          </w:p>
        </w:tc>
        <w:tc>
          <w:tcPr>
            <w:tcW w:w="700" w:type="dxa"/>
            <w:vAlign w:val="bottom"/>
            <w:tcBorders>
              <w:bottom w:val="single" w:sz="8" w:color="auto"/>
            </w:tcBorders>
          </w:tcPr>
          <w:p>
            <w:pPr>
              <w:jc w:val="right"/>
              <w:ind w:right="557"/>
              <w:spacing w:after="0" w:line="129" w:lineRule="exact"/>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13</w:t>
            </w:r>
          </w:p>
        </w:tc>
        <w:tc>
          <w:tcPr>
            <w:tcW w:w="120" w:type="dxa"/>
            <w:vAlign w:val="bottom"/>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1,873,320</w:t>
            </w:r>
          </w:p>
        </w:tc>
        <w:tc>
          <w:tcPr>
            <w:tcW w:w="140" w:type="dxa"/>
            <w:vAlign w:val="bottom"/>
          </w:tcPr>
          <w:p>
            <w:pPr>
              <w:spacing w:after="0"/>
              <w:rPr>
                <w:sz w:val="11"/>
                <w:szCs w:val="11"/>
                <w:color w:val="auto"/>
              </w:rPr>
            </w:pPr>
          </w:p>
        </w:tc>
        <w:tc>
          <w:tcPr>
            <w:tcW w:w="700" w:type="dxa"/>
            <w:vAlign w:val="bottom"/>
            <w:tcBorders>
              <w:bottom w:val="single" w:sz="8" w:color="auto"/>
            </w:tcBorders>
          </w:tcPr>
          <w:p>
            <w:pPr>
              <w:jc w:val="right"/>
              <w:ind w:right="557"/>
              <w:spacing w:after="0" w:line="129" w:lineRule="exact"/>
              <w:rPr>
                <w:sz w:val="20"/>
                <w:szCs w:val="20"/>
                <w:color w:val="auto"/>
              </w:rPr>
            </w:pPr>
            <w:r>
              <w:rPr>
                <w:rFonts w:ascii="Arial" w:cs="Arial" w:eastAsia="Arial" w:hAnsi="Arial"/>
                <w:sz w:val="13"/>
                <w:szCs w:val="13"/>
                <w:color w:val="auto"/>
                <w:w w:val="82"/>
              </w:rPr>
              <w:t>$</w:t>
            </w: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(3,580,637)</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(23,851)</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1,016,349</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5,705</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(154,971)</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843,245</w:t>
            </w: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-1405255</wp:posOffset>
            </wp:positionV>
            <wp:extent cx="7132320" cy="85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-1148080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-805180</wp:posOffset>
            </wp:positionV>
            <wp:extent cx="7132320" cy="85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-633730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-290830</wp:posOffset>
            </wp:positionV>
            <wp:extent cx="7132320" cy="85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-110490</wp:posOffset>
            </wp:positionV>
            <wp:extent cx="7132320" cy="1111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120"/>
            <w:col w:w="9200"/>
          </w:cols>
          <w:pgMar w:left="320" w:top="1427" w:right="339" w:bottom="1440" w:gutter="0" w:footer="0" w:header="0"/>
          <w:type w:val="continuous"/>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type w:val="continuous"/>
        </w:sectPr>
      </w:pPr>
    </w:p>
    <w:bookmarkStart w:id="7" w:name="page8"/>
    <w:bookmarkEnd w:id="7"/>
    <w:p>
      <w:pPr>
        <w:ind w:left="5260"/>
        <w:spacing w:after="0"/>
        <w:rPr>
          <w:sz w:val="20"/>
          <w:szCs w:val="20"/>
          <w:color w:val="auto"/>
        </w:rPr>
      </w:pPr>
      <w:r>
        <w:rPr>
          <w:rFonts w:ascii="Arial" w:cs="Arial" w:eastAsia="Arial" w:hAnsi="Arial"/>
          <w:sz w:val="14"/>
          <w:szCs w:val="14"/>
          <w:b w:val="1"/>
          <w:b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6350</wp:posOffset>
            </wp:positionV>
            <wp:extent cx="58464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5" w:lineRule="exact"/>
        <w:rPr>
          <w:sz w:val="20"/>
          <w:szCs w:val="20"/>
          <w:color w:val="auto"/>
        </w:rPr>
      </w:pPr>
    </w:p>
    <w:p>
      <w:pPr>
        <w:jc w:val="right"/>
        <w:ind w:right="1920"/>
        <w:spacing w:after="0"/>
        <w:rPr>
          <w:sz w:val="20"/>
          <w:szCs w:val="20"/>
          <w:color w:val="auto"/>
        </w:rPr>
      </w:pPr>
      <w:r>
        <w:rPr>
          <w:rFonts w:ascii="Arial" w:cs="Arial" w:eastAsia="Arial" w:hAnsi="Arial"/>
          <w:sz w:val="13"/>
          <w:szCs w:val="13"/>
          <w:b w:val="1"/>
          <w:bCs w:val="1"/>
          <w:color w:val="auto"/>
        </w:rPr>
        <w:t>Accumulated</w:t>
      </w: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21" w:lineRule="auto"/>
        <w:rPr>
          <w:sz w:val="20"/>
          <w:szCs w:val="20"/>
          <w:color w:val="auto"/>
        </w:rPr>
      </w:pPr>
      <w:r>
        <w:rPr>
          <w:rFonts w:ascii="Arial" w:cs="Arial" w:eastAsia="Arial" w:hAnsi="Arial"/>
          <w:sz w:val="13"/>
          <w:szCs w:val="13"/>
          <w:b w:val="1"/>
          <w:bCs w:val="1"/>
          <w:color w:val="auto"/>
        </w:rPr>
        <w:t xml:space="preserve">Balances at December 31, 2024 </w:t>
      </w:r>
      <w:r>
        <w:rPr>
          <w:rFonts w:ascii="Arial" w:cs="Arial" w:eastAsia="Arial" w:hAnsi="Arial"/>
          <w:sz w:val="13"/>
          <w:szCs w:val="13"/>
          <w:color w:val="auto"/>
        </w:rPr>
        <w:t>Issuance of common stock upon exercise of stock options, net of tax withheld</w:t>
      </w:r>
    </w:p>
    <w:p>
      <w:pPr>
        <w:spacing w:after="0" w:line="1" w:lineRule="exact"/>
        <w:rPr>
          <w:sz w:val="20"/>
          <w:szCs w:val="20"/>
          <w:color w:val="auto"/>
        </w:rPr>
      </w:pPr>
    </w:p>
    <w:p>
      <w:pPr>
        <w:ind w:right="40"/>
        <w:spacing w:after="0" w:line="216" w:lineRule="auto"/>
        <w:rPr>
          <w:sz w:val="20"/>
          <w:szCs w:val="20"/>
          <w:color w:val="auto"/>
        </w:rPr>
      </w:pPr>
      <w:r>
        <w:rPr>
          <w:rFonts w:ascii="Arial" w:cs="Arial" w:eastAsia="Arial" w:hAnsi="Arial"/>
          <w:sz w:val="13"/>
          <w:szCs w:val="13"/>
          <w:color w:val="auto"/>
        </w:rPr>
        <w:t>Issuance of common stock upon settlement of restricted stock units, net of tax withheld</w:t>
      </w:r>
    </w:p>
    <w:p>
      <w:pPr>
        <w:spacing w:after="0" w:line="1" w:lineRule="exact"/>
        <w:rPr>
          <w:sz w:val="20"/>
          <w:szCs w:val="20"/>
          <w:color w:val="auto"/>
        </w:rPr>
      </w:pPr>
    </w:p>
    <w:p>
      <w:pPr>
        <w:ind w:right="120"/>
        <w:spacing w:after="0" w:line="216" w:lineRule="auto"/>
        <w:rPr>
          <w:sz w:val="20"/>
          <w:szCs w:val="20"/>
          <w:color w:val="auto"/>
        </w:rPr>
      </w:pPr>
      <w:r>
        <w:rPr>
          <w:rFonts w:ascii="Arial" w:cs="Arial" w:eastAsia="Arial" w:hAnsi="Arial"/>
          <w:sz w:val="13"/>
          <w:szCs w:val="13"/>
          <w:color w:val="auto"/>
        </w:rPr>
        <w:t>Issuance of common stock under retention bonus</w:t>
      </w:r>
    </w:p>
    <w:p>
      <w:pPr>
        <w:spacing w:after="0" w:line="1" w:lineRule="exact"/>
        <w:rPr>
          <w:sz w:val="20"/>
          <w:szCs w:val="20"/>
          <w:color w:val="auto"/>
        </w:rPr>
      </w:pPr>
    </w:p>
    <w:p>
      <w:pPr>
        <w:ind w:right="120"/>
        <w:spacing w:after="0" w:line="216" w:lineRule="auto"/>
        <w:rPr>
          <w:sz w:val="20"/>
          <w:szCs w:val="20"/>
          <w:color w:val="auto"/>
        </w:rPr>
      </w:pPr>
      <w:r>
        <w:rPr>
          <w:rFonts w:ascii="Arial" w:cs="Arial" w:eastAsia="Arial" w:hAnsi="Arial"/>
          <w:sz w:val="13"/>
          <w:szCs w:val="13"/>
          <w:color w:val="auto"/>
        </w:rPr>
        <w:t>Issuance of treasury stock Issuance of common stock under employee stock purchase plan Common stock repurchases, including related costs Foreign currency translation adjustment</w:t>
      </w:r>
    </w:p>
    <w:p>
      <w:pPr>
        <w:spacing w:after="0" w:line="3" w:lineRule="exact"/>
        <w:rPr>
          <w:sz w:val="20"/>
          <w:szCs w:val="20"/>
          <w:color w:val="auto"/>
        </w:rPr>
      </w:pPr>
    </w:p>
    <w:p>
      <w:pPr>
        <w:ind w:right="40"/>
        <w:spacing w:after="0" w:line="216" w:lineRule="auto"/>
        <w:rPr>
          <w:sz w:val="20"/>
          <w:szCs w:val="20"/>
          <w:color w:val="auto"/>
        </w:rPr>
      </w:pPr>
      <w:r>
        <w:rPr>
          <w:rFonts w:ascii="Arial" w:cs="Arial" w:eastAsia="Arial" w:hAnsi="Arial"/>
          <w:sz w:val="13"/>
          <w:szCs w:val="13"/>
          <w:color w:val="auto"/>
        </w:rPr>
        <w:t>Unrealized losses on available-for-sale debt securities, net of taxes Stock-based compensation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40" w:type="dxa"/>
            <w:vAlign w:val="bottom"/>
            <w:gridSpan w:val="3"/>
          </w:tcPr>
          <w:p>
            <w:pPr>
              <w:jc w:val="center"/>
              <w:ind w:left="77"/>
              <w:spacing w:after="0"/>
              <w:rPr>
                <w:sz w:val="20"/>
                <w:szCs w:val="20"/>
                <w:color w:val="auto"/>
              </w:rPr>
            </w:pPr>
            <w:r>
              <w:rPr>
                <w:rFonts w:ascii="Arial" w:cs="Arial" w:eastAsia="Arial" w:hAnsi="Arial"/>
                <w:sz w:val="13"/>
                <w:szCs w:val="13"/>
                <w:b w:val="1"/>
                <w:bCs w:val="1"/>
                <w:color w:val="auto"/>
                <w:w w:val="97"/>
              </w:rPr>
              <w:t>Voting 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jc w:val="center"/>
              <w:ind w:left="97"/>
              <w:spacing w:after="0"/>
              <w:rPr>
                <w:sz w:val="20"/>
                <w:szCs w:val="20"/>
                <w:color w:val="auto"/>
              </w:rPr>
            </w:pPr>
            <w:r>
              <w:rPr>
                <w:rFonts w:ascii="Arial" w:cs="Arial" w:eastAsia="Arial" w:hAnsi="Arial"/>
                <w:sz w:val="13"/>
                <w:szCs w:val="13"/>
                <w:b w:val="1"/>
                <w:bCs w:val="1"/>
                <w:color w:val="auto"/>
                <w:w w:val="97"/>
              </w:rPr>
              <w:t>Non-Voting</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4"/>
          </w:tcPr>
          <w:p>
            <w:pPr>
              <w:jc w:val="right"/>
              <w:ind w:right="317"/>
              <w:spacing w:after="0"/>
              <w:rPr>
                <w:sz w:val="20"/>
                <w:szCs w:val="20"/>
                <w:color w:val="auto"/>
              </w:rPr>
            </w:pPr>
            <w:r>
              <w:rPr>
                <w:rFonts w:ascii="Arial" w:cs="Arial" w:eastAsia="Arial" w:hAnsi="Arial"/>
                <w:sz w:val="13"/>
                <w:szCs w:val="13"/>
                <w:b w:val="1"/>
                <w:bCs w:val="1"/>
                <w:color w:val="auto"/>
              </w:rPr>
              <w:t>Treasury Voting</w:t>
            </w:r>
          </w:p>
        </w:tc>
        <w:tc>
          <w:tcPr>
            <w:tcW w:w="12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93"/>
        </w:trPr>
        <w:tc>
          <w:tcPr>
            <w:tcW w:w="1540" w:type="dxa"/>
            <w:vAlign w:val="bottom"/>
            <w:gridSpan w:val="3"/>
          </w:tcPr>
          <w:p>
            <w:pPr>
              <w:jc w:val="center"/>
              <w:ind w:left="77"/>
              <w:spacing w:after="0"/>
              <w:rPr>
                <w:sz w:val="20"/>
                <w:szCs w:val="20"/>
                <w:color w:val="auto"/>
              </w:rPr>
            </w:pPr>
            <w:r>
              <w:rPr>
                <w:rFonts w:ascii="Arial" w:cs="Arial" w:eastAsia="Arial" w:hAnsi="Arial"/>
                <w:sz w:val="13"/>
                <w:szCs w:val="13"/>
                <w:b w:val="1"/>
                <w:bCs w:val="1"/>
                <w:color w:val="auto"/>
                <w:w w:val="96"/>
              </w:rPr>
              <w:t>Common Stock</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left="97"/>
              <w:spacing w:after="0"/>
              <w:rPr>
                <w:sz w:val="20"/>
                <w:szCs w:val="20"/>
                <w:color w:val="auto"/>
              </w:rPr>
            </w:pPr>
            <w:r>
              <w:rPr>
                <w:rFonts w:ascii="Arial" w:cs="Arial" w:eastAsia="Arial" w:hAnsi="Arial"/>
                <w:sz w:val="13"/>
                <w:szCs w:val="13"/>
                <w:b w:val="1"/>
                <w:bCs w:val="1"/>
                <w:color w:val="auto"/>
                <w:w w:val="96"/>
              </w:rPr>
              <w:t>Common Stock</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6"/>
                <w:szCs w:val="16"/>
                <w:color w:val="auto"/>
              </w:rPr>
            </w:pPr>
          </w:p>
        </w:tc>
        <w:tc>
          <w:tcPr>
            <w:tcW w:w="820" w:type="dxa"/>
            <w:vAlign w:val="bottom"/>
          </w:tcPr>
          <w:p>
            <w:pPr>
              <w:jc w:val="right"/>
              <w:ind w:right="137"/>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Comprehensi</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81"/>
        </w:trPr>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ve</w:t>
            </w: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7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9"/>
                <w:szCs w:val="9"/>
                <w:color w:val="auto"/>
              </w:rPr>
            </w:pPr>
          </w:p>
        </w:tc>
        <w:tc>
          <w:tcPr>
            <w:tcW w:w="8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Income</w:t>
            </w:r>
          </w:p>
        </w:tc>
        <w:tc>
          <w:tcPr>
            <w:tcW w:w="120" w:type="dxa"/>
            <w:vAlign w:val="bottom"/>
          </w:tcPr>
          <w:p>
            <w:pPr>
              <w:spacing w:after="0"/>
              <w:rPr>
                <w:sz w:val="9"/>
                <w:szCs w:val="9"/>
                <w:color w:val="auto"/>
              </w:rPr>
            </w:pPr>
          </w:p>
        </w:tc>
        <w:tc>
          <w:tcPr>
            <w:tcW w:w="82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(Loss)</w:t>
            </w: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720" w:type="dxa"/>
            <w:vAlign w:val="bottom"/>
          </w:tcPr>
          <w:p>
            <w:pPr>
              <w:jc w:val="right"/>
              <w:spacing w:after="0"/>
              <w:rPr>
                <w:sz w:val="20"/>
                <w:szCs w:val="20"/>
                <w:color w:val="auto"/>
              </w:rPr>
            </w:pPr>
            <w:r>
              <w:rPr>
                <w:rFonts w:ascii="Arial" w:cs="Arial" w:eastAsia="Arial" w:hAnsi="Arial"/>
                <w:sz w:val="13"/>
                <w:szCs w:val="13"/>
                <w:color w:val="auto"/>
                <w:w w:val="94"/>
              </w:rPr>
              <w:t>126,853,852</w:t>
            </w:r>
          </w:p>
        </w:tc>
        <w:tc>
          <w:tcPr>
            <w:tcW w:w="120" w:type="dxa"/>
            <w:vAlign w:val="bottom"/>
          </w:tcPr>
          <w:p>
            <w:pPr>
              <w:spacing w:after="0"/>
              <w:rPr>
                <w:sz w:val="13"/>
                <w:szCs w:val="13"/>
                <w:color w:val="auto"/>
              </w:rPr>
            </w:pPr>
          </w:p>
        </w:tc>
        <w:tc>
          <w:tcPr>
            <w:tcW w:w="700" w:type="dxa"/>
            <w:vAlign w:val="bottom"/>
          </w:tcPr>
          <w:p>
            <w:pPr>
              <w:jc w:val="right"/>
              <w:ind w:right="557"/>
              <w:spacing w:after="0"/>
              <w:rPr>
                <w:sz w:val="20"/>
                <w:szCs w:val="20"/>
                <w:color w:val="auto"/>
              </w:rPr>
            </w:pPr>
            <w:r>
              <w:rPr>
                <w:rFonts w:ascii="Arial" w:cs="Arial" w:eastAsia="Arial" w:hAnsi="Arial"/>
                <w:sz w:val="13"/>
                <w:szCs w:val="13"/>
                <w:color w:val="auto"/>
                <w:w w:val="82"/>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6"/>
              </w:rPr>
              <w:t>13</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1,873,320</w:t>
            </w:r>
          </w:p>
        </w:tc>
        <w:tc>
          <w:tcPr>
            <w:tcW w:w="140" w:type="dxa"/>
            <w:vAlign w:val="bottom"/>
          </w:tcPr>
          <w:p>
            <w:pPr>
              <w:spacing w:after="0"/>
              <w:rPr>
                <w:sz w:val="13"/>
                <w:szCs w:val="13"/>
                <w:color w:val="auto"/>
              </w:rPr>
            </w:pPr>
          </w:p>
        </w:tc>
        <w:tc>
          <w:tcPr>
            <w:tcW w:w="700" w:type="dxa"/>
            <w:vAlign w:val="bottom"/>
          </w:tcPr>
          <w:p>
            <w:pPr>
              <w:jc w:val="right"/>
              <w:ind w:right="557"/>
              <w:spacing w:after="0"/>
              <w:rPr>
                <w:sz w:val="20"/>
                <w:szCs w:val="20"/>
                <w:color w:val="auto"/>
              </w:rPr>
            </w:pPr>
            <w:r>
              <w:rPr>
                <w:rFonts w:ascii="Arial" w:cs="Arial" w:eastAsia="Arial" w:hAnsi="Arial"/>
                <w:sz w:val="13"/>
                <w:szCs w:val="13"/>
                <w:color w:val="auto"/>
                <w:w w:val="82"/>
              </w:rPr>
              <w:t>$</w:t>
            </w: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(4,670,974)</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(46,268)</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   1,033,958</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w w:val="97"/>
              </w:rPr>
              <w:t>$(2,066)</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   (170,870)</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w w:val="93"/>
              </w:rPr>
              <w:t>$814,767</w:t>
            </w:r>
          </w:p>
        </w:tc>
        <w:tc>
          <w:tcPr>
            <w:tcW w:w="0" w:type="dxa"/>
            <w:vAlign w:val="bottom"/>
          </w:tcPr>
          <w:p>
            <w:pPr>
              <w:spacing w:after="0"/>
              <w:rPr>
                <w:sz w:val="1"/>
                <w:szCs w:val="1"/>
                <w:color w:val="auto"/>
              </w:rPr>
            </w:pPr>
          </w:p>
        </w:tc>
      </w:tr>
      <w:tr>
        <w:trPr>
          <w:trHeight w:val="252"/>
        </w:trPr>
        <w:tc>
          <w:tcPr>
            <w:tcW w:w="720" w:type="dxa"/>
            <w:vAlign w:val="bottom"/>
          </w:tcPr>
          <w:p>
            <w:pPr>
              <w:jc w:val="right"/>
              <w:spacing w:after="0"/>
              <w:rPr>
                <w:sz w:val="20"/>
                <w:szCs w:val="20"/>
                <w:color w:val="auto"/>
              </w:rPr>
            </w:pPr>
            <w:r>
              <w:rPr>
                <w:rFonts w:ascii="Arial" w:cs="Arial" w:eastAsia="Arial" w:hAnsi="Arial"/>
                <w:sz w:val="13"/>
                <w:szCs w:val="13"/>
                <w:color w:val="auto"/>
              </w:rPr>
              <w:t>767,953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2,064</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2,064</w:t>
            </w:r>
          </w:p>
        </w:tc>
        <w:tc>
          <w:tcPr>
            <w:tcW w:w="0" w:type="dxa"/>
            <w:vAlign w:val="bottom"/>
          </w:tcPr>
          <w:p>
            <w:pPr>
              <w:spacing w:after="0"/>
              <w:rPr>
                <w:sz w:val="1"/>
                <w:szCs w:val="1"/>
                <w:color w:val="auto"/>
              </w:rPr>
            </w:pPr>
          </w:p>
        </w:tc>
      </w:tr>
      <w:tr>
        <w:trPr>
          <w:trHeight w:val="405"/>
        </w:trPr>
        <w:tc>
          <w:tcPr>
            <w:tcW w:w="720" w:type="dxa"/>
            <w:vAlign w:val="bottom"/>
          </w:tcPr>
          <w:p>
            <w:pPr>
              <w:jc w:val="right"/>
              <w:spacing w:after="0"/>
              <w:rPr>
                <w:sz w:val="20"/>
                <w:szCs w:val="20"/>
                <w:color w:val="auto"/>
              </w:rPr>
            </w:pPr>
            <w:r>
              <w:rPr>
                <w:rFonts w:ascii="Arial" w:cs="Arial" w:eastAsia="Arial" w:hAnsi="Arial"/>
                <w:sz w:val="13"/>
                <w:szCs w:val="13"/>
                <w:color w:val="auto"/>
              </w:rPr>
              <w:t>1,880,125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(3,257)</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(3,257)</w:t>
            </w:r>
          </w:p>
        </w:tc>
        <w:tc>
          <w:tcPr>
            <w:tcW w:w="0" w:type="dxa"/>
            <w:vAlign w:val="bottom"/>
          </w:tcPr>
          <w:p>
            <w:pPr>
              <w:spacing w:after="0"/>
              <w:rPr>
                <w:sz w:val="1"/>
                <w:szCs w:val="1"/>
                <w:color w:val="auto"/>
              </w:rPr>
            </w:pPr>
          </w:p>
        </w:tc>
      </w:tr>
      <w:tr>
        <w:trPr>
          <w:trHeight w:val="338"/>
        </w:trPr>
        <w:tc>
          <w:tcPr>
            <w:tcW w:w="720" w:type="dxa"/>
            <w:vAlign w:val="bottom"/>
          </w:tcPr>
          <w:p>
            <w:pPr>
              <w:jc w:val="right"/>
              <w:spacing w:after="0"/>
              <w:rPr>
                <w:sz w:val="20"/>
                <w:szCs w:val="20"/>
                <w:color w:val="auto"/>
              </w:rPr>
            </w:pPr>
            <w:r>
              <w:rPr>
                <w:rFonts w:ascii="Arial" w:cs="Arial" w:eastAsia="Arial" w:hAnsi="Arial"/>
                <w:sz w:val="13"/>
                <w:szCs w:val="13"/>
                <w:color w:val="auto"/>
              </w:rPr>
              <w:t>41,998</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37,133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394</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(394)</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720" w:type="dxa"/>
            <w:vAlign w:val="bottom"/>
          </w:tcPr>
          <w:p>
            <w:pPr>
              <w:jc w:val="right"/>
              <w:spacing w:after="0"/>
              <w:rPr>
                <w:sz w:val="20"/>
                <w:szCs w:val="20"/>
                <w:color w:val="auto"/>
              </w:rPr>
            </w:pPr>
            <w:r>
              <w:rPr>
                <w:rFonts w:ascii="Arial" w:cs="Arial" w:eastAsia="Arial" w:hAnsi="Arial"/>
                <w:sz w:val="13"/>
                <w:szCs w:val="13"/>
                <w:color w:val="auto"/>
              </w:rPr>
              <w:t>217,916</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2,527</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2,527</w:t>
            </w:r>
          </w:p>
        </w:tc>
        <w:tc>
          <w:tcPr>
            <w:tcW w:w="0" w:type="dxa"/>
            <w:vAlign w:val="bottom"/>
          </w:tcPr>
          <w:p>
            <w:pPr>
              <w:spacing w:after="0"/>
              <w:rPr>
                <w:sz w:val="1"/>
                <w:szCs w:val="1"/>
                <w:color w:val="auto"/>
              </w:rPr>
            </w:pPr>
          </w:p>
        </w:tc>
      </w:tr>
      <w:tr>
        <w:trPr>
          <w:trHeight w:val="270"/>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(4,889,064)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(62,813)</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(62,813)</w:t>
            </w:r>
          </w:p>
        </w:tc>
        <w:tc>
          <w:tcPr>
            <w:tcW w:w="0" w:type="dxa"/>
            <w:vAlign w:val="bottom"/>
          </w:tcPr>
          <w:p>
            <w:pPr>
              <w:spacing w:after="0"/>
              <w:rPr>
                <w:sz w:val="1"/>
                <w:szCs w:val="1"/>
                <w:color w:val="auto"/>
              </w:rPr>
            </w:pPr>
          </w:p>
        </w:tc>
      </w:tr>
      <w:tr>
        <w:trPr>
          <w:trHeight w:val="270"/>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7,415</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7,415</w:t>
            </w:r>
          </w:p>
        </w:tc>
        <w:tc>
          <w:tcPr>
            <w:tcW w:w="0" w:type="dxa"/>
            <w:vAlign w:val="bottom"/>
          </w:tcPr>
          <w:p>
            <w:pPr>
              <w:spacing w:after="0"/>
              <w:rPr>
                <w:sz w:val="1"/>
                <w:szCs w:val="1"/>
                <w:color w:val="auto"/>
              </w:rPr>
            </w:pPr>
          </w:p>
        </w:tc>
      </w:tr>
      <w:tr>
        <w:trPr>
          <w:trHeight w:val="270"/>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84"/>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55,104</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55,104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-1624330</wp:posOffset>
            </wp:positionV>
            <wp:extent cx="7132320" cy="85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-1281430</wp:posOffset>
            </wp:positionV>
            <wp:extent cx="7132320" cy="257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-852805</wp:posOffset>
            </wp:positionV>
            <wp:extent cx="7132320" cy="85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-595630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-252730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980" w:space="60"/>
            <w:col w:w="9200"/>
          </w:cols>
          <w:pgMar w:left="320" w:top="1210" w:right="33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40" w:type="dxa"/>
            <w:vAlign w:val="bottom"/>
            <w:tcBorders>
              <w:bottom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Net income</w:t>
            </w:r>
          </w:p>
        </w:tc>
        <w:tc>
          <w:tcPr>
            <w:tcW w:w="72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ind w:left="340"/>
              <w:spacing w:after="0" w:line="141" w:lineRule="exact"/>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13,464</w:t>
            </w:r>
          </w:p>
        </w:tc>
        <w:tc>
          <w:tcPr>
            <w:tcW w:w="1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13,464</w:t>
            </w:r>
          </w:p>
        </w:tc>
      </w:tr>
      <w:tr>
        <w:trPr>
          <w:trHeight w:val="128"/>
        </w:trPr>
        <w:tc>
          <w:tcPr>
            <w:tcW w:w="2040" w:type="dxa"/>
            <w:vAlign w:val="bottom"/>
          </w:tcPr>
          <w:p>
            <w:pPr>
              <w:spacing w:after="0" w:line="129" w:lineRule="exact"/>
              <w:rPr>
                <w:sz w:val="20"/>
                <w:szCs w:val="20"/>
                <w:color w:val="auto"/>
              </w:rPr>
            </w:pPr>
            <w:r>
              <w:rPr>
                <w:rFonts w:ascii="Arial" w:cs="Arial" w:eastAsia="Arial" w:hAnsi="Arial"/>
                <w:sz w:val="13"/>
                <w:szCs w:val="13"/>
                <w:b w:val="1"/>
                <w:bCs w:val="1"/>
                <w:color w:val="auto"/>
              </w:rPr>
              <w:t>Balances at September 30, 2025</w:t>
            </w: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w w:val="94"/>
              </w:rPr>
              <w:t>129,761,844</w:t>
            </w:r>
          </w:p>
        </w:tc>
        <w:tc>
          <w:tcPr>
            <w:tcW w:w="520" w:type="dxa"/>
            <w:vAlign w:val="bottom"/>
            <w:gridSpan w:val="2"/>
          </w:tcPr>
          <w:p>
            <w:pPr>
              <w:jc w:val="right"/>
              <w:ind w:right="320"/>
              <w:spacing w:after="0" w:line="129"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13</w:t>
            </w:r>
          </w:p>
        </w:tc>
        <w:tc>
          <w:tcPr>
            <w:tcW w:w="8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1,873,320</w:t>
            </w:r>
          </w:p>
        </w:tc>
        <w:tc>
          <w:tcPr>
            <w:tcW w:w="540" w:type="dxa"/>
            <w:vAlign w:val="bottom"/>
            <w:gridSpan w:val="2"/>
          </w:tcPr>
          <w:p>
            <w:pPr>
              <w:jc w:val="right"/>
              <w:ind w:right="320"/>
              <w:spacing w:after="0" w:line="129" w:lineRule="exact"/>
              <w:rPr>
                <w:sz w:val="20"/>
                <w:szCs w:val="20"/>
                <w:color w:val="auto"/>
              </w:rPr>
            </w:pPr>
            <w:r>
              <w:rPr>
                <w:rFonts w:ascii="Arial" w:cs="Arial" w:eastAsia="Arial" w:hAnsi="Arial"/>
                <w:sz w:val="13"/>
                <w:szCs w:val="13"/>
                <w:color w:val="auto"/>
              </w:rPr>
              <w:t>$</w:t>
            </w:r>
          </w:p>
        </w:tc>
        <w:tc>
          <w:tcPr>
            <w:tcW w:w="480" w:type="dxa"/>
            <w:vAlign w:val="bottom"/>
          </w:tcPr>
          <w:p>
            <w:pPr>
              <w:ind w:left="340"/>
              <w:spacing w:after="0" w:line="129" w:lineRule="exact"/>
              <w:rPr>
                <w:sz w:val="20"/>
                <w:szCs w:val="20"/>
                <w:color w:val="auto"/>
              </w:rPr>
            </w:pPr>
            <w:r>
              <w:rPr>
                <w:rFonts w:ascii="Arial" w:cs="Arial" w:eastAsia="Arial" w:hAnsi="Arial"/>
                <w:sz w:val="13"/>
                <w:szCs w:val="13"/>
                <w:color w:val="auto"/>
                <w:w w:val="91"/>
              </w:rPr>
              <w:t>—</w:t>
            </w:r>
          </w:p>
        </w:tc>
        <w:tc>
          <w:tcPr>
            <w:tcW w:w="8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(9,522,905)</w:t>
            </w:r>
          </w:p>
        </w:tc>
        <w:tc>
          <w:tcPr>
            <w:tcW w:w="3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(108,687)</w:t>
            </w:r>
          </w:p>
        </w:tc>
        <w:tc>
          <w:tcPr>
            <w:tcW w:w="2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1,090,002</w:t>
            </w:r>
          </w:p>
        </w:tc>
        <w:tc>
          <w:tcPr>
            <w:tcW w:w="38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29" w:lineRule="exact"/>
              <w:rPr>
                <w:sz w:val="20"/>
                <w:szCs w:val="20"/>
                <w:color w:val="auto"/>
              </w:rPr>
            </w:pPr>
            <w:r>
              <w:rPr>
                <w:rFonts w:ascii="Arial" w:cs="Arial" w:eastAsia="Arial" w:hAnsi="Arial"/>
                <w:sz w:val="13"/>
                <w:szCs w:val="13"/>
                <w:color w:val="auto"/>
              </w:rPr>
              <w:t>5,204</w:t>
            </w:r>
          </w:p>
        </w:tc>
        <w:tc>
          <w:tcPr>
            <w:tcW w:w="2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(157,406)</w:t>
            </w:r>
          </w:p>
        </w:tc>
        <w:tc>
          <w:tcPr>
            <w:tcW w:w="34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829,126</w:t>
            </w:r>
          </w:p>
        </w:tc>
      </w:tr>
      <w:tr>
        <w:trPr>
          <w:trHeight w:val="20"/>
        </w:trPr>
        <w:tc>
          <w:tcPr>
            <w:tcW w:w="2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-119380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-119380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-119380</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-119380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-119380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-119380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-119380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-119380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-119380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6350</wp:posOffset>
            </wp:positionV>
            <wp:extent cx="58464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5" w:lineRule="exact"/>
        <w:rPr>
          <w:sz w:val="20"/>
          <w:szCs w:val="20"/>
          <w:color w:val="auto"/>
        </w:rPr>
      </w:pPr>
    </w:p>
    <w:p>
      <w:pPr>
        <w:ind w:left="8540"/>
        <w:spacing w:after="0"/>
        <w:rPr>
          <w:sz w:val="20"/>
          <w:szCs w:val="20"/>
          <w:color w:val="auto"/>
        </w:rPr>
      </w:pPr>
      <w:r>
        <w:rPr>
          <w:rFonts w:ascii="Arial" w:cs="Arial" w:eastAsia="Arial" w:hAnsi="Arial"/>
          <w:sz w:val="13"/>
          <w:szCs w:val="13"/>
          <w:b w:val="1"/>
          <w:bCs w:val="1"/>
          <w:color w:val="auto"/>
        </w:rPr>
        <w:t>Accumulated</w:t>
      </w:r>
    </w:p>
    <w:p>
      <w:pPr>
        <w:sectPr>
          <w:pgSz w:w="11900" w:h="16838" w:orient="portrait"/>
          <w:cols w:equalWidth="0" w:num="1">
            <w:col w:w="11240"/>
          </w:cols>
          <w:pgMar w:left="320" w:top="121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21" w:lineRule="auto"/>
        <w:rPr>
          <w:sz w:val="20"/>
          <w:szCs w:val="20"/>
          <w:color w:val="auto"/>
        </w:rPr>
      </w:pPr>
      <w:r>
        <w:rPr>
          <w:rFonts w:ascii="Arial" w:cs="Arial" w:eastAsia="Arial" w:hAnsi="Arial"/>
          <w:sz w:val="13"/>
          <w:szCs w:val="13"/>
          <w:b w:val="1"/>
          <w:bCs w:val="1"/>
          <w:color w:val="auto"/>
        </w:rPr>
        <w:t xml:space="preserve">Balances at December 31, 2023 </w:t>
      </w:r>
      <w:r>
        <w:rPr>
          <w:rFonts w:ascii="Arial" w:cs="Arial" w:eastAsia="Arial" w:hAnsi="Arial"/>
          <w:sz w:val="13"/>
          <w:szCs w:val="13"/>
          <w:color w:val="auto"/>
        </w:rPr>
        <w:t>Issuance of common stock upon exercise of stock options, net of tax withheld</w:t>
      </w:r>
    </w:p>
    <w:p>
      <w:pPr>
        <w:spacing w:after="0" w:line="1" w:lineRule="exact"/>
        <w:rPr>
          <w:sz w:val="20"/>
          <w:szCs w:val="20"/>
          <w:color w:val="auto"/>
        </w:rPr>
      </w:pPr>
    </w:p>
    <w:p>
      <w:pPr>
        <w:ind w:right="40"/>
        <w:spacing w:after="0" w:line="216" w:lineRule="auto"/>
        <w:rPr>
          <w:sz w:val="20"/>
          <w:szCs w:val="20"/>
          <w:color w:val="auto"/>
        </w:rPr>
      </w:pPr>
      <w:r>
        <w:rPr>
          <w:rFonts w:ascii="Arial" w:cs="Arial" w:eastAsia="Arial" w:hAnsi="Arial"/>
          <w:sz w:val="13"/>
          <w:szCs w:val="13"/>
          <w:color w:val="auto"/>
        </w:rPr>
        <w:t>Issuance of common stock upon settlement of restricted stock units, net of tax withheld</w:t>
      </w:r>
    </w:p>
    <w:p>
      <w:pPr>
        <w:spacing w:after="0" w:line="1" w:lineRule="exact"/>
        <w:rPr>
          <w:sz w:val="20"/>
          <w:szCs w:val="20"/>
          <w:color w:val="auto"/>
        </w:rPr>
      </w:pPr>
    </w:p>
    <w:p>
      <w:pPr>
        <w:ind w:right="120"/>
        <w:spacing w:after="0" w:line="216" w:lineRule="auto"/>
        <w:rPr>
          <w:sz w:val="20"/>
          <w:szCs w:val="20"/>
          <w:color w:val="auto"/>
        </w:rPr>
      </w:pPr>
      <w:r>
        <w:rPr>
          <w:rFonts w:ascii="Arial" w:cs="Arial" w:eastAsia="Arial" w:hAnsi="Arial"/>
          <w:sz w:val="13"/>
          <w:szCs w:val="13"/>
          <w:color w:val="auto"/>
        </w:rPr>
        <w:t>Issuance of common stock under employee stock purchase plan Issuance of common stock under retention bonus</w:t>
      </w:r>
    </w:p>
    <w:p>
      <w:pPr>
        <w:spacing w:after="0" w:line="2" w:lineRule="exact"/>
        <w:rPr>
          <w:sz w:val="20"/>
          <w:szCs w:val="20"/>
          <w:color w:val="auto"/>
        </w:rPr>
      </w:pPr>
    </w:p>
    <w:p>
      <w:pPr>
        <w:ind w:right="400"/>
        <w:spacing w:after="0" w:line="234" w:lineRule="auto"/>
        <w:rPr>
          <w:sz w:val="20"/>
          <w:szCs w:val="20"/>
          <w:color w:val="auto"/>
        </w:rPr>
      </w:pPr>
      <w:r>
        <w:rPr>
          <w:rFonts w:ascii="Arial" w:cs="Arial" w:eastAsia="Arial" w:hAnsi="Arial"/>
          <w:sz w:val="12"/>
          <w:szCs w:val="12"/>
          <w:color w:val="auto"/>
        </w:rPr>
        <w:t>Common stock repurchased Issuance of treasury stock Foreign currency translation adjustment</w:t>
      </w:r>
    </w:p>
    <w:p>
      <w:pPr>
        <w:spacing w:after="0" w:line="2" w:lineRule="exact"/>
        <w:rPr>
          <w:sz w:val="20"/>
          <w:szCs w:val="20"/>
          <w:color w:val="auto"/>
        </w:rPr>
      </w:pPr>
    </w:p>
    <w:p>
      <w:pPr>
        <w:ind w:right="100"/>
        <w:spacing w:after="0" w:line="234" w:lineRule="auto"/>
        <w:rPr>
          <w:sz w:val="20"/>
          <w:szCs w:val="20"/>
          <w:color w:val="auto"/>
        </w:rPr>
      </w:pPr>
      <w:r>
        <w:rPr>
          <w:rFonts w:ascii="Arial" w:cs="Arial" w:eastAsia="Arial" w:hAnsi="Arial"/>
          <w:sz w:val="12"/>
          <w:szCs w:val="12"/>
          <w:color w:val="auto"/>
        </w:rPr>
        <w:t>Unrealized gains on available-for-sale debt securities, net of taxes Stock-based compensation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40" w:type="dxa"/>
            <w:vAlign w:val="bottom"/>
            <w:gridSpan w:val="3"/>
          </w:tcPr>
          <w:p>
            <w:pPr>
              <w:jc w:val="center"/>
              <w:ind w:left="77"/>
              <w:spacing w:after="0"/>
              <w:rPr>
                <w:sz w:val="20"/>
                <w:szCs w:val="20"/>
                <w:color w:val="auto"/>
              </w:rPr>
            </w:pPr>
            <w:r>
              <w:rPr>
                <w:rFonts w:ascii="Arial" w:cs="Arial" w:eastAsia="Arial" w:hAnsi="Arial"/>
                <w:sz w:val="13"/>
                <w:szCs w:val="13"/>
                <w:b w:val="1"/>
                <w:bCs w:val="1"/>
                <w:color w:val="auto"/>
                <w:w w:val="97"/>
              </w:rPr>
              <w:t>Voting 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jc w:val="center"/>
              <w:ind w:left="97"/>
              <w:spacing w:after="0"/>
              <w:rPr>
                <w:sz w:val="20"/>
                <w:szCs w:val="20"/>
                <w:color w:val="auto"/>
              </w:rPr>
            </w:pPr>
            <w:r>
              <w:rPr>
                <w:rFonts w:ascii="Arial" w:cs="Arial" w:eastAsia="Arial" w:hAnsi="Arial"/>
                <w:sz w:val="13"/>
                <w:szCs w:val="13"/>
                <w:b w:val="1"/>
                <w:bCs w:val="1"/>
                <w:color w:val="auto"/>
                <w:w w:val="97"/>
              </w:rPr>
              <w:t>Non-Voting</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4"/>
          </w:tcPr>
          <w:p>
            <w:pPr>
              <w:jc w:val="right"/>
              <w:ind w:right="317"/>
              <w:spacing w:after="0"/>
              <w:rPr>
                <w:sz w:val="20"/>
                <w:szCs w:val="20"/>
                <w:color w:val="auto"/>
              </w:rPr>
            </w:pPr>
            <w:r>
              <w:rPr>
                <w:rFonts w:ascii="Arial" w:cs="Arial" w:eastAsia="Arial" w:hAnsi="Arial"/>
                <w:sz w:val="13"/>
                <w:szCs w:val="13"/>
                <w:b w:val="1"/>
                <w:bCs w:val="1"/>
                <w:color w:val="auto"/>
              </w:rPr>
              <w:t>Treasury Voting</w:t>
            </w:r>
          </w:p>
        </w:tc>
        <w:tc>
          <w:tcPr>
            <w:tcW w:w="120" w:type="dxa"/>
            <w:vAlign w:val="bottom"/>
          </w:tcPr>
          <w:p>
            <w:pPr>
              <w:spacing w:after="0"/>
              <w:rPr>
                <w:sz w:val="13"/>
                <w:szCs w:val="13"/>
                <w:color w:val="auto"/>
              </w:rPr>
            </w:pPr>
          </w:p>
        </w:tc>
        <w:tc>
          <w:tcPr>
            <w:tcW w:w="820" w:type="dxa"/>
            <w:vAlign w:val="bottom"/>
          </w:tcPr>
          <w:p>
            <w:pPr>
              <w:jc w:val="right"/>
              <w:ind w:right="63"/>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59"/>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93"/>
        </w:trPr>
        <w:tc>
          <w:tcPr>
            <w:tcW w:w="1540" w:type="dxa"/>
            <w:vAlign w:val="bottom"/>
            <w:gridSpan w:val="3"/>
          </w:tcPr>
          <w:p>
            <w:pPr>
              <w:jc w:val="center"/>
              <w:ind w:left="77"/>
              <w:spacing w:after="0"/>
              <w:rPr>
                <w:sz w:val="20"/>
                <w:szCs w:val="20"/>
                <w:color w:val="auto"/>
              </w:rPr>
            </w:pPr>
            <w:r>
              <w:rPr>
                <w:rFonts w:ascii="Arial" w:cs="Arial" w:eastAsia="Arial" w:hAnsi="Arial"/>
                <w:sz w:val="13"/>
                <w:szCs w:val="13"/>
                <w:b w:val="1"/>
                <w:bCs w:val="1"/>
                <w:color w:val="auto"/>
                <w:w w:val="96"/>
              </w:rPr>
              <w:t>Common Stock</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left="97"/>
              <w:spacing w:after="0"/>
              <w:rPr>
                <w:sz w:val="20"/>
                <w:szCs w:val="20"/>
                <w:color w:val="auto"/>
              </w:rPr>
            </w:pPr>
            <w:r>
              <w:rPr>
                <w:rFonts w:ascii="Arial" w:cs="Arial" w:eastAsia="Arial" w:hAnsi="Arial"/>
                <w:sz w:val="13"/>
                <w:szCs w:val="13"/>
                <w:b w:val="1"/>
                <w:bCs w:val="1"/>
                <w:color w:val="auto"/>
                <w:w w:val="96"/>
              </w:rPr>
              <w:t>Common Stock</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6"/>
                <w:szCs w:val="16"/>
                <w:color w:val="auto"/>
              </w:rPr>
            </w:pPr>
          </w:p>
        </w:tc>
        <w:tc>
          <w:tcPr>
            <w:tcW w:w="820" w:type="dxa"/>
            <w:vAlign w:val="bottom"/>
          </w:tcPr>
          <w:p>
            <w:pPr>
              <w:jc w:val="right"/>
              <w:ind w:right="143"/>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Comprehensi</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81"/>
        </w:trPr>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jc w:val="center"/>
              <w:ind w:right="59"/>
              <w:spacing w:after="0" w:line="81" w:lineRule="exact"/>
              <w:rPr>
                <w:sz w:val="20"/>
                <w:szCs w:val="20"/>
                <w:color w:val="auto"/>
              </w:rPr>
            </w:pPr>
            <w:r>
              <w:rPr>
                <w:rFonts w:ascii="Arial" w:cs="Arial" w:eastAsia="Arial" w:hAnsi="Arial"/>
                <w:sz w:val="9"/>
                <w:szCs w:val="9"/>
                <w:b w:val="1"/>
                <w:bCs w:val="1"/>
                <w:color w:val="auto"/>
              </w:rPr>
              <w:t>ve</w:t>
            </w: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7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9"/>
                <w:szCs w:val="9"/>
                <w:color w:val="auto"/>
              </w:rPr>
            </w:pPr>
          </w:p>
        </w:tc>
        <w:tc>
          <w:tcPr>
            <w:tcW w:w="820" w:type="dxa"/>
            <w:vAlign w:val="bottom"/>
            <w:vMerge w:val="restart"/>
          </w:tcPr>
          <w:p>
            <w:pPr>
              <w:jc w:val="right"/>
              <w:ind w:right="143"/>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ind w:right="79"/>
              <w:spacing w:after="0" w:line="111" w:lineRule="exact"/>
              <w:rPr>
                <w:sz w:val="20"/>
                <w:szCs w:val="20"/>
                <w:color w:val="auto"/>
              </w:rPr>
            </w:pPr>
            <w:r>
              <w:rPr>
                <w:rFonts w:ascii="Arial" w:cs="Arial" w:eastAsia="Arial" w:hAnsi="Arial"/>
                <w:sz w:val="12"/>
                <w:szCs w:val="12"/>
                <w:b w:val="1"/>
                <w:bCs w:val="1"/>
                <w:color w:val="auto"/>
              </w:rPr>
              <w:t>Income</w:t>
            </w:r>
          </w:p>
        </w:tc>
        <w:tc>
          <w:tcPr>
            <w:tcW w:w="120" w:type="dxa"/>
            <w:vAlign w:val="bottom"/>
          </w:tcPr>
          <w:p>
            <w:pPr>
              <w:spacing w:after="0"/>
              <w:rPr>
                <w:sz w:val="9"/>
                <w:szCs w:val="9"/>
                <w:color w:val="auto"/>
              </w:rPr>
            </w:pPr>
          </w:p>
        </w:tc>
        <w:tc>
          <w:tcPr>
            <w:tcW w:w="82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center"/>
              <w:ind w:right="59"/>
              <w:spacing w:after="0"/>
              <w:rPr>
                <w:sz w:val="20"/>
                <w:szCs w:val="20"/>
                <w:color w:val="auto"/>
              </w:rPr>
            </w:pPr>
            <w:r>
              <w:rPr>
                <w:rFonts w:ascii="Arial" w:cs="Arial" w:eastAsia="Arial" w:hAnsi="Arial"/>
                <w:sz w:val="13"/>
                <w:szCs w:val="13"/>
                <w:b w:val="1"/>
                <w:bCs w:val="1"/>
                <w:color w:val="auto"/>
                <w:w w:val="97"/>
              </w:rPr>
              <w:t>(Loss)</w:t>
            </w: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720" w:type="dxa"/>
            <w:vAlign w:val="bottom"/>
          </w:tcPr>
          <w:p>
            <w:pPr>
              <w:jc w:val="right"/>
              <w:spacing w:after="0"/>
              <w:rPr>
                <w:sz w:val="20"/>
                <w:szCs w:val="20"/>
                <w:color w:val="auto"/>
              </w:rPr>
            </w:pPr>
            <w:r>
              <w:rPr>
                <w:rFonts w:ascii="Arial" w:cs="Arial" w:eastAsia="Arial" w:hAnsi="Arial"/>
                <w:sz w:val="13"/>
                <w:szCs w:val="13"/>
                <w:color w:val="auto"/>
                <w:w w:val="94"/>
              </w:rPr>
              <w:t>123,010,207</w:t>
            </w:r>
          </w:p>
        </w:tc>
        <w:tc>
          <w:tcPr>
            <w:tcW w:w="120" w:type="dxa"/>
            <w:vAlign w:val="bottom"/>
          </w:tcPr>
          <w:p>
            <w:pPr>
              <w:spacing w:after="0"/>
              <w:rPr>
                <w:sz w:val="13"/>
                <w:szCs w:val="13"/>
                <w:color w:val="auto"/>
              </w:rPr>
            </w:pPr>
          </w:p>
        </w:tc>
        <w:tc>
          <w:tcPr>
            <w:tcW w:w="700" w:type="dxa"/>
            <w:vAlign w:val="bottom"/>
          </w:tcPr>
          <w:p>
            <w:pPr>
              <w:jc w:val="right"/>
              <w:ind w:right="557"/>
              <w:spacing w:after="0"/>
              <w:rPr>
                <w:sz w:val="20"/>
                <w:szCs w:val="20"/>
                <w:color w:val="auto"/>
              </w:rPr>
            </w:pPr>
            <w:r>
              <w:rPr>
                <w:rFonts w:ascii="Arial" w:cs="Arial" w:eastAsia="Arial" w:hAnsi="Arial"/>
                <w:sz w:val="13"/>
                <w:szCs w:val="13"/>
                <w:color w:val="auto"/>
                <w:w w:val="82"/>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6"/>
              </w:rPr>
              <w:t>11</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1,873,320</w:t>
            </w:r>
          </w:p>
        </w:tc>
        <w:tc>
          <w:tcPr>
            <w:tcW w:w="140" w:type="dxa"/>
            <w:vAlign w:val="bottom"/>
          </w:tcPr>
          <w:p>
            <w:pPr>
              <w:spacing w:after="0"/>
              <w:rPr>
                <w:sz w:val="13"/>
                <w:szCs w:val="13"/>
                <w:color w:val="auto"/>
              </w:rPr>
            </w:pPr>
          </w:p>
        </w:tc>
        <w:tc>
          <w:tcPr>
            <w:tcW w:w="700" w:type="dxa"/>
            <w:vAlign w:val="bottom"/>
          </w:tcPr>
          <w:p>
            <w:pPr>
              <w:jc w:val="right"/>
              <w:ind w:right="557"/>
              <w:spacing w:after="0"/>
              <w:rPr>
                <w:sz w:val="20"/>
                <w:szCs w:val="20"/>
                <w:color w:val="auto"/>
              </w:rPr>
            </w:pPr>
            <w:r>
              <w:rPr>
                <w:rFonts w:ascii="Arial" w:cs="Arial" w:eastAsia="Arial" w:hAnsi="Arial"/>
                <w:sz w:val="13"/>
                <w:szCs w:val="13"/>
                <w:color w:val="auto"/>
                <w:w w:val="82"/>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(2,315,045)</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(747)</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w w:val="93"/>
              </w:rPr>
              <w:t>$959,302</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1,320</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   (173,770)</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w w:val="93"/>
              </w:rPr>
              <w:t>$786,117</w:t>
            </w:r>
          </w:p>
        </w:tc>
        <w:tc>
          <w:tcPr>
            <w:tcW w:w="0" w:type="dxa"/>
            <w:vAlign w:val="bottom"/>
          </w:tcPr>
          <w:p>
            <w:pPr>
              <w:spacing w:after="0"/>
              <w:rPr>
                <w:sz w:val="1"/>
                <w:szCs w:val="1"/>
                <w:color w:val="auto"/>
              </w:rPr>
            </w:pPr>
          </w:p>
        </w:tc>
      </w:tr>
      <w:tr>
        <w:trPr>
          <w:trHeight w:val="252"/>
        </w:trPr>
        <w:tc>
          <w:tcPr>
            <w:tcW w:w="720" w:type="dxa"/>
            <w:vAlign w:val="bottom"/>
          </w:tcPr>
          <w:p>
            <w:pPr>
              <w:jc w:val="right"/>
              <w:spacing w:after="0"/>
              <w:rPr>
                <w:sz w:val="20"/>
                <w:szCs w:val="20"/>
                <w:color w:val="auto"/>
              </w:rPr>
            </w:pPr>
            <w:r>
              <w:rPr>
                <w:rFonts w:ascii="Arial" w:cs="Arial" w:eastAsia="Arial" w:hAnsi="Arial"/>
                <w:sz w:val="13"/>
                <w:szCs w:val="13"/>
                <w:color w:val="auto"/>
              </w:rPr>
              <w:t>1,468,660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3,954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3,956</w:t>
            </w:r>
          </w:p>
        </w:tc>
        <w:tc>
          <w:tcPr>
            <w:tcW w:w="0" w:type="dxa"/>
            <w:vAlign w:val="bottom"/>
          </w:tcPr>
          <w:p>
            <w:pPr>
              <w:spacing w:after="0"/>
              <w:rPr>
                <w:sz w:val="1"/>
                <w:szCs w:val="1"/>
                <w:color w:val="auto"/>
              </w:rPr>
            </w:pPr>
          </w:p>
        </w:tc>
      </w:tr>
      <w:tr>
        <w:trPr>
          <w:trHeight w:val="405"/>
        </w:trPr>
        <w:tc>
          <w:tcPr>
            <w:tcW w:w="720" w:type="dxa"/>
            <w:vAlign w:val="bottom"/>
          </w:tcPr>
          <w:p>
            <w:pPr>
              <w:jc w:val="right"/>
              <w:spacing w:after="0"/>
              <w:rPr>
                <w:sz w:val="20"/>
                <w:szCs w:val="20"/>
                <w:color w:val="auto"/>
              </w:rPr>
            </w:pPr>
            <w:r>
              <w:rPr>
                <w:rFonts w:ascii="Arial" w:cs="Arial" w:eastAsia="Arial" w:hAnsi="Arial"/>
                <w:sz w:val="13"/>
                <w:szCs w:val="13"/>
                <w:color w:val="auto"/>
              </w:rPr>
              <w:t>1,470,048</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38"/>
        </w:trPr>
        <w:tc>
          <w:tcPr>
            <w:tcW w:w="720" w:type="dxa"/>
            <w:vAlign w:val="bottom"/>
          </w:tcPr>
          <w:p>
            <w:pPr>
              <w:jc w:val="right"/>
              <w:spacing w:after="0"/>
              <w:rPr>
                <w:sz w:val="20"/>
                <w:szCs w:val="20"/>
                <w:color w:val="auto"/>
              </w:rPr>
            </w:pPr>
            <w:r>
              <w:rPr>
                <w:rFonts w:ascii="Arial" w:cs="Arial" w:eastAsia="Arial" w:hAnsi="Arial"/>
                <w:sz w:val="13"/>
                <w:szCs w:val="13"/>
                <w:color w:val="auto"/>
              </w:rPr>
              <w:t>193,413</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3,108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3,108</w:t>
            </w:r>
          </w:p>
        </w:tc>
        <w:tc>
          <w:tcPr>
            <w:tcW w:w="0" w:type="dxa"/>
            <w:vAlign w:val="bottom"/>
          </w:tcPr>
          <w:p>
            <w:pPr>
              <w:spacing w:after="0"/>
              <w:rPr>
                <w:sz w:val="1"/>
                <w:szCs w:val="1"/>
                <w:color w:val="auto"/>
              </w:rPr>
            </w:pPr>
          </w:p>
        </w:tc>
      </w:tr>
      <w:tr>
        <w:trPr>
          <w:trHeight w:val="270"/>
        </w:trPr>
        <w:tc>
          <w:tcPr>
            <w:tcW w:w="720" w:type="dxa"/>
            <w:vAlign w:val="bottom"/>
          </w:tcPr>
          <w:p>
            <w:pPr>
              <w:jc w:val="right"/>
              <w:spacing w:after="0"/>
              <w:rPr>
                <w:sz w:val="20"/>
                <w:szCs w:val="20"/>
                <w:color w:val="auto"/>
              </w:rPr>
            </w:pPr>
            <w:r>
              <w:rPr>
                <w:rFonts w:ascii="Arial" w:cs="Arial" w:eastAsia="Arial" w:hAnsi="Arial"/>
                <w:sz w:val="13"/>
                <w:szCs w:val="13"/>
                <w:color w:val="auto"/>
              </w:rPr>
              <w:t>14,166</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72"/>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(1,291,252)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(23,112)</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(23,112)</w:t>
            </w:r>
          </w:p>
        </w:tc>
        <w:tc>
          <w:tcPr>
            <w:tcW w:w="0" w:type="dxa"/>
            <w:vAlign w:val="bottom"/>
          </w:tcPr>
          <w:p>
            <w:pPr>
              <w:spacing w:after="0"/>
              <w:rPr>
                <w:sz w:val="1"/>
                <w:szCs w:val="1"/>
                <w:color w:val="auto"/>
              </w:rPr>
            </w:pPr>
          </w:p>
        </w:tc>
      </w:tr>
      <w:tr>
        <w:trPr>
          <w:trHeight w:val="166"/>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25,660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3,736</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3,736</w:t>
            </w:r>
          </w:p>
        </w:tc>
        <w:tc>
          <w:tcPr>
            <w:tcW w:w="0" w:type="dxa"/>
            <w:vAlign w:val="bottom"/>
          </w:tcPr>
          <w:p>
            <w:pPr>
              <w:spacing w:after="0"/>
              <w:rPr>
                <w:sz w:val="1"/>
                <w:szCs w:val="1"/>
                <w:color w:val="auto"/>
              </w:rPr>
            </w:pPr>
          </w:p>
        </w:tc>
      </w:tr>
      <w:tr>
        <w:trPr>
          <w:trHeight w:val="270"/>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649</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649</w:t>
            </w:r>
          </w:p>
        </w:tc>
        <w:tc>
          <w:tcPr>
            <w:tcW w:w="0" w:type="dxa"/>
            <w:vAlign w:val="bottom"/>
          </w:tcPr>
          <w:p>
            <w:pPr>
              <w:spacing w:after="0"/>
              <w:rPr>
                <w:sz w:val="1"/>
                <w:szCs w:val="1"/>
                <w:color w:val="auto"/>
              </w:rPr>
            </w:pPr>
          </w:p>
        </w:tc>
      </w:tr>
      <w:tr>
        <w:trPr>
          <w:trHeight w:val="184"/>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49,668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49,668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-1538605</wp:posOffset>
            </wp:positionV>
            <wp:extent cx="7132320" cy="85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-1195705</wp:posOffset>
            </wp:positionV>
            <wp:extent cx="7132320"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-767080</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-509905</wp:posOffset>
            </wp:positionV>
            <wp:extent cx="7132320"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-252730</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980" w:space="60"/>
            <w:col w:w="9200"/>
          </w:cols>
          <w:pgMar w:left="320" w:top="1210" w:right="33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40" w:type="dxa"/>
            <w:vAlign w:val="bottom"/>
            <w:tcBorders>
              <w:bottom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Net income</w:t>
            </w:r>
          </w:p>
        </w:tc>
        <w:tc>
          <w:tcPr>
            <w:tcW w:w="72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ind w:left="340"/>
              <w:spacing w:after="0" w:line="141" w:lineRule="exact"/>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18,799</w:t>
            </w:r>
          </w:p>
        </w:tc>
        <w:tc>
          <w:tcPr>
            <w:tcW w:w="1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18,799</w:t>
            </w:r>
          </w:p>
        </w:tc>
      </w:tr>
      <w:tr>
        <w:trPr>
          <w:trHeight w:val="129"/>
        </w:trPr>
        <w:tc>
          <w:tcPr>
            <w:tcW w:w="2040" w:type="dxa"/>
            <w:vAlign w:val="bottom"/>
          </w:tcPr>
          <w:p>
            <w:pPr>
              <w:spacing w:after="0" w:line="129" w:lineRule="exact"/>
              <w:rPr>
                <w:sz w:val="20"/>
                <w:szCs w:val="20"/>
                <w:color w:val="auto"/>
              </w:rPr>
            </w:pPr>
            <w:r>
              <w:rPr>
                <w:rFonts w:ascii="Arial" w:cs="Arial" w:eastAsia="Arial" w:hAnsi="Arial"/>
                <w:sz w:val="13"/>
                <w:szCs w:val="13"/>
                <w:b w:val="1"/>
                <w:bCs w:val="1"/>
                <w:color w:val="auto"/>
              </w:rPr>
              <w:t>Balances at September 30, 2024</w:t>
            </w: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w w:val="94"/>
              </w:rPr>
              <w:t>126,156,494</w:t>
            </w:r>
          </w:p>
        </w:tc>
        <w:tc>
          <w:tcPr>
            <w:tcW w:w="520" w:type="dxa"/>
            <w:vAlign w:val="bottom"/>
            <w:gridSpan w:val="2"/>
          </w:tcPr>
          <w:p>
            <w:pPr>
              <w:jc w:val="right"/>
              <w:ind w:right="320"/>
              <w:spacing w:after="0" w:line="129"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13</w:t>
            </w:r>
          </w:p>
        </w:tc>
        <w:tc>
          <w:tcPr>
            <w:tcW w:w="8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1,873,320</w:t>
            </w:r>
          </w:p>
        </w:tc>
        <w:tc>
          <w:tcPr>
            <w:tcW w:w="540" w:type="dxa"/>
            <w:vAlign w:val="bottom"/>
            <w:gridSpan w:val="2"/>
          </w:tcPr>
          <w:p>
            <w:pPr>
              <w:jc w:val="right"/>
              <w:ind w:right="320"/>
              <w:spacing w:after="0" w:line="129" w:lineRule="exact"/>
              <w:rPr>
                <w:sz w:val="20"/>
                <w:szCs w:val="20"/>
                <w:color w:val="auto"/>
              </w:rPr>
            </w:pPr>
            <w:r>
              <w:rPr>
                <w:rFonts w:ascii="Arial" w:cs="Arial" w:eastAsia="Arial" w:hAnsi="Arial"/>
                <w:sz w:val="13"/>
                <w:szCs w:val="13"/>
                <w:color w:val="auto"/>
              </w:rPr>
              <w:t>$</w:t>
            </w:r>
          </w:p>
        </w:tc>
        <w:tc>
          <w:tcPr>
            <w:tcW w:w="480" w:type="dxa"/>
            <w:vAlign w:val="bottom"/>
          </w:tcPr>
          <w:p>
            <w:pPr>
              <w:ind w:left="340"/>
              <w:spacing w:after="0" w:line="129" w:lineRule="exact"/>
              <w:rPr>
                <w:sz w:val="20"/>
                <w:szCs w:val="20"/>
                <w:color w:val="auto"/>
              </w:rPr>
            </w:pPr>
            <w:r>
              <w:rPr>
                <w:rFonts w:ascii="Arial" w:cs="Arial" w:eastAsia="Arial" w:hAnsi="Arial"/>
                <w:sz w:val="13"/>
                <w:szCs w:val="13"/>
                <w:color w:val="auto"/>
                <w:w w:val="91"/>
              </w:rPr>
              <w:t>—</w:t>
            </w:r>
          </w:p>
        </w:tc>
        <w:tc>
          <w:tcPr>
            <w:tcW w:w="8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(3,580,637)</w:t>
            </w:r>
          </w:p>
        </w:tc>
        <w:tc>
          <w:tcPr>
            <w:tcW w:w="34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(23,851)</w:t>
            </w:r>
          </w:p>
        </w:tc>
        <w:tc>
          <w:tcPr>
            <w:tcW w:w="2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1,016,349</w:t>
            </w:r>
          </w:p>
        </w:tc>
        <w:tc>
          <w:tcPr>
            <w:tcW w:w="38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29" w:lineRule="exact"/>
              <w:rPr>
                <w:sz w:val="20"/>
                <w:szCs w:val="20"/>
                <w:color w:val="auto"/>
              </w:rPr>
            </w:pPr>
            <w:r>
              <w:rPr>
                <w:rFonts w:ascii="Arial" w:cs="Arial" w:eastAsia="Arial" w:hAnsi="Arial"/>
                <w:sz w:val="13"/>
                <w:szCs w:val="13"/>
                <w:color w:val="auto"/>
              </w:rPr>
              <w:t>5,705</w:t>
            </w:r>
          </w:p>
        </w:tc>
        <w:tc>
          <w:tcPr>
            <w:tcW w:w="2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(154,971)</w:t>
            </w:r>
          </w:p>
        </w:tc>
        <w:tc>
          <w:tcPr>
            <w:tcW w:w="34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843,245</w:t>
            </w:r>
          </w:p>
        </w:tc>
      </w:tr>
      <w:tr>
        <w:trPr>
          <w:trHeight w:val="20"/>
        </w:trPr>
        <w:tc>
          <w:tcPr>
            <w:tcW w:w="2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-119380</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-119380</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-119380</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-119380</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-119380</wp:posOffset>
            </wp:positionV>
            <wp:extent cx="857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-119380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-119380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-119380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-119380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spacing w:after="0"/>
        <w:rPr>
          <w:sz w:val="20"/>
          <w:szCs w:val="20"/>
          <w:color w:val="auto"/>
        </w:rPr>
      </w:pPr>
      <w:r>
        <w:rPr>
          <w:rFonts w:ascii="Arial" w:cs="Arial" w:eastAsia="Arial" w:hAnsi="Arial"/>
          <w:sz w:val="18"/>
          <w:szCs w:val="18"/>
          <w:color w:val="auto"/>
        </w:rPr>
        <w:t>(Unaudited)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r>
      <w:tr>
        <w:trPr>
          <w:trHeight w:val="183"/>
        </w:trPr>
        <w:tc>
          <w:tcPr>
            <w:tcW w:w="8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80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13,464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18,799</w:t>
            </w: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189"/>
        </w:trPr>
        <w:tc>
          <w:tcPr>
            <w:tcW w:w="8020" w:type="dxa"/>
            <w:vAlign w:val="bottom"/>
          </w:tcPr>
          <w:p>
            <w:pPr>
              <w:ind w:left="160"/>
              <w:spacing w:after="0"/>
              <w:rPr>
                <w:sz w:val="20"/>
                <w:szCs w:val="20"/>
                <w:color w:val="auto"/>
              </w:rPr>
            </w:pPr>
            <w:r>
              <w:rPr>
                <w:rFonts w:ascii="Arial" w:cs="Arial" w:eastAsia="Arial" w:hAnsi="Arial"/>
                <w:sz w:val="16"/>
                <w:szCs w:val="16"/>
                <w:color w:val="auto"/>
              </w:rPr>
              <w:t>Unrealized gain on foreign exchange rates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(10,458)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(948)</w:t>
            </w:r>
          </w:p>
        </w:tc>
      </w:tr>
      <w:tr>
        <w:trPr>
          <w:trHeight w:val="189"/>
        </w:trPr>
        <w:tc>
          <w:tcPr>
            <w:tcW w:w="80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19,037</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12,709</w:t>
            </w:r>
          </w:p>
        </w:tc>
      </w:tr>
      <w:tr>
        <w:trPr>
          <w:trHeight w:val="189"/>
        </w:trPr>
        <w:tc>
          <w:tcPr>
            <w:tcW w:w="8020" w:type="dxa"/>
            <w:vAlign w:val="bottom"/>
          </w:tcPr>
          <w:p>
            <w:pPr>
              <w:ind w:left="16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53,473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48,396</w:t>
            </w:r>
          </w:p>
        </w:tc>
      </w:tr>
      <w:tr>
        <w:trPr>
          <w:trHeight w:val="189"/>
        </w:trPr>
        <w:tc>
          <w:tcPr>
            <w:tcW w:w="80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Amortization of deferred contract costs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w:t>
            </w:r>
          </w:p>
        </w:tc>
      </w:tr>
      <w:tr>
        <w:trPr>
          <w:trHeight w:val="189"/>
        </w:trPr>
        <w:tc>
          <w:tcPr>
            <w:tcW w:w="8020" w:type="dxa"/>
            <w:vAlign w:val="bottom"/>
          </w:tcPr>
          <w:p>
            <w:pPr>
              <w:ind w:left="160"/>
              <w:spacing w:after="0"/>
              <w:rPr>
                <w:sz w:val="20"/>
                <w:szCs w:val="20"/>
                <w:color w:val="auto"/>
              </w:rPr>
            </w:pPr>
            <w:r>
              <w:rPr>
                <w:rFonts w:ascii="Arial" w:cs="Arial" w:eastAsia="Arial" w:hAnsi="Arial"/>
                <w:sz w:val="16"/>
                <w:szCs w:val="16"/>
                <w:color w:val="auto"/>
              </w:rPr>
              <w:t>Change in fair value of contingent consideration</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(988)</w:t>
            </w:r>
          </w:p>
        </w:tc>
      </w:tr>
      <w:tr>
        <w:trPr>
          <w:trHeight w:val="189"/>
        </w:trPr>
        <w:tc>
          <w:tcPr>
            <w:tcW w:w="80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Deferred tax benefit</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(6,600)</w:t>
            </w:r>
          </w:p>
        </w:tc>
      </w:tr>
      <w:tr>
        <w:trPr>
          <w:trHeight w:val="189"/>
        </w:trPr>
        <w:tc>
          <w:tcPr>
            <w:tcW w:w="8020" w:type="dxa"/>
            <w:vAlign w:val="bottom"/>
          </w:tcPr>
          <w:p>
            <w:pPr>
              <w:ind w:left="160"/>
              <w:spacing w:after="0"/>
              <w:rPr>
                <w:sz w:val="20"/>
                <w:szCs w:val="20"/>
                <w:color w:val="auto"/>
              </w:rPr>
            </w:pPr>
            <w:r>
              <w:rPr>
                <w:rFonts w:ascii="Arial" w:cs="Arial" w:eastAsia="Arial" w:hAnsi="Arial"/>
                <w:sz w:val="16"/>
                <w:szCs w:val="16"/>
                <w:color w:val="auto"/>
              </w:rPr>
              <w:t>Change in provision for uncollectible accounts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1,629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189"/>
        </w:trPr>
        <w:tc>
          <w:tcPr>
            <w:tcW w:w="80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r>
      <w:tr>
        <w:trPr>
          <w:trHeight w:val="189"/>
        </w:trPr>
        <w:tc>
          <w:tcPr>
            <w:tcW w:w="8020" w:type="dxa"/>
            <w:vAlign w:val="bottom"/>
          </w:tcPr>
          <w:p>
            <w:pPr>
              <w:ind w:left="160"/>
              <w:spacing w:after="0"/>
              <w:rPr>
                <w:sz w:val="20"/>
                <w:szCs w:val="20"/>
                <w:color w:val="auto"/>
              </w:rPr>
            </w:pPr>
            <w:r>
              <w:rPr>
                <w:rFonts w:ascii="Arial" w:cs="Arial" w:eastAsia="Arial" w:hAnsi="Arial"/>
                <w:sz w:val="16"/>
                <w:szCs w:val="16"/>
                <w:color w:val="auto"/>
              </w:rPr>
              <w:t>Net accretion of discounts and amortization of premiums on investments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189"/>
        </w:trPr>
        <w:tc>
          <w:tcPr>
            <w:tcW w:w="80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Changes in operating assets and liabilities, net of acquisitions: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189"/>
        </w:trPr>
        <w:tc>
          <w:tcPr>
            <w:tcW w:w="8020" w:type="dxa"/>
            <w:vAlign w:val="bottom"/>
          </w:tcPr>
          <w:p>
            <w:pPr>
              <w:ind w:left="30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(11,585)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(8,805)</w:t>
            </w:r>
          </w:p>
        </w:tc>
      </w:tr>
      <w:tr>
        <w:trPr>
          <w:trHeight w:val="189"/>
        </w:trPr>
        <w:tc>
          <w:tcPr>
            <w:tcW w:w="80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Unbilled receivables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2,105</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w:t>
            </w:r>
          </w:p>
        </w:tc>
      </w:tr>
      <w:tr>
        <w:trPr>
          <w:trHeight w:val="189"/>
        </w:trPr>
        <w:tc>
          <w:tcPr>
            <w:tcW w:w="8020" w:type="dxa"/>
            <w:vAlign w:val="bottom"/>
          </w:tcPr>
          <w:p>
            <w:pPr>
              <w:ind w:left="300"/>
              <w:spacing w:after="0"/>
              <w:rPr>
                <w:sz w:val="20"/>
                <w:szCs w:val="20"/>
                <w:color w:val="auto"/>
              </w:rPr>
            </w:pPr>
            <w:r>
              <w:rPr>
                <w:rFonts w:ascii="Arial" w:cs="Arial" w:eastAsia="Arial" w:hAnsi="Arial"/>
                <w:sz w:val="16"/>
                <w:szCs w:val="16"/>
                <w:color w:val="auto"/>
              </w:rPr>
              <w:t>Funds receivable from payment partners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(42,686)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(16,383)</w:t>
            </w:r>
          </w:p>
        </w:tc>
      </w:tr>
      <w:tr>
        <w:trPr>
          <w:trHeight w:val="189"/>
        </w:trPr>
        <w:tc>
          <w:tcPr>
            <w:tcW w:w="80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Prepaid expenses, other current assets and other assets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(21,304)</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(7,900)</w:t>
            </w:r>
          </w:p>
        </w:tc>
      </w:tr>
      <w:tr>
        <w:trPr>
          <w:trHeight w:val="189"/>
        </w:trPr>
        <w:tc>
          <w:tcPr>
            <w:tcW w:w="8020" w:type="dxa"/>
            <w:vAlign w:val="bottom"/>
          </w:tcPr>
          <w:p>
            <w:pPr>
              <w:ind w:left="300"/>
              <w:spacing w:after="0"/>
              <w:rPr>
                <w:sz w:val="20"/>
                <w:szCs w:val="20"/>
                <w:color w:val="auto"/>
              </w:rPr>
            </w:pPr>
            <w:r>
              <w:rPr>
                <w:rFonts w:ascii="Arial" w:cs="Arial" w:eastAsia="Arial" w:hAnsi="Arial"/>
                <w:sz w:val="16"/>
                <w:szCs w:val="16"/>
                <w:color w:val="auto"/>
              </w:rPr>
              <w:t>Funds payable to clients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83,343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82,884</w:t>
            </w:r>
          </w:p>
        </w:tc>
      </w:tr>
      <w:tr>
        <w:trPr>
          <w:trHeight w:val="189"/>
        </w:trPr>
        <w:tc>
          <w:tcPr>
            <w:tcW w:w="80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Accounts payable, accrued expenses and other current liabilities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7,537</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7,724</w:t>
            </w:r>
          </w:p>
        </w:tc>
      </w:tr>
      <w:tr>
        <w:trPr>
          <w:trHeight w:val="189"/>
        </w:trPr>
        <w:tc>
          <w:tcPr>
            <w:tcW w:w="8020" w:type="dxa"/>
            <w:vAlign w:val="bottom"/>
          </w:tcPr>
          <w:p>
            <w:pPr>
              <w:ind w:left="300"/>
              <w:spacing w:after="0"/>
              <w:rPr>
                <w:sz w:val="20"/>
                <w:szCs w:val="20"/>
                <w:color w:val="auto"/>
              </w:rPr>
            </w:pPr>
            <w:r>
              <w:rPr>
                <w:rFonts w:ascii="Arial" w:cs="Arial" w:eastAsia="Arial" w:hAnsi="Arial"/>
                <w:sz w:val="16"/>
                <w:szCs w:val="16"/>
                <w:color w:val="auto"/>
              </w:rPr>
              <w:t>Contingent consideration</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Other liabilities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2,542</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w:t>
            </w:r>
          </w:p>
        </w:tc>
      </w:tr>
      <w:tr>
        <w:trPr>
          <w:trHeight w:val="189"/>
        </w:trPr>
        <w:tc>
          <w:tcPr>
            <w:tcW w:w="8020" w:type="dxa"/>
            <w:vAlign w:val="bottom"/>
          </w:tcPr>
          <w:p>
            <w:pPr>
              <w:ind w:left="30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r>
      <w:tr>
        <w:trPr>
          <w:trHeight w:val="183"/>
        </w:trPr>
        <w:tc>
          <w:tcPr>
            <w:tcW w:w="8020" w:type="dxa"/>
            <w:vAlign w:val="bottom"/>
            <w:tcBorders>
              <w:bottom w:val="single" w:sz="8" w:color="CFF0FC"/>
            </w:tcBorders>
            <w:shd w:val="clear" w:color="auto" w:fill="CFF0FC"/>
          </w:tcPr>
          <w:p>
            <w:pPr>
              <w:ind w:left="16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95,289</w:t>
            </w: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127,221</w:t>
            </w:r>
          </w:p>
        </w:tc>
      </w:tr>
      <w:tr>
        <w:trPr>
          <w:trHeight w:val="183"/>
        </w:trPr>
        <w:tc>
          <w:tcPr>
            <w:tcW w:w="802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Acquisitions of businesses, net of cash acquired</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(324,921)</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(45,438)</w:t>
            </w: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Purchase of short-term and long-term investments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(14,199)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(159,619)</w:t>
            </w: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the maturity and sale of short-term and long-term investments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154,725</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5,879</w:t>
            </w: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Capitalization of internally developed software</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(4,581)</w:t>
            </w:r>
          </w:p>
        </w:tc>
      </w:tr>
      <w:tr>
        <w:trPr>
          <w:trHeight w:val="189"/>
        </w:trPr>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(823)</w:t>
            </w:r>
          </w:p>
        </w:tc>
      </w:tr>
      <w:tr>
        <w:trPr>
          <w:trHeight w:val="183"/>
        </w:trPr>
        <w:tc>
          <w:tcPr>
            <w:tcW w:w="8020" w:type="dxa"/>
            <w:vAlign w:val="bottom"/>
          </w:tcPr>
          <w:p>
            <w:pPr>
              <w:ind w:left="160"/>
              <w:spacing w:after="0" w:line="183" w:lineRule="exact"/>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(191,168)</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(204,582)</w:t>
            </w:r>
          </w:p>
        </w:tc>
      </w:tr>
      <w:tr>
        <w:trPr>
          <w:trHeight w:val="183"/>
        </w:trPr>
        <w:tc>
          <w:tcPr>
            <w:tcW w:w="80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Proceeds from issuance of revolving credit facility</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Payment of revolving credit facility</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(110,000)</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Payment of debt issuance costs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(783)</w:t>
            </w: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Contingent consideration paid for acquisitions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(4,139)</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Payments of tax withholdings for net settled equity awards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Common stock repurchased</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(64,319)</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(22,883)</w:t>
            </w: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Proceeds from the issuance of stock under Employee Stock Purchase Plan</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2,527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3,108</w:t>
            </w: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2,064</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3,956</w:t>
            </w: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Deferred acquisition payment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8020" w:type="dxa"/>
            <w:vAlign w:val="bottom"/>
            <w:tcBorders>
              <w:bottom w:val="single" w:sz="8" w:color="CFF0FC"/>
            </w:tcBorders>
            <w:shd w:val="clear" w:color="auto" w:fill="CFF0FC"/>
          </w:tcPr>
          <w:p>
            <w:pPr>
              <w:ind w:left="160"/>
              <w:spacing w:after="0" w:line="183" w:lineRule="exact"/>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(53,882)</w:t>
            </w: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(16,602)</w:t>
            </w:r>
          </w:p>
        </w:tc>
      </w:tr>
      <w:tr>
        <w:trPr>
          <w:trHeight w:val="183"/>
        </w:trPr>
        <w:tc>
          <w:tcPr>
            <w:tcW w:w="8020" w:type="dxa"/>
            <w:vAlign w:val="bottom"/>
          </w:tcPr>
          <w:p>
            <w:pPr>
              <w:spacing w:after="0" w:line="183" w:lineRule="exact"/>
              <w:rPr>
                <w:sz w:val="20"/>
                <w:szCs w:val="20"/>
                <w:color w:val="auto"/>
              </w:rPr>
            </w:pPr>
            <w:r>
              <w:rPr>
                <w:rFonts w:ascii="Arial" w:cs="Arial" w:eastAsia="Arial" w:hAnsi="Arial"/>
                <w:sz w:val="16"/>
                <w:szCs w:val="16"/>
                <w:color w:val="auto"/>
              </w:rPr>
              <w:t>Effect of exchange rates changes on cash and cash equivalents</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9,433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4,390</w:t>
            </w:r>
          </w:p>
        </w:tc>
      </w:tr>
      <w:tr>
        <w:trPr>
          <w:trHeight w:val="183"/>
        </w:trPr>
        <w:tc>
          <w:tcPr>
            <w:tcW w:w="80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decrease in cash and cash equivalents</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(140,328)</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(89,573)</w:t>
            </w: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495,242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654,608</w:t>
            </w:r>
          </w:p>
        </w:tc>
      </w:tr>
      <w:tr>
        <w:trPr>
          <w:trHeight w:val="223"/>
        </w:trPr>
        <w:tc>
          <w:tcPr>
            <w:tcW w:w="80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 end of period</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354,914</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565,035</w:t>
            </w:r>
          </w:p>
        </w:tc>
      </w:tr>
      <w:tr>
        <w:trPr>
          <w:trHeight w:val="169"/>
        </w:trPr>
        <w:tc>
          <w:tcPr>
            <w:tcW w:w="802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Supplemental disclosures of cash flow and noncash information</w:t>
            </w: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Purchase of property and equipment in accounts payable</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Issuance of common stock upon settlement of restricted stock units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39,530</w:t>
            </w: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for retention bonus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r>
      <w:tr>
        <w:trPr>
          <w:trHeight w:val="215"/>
        </w:trPr>
        <w:tc>
          <w:tcPr>
            <w:tcW w:w="8020" w:type="dxa"/>
            <w:vAlign w:val="bottom"/>
          </w:tcPr>
          <w:p>
            <w:pPr>
              <w:spacing w:after="0"/>
              <w:rPr>
                <w:sz w:val="20"/>
                <w:szCs w:val="20"/>
                <w:color w:val="auto"/>
              </w:rPr>
            </w:pPr>
            <w:r>
              <w:rPr>
                <w:rFonts w:ascii="Arial" w:cs="Arial" w:eastAsia="Arial" w:hAnsi="Arial"/>
                <w:sz w:val="16"/>
                <w:szCs w:val="16"/>
                <w:color w:val="auto"/>
              </w:rPr>
              <w:t>Accrued excise tax related to common stock repurchased</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-3342005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-2613025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-1147445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-641350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-624205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(Unaudited)</w:t>
      </w:r>
    </w:p>
    <w:p>
      <w:pPr>
        <w:spacing w:after="0" w:line="30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Business Overview and Summary of Significant Accounting Policies</w:t>
      </w:r>
    </w:p>
    <w:p>
      <w:pPr>
        <w:spacing w:after="0" w:line="17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Flywire Corporation (Flywire or the Company) was incorporated under the laws of the state of Delaware in July 2009 as peerTransfer Corporation. In 2016, the Company changed its name to Flywire Corporation. The Company is headquartered in Boston, Massachusetts, and has a global presence in 16 countries across 5 continents.</w:t>
      </w:r>
    </w:p>
    <w:p>
      <w:pPr>
        <w:spacing w:after="0" w:line="142"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next-gen payments platform, (ii) a proprietary global payment network, and (iii) vertical-specific software backed by its deep industry expertise.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9"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income, changes in stockholders’ equity, and its cash flows for the periods presented.</w:t>
      </w:r>
    </w:p>
    <w:p>
      <w:pPr>
        <w:spacing w:after="0" w:line="138"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The results of operations for the three and nine months ended September 30, 2025, are not necessarily indicative of results to be expected for the year ended December 31, 2025, any other interim periods or any future year or period. The accompanying consolidated balance sheet as of December 31, 2024, was derived from the Company’s audited consolidated financial statements for the year ended December 31, 2024. Certain information and note disclosures normally included in the annual consolidated financial statements prepared in accordance with GAAP have been condensed or omitted from the interim unaudited condensed consolidated financial statements.</w:t>
      </w:r>
    </w:p>
    <w:p>
      <w:pPr>
        <w:spacing w:after="0" w:line="136"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notes included in the Company’s Annual Report on Form 10-K for the year ended December 31, 2024.</w:t>
      </w:r>
    </w:p>
    <w:p>
      <w:pPr>
        <w:spacing w:after="0" w:line="11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condensed consolidated financial statements include the accounts of Flywire and its wholly owned subsidiaries. All intercompany accounts and transactions have been eliminated upon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9"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 xml:space="preserve">The Company has a single operating and reportable segment. See </w:t>
      </w:r>
      <w:r>
        <w:rPr>
          <w:rFonts w:ascii="Arial" w:cs="Arial" w:eastAsia="Arial" w:hAnsi="Arial"/>
          <w:sz w:val="18"/>
          <w:szCs w:val="18"/>
          <w:i w:val="1"/>
          <w:iCs w:val="1"/>
          <w:color w:val="auto"/>
        </w:rPr>
        <w:t>Note 3 - Segment Information</w:t>
      </w:r>
      <w:r>
        <w:rPr>
          <w:rFonts w:ascii="Arial" w:cs="Arial" w:eastAsia="Arial" w:hAnsi="Arial"/>
          <w:sz w:val="18"/>
          <w:szCs w:val="18"/>
          <w:color w:val="auto"/>
        </w:rPr>
        <w:t xml:space="preserve"> for additional details regarding the Company's significant segment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3"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of assets and liabilities, disclosure of contingent assets and liabilities at the date of the financial statements, and the reported amounts of revenues and expenses in the condensed consolidated financial statements and the accompanying notes. Actual results may differ from those estimates.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Clients</w:t>
      </w:r>
    </w:p>
    <w:p>
      <w:pPr>
        <w:spacing w:after="0" w:line="16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cash equivalents, investments in available-for-sale debt securities, accounts receivable, unbilled receivables, and funds receivable from payment partners.</w:t>
      </w:r>
    </w:p>
    <w:p>
      <w:pPr>
        <w:spacing w:after="0" w:line="127"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Company maintains its cash and cash equivalents with financial institutions that management believes are of high credit quality. Our cash equivalents include money market funds, which are AAA-rated and comprised of liquid, high</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 w:name="page11"/>
    <w:bookmarkEnd w:id="10"/>
    <w:p>
      <w:pPr>
        <w:ind w:right="20"/>
        <w:spacing w:after="0"/>
        <w:rPr>
          <w:sz w:val="20"/>
          <w:szCs w:val="20"/>
          <w:color w:val="auto"/>
        </w:rPr>
      </w:pPr>
      <w:r>
        <w:rPr>
          <w:rFonts w:ascii="Arial" w:cs="Arial" w:eastAsia="Arial" w:hAnsi="Arial"/>
          <w:sz w:val="18"/>
          <w:szCs w:val="18"/>
          <w:color w:val="auto"/>
        </w:rPr>
        <w:t>quality debt securities issued by the U.S. government. The Company's cash and cash equivalents deposited with financial institutions exceed the Federal Deposit Insurance Corporation (FDIC) insurance limit of $250,000. As part of its cash management process, the Company performs periodic reviews of the credit standing of the financial institutions holding its cash and cash equivalents. Additionally, to mitigate credit risk associated with financial institutions, the Company diversifies its cash and cash equivalents across multiple financial institutions and U.S. Treasury Money Market Funds. U.S. Treasuries, by their nature, create a concentration of credit risk with the U.S. Government. The Company's access to its cash and cash equivalents and client funds could be significantly impacted in volatile markets given our concentration in government money market funds.</w:t>
      </w:r>
    </w:p>
    <w:p>
      <w:pPr>
        <w:spacing w:after="0" w:line="158"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To manage credit risk associated with investments in available-for-sale debt securities, the Company monitors credit ratings of the issuers of the securities and diversifies its investments by limiting its holding in any one security or issuer.</w:t>
      </w:r>
    </w:p>
    <w:p>
      <w:pPr>
        <w:spacing w:after="0" w:line="113"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To manage credit risk related to accounts receivable and unbilled receivables, the Company maintains an allowance for credit losses. The allowance is determined by applying a loss-rate method based on an aging schedule using the Company's historical loss rate. The Company also considers reasonable and supportable current and forecasted information in determining its estimated loss rates, such as external forecasts, macroeconomic trends, or other factors that are associated with the credit quality of the Company’s customer base. The Company did not experience any material credit losses for the three and nine months ended September 30, 2025 and 2024.</w:t>
      </w:r>
    </w:p>
    <w:p>
      <w:pPr>
        <w:spacing w:after="0" w:line="136"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Accounts receivable are derived from revenue earned from clients located in the U.S. and internationally. There were no clients that represented 10% or more of the accounts receivable balance as of September 30, 2025 or December 31, 2024.</w:t>
      </w:r>
    </w:p>
    <w:p>
      <w:pPr>
        <w:spacing w:after="0" w:line="127"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Funds receivable from payment partners consists primarily of cash held by the Company’s global payment processing partners that have not yet been remitted to the Company. Significant partners are those that represent 10% or more of funds receivable from payment partners as set forth in the following table: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September 30, 2025</w:t>
            </w:r>
          </w:p>
        </w:tc>
        <w:tc>
          <w:tcPr>
            <w:tcW w:w="100" w:type="dxa"/>
            <w:vAlign w:val="bottom"/>
          </w:tcPr>
          <w:p>
            <w:pPr>
              <w:spacing w:after="0"/>
              <w:rPr>
                <w:sz w:val="17"/>
                <w:szCs w:val="17"/>
                <w:color w:val="auto"/>
              </w:rPr>
            </w:pPr>
          </w:p>
        </w:tc>
        <w:tc>
          <w:tcPr>
            <w:tcW w:w="1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75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Partner A</w:t>
            </w:r>
          </w:p>
        </w:tc>
        <w:tc>
          <w:tcPr>
            <w:tcW w:w="1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9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Partner B</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Partner C</w:t>
            </w: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w:t>
            </w:r>
          </w:p>
        </w:tc>
      </w:tr>
      <w:tr>
        <w:trPr>
          <w:trHeight w:val="153"/>
        </w:trPr>
        <w:tc>
          <w:tcPr>
            <w:tcW w:w="7540" w:type="dxa"/>
            <w:vAlign w:val="bottom"/>
          </w:tcPr>
          <w:p>
            <w:pPr>
              <w:spacing w:after="0" w:line="153" w:lineRule="exact"/>
              <w:rPr>
                <w:sz w:val="20"/>
                <w:szCs w:val="20"/>
                <w:color w:val="auto"/>
              </w:rPr>
            </w:pPr>
            <w:r>
              <w:rPr>
                <w:rFonts w:ascii="Arial" w:cs="Arial" w:eastAsia="Arial" w:hAnsi="Arial"/>
                <w:sz w:val="14"/>
                <w:szCs w:val="14"/>
                <w:color w:val="auto"/>
              </w:rPr>
              <w:t>______________________</w:t>
            </w: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90"/>
        </w:trPr>
        <w:tc>
          <w:tcPr>
            <w:tcW w:w="7540" w:type="dxa"/>
            <w:vAlign w:val="bottom"/>
          </w:tcPr>
          <w:p>
            <w:pPr>
              <w:spacing w:after="0"/>
              <w:rPr>
                <w:sz w:val="20"/>
                <w:szCs w:val="20"/>
                <w:color w:val="auto"/>
              </w:rPr>
            </w:pPr>
            <w:r>
              <w:rPr>
                <w:rFonts w:ascii="Arial" w:cs="Arial" w:eastAsia="Arial" w:hAnsi="Arial"/>
                <w:sz w:val="14"/>
                <w:szCs w:val="14"/>
                <w:color w:val="auto"/>
              </w:rPr>
              <w:t>* Less than 10% of total balance.</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r>
    </w:tbl>
    <w:p>
      <w:pPr>
        <w:spacing w:after="0" w:line="138" w:lineRule="exact"/>
        <w:rPr>
          <w:sz w:val="20"/>
          <w:szCs w:val="20"/>
          <w:color w:val="auto"/>
        </w:rPr>
      </w:pPr>
    </w:p>
    <w:p>
      <w:pPr>
        <w:ind w:right="700" w:firstLine="509"/>
        <w:spacing w:after="0" w:line="446" w:lineRule="auto"/>
        <w:rPr>
          <w:sz w:val="20"/>
          <w:szCs w:val="20"/>
          <w:color w:val="auto"/>
        </w:rPr>
      </w:pPr>
      <w:r>
        <w:rPr>
          <w:rFonts w:ascii="Arial" w:cs="Arial" w:eastAsia="Arial" w:hAnsi="Arial"/>
          <w:sz w:val="18"/>
          <w:szCs w:val="18"/>
          <w:color w:val="auto"/>
        </w:rPr>
        <w:t xml:space="preserve">During the three and nine months ended September 30, 2025 and 2024, no client accounted for 10% or more of total revenue. </w:t>
      </w:r>
      <w:r>
        <w:rPr>
          <w:rFonts w:ascii="Arial" w:cs="Arial" w:eastAsia="Arial" w:hAnsi="Arial"/>
          <w:sz w:val="18"/>
          <w:szCs w:val="18"/>
          <w:b w:val="1"/>
          <w:bCs w:val="1"/>
          <w:i w:val="1"/>
          <w:iCs w:val="1"/>
          <w:color w:val="auto"/>
        </w:rPr>
        <w:t>Summary of Significant Accounting Policies</w:t>
      </w:r>
    </w:p>
    <w:p>
      <w:pPr>
        <w:ind w:right="240" w:firstLine="509"/>
        <w:spacing w:after="0" w:line="253" w:lineRule="auto"/>
        <w:rPr>
          <w:sz w:val="20"/>
          <w:szCs w:val="20"/>
          <w:color w:val="auto"/>
        </w:rPr>
      </w:pPr>
      <w:r>
        <w:rPr>
          <w:rFonts w:ascii="Arial" w:cs="Arial" w:eastAsia="Arial" w:hAnsi="Arial"/>
          <w:sz w:val="18"/>
          <w:szCs w:val="18"/>
          <w:color w:val="auto"/>
        </w:rPr>
        <w:t xml:space="preserve">The Company’s significant accounting policies are discussed in </w:t>
      </w:r>
      <w:r>
        <w:rPr>
          <w:rFonts w:ascii="Arial" w:cs="Arial" w:eastAsia="Arial" w:hAnsi="Arial"/>
          <w:sz w:val="18"/>
          <w:szCs w:val="18"/>
          <w:i w:val="1"/>
          <w:iCs w:val="1"/>
          <w:color w:val="auto"/>
        </w:rPr>
        <w:t>Note 1 - Business Overview and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notes to the audited consolidated financial statements in the Company’s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83"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Advertising costs are expensed as incurred and are included in selling and marketing expenses in the condensed consolidated statements of operations and comprehensive income. Advertising expenses were $1.9 million and $1.7 million for the three months ended September 30, 2025 and 2024, respectively, and were $5.8 million and $5.4 million for the nine months ended September 30, 2025 and 2024,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Revisions to Previously Issued Financial Statements</w:t>
      </w:r>
    </w:p>
    <w:p>
      <w:pPr>
        <w:spacing w:after="0" w:line="16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connection with the preparation of the Company's condensed consolidated financial statements for the nine months ended September 30, 2025, the Company identified classification errors in its Consolidated Statements of Cash Flows for the years ended December 31, 2024, 2023, and 2022 and the Condensed Consolidated Statements of Cash Flows for the interim periods within those years and the interim periods ended March 31, 2025 and June 30, 2025. Specifically, the Company’s historical classification of the effects of exchange rate changes on the Company’s foreign denominated cash and cash equivalent balances was misclassified between the effects of exchange rate changes on cash and cash equivalents and cash flows from operating activities in its Consolidated Statements of Cash Flows for the years ended December 31, 2024, 2023, and 2022 and the Condensed Consolidated Statement of Cash Flows for the interim periods within those years and the interim periods ended March 31, 2025 and June 30, 2025. Additionally,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1" w:name="page12"/>
    <w:bookmarkEnd w:id="11"/>
    <w:p>
      <w:pPr>
        <w:ind w:right="60"/>
        <w:spacing w:after="0" w:line="242" w:lineRule="auto"/>
        <w:rPr>
          <w:sz w:val="20"/>
          <w:szCs w:val="20"/>
          <w:color w:val="auto"/>
        </w:rPr>
      </w:pPr>
      <w:r>
        <w:rPr>
          <w:rFonts w:ascii="Arial" w:cs="Arial" w:eastAsia="Arial" w:hAnsi="Arial"/>
          <w:sz w:val="18"/>
          <w:szCs w:val="18"/>
          <w:color w:val="auto"/>
        </w:rPr>
        <w:t xml:space="preserve">Company corrected for immaterial classification errors between cash flows from operating activities for all revised periods and cash flows from investing activities for the three months ending March 31, 2025, twelve months ended December 31, 2024, and nine months ending September 30, 2024. The Company's Consolidated Statements of Cash Flows for the years ended December 31, 2024, 2023, and 2022 and Condensed Consolidated Statements of Cash Flows for the interim periods ended March 31, 2024, June 30, 2024, September 30, 2024, March 31, 2025, and June 30, 2025 will be revised and information about the revision adjustments is disclosed below and in </w:t>
      </w:r>
      <w:r>
        <w:rPr>
          <w:rFonts w:ascii="Arial" w:cs="Arial" w:eastAsia="Arial" w:hAnsi="Arial"/>
          <w:sz w:val="18"/>
          <w:szCs w:val="18"/>
          <w:i w:val="1"/>
          <w:iCs w:val="1"/>
          <w:color w:val="auto"/>
        </w:rPr>
        <w:t>Note 18 -</w:t>
      </w:r>
      <w:r>
        <w:rPr>
          <w:rFonts w:ascii="Arial" w:cs="Arial" w:eastAsia="Arial" w:hAnsi="Arial"/>
          <w:sz w:val="18"/>
          <w:szCs w:val="18"/>
          <w:color w:val="auto"/>
        </w:rPr>
        <w:t xml:space="preserve"> </w:t>
      </w:r>
      <w:r>
        <w:rPr>
          <w:rFonts w:ascii="Arial" w:cs="Arial" w:eastAsia="Arial" w:hAnsi="Arial"/>
          <w:sz w:val="18"/>
          <w:szCs w:val="18"/>
          <w:i w:val="1"/>
          <w:iCs w:val="1"/>
          <w:color w:val="auto"/>
        </w:rPr>
        <w:t>Revision of Previously Issued Unaudited Quarterly Information and Annual Financial Statements</w:t>
      </w:r>
      <w:r>
        <w:rPr>
          <w:rFonts w:ascii="Arial" w:cs="Arial" w:eastAsia="Arial" w:hAnsi="Arial"/>
          <w:sz w:val="18"/>
          <w:szCs w:val="18"/>
          <w:color w:val="auto"/>
        </w:rPr>
        <w:t>.</w:t>
      </w:r>
    </w:p>
    <w:p>
      <w:pPr>
        <w:spacing w:after="0" w:line="152"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The Company assessed the effect of the errors on prior periods under the guidance of Securities and Exchange Commission (“SEC”) Staff Accounting Bulletin No. 99, “Materiality,” codified in ASC 250, Accounting Changes and Error Corrections (“ASC 250”). Based on its assessment, the Company determined the errors were not material to any previously issued financial statements. The correction has no impact on the Company's previously reported consolidated net income (loss), financial position, net change in cash, cash equivalents, and restricted cash, or total cash, cash equivalents, and restricted cash as previously reported on the Company's Consolidated Statements of Cash Flows for the applicable periods.</w:t>
      </w:r>
    </w:p>
    <w:p>
      <w:pPr>
        <w:spacing w:after="0" w:line="138"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following table shows the impact of the revision on the Condensed Consolidated Statement of Cash Flows for the nine months ended September 30, 2024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gridSpan w:val="7"/>
          </w:tcPr>
          <w:p>
            <w:pPr>
              <w:jc w:val="right"/>
              <w:ind w:right="839"/>
              <w:spacing w:after="0"/>
              <w:rPr>
                <w:sz w:val="20"/>
                <w:szCs w:val="20"/>
                <w:color w:val="auto"/>
              </w:rPr>
            </w:pPr>
            <w:r>
              <w:rPr>
                <w:rFonts w:ascii="Arial" w:cs="Arial" w:eastAsia="Arial" w:hAnsi="Arial"/>
                <w:sz w:val="16"/>
                <w:szCs w:val="16"/>
                <w:b w:val="1"/>
                <w:bCs w:val="1"/>
                <w:color w:val="auto"/>
              </w:rPr>
              <w:t>Nine Months Ended September 30, 2024</w:t>
            </w:r>
          </w:p>
        </w:tc>
      </w:tr>
      <w:tr>
        <w:trPr>
          <w:trHeight w:val="168"/>
        </w:trPr>
        <w:tc>
          <w:tcPr>
            <w:tcW w:w="5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As Previously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3"/>
        </w:trPr>
        <w:tc>
          <w:tcPr>
            <w:tcW w:w="5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Reported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 Revised</w:t>
            </w: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89"/>
        </w:trPr>
        <w:tc>
          <w:tcPr>
            <w:tcW w:w="5820" w:type="dxa"/>
            <w:vAlign w:val="bottom"/>
          </w:tcPr>
          <w:p>
            <w:pPr>
              <w:ind w:left="120"/>
              <w:spacing w:after="0"/>
              <w:rPr>
                <w:sz w:val="20"/>
                <w:szCs w:val="20"/>
                <w:color w:val="auto"/>
              </w:rPr>
            </w:pPr>
            <w:r>
              <w:rPr>
                <w:rFonts w:ascii="Arial" w:cs="Arial" w:eastAsia="Arial" w:hAnsi="Arial"/>
                <w:sz w:val="16"/>
                <w:szCs w:val="16"/>
                <w:color w:val="auto"/>
              </w:rPr>
              <w:t>Unrealized (gain) loss on remeasurement of foreign currency</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(948)</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(948)</w:t>
            </w:r>
          </w:p>
        </w:tc>
      </w:tr>
      <w:tr>
        <w:trPr>
          <w:trHeight w:val="189"/>
        </w:trPr>
        <w:tc>
          <w:tcPr>
            <w:tcW w:w="5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accretion of discounts and amortization of premiums on investments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w:t>
            </w:r>
          </w:p>
        </w:tc>
      </w:tr>
      <w:tr>
        <w:trPr>
          <w:trHeight w:val="189"/>
        </w:trPr>
        <w:tc>
          <w:tcPr>
            <w:tcW w:w="582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net of acquisitions: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(8,805)</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Unbilled receivables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(708)</w:t>
            </w: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Funds receivable from payment partners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(16,446)</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(16,383)</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Prepaid expenses, other current assets and other assets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(7,900)</w:t>
            </w: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Funds payable to clients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87,318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(4,434)</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82,884</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Accounts payable, accrued expenses and other current liabilities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7,724</w:t>
            </w: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liabilities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r>
      <w:tr>
        <w:trPr>
          <w:trHeight w:val="183"/>
        </w:trPr>
        <w:tc>
          <w:tcPr>
            <w:tcW w:w="582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Net cash provided by (used by) operating activities</w:t>
            </w:r>
          </w:p>
        </w:tc>
        <w:tc>
          <w:tcPr>
            <w:tcW w:w="5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132,927</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(5,706)</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127,221</w:t>
            </w:r>
          </w:p>
        </w:tc>
      </w:tr>
      <w:tr>
        <w:trPr>
          <w:trHeight w:val="183"/>
        </w:trPr>
        <w:tc>
          <w:tcPr>
            <w:tcW w:w="5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9"/>
        </w:trPr>
        <w:tc>
          <w:tcPr>
            <w:tcW w:w="5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r>
      <w:tr>
        <w:trPr>
          <w:trHeight w:val="189"/>
        </w:trPr>
        <w:tc>
          <w:tcPr>
            <w:tcW w:w="5820" w:type="dxa"/>
            <w:vAlign w:val="bottom"/>
          </w:tcPr>
          <w:p>
            <w:pPr>
              <w:spacing w:after="0"/>
              <w:rPr>
                <w:sz w:val="20"/>
                <w:szCs w:val="20"/>
                <w:color w:val="auto"/>
              </w:rPr>
            </w:pPr>
            <w:r>
              <w:rPr>
                <w:rFonts w:ascii="Arial" w:cs="Arial" w:eastAsia="Arial" w:hAnsi="Arial"/>
                <w:sz w:val="16"/>
                <w:szCs w:val="16"/>
                <w:color w:val="auto"/>
              </w:rPr>
              <w:t>Purchase of short-term and long-term investments</w:t>
            </w: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(160,629)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(159,619)</w:t>
            </w:r>
          </w:p>
        </w:tc>
      </w:tr>
      <w:tr>
        <w:trPr>
          <w:trHeight w:val="183"/>
        </w:trPr>
        <w:tc>
          <w:tcPr>
            <w:tcW w:w="582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Net cash used in investing activities</w:t>
            </w:r>
          </w:p>
        </w:tc>
        <w:tc>
          <w:tcPr>
            <w:tcW w:w="5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(205,592)</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1,010</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(204,582)</w:t>
            </w:r>
          </w:p>
        </w:tc>
      </w:tr>
      <w:tr>
        <w:trPr>
          <w:trHeight w:val="183"/>
        </w:trPr>
        <w:tc>
          <w:tcPr>
            <w:tcW w:w="5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Effect of exchange rates changes on cash and cash equivalents</w:t>
            </w:r>
          </w:p>
        </w:tc>
        <w:tc>
          <w:tcPr>
            <w:tcW w:w="6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(306)</w:t>
            </w:r>
          </w:p>
        </w:tc>
        <w:tc>
          <w:tcPr>
            <w:tcW w:w="3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4,696</w:t>
            </w:r>
          </w:p>
        </w:tc>
        <w:tc>
          <w:tcPr>
            <w:tcW w:w="3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4,390</w:t>
            </w:r>
          </w:p>
        </w:tc>
      </w:tr>
      <w:tr>
        <w:trPr>
          <w:trHeight w:val="20"/>
        </w:trPr>
        <w:tc>
          <w:tcPr>
            <w:tcW w:w="582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-762635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-762635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-265430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-265430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recent accounting pronouncements adopted by Flywire during the nine months ended September 30, 2025.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10" w:lineRule="exact"/>
        <w:rPr>
          <w:sz w:val="20"/>
          <w:szCs w:val="20"/>
          <w:color w:val="auto"/>
        </w:rPr>
      </w:pPr>
    </w:p>
    <w:p>
      <w:pPr>
        <w:ind w:right="300" w:firstLine="509"/>
        <w:spacing w:after="0" w:line="287" w:lineRule="auto"/>
        <w:rPr>
          <w:sz w:val="20"/>
          <w:szCs w:val="20"/>
          <w:color w:val="auto"/>
        </w:rPr>
      </w:pPr>
      <w:r>
        <w:rPr>
          <w:rFonts w:ascii="Arial" w:cs="Arial" w:eastAsia="Arial" w:hAnsi="Arial"/>
          <w:sz w:val="18"/>
          <w:szCs w:val="18"/>
          <w:color w:val="auto"/>
        </w:rPr>
        <w:t>The following Accounting Standards Updates (ASUs) were issued by the Financial Accounting Standards Board (FASB) but not yet adopted by Flywire as of September 30, 2025:</w:t>
      </w:r>
    </w:p>
    <w:p>
      <w:pPr>
        <w:spacing w:after="0" w:line="9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 xml:space="preserve">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requires public business entities to disclose on an annual basis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In addition, ASU 2023-09 requires disclosure pertaining to taxes paid, net of refunds received, to be disaggregated for federal, state, and foreign taxes and further disaggregated for specific jurisdictions to the extent the related amounts exceed a quantitative threshold. ASU 2023-09 is effective for the Company for the annual period beginning on January 1, 2025. ASU 2023-09 should be applied on a prospective basis. However, companies have the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2" w:name="page13"/>
    <w:bookmarkEnd w:id="12"/>
    <w:p>
      <w:pPr>
        <w:ind w:right="620"/>
        <w:spacing w:after="0" w:line="271" w:lineRule="auto"/>
        <w:rPr>
          <w:sz w:val="20"/>
          <w:szCs w:val="20"/>
          <w:color w:val="auto"/>
        </w:rPr>
      </w:pPr>
      <w:r>
        <w:rPr>
          <w:rFonts w:ascii="Arial" w:cs="Arial" w:eastAsia="Arial" w:hAnsi="Arial"/>
          <w:sz w:val="18"/>
          <w:szCs w:val="18"/>
          <w:color w:val="auto"/>
        </w:rPr>
        <w:t>option to apply the standard retrospectively. The adoption of this standard will require certain additional disclosures in the notes to the consolidated financial statements in the Company's Annual Report on Form 10-K for 2025.</w:t>
      </w:r>
    </w:p>
    <w:p>
      <w:pPr>
        <w:spacing w:after="0" w:line="12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 xml:space="preserve">ASU 2024-03, </w:t>
      </w:r>
      <w:r>
        <w:rPr>
          <w:rFonts w:ascii="Arial" w:cs="Arial" w:eastAsia="Arial" w:hAnsi="Arial"/>
          <w:sz w:val="18"/>
          <w:szCs w:val="18"/>
          <w:i w:val="1"/>
          <w:iCs w:val="1"/>
          <w:color w:val="auto"/>
        </w:rPr>
        <w:t>Income Statement - Reporting Comprehensive Income - Expense Disaggregation Disclosures (Subtopic 220-40):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Disaggregation of Income Statement Expenses: </w:t>
      </w:r>
      <w:r>
        <w:rPr>
          <w:rFonts w:ascii="Arial" w:cs="Arial" w:eastAsia="Arial" w:hAnsi="Arial"/>
          <w:sz w:val="18"/>
          <w:szCs w:val="18"/>
          <w:color w:val="auto"/>
        </w:rPr>
        <w:t>ASU 2024-03 is intended to improve the disclosures of expenses by providing more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about the types of expenses in commonly presented expense captions. The ASU requires entities to disclose the amounts of purchases of inventory, employee compensation, depreciation and intangible asset amortization included in each relevant expense caption; as well as a qualitative description of the amounts remaining in relevant expense captions that are not separately disaggregated quantitatively. The amendment also requires disclosure of the total amount of selling expense and, in annual reporting periods, an entity’s definition of selling expenses. ASU 2025-01, </w:t>
      </w:r>
      <w:r>
        <w:rPr>
          <w:rFonts w:ascii="Arial" w:cs="Arial" w:eastAsia="Arial" w:hAnsi="Arial"/>
          <w:sz w:val="18"/>
          <w:szCs w:val="18"/>
          <w:i w:val="1"/>
          <w:iCs w:val="1"/>
          <w:color w:val="auto"/>
        </w:rPr>
        <w:t>Income Statement - Reporting Comprehensive Income - Expense Disaggregation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(Subtopic 220-40): Clarifying the Effective Date, </w:t>
      </w:r>
      <w:r>
        <w:rPr>
          <w:rFonts w:ascii="Arial" w:cs="Arial" w:eastAsia="Arial" w:hAnsi="Arial"/>
          <w:sz w:val="18"/>
          <w:szCs w:val="18"/>
          <w:color w:val="auto"/>
        </w:rPr>
        <w:t>clarifies the amendments in ASU 2024-03 are effective for the Company for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period beginning on January 1, 2027, and interim reporting periods within annual reporting periods beginning January 1, 2028. The Company is currently evaluating the impact of this standard on its consolidated financial statements and disclosures.</w:t>
      </w:r>
    </w:p>
    <w:p>
      <w:pPr>
        <w:spacing w:after="0" w:line="13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 xml:space="preserve">ASU 2025-05, </w:t>
      </w:r>
      <w:r>
        <w:rPr>
          <w:rFonts w:ascii="Arial" w:cs="Arial" w:eastAsia="Arial" w:hAnsi="Arial"/>
          <w:sz w:val="18"/>
          <w:szCs w:val="18"/>
          <w:i w:val="1"/>
          <w:iCs w:val="1"/>
          <w:color w:val="auto"/>
        </w:rPr>
        <w:t>Financial Instruments - Credit Losses (Topic 326): Measurement of Credit Losses for Accounts Receivable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 Assets</w:t>
      </w:r>
      <w:r>
        <w:rPr>
          <w:rFonts w:ascii="Arial" w:cs="Arial" w:eastAsia="Arial" w:hAnsi="Arial"/>
          <w:sz w:val="18"/>
          <w:szCs w:val="18"/>
          <w:color w:val="auto"/>
        </w:rPr>
        <w:t>: ASU 2025-05 provides a practical expedient and an accounting policy election related to the estimation of expected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for current accounts receivable and current contract assets that arise from transactions accounted for under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practical expedient allows entities to assume that current conditions as of the balance sheet date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change for the remaining life of the asset. ASU 2025-05 is effective for the Company for the annual period beginning on January 1, 2026, and interim reporting periods within those annual reporting periods beginning January 1, 2026. ASU 2025-05 should be applied on a prospective basis with early adoption permitted. The Company is currently evaluating the impact of this standard and does not expect the adoption of 2025-05 to have a material impact on its consolidated financial statements and disclosures.</w:t>
      </w:r>
    </w:p>
    <w:p>
      <w:pPr>
        <w:spacing w:after="0" w:line="140"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 xml:space="preserve">ASU 2025-06, </w:t>
      </w:r>
      <w:r>
        <w:rPr>
          <w:rFonts w:ascii="Arial" w:cs="Arial" w:eastAsia="Arial" w:hAnsi="Arial"/>
          <w:sz w:val="18"/>
          <w:szCs w:val="18"/>
          <w:i w:val="1"/>
          <w:iCs w:val="1"/>
          <w:color w:val="auto"/>
        </w:rPr>
        <w:t>Intangibles - Goodwill and Other - Internal-Use Software (Subtopic 350-40): Targeted Improvements to the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Internal -Use Software</w:t>
      </w:r>
      <w:r>
        <w:rPr>
          <w:rFonts w:ascii="Arial" w:cs="Arial" w:eastAsia="Arial" w:hAnsi="Arial"/>
          <w:sz w:val="18"/>
          <w:szCs w:val="18"/>
          <w:color w:val="auto"/>
        </w:rPr>
        <w:t>: ASU 2025-06 amends certain aspects of the accounting for and disclosure of software costs. Rather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identifying stages, ASC 350-40-25-12 clarifies the following must be met to begin capitalizing software costs: (i) Management, with the relevant authority, implicitly or explicitly authorizes and commits to funding a computer software project; and (ii) it is probable that the project will be completed and the software will be used to perform the function intended (probable-to-complete recognition threshold). ASU 2025-06 is effective for the Company for the annual period beginning on January 1, 2028, and interim reporting periods within those annual reporting periods beginning on January 1, 2028. ASU 2025 -06 should be applied on a prospective basis with early adoption permitted. The Company is currently evaluating the impact of this standard on its consolidated financial statements and disclosures.</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Revenue and Recognition</w:t>
      </w:r>
    </w:p>
    <w:p>
      <w:pPr>
        <w:spacing w:after="0" w:line="185"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following table presents revenue disaggregated by geographical area and major solutions. The categorization of revenue by geographical location is determined based on the location of where the client resides.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6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Primary geographical markets</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Americas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92,143</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71,557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211,361</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171,384</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EMEA</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82,945</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63,795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185,170</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142,826</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APAC</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68,950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60,384</w:t>
            </w: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revenue</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200,138</w:t>
            </w:r>
          </w:p>
        </w:tc>
        <w:tc>
          <w:tcPr>
            <w:tcW w:w="48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156,815</w:t>
            </w:r>
          </w:p>
        </w:tc>
        <w:tc>
          <w:tcPr>
            <w:tcW w:w="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465,481</w:t>
            </w:r>
          </w:p>
        </w:tc>
        <w:tc>
          <w:tcPr>
            <w:tcW w:w="440" w:type="dxa"/>
            <w:vAlign w:val="bottom"/>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374,594</w:t>
            </w:r>
          </w:p>
        </w:tc>
        <w:tc>
          <w:tcPr>
            <w:tcW w:w="0" w:type="dxa"/>
            <w:vAlign w:val="bottom"/>
          </w:tcPr>
          <w:p>
            <w:pPr>
              <w:spacing w:after="0"/>
              <w:rPr>
                <w:sz w:val="1"/>
                <w:szCs w:val="1"/>
                <w:color w:val="auto"/>
              </w:rPr>
            </w:pPr>
          </w:p>
        </w:tc>
      </w:tr>
      <w:tr>
        <w:trPr>
          <w:trHeight w:val="170"/>
        </w:trPr>
        <w:tc>
          <w:tcPr>
            <w:tcW w:w="462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Major solutions</w:t>
            </w: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Transactions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167,185</w:t>
            </w:r>
          </w:p>
        </w:tc>
        <w:tc>
          <w:tcPr>
            <w:tcW w:w="48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134,447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376,249</w:t>
            </w:r>
          </w:p>
        </w:tc>
        <w:tc>
          <w:tcPr>
            <w:tcW w:w="4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314,945</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Platform and other revenues</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32,953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89,232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59,649</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revenue</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200,138</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156,815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465,481</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374,594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-539115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-521970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-539115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-521970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-539115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-521970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768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For the three months ended September 30, 2025 and 2024, the Company recognized $0.7 million and $0.7 million in revenue from amounts that were included in deferred revenue as of June 30, 2025 and 2024, respectively. For the nine months ended September 30, 2025 and 2024, the Company recognized $6.4 million and $5.6 million in revenue from amounts that were included in deferred revenue as of December 31, 2024 and 2023,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83"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 has performance obligations associated with certain clients' contracts for future services that have not yet been recognized as revenue. As of September 30, 2025, the aggregate amount of transaction price allocated to performance obligations that are unsatisfied or partially unsatisfied, including deferred revenue, was approximately $21.0 million. Of the total remaining performance obligations, the Company expects to recognize approximately 58.2% within the next year, 21.6% after one year through year two and 20.2% over the next three to five years thereafter. Actual amounts and timing of revenue recognized may differ due to subsequent contract modifications, renewals and/or terminations.</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Segment Information</w:t>
      </w:r>
    </w:p>
    <w:p>
      <w:pPr>
        <w:spacing w:after="0" w:line="171"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The Company has a single operating and reportable segment. Operating segments are defined as components of an enterprise for which separate financial information is regularly evaluated by the Company’s chief operating decision maker (CODM). The Company’s CODM is its Chief Executive Officer, who reviews financial information presented on a consolidated basis for purposes of making operating decisions, assessing financial performance and allocating resources. The Company's CODM evaluates company-wide performance based on multiple performance measures, including, but not limited to net income (loss).</w:t>
      </w:r>
    </w:p>
    <w:p>
      <w:pPr>
        <w:spacing w:after="0" w:line="136"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following table presents the Company's significant segment expenses and other segment items for the three and nine months ended September 30, 2025 and 2024. The CODM does not regularly review segment asset information, which is total assets, for the purpose of assessing performance and making resource allocation decisions; therefore, such information is not presented.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6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200,138</w:t>
            </w:r>
          </w:p>
        </w:tc>
        <w:tc>
          <w:tcPr>
            <w:tcW w:w="48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156,815</w:t>
            </w:r>
          </w:p>
        </w:tc>
        <w:tc>
          <w:tcPr>
            <w:tcW w:w="3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465,481</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374,594</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Less: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Payment processing services costs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66,582</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49,400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162,361</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124,109</w:t>
            </w:r>
          </w:p>
        </w:tc>
        <w:tc>
          <w:tcPr>
            <w:tcW w:w="0" w:type="dxa"/>
            <w:vAlign w:val="bottom"/>
          </w:tcPr>
          <w:p>
            <w:pPr>
              <w:spacing w:after="0"/>
              <w:rPr>
                <w:sz w:val="1"/>
                <w:szCs w:val="1"/>
                <w:color w:val="auto"/>
              </w:rPr>
            </w:pPr>
          </w:p>
        </w:tc>
      </w:tr>
      <w:tr>
        <w:trPr>
          <w:trHeight w:val="189"/>
        </w:trPr>
        <w:tc>
          <w:tcPr>
            <w:tcW w:w="4620" w:type="dxa"/>
            <w:vAlign w:val="bottom"/>
          </w:tcPr>
          <w:p>
            <w:pPr>
              <w:ind w:left="140"/>
              <w:spacing w:after="0" w:line="189" w:lineRule="exact"/>
              <w:rPr>
                <w:sz w:val="20"/>
                <w:szCs w:val="20"/>
                <w:color w:val="auto"/>
              </w:rPr>
            </w:pPr>
            <w:r>
              <w:rPr>
                <w:rFonts w:ascii="Arial" w:cs="Arial" w:eastAsia="Arial" w:hAnsi="Arial"/>
                <w:sz w:val="16"/>
                <w:szCs w:val="16"/>
                <w:color w:val="auto"/>
              </w:rPr>
              <w:t xml:space="preserve">Personnel expense </w:t>
            </w:r>
            <w:r>
              <w:rPr>
                <w:rFonts w:ascii="Arial" w:cs="Arial" w:eastAsia="Arial" w:hAnsi="Arial"/>
                <w:sz w:val="21"/>
                <w:szCs w:val="21"/>
                <w:color w:val="auto"/>
                <w:vertAlign w:val="superscript"/>
              </w:rPr>
              <w:t>(a)</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42,784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38,921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125,206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117,354</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40"/>
              <w:spacing w:after="0" w:line="189" w:lineRule="exact"/>
              <w:rPr>
                <w:sz w:val="20"/>
                <w:szCs w:val="20"/>
                <w:color w:val="auto"/>
              </w:rPr>
            </w:pPr>
            <w:r>
              <w:rPr>
                <w:rFonts w:ascii="Arial" w:cs="Arial" w:eastAsia="Arial" w:hAnsi="Arial"/>
                <w:sz w:val="16"/>
                <w:szCs w:val="16"/>
                <w:color w:val="auto"/>
              </w:rPr>
              <w:t xml:space="preserve">Other segment items </w:t>
            </w:r>
            <w:r>
              <w:rPr>
                <w:rFonts w:ascii="Arial" w:cs="Arial" w:eastAsia="Arial" w:hAnsi="Arial"/>
                <w:sz w:val="21"/>
                <w:szCs w:val="21"/>
                <w:color w:val="auto"/>
                <w:vertAlign w:val="superscript"/>
              </w:rPr>
              <w:t>(b)</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33,575</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27,297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85,731</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72,128</w:t>
            </w:r>
          </w:p>
        </w:tc>
        <w:tc>
          <w:tcPr>
            <w:tcW w:w="0" w:type="dxa"/>
            <w:vAlign w:val="bottom"/>
          </w:tcPr>
          <w:p>
            <w:pPr>
              <w:spacing w:after="0"/>
              <w:rPr>
                <w:sz w:val="1"/>
                <w:szCs w:val="1"/>
                <w:color w:val="auto"/>
              </w:rPr>
            </w:pPr>
          </w:p>
        </w:tc>
      </w:tr>
      <w:tr>
        <w:trPr>
          <w:trHeight w:val="189"/>
        </w:trPr>
        <w:tc>
          <w:tcPr>
            <w:tcW w:w="462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7,165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4,546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20,203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13,505</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40"/>
              <w:spacing w:after="0" w:line="189"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(c)</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17,779</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16,381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51,030</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48,978</w:t>
            </w:r>
          </w:p>
        </w:tc>
        <w:tc>
          <w:tcPr>
            <w:tcW w:w="0" w:type="dxa"/>
            <w:vAlign w:val="bottom"/>
          </w:tcPr>
          <w:p>
            <w:pPr>
              <w:spacing w:after="0"/>
              <w:rPr>
                <w:sz w:val="1"/>
                <w:szCs w:val="1"/>
                <w:color w:val="auto"/>
              </w:rPr>
            </w:pPr>
          </w:p>
        </w:tc>
      </w:tr>
      <w:tr>
        <w:trPr>
          <w:trHeight w:val="189"/>
        </w:trPr>
        <w:tc>
          <w:tcPr>
            <w:tcW w:w="4620" w:type="dxa"/>
            <w:vAlign w:val="bottom"/>
          </w:tcPr>
          <w:p>
            <w:pPr>
              <w:ind w:left="140"/>
              <w:spacing w:after="0"/>
              <w:rPr>
                <w:sz w:val="20"/>
                <w:szCs w:val="20"/>
                <w:color w:val="auto"/>
              </w:rPr>
            </w:pPr>
            <w:r>
              <w:rPr>
                <w:rFonts w:ascii="Arial" w:cs="Arial" w:eastAsia="Arial" w:hAnsi="Arial"/>
                <w:sz w:val="16"/>
                <w:szCs w:val="16"/>
                <w:color w:val="auto"/>
              </w:rPr>
              <w:t>Restructuring</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8,690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2,986</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189"/>
        </w:trPr>
        <w:tc>
          <w:tcPr>
            <w:tcW w:w="462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(16,568)</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Loss (gain) from remeasurement of foreign currency</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(6,897)</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(2,079)</w:t>
            </w:r>
          </w:p>
        </w:tc>
        <w:tc>
          <w:tcPr>
            <w:tcW w:w="0" w:type="dxa"/>
            <w:vAlign w:val="bottom"/>
          </w:tcPr>
          <w:p>
            <w:pPr>
              <w:spacing w:after="0"/>
              <w:rPr>
                <w:sz w:val="1"/>
                <w:szCs w:val="1"/>
                <w:color w:val="auto"/>
              </w:rPr>
            </w:pPr>
          </w:p>
        </w:tc>
      </w:tr>
      <w:tr>
        <w:trPr>
          <w:trHeight w:val="189"/>
        </w:trPr>
        <w:tc>
          <w:tcPr>
            <w:tcW w:w="4620" w:type="dxa"/>
            <w:vAlign w:val="bottom"/>
          </w:tcPr>
          <w:p>
            <w:pPr>
              <w:ind w:left="140"/>
              <w:spacing w:after="0"/>
              <w:rPr>
                <w:sz w:val="20"/>
                <w:szCs w:val="20"/>
                <w:color w:val="auto"/>
              </w:rPr>
            </w:pPr>
            <w:r>
              <w:rPr>
                <w:rFonts w:ascii="Arial" w:cs="Arial" w:eastAsia="Arial" w:hAnsi="Arial"/>
                <w:sz w:val="16"/>
                <w:szCs w:val="16"/>
                <w:color w:val="auto"/>
              </w:rPr>
              <w:t>Gain on available-for-sale debt securities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Provision for (benefit from) income taxes</w:t>
            </w:r>
          </w:p>
        </w:tc>
        <w:tc>
          <w:tcPr>
            <w:tcW w:w="1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1,568</w:t>
            </w:r>
          </w:p>
        </w:tc>
        <w:tc>
          <w:tcPr>
            <w:tcW w:w="1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(8,327)</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7,665</w:t>
            </w: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b w:val="1"/>
                <w:bCs w:val="1"/>
                <w:color w:val="auto"/>
              </w:rPr>
              <w:t>Segment income</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line="183" w:lineRule="exact"/>
              <w:rPr>
                <w:sz w:val="20"/>
                <w:szCs w:val="20"/>
                <w:color w:val="auto"/>
              </w:rPr>
            </w:pPr>
            <w:r>
              <w:rPr>
                <w:rFonts w:ascii="Arial" w:cs="Arial" w:eastAsia="Arial" w:hAnsi="Arial"/>
                <w:sz w:val="16"/>
                <w:szCs w:val="16"/>
                <w:color w:val="auto"/>
              </w:rPr>
              <w:t>29,631</w:t>
            </w:r>
          </w:p>
        </w:tc>
        <w:tc>
          <w:tcPr>
            <w:tcW w:w="48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38,896</w:t>
            </w:r>
          </w:p>
        </w:tc>
        <w:tc>
          <w:tcPr>
            <w:tcW w:w="3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13,464</w:t>
            </w:r>
          </w:p>
        </w:tc>
        <w:tc>
          <w:tcPr>
            <w:tcW w:w="44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18,799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-153670</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-153670</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-153670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____________________________</w:t>
      </w:r>
    </w:p>
    <w:p>
      <w:pPr>
        <w:spacing w:after="0" w:line="42" w:lineRule="exact"/>
        <w:rPr>
          <w:sz w:val="20"/>
          <w:szCs w:val="20"/>
          <w:color w:val="auto"/>
        </w:rPr>
      </w:pPr>
    </w:p>
    <w:p>
      <w:pPr>
        <w:ind w:right="380" w:firstLine="8"/>
        <w:spacing w:after="0"/>
        <w:tabs>
          <w:tab w:leader="none" w:pos="144" w:val="left"/>
        </w:tabs>
        <w:numPr>
          <w:ilvl w:val="0"/>
          <w:numId w:val="5"/>
        </w:numPr>
        <w:rPr>
          <w:rFonts w:ascii="Arial" w:cs="Arial" w:eastAsia="Arial" w:hAnsi="Arial"/>
          <w:sz w:val="16"/>
          <w:szCs w:val="16"/>
          <w:color w:val="1F1F1F"/>
          <w:vertAlign w:val="superscript"/>
        </w:rPr>
      </w:pPr>
      <w:r>
        <w:rPr>
          <w:rFonts w:ascii="Arial" w:cs="Arial" w:eastAsia="Arial" w:hAnsi="Arial"/>
          <w:sz w:val="12"/>
          <w:szCs w:val="12"/>
          <w:color w:val="1F1F1F"/>
        </w:rPr>
        <w:t>Personnel expense includes employees' and contractors' compensation in technology and development, selling and marketing, and general and administrative operating expenses.</w:t>
      </w:r>
    </w:p>
    <w:p>
      <w:pPr>
        <w:spacing w:after="0" w:line="207" w:lineRule="exact"/>
        <w:rPr>
          <w:rFonts w:ascii="Arial" w:cs="Arial" w:eastAsia="Arial" w:hAnsi="Arial"/>
          <w:sz w:val="16"/>
          <w:szCs w:val="16"/>
          <w:color w:val="1F1F1F"/>
          <w:vertAlign w:val="superscript"/>
        </w:rPr>
      </w:pPr>
    </w:p>
    <w:p>
      <w:pPr>
        <w:ind w:right="560" w:firstLine="8"/>
        <w:spacing w:after="0" w:line="278" w:lineRule="auto"/>
        <w:tabs>
          <w:tab w:leader="none" w:pos="144" w:val="left"/>
        </w:tabs>
        <w:numPr>
          <w:ilvl w:val="0"/>
          <w:numId w:val="5"/>
        </w:numPr>
        <w:rPr>
          <w:rFonts w:ascii="Arial" w:cs="Arial" w:eastAsia="Arial" w:hAnsi="Arial"/>
          <w:sz w:val="16"/>
          <w:szCs w:val="16"/>
          <w:color w:val="1F1F1F"/>
          <w:vertAlign w:val="superscript"/>
        </w:rPr>
      </w:pPr>
      <w:r>
        <w:rPr>
          <w:rFonts w:ascii="Arial" w:cs="Arial" w:eastAsia="Arial" w:hAnsi="Arial"/>
          <w:sz w:val="12"/>
          <w:szCs w:val="12"/>
          <w:color w:val="1F1F1F"/>
        </w:rPr>
        <w:t>Other segment items in segment income include the following expenses: professional fees, marketing, travel, facilities, software, ancillary services, acquisition-related transaction costs, and other general and administrative costs.</w:t>
      </w:r>
    </w:p>
    <w:p>
      <w:pPr>
        <w:spacing w:after="0" w:line="18" w:lineRule="exact"/>
        <w:rPr>
          <w:rFonts w:ascii="Arial" w:cs="Arial" w:eastAsia="Arial" w:hAnsi="Arial"/>
          <w:sz w:val="16"/>
          <w:szCs w:val="16"/>
          <w:color w:val="1F1F1F"/>
          <w:vertAlign w:val="superscript"/>
        </w:rPr>
      </w:pPr>
    </w:p>
    <w:p>
      <w:pPr>
        <w:ind w:left="140" w:hanging="132"/>
        <w:spacing w:after="0"/>
        <w:tabs>
          <w:tab w:leader="none" w:pos="140" w:val="left"/>
        </w:tabs>
        <w:numPr>
          <w:ilvl w:val="0"/>
          <w:numId w:val="5"/>
        </w:numPr>
        <w:rPr>
          <w:rFonts w:ascii="Arial" w:cs="Arial" w:eastAsia="Arial" w:hAnsi="Arial"/>
          <w:sz w:val="16"/>
          <w:szCs w:val="16"/>
          <w:color w:val="1F1F1F"/>
          <w:vertAlign w:val="superscript"/>
        </w:rPr>
      </w:pPr>
      <w:r>
        <w:rPr>
          <w:rFonts w:ascii="Arial" w:cs="Arial" w:eastAsia="Arial" w:hAnsi="Arial"/>
          <w:sz w:val="12"/>
          <w:szCs w:val="12"/>
          <w:color w:val="1F1F1F"/>
        </w:rPr>
        <w:t>Stock-based compensation expense includes employer payroll taxes and excludes stock-based compensation relating to restructuring.</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1F1F1F"/>
        </w:rPr>
        <w:t xml:space="preserve">See </w:t>
      </w:r>
      <w:r>
        <w:rPr>
          <w:rFonts w:ascii="Arial" w:cs="Arial" w:eastAsia="Arial" w:hAnsi="Arial"/>
          <w:sz w:val="18"/>
          <w:szCs w:val="18"/>
          <w:i w:val="1"/>
          <w:iCs w:val="1"/>
          <w:color w:val="1F1F1F"/>
        </w:rPr>
        <w:t>Note 2 - Revenue and Recognition</w:t>
      </w:r>
      <w:r>
        <w:rPr>
          <w:rFonts w:ascii="Arial" w:cs="Arial" w:eastAsia="Arial" w:hAnsi="Arial"/>
          <w:sz w:val="18"/>
          <w:szCs w:val="18"/>
          <w:color w:val="1F1F1F"/>
        </w:rPr>
        <w:t xml:space="preserve"> for information regarding the Company's revenue by geographic area.</w:t>
      </w:r>
    </w:p>
    <w:p>
      <w:pPr>
        <w:spacing w:after="0" w:line="1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14" w:name="page15"/>
    <w:bookmarkEnd w:id="14"/>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Investments</w:t>
      </w:r>
    </w:p>
    <w:p>
      <w:pPr>
        <w:spacing w:after="0" w:line="17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following table summarizes the estimated fair value of available-for-sale debt securities included within short-term and long-term investments as of September 30, 2025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September 30, 2025</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1020" w:type="dxa"/>
            <w:vAlign w:val="bottom"/>
          </w:tcPr>
          <w:p>
            <w:pPr>
              <w:jc w:val="center"/>
              <w:ind w:left="80"/>
              <w:spacing w:after="0" w:line="168" w:lineRule="exact"/>
              <w:rPr>
                <w:sz w:val="20"/>
                <w:szCs w:val="20"/>
                <w:color w:val="auto"/>
              </w:rPr>
            </w:pPr>
            <w:r>
              <w:rPr>
                <w:rFonts w:ascii="Arial" w:cs="Arial" w:eastAsia="Arial" w:hAnsi="Arial"/>
                <w:sz w:val="16"/>
                <w:szCs w:val="16"/>
                <w:b w:val="1"/>
                <w:bCs w:val="1"/>
                <w:color w:val="auto"/>
                <w:w w:val="99"/>
              </w:rPr>
              <w:t>Gross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19"/>
              <w:spacing w:after="0" w:line="168" w:lineRule="exact"/>
              <w:rPr>
                <w:sz w:val="20"/>
                <w:szCs w:val="20"/>
                <w:color w:val="auto"/>
              </w:rPr>
            </w:pPr>
            <w:r>
              <w:rPr>
                <w:rFonts w:ascii="Arial" w:cs="Arial" w:eastAsia="Arial" w:hAnsi="Arial"/>
                <w:sz w:val="16"/>
                <w:szCs w:val="16"/>
                <w:b w:val="1"/>
                <w:bCs w:val="1"/>
                <w:color w:val="auto"/>
                <w:w w:val="99"/>
              </w:rPr>
              <w:t>Gross</w:t>
            </w:r>
          </w:p>
        </w:tc>
        <w:tc>
          <w:tcPr>
            <w:tcW w:w="10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Allowance for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20"/>
              <w:spacing w:after="0" w:line="168" w:lineRule="exact"/>
              <w:rPr>
                <w:sz w:val="20"/>
                <w:szCs w:val="20"/>
                <w:color w:val="auto"/>
              </w:rPr>
            </w:pPr>
            <w:r>
              <w:rPr>
                <w:rFonts w:ascii="Arial" w:cs="Arial" w:eastAsia="Arial" w:hAnsi="Arial"/>
                <w:sz w:val="16"/>
                <w:szCs w:val="16"/>
                <w:b w:val="1"/>
                <w:bCs w:val="1"/>
                <w:color w:val="auto"/>
                <w:w w:val="99"/>
              </w:rPr>
              <w:t>Accrued</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9"/>
              </w:rPr>
              <w:t>Aggregate Fair</w:t>
            </w:r>
          </w:p>
        </w:tc>
        <w:tc>
          <w:tcPr>
            <w:tcW w:w="0" w:type="dxa"/>
            <w:vAlign w:val="bottom"/>
          </w:tcPr>
          <w:p>
            <w:pPr>
              <w:spacing w:after="0"/>
              <w:rPr>
                <w:sz w:val="1"/>
                <w:szCs w:val="1"/>
                <w:color w:val="auto"/>
              </w:rPr>
            </w:pPr>
          </w:p>
        </w:tc>
      </w:tr>
      <w:tr>
        <w:trPr>
          <w:trHeight w:val="94"/>
        </w:trPr>
        <w:tc>
          <w:tcPr>
            <w:tcW w:w="3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restart"/>
          </w:tcPr>
          <w:p>
            <w:pPr>
              <w:jc w:val="center"/>
              <w:ind w:left="80"/>
              <w:spacing w:after="0"/>
              <w:rPr>
                <w:sz w:val="20"/>
                <w:szCs w:val="20"/>
                <w:color w:val="auto"/>
              </w:rPr>
            </w:pPr>
            <w:r>
              <w:rPr>
                <w:rFonts w:ascii="Arial" w:cs="Arial" w:eastAsia="Arial" w:hAnsi="Arial"/>
                <w:sz w:val="16"/>
                <w:szCs w:val="16"/>
                <w:b w:val="1"/>
                <w:bCs w:val="1"/>
                <w:color w:val="auto"/>
              </w:rPr>
              <w:t>Unrealized</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Interest</w:t>
            </w:r>
          </w:p>
        </w:tc>
        <w:tc>
          <w:tcPr>
            <w:tcW w:w="1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Credit Losses</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center"/>
              <w:ind w:left="120"/>
              <w:spacing w:after="0"/>
              <w:rPr>
                <w:sz w:val="20"/>
                <w:szCs w:val="20"/>
                <w:color w:val="auto"/>
              </w:rPr>
            </w:pPr>
            <w:r>
              <w:rPr>
                <w:rFonts w:ascii="Arial" w:cs="Arial" w:eastAsia="Arial" w:hAnsi="Arial"/>
                <w:sz w:val="16"/>
                <w:szCs w:val="16"/>
                <w:b w:val="1"/>
                <w:bCs w:val="1"/>
                <w:color w:val="auto"/>
              </w:rPr>
              <w:t>Gains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7"/>
              </w:rPr>
              <w:t>Losses</w:t>
            </w:r>
          </w:p>
        </w:tc>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Receivable</w:t>
            </w:r>
          </w:p>
        </w:tc>
        <w:tc>
          <w:tcPr>
            <w:tcW w:w="2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2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Short-term investments</w:t>
            </w:r>
          </w:p>
        </w:tc>
        <w:tc>
          <w:tcPr>
            <w:tcW w:w="2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60"/>
              <w:spacing w:after="0"/>
              <w:rPr>
                <w:sz w:val="20"/>
                <w:szCs w:val="20"/>
                <w:color w:val="auto"/>
              </w:rPr>
            </w:pPr>
            <w:r>
              <w:rPr>
                <w:rFonts w:ascii="Arial" w:cs="Arial" w:eastAsia="Arial" w:hAnsi="Arial"/>
                <w:sz w:val="16"/>
                <w:szCs w:val="16"/>
                <w:color w:val="auto"/>
              </w:rPr>
              <w:t>Corporate bonds</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5,732</w:t>
            </w:r>
          </w:p>
        </w:tc>
        <w:tc>
          <w:tcPr>
            <w:tcW w:w="114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gridSpan w:val="3"/>
          </w:tcPr>
          <w:p>
            <w:pPr>
              <w:ind w:left="920"/>
              <w:spacing w:after="0"/>
              <w:rPr>
                <w:sz w:val="20"/>
                <w:szCs w:val="20"/>
                <w:color w:val="auto"/>
              </w:rPr>
            </w:pPr>
            <w:r>
              <w:rPr>
                <w:rFonts w:ascii="Arial" w:cs="Arial" w:eastAsia="Arial" w:hAnsi="Arial"/>
                <w:sz w:val="16"/>
                <w:szCs w:val="16"/>
                <w:color w:val="auto"/>
              </w:rPr>
              <w:t>— * $</w:t>
            </w:r>
          </w:p>
        </w:tc>
        <w:tc>
          <w:tcPr>
            <w:tcW w:w="360" w:type="dxa"/>
            <w:vAlign w:val="bottom"/>
          </w:tcPr>
          <w:p>
            <w:pPr>
              <w:ind w:left="200"/>
              <w:spacing w:after="0"/>
              <w:rPr>
                <w:sz w:val="20"/>
                <w:szCs w:val="20"/>
                <w:color w:val="auto"/>
              </w:rPr>
            </w:pPr>
            <w:r>
              <w:rPr>
                <w:rFonts w:ascii="Arial" w:cs="Arial" w:eastAsia="Arial" w:hAnsi="Arial"/>
                <w:sz w:val="16"/>
                <w:szCs w:val="16"/>
                <w:color w:val="auto"/>
                <w:w w:val="87"/>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900"/>
              <w:spacing w:after="0"/>
              <w:rPr>
                <w:sz w:val="20"/>
                <w:szCs w:val="20"/>
                <w:color w:val="auto"/>
              </w:rPr>
            </w:pPr>
            <w:r>
              <w:rPr>
                <w:rFonts w:ascii="Arial" w:cs="Arial" w:eastAsia="Arial" w:hAnsi="Arial"/>
                <w:sz w:val="16"/>
                <w:szCs w:val="16"/>
                <w:color w:val="auto"/>
                <w:w w:val="89"/>
              </w:rPr>
              <w:t>50</w:t>
            </w:r>
          </w:p>
        </w:tc>
        <w:tc>
          <w:tcPr>
            <w:tcW w:w="12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5,788</w:t>
            </w:r>
          </w:p>
        </w:tc>
        <w:tc>
          <w:tcPr>
            <w:tcW w:w="0" w:type="dxa"/>
            <w:vAlign w:val="bottom"/>
          </w:tcPr>
          <w:p>
            <w:pPr>
              <w:spacing w:after="0"/>
              <w:rPr>
                <w:sz w:val="1"/>
                <w:szCs w:val="1"/>
                <w:color w:val="auto"/>
              </w:rPr>
            </w:pPr>
          </w:p>
        </w:tc>
      </w:tr>
      <w:tr>
        <w:trPr>
          <w:trHeight w:val="189"/>
        </w:trPr>
        <w:tc>
          <w:tcPr>
            <w:tcW w:w="3280" w:type="dxa"/>
            <w:vAlign w:val="bottom"/>
            <w:shd w:val="clear" w:color="auto" w:fill="CFF0FC"/>
          </w:tcPr>
          <w:p>
            <w:pPr>
              <w:ind w:left="60"/>
              <w:spacing w:after="0"/>
              <w:rPr>
                <w:sz w:val="20"/>
                <w:szCs w:val="20"/>
                <w:color w:val="auto"/>
              </w:rPr>
            </w:pPr>
            <w:r>
              <w:rPr>
                <w:rFonts w:ascii="Arial" w:cs="Arial" w:eastAsia="Arial" w:hAnsi="Arial"/>
                <w:sz w:val="16"/>
                <w:szCs w:val="16"/>
                <w:color w:val="auto"/>
              </w:rPr>
              <w:t>U.S. Government obligations</w:t>
            </w:r>
          </w:p>
        </w:tc>
        <w:tc>
          <w:tcPr>
            <w:tcW w:w="2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16,571</w:t>
            </w:r>
          </w:p>
        </w:tc>
        <w:tc>
          <w:tcPr>
            <w:tcW w:w="120" w:type="dxa"/>
            <w:vAlign w:val="bottom"/>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ind w:left="9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6"/>
                <w:szCs w:val="16"/>
                <w:color w:val="auto"/>
                <w:w w:val="89"/>
              </w:rPr>
              <w:t>35</w:t>
            </w:r>
          </w:p>
        </w:tc>
        <w:tc>
          <w:tcPr>
            <w:tcW w:w="120" w:type="dxa"/>
            <w:vAlign w:val="bottom"/>
            <w:tcBorders>
              <w:right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16,642</w:t>
            </w:r>
          </w:p>
        </w:tc>
        <w:tc>
          <w:tcPr>
            <w:tcW w:w="0" w:type="dxa"/>
            <w:vAlign w:val="bottom"/>
          </w:tcPr>
          <w:p>
            <w:pPr>
              <w:spacing w:after="0"/>
              <w:rPr>
                <w:sz w:val="1"/>
                <w:szCs w:val="1"/>
                <w:color w:val="auto"/>
              </w:rPr>
            </w:pPr>
          </w:p>
        </w:tc>
      </w:tr>
      <w:tr>
        <w:trPr>
          <w:trHeight w:val="183"/>
        </w:trPr>
        <w:tc>
          <w:tcPr>
            <w:tcW w:w="3280" w:type="dxa"/>
            <w:vAlign w:val="bottom"/>
          </w:tcPr>
          <w:p>
            <w:pPr>
              <w:spacing w:after="0" w:line="183" w:lineRule="exact"/>
              <w:rPr>
                <w:sz w:val="20"/>
                <w:szCs w:val="20"/>
                <w:color w:val="auto"/>
              </w:rPr>
            </w:pPr>
            <w:r>
              <w:rPr>
                <w:rFonts w:ascii="Arial" w:cs="Arial" w:eastAsia="Arial" w:hAnsi="Arial"/>
                <w:sz w:val="16"/>
                <w:szCs w:val="16"/>
                <w:b w:val="1"/>
                <w:bCs w:val="1"/>
                <w:color w:val="auto"/>
              </w:rPr>
              <w:t>Total short-term investments</w:t>
            </w:r>
          </w:p>
        </w:tc>
        <w:tc>
          <w:tcPr>
            <w:tcW w:w="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22,303</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ind w:right="86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ind w:left="920"/>
              <w:spacing w:after="0" w:line="183" w:lineRule="exact"/>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ind w:right="701"/>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ind w:left="200"/>
              <w:spacing w:after="0" w:line="183" w:lineRule="exact"/>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ind w:left="900"/>
              <w:spacing w:after="0" w:line="183" w:lineRule="exact"/>
              <w:rPr>
                <w:sz w:val="20"/>
                <w:szCs w:val="20"/>
                <w:color w:val="auto"/>
              </w:rPr>
            </w:pPr>
            <w:r>
              <w:rPr>
                <w:rFonts w:ascii="Arial" w:cs="Arial" w:eastAsia="Arial" w:hAnsi="Arial"/>
                <w:sz w:val="16"/>
                <w:szCs w:val="16"/>
                <w:color w:val="auto"/>
                <w:w w:val="89"/>
              </w:rPr>
              <w:t>85</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22,430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8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Long-term investments</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60"/>
              <w:spacing w:after="0"/>
              <w:rPr>
                <w:sz w:val="20"/>
                <w:szCs w:val="20"/>
                <w:color w:val="auto"/>
              </w:rPr>
            </w:pPr>
            <w:r>
              <w:rPr>
                <w:rFonts w:ascii="Arial" w:cs="Arial" w:eastAsia="Arial" w:hAnsi="Arial"/>
                <w:sz w:val="16"/>
                <w:szCs w:val="16"/>
                <w:color w:val="auto"/>
              </w:rPr>
              <w:t>Corporate bonds</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1,267</w:t>
            </w:r>
          </w:p>
        </w:tc>
        <w:tc>
          <w:tcPr>
            <w:tcW w:w="114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ind w:left="920"/>
              <w:spacing w:after="0"/>
              <w:rPr>
                <w:sz w:val="20"/>
                <w:szCs w:val="20"/>
                <w:color w:val="auto"/>
              </w:rPr>
            </w:pPr>
            <w:r>
              <w:rPr>
                <w:rFonts w:ascii="Arial" w:cs="Arial" w:eastAsia="Arial" w:hAnsi="Arial"/>
                <w:sz w:val="16"/>
                <w:szCs w:val="16"/>
                <w:color w:val="auto"/>
                <w:w w:val="99"/>
              </w:rPr>
              <w:t>—</w:t>
            </w:r>
          </w:p>
        </w:tc>
        <w:tc>
          <w:tcPr>
            <w:tcW w:w="960" w:type="dxa"/>
            <w:vAlign w:val="bottom"/>
            <w:gridSpan w:val="2"/>
          </w:tcPr>
          <w:p>
            <w:pPr>
              <w:jc w:val="right"/>
              <w:ind w:right="701"/>
              <w:spacing w:after="0"/>
              <w:rPr>
                <w:sz w:val="20"/>
                <w:szCs w:val="20"/>
                <w:color w:val="auto"/>
              </w:rPr>
            </w:pPr>
            <w:r>
              <w:rPr>
                <w:rFonts w:ascii="Arial" w:cs="Arial" w:eastAsia="Arial" w:hAnsi="Arial"/>
                <w:sz w:val="16"/>
                <w:szCs w:val="16"/>
                <w:color w:val="auto"/>
              </w:rPr>
              <w:t>$</w:t>
            </w:r>
          </w:p>
        </w:tc>
        <w:tc>
          <w:tcPr>
            <w:tcW w:w="360" w:type="dxa"/>
            <w:vAlign w:val="bottom"/>
          </w:tcPr>
          <w:p>
            <w:pPr>
              <w:ind w:left="200"/>
              <w:spacing w:after="0"/>
              <w:rPr>
                <w:sz w:val="20"/>
                <w:szCs w:val="20"/>
                <w:color w:val="auto"/>
              </w:rPr>
            </w:pPr>
            <w:r>
              <w:rPr>
                <w:rFonts w:ascii="Arial" w:cs="Arial" w:eastAsia="Arial" w:hAnsi="Arial"/>
                <w:sz w:val="16"/>
                <w:szCs w:val="16"/>
                <w:color w:val="auto"/>
                <w:w w:val="87"/>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900"/>
              <w:spacing w:after="0"/>
              <w:rPr>
                <w:sz w:val="20"/>
                <w:szCs w:val="20"/>
                <w:color w:val="auto"/>
              </w:rPr>
            </w:pPr>
            <w:r>
              <w:rPr>
                <w:rFonts w:ascii="Arial" w:cs="Arial" w:eastAsia="Arial" w:hAnsi="Arial"/>
                <w:sz w:val="16"/>
                <w:szCs w:val="16"/>
                <w:color w:val="auto"/>
                <w:w w:val="89"/>
              </w:rPr>
              <w:t>14</w:t>
            </w:r>
          </w:p>
        </w:tc>
        <w:tc>
          <w:tcPr>
            <w:tcW w:w="12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1,282</w:t>
            </w:r>
          </w:p>
        </w:tc>
        <w:tc>
          <w:tcPr>
            <w:tcW w:w="0" w:type="dxa"/>
            <w:vAlign w:val="bottom"/>
          </w:tcPr>
          <w:p>
            <w:pPr>
              <w:spacing w:after="0"/>
              <w:rPr>
                <w:sz w:val="1"/>
                <w:szCs w:val="1"/>
                <w:color w:val="auto"/>
              </w:rPr>
            </w:pPr>
          </w:p>
        </w:tc>
      </w:tr>
      <w:tr>
        <w:trPr>
          <w:trHeight w:val="189"/>
        </w:trPr>
        <w:tc>
          <w:tcPr>
            <w:tcW w:w="3280" w:type="dxa"/>
            <w:vAlign w:val="bottom"/>
            <w:shd w:val="clear" w:color="auto" w:fill="CFF0FC"/>
          </w:tcPr>
          <w:p>
            <w:pPr>
              <w:ind w:left="60"/>
              <w:spacing w:after="0"/>
              <w:rPr>
                <w:sz w:val="20"/>
                <w:szCs w:val="20"/>
                <w:color w:val="auto"/>
              </w:rPr>
            </w:pPr>
            <w:r>
              <w:rPr>
                <w:rFonts w:ascii="Arial" w:cs="Arial" w:eastAsia="Arial" w:hAnsi="Arial"/>
                <w:sz w:val="16"/>
                <w:szCs w:val="16"/>
                <w:color w:val="auto"/>
              </w:rPr>
              <w:t>U.S. Government obligations</w:t>
            </w: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2,998</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ind w:left="9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60" w:type="dxa"/>
            <w:vAlign w:val="bottom"/>
            <w:shd w:val="clear" w:color="auto" w:fill="CFF0FC"/>
          </w:tcPr>
          <w:p>
            <w:pPr>
              <w:ind w:left="2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ind w:left="900"/>
              <w:spacing w:after="0"/>
              <w:rPr>
                <w:sz w:val="20"/>
                <w:szCs w:val="20"/>
                <w:color w:val="auto"/>
              </w:rPr>
            </w:pPr>
            <w:r>
              <w:rPr>
                <w:rFonts w:ascii="Arial" w:cs="Arial" w:eastAsia="Arial" w:hAnsi="Arial"/>
                <w:sz w:val="16"/>
                <w:szCs w:val="16"/>
                <w:color w:val="auto"/>
                <w:w w:val="89"/>
              </w:rPr>
              <w:t>43</w:t>
            </w:r>
          </w:p>
        </w:tc>
        <w:tc>
          <w:tcPr>
            <w:tcW w:w="120" w:type="dxa"/>
            <w:vAlign w:val="bottom"/>
            <w:tcBorders>
              <w:right w:val="single" w:sz="8" w:color="CFF0FC"/>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3,061</w:t>
            </w:r>
          </w:p>
        </w:tc>
        <w:tc>
          <w:tcPr>
            <w:tcW w:w="0" w:type="dxa"/>
            <w:vAlign w:val="bottom"/>
          </w:tcPr>
          <w:p>
            <w:pPr>
              <w:spacing w:after="0"/>
              <w:rPr>
                <w:sz w:val="1"/>
                <w:szCs w:val="1"/>
                <w:color w:val="auto"/>
              </w:rPr>
            </w:pPr>
          </w:p>
        </w:tc>
      </w:tr>
      <w:tr>
        <w:trPr>
          <w:trHeight w:val="189"/>
        </w:trPr>
        <w:tc>
          <w:tcPr>
            <w:tcW w:w="3280" w:type="dxa"/>
            <w:vAlign w:val="bottom"/>
          </w:tcPr>
          <w:p>
            <w:pPr>
              <w:ind w:left="60"/>
              <w:spacing w:after="0"/>
              <w:rPr>
                <w:sz w:val="20"/>
                <w:szCs w:val="20"/>
                <w:color w:val="auto"/>
              </w:rPr>
            </w:pPr>
            <w:r>
              <w:rPr>
                <w:rFonts w:ascii="Arial" w:cs="Arial" w:eastAsia="Arial" w:hAnsi="Arial"/>
                <w:sz w:val="16"/>
                <w:szCs w:val="16"/>
                <w:color w:val="auto"/>
              </w:rPr>
              <w:t>Asset-backed securities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6"/>
                <w:szCs w:val="16"/>
                <w:color w:val="auto"/>
                <w:w w:val="97"/>
              </w:rPr>
              <w:t>— *</w:t>
            </w:r>
          </w:p>
        </w:tc>
        <w:tc>
          <w:tcPr>
            <w:tcW w:w="140" w:type="dxa"/>
            <w:vAlign w:val="bottom"/>
          </w:tcPr>
          <w:p>
            <w:pPr>
              <w:spacing w:after="0"/>
              <w:rPr>
                <w:sz w:val="16"/>
                <w:szCs w:val="16"/>
                <w:color w:val="auto"/>
              </w:rPr>
            </w:pPr>
          </w:p>
        </w:tc>
        <w:tc>
          <w:tcPr>
            <w:tcW w:w="1100" w:type="dxa"/>
            <w:vAlign w:val="bottom"/>
          </w:tcPr>
          <w:p>
            <w:pPr>
              <w:ind w:left="9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ind w:left="20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900"/>
              <w:spacing w:after="0"/>
              <w:rPr>
                <w:sz w:val="20"/>
                <w:szCs w:val="20"/>
                <w:color w:val="auto"/>
              </w:rPr>
            </w:pPr>
            <w:r>
              <w:rPr>
                <w:rFonts w:ascii="Arial" w:cs="Arial" w:eastAsia="Arial" w:hAnsi="Arial"/>
                <w:sz w:val="16"/>
                <w:szCs w:val="16"/>
                <w:color w:val="auto"/>
                <w:w w:val="97"/>
              </w:rPr>
              <w:t>— *</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long-term investments</w:t>
            </w:r>
          </w:p>
        </w:tc>
        <w:tc>
          <w:tcPr>
            <w:tcW w:w="2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4,316</w:t>
            </w:r>
          </w:p>
        </w:tc>
        <w:tc>
          <w:tcPr>
            <w:tcW w:w="1140" w:type="dxa"/>
            <w:vAlign w:val="bottom"/>
            <w:gridSpan w:val="2"/>
            <w:shd w:val="clear" w:color="auto" w:fill="CFF0FC"/>
          </w:tcPr>
          <w:p>
            <w:pPr>
              <w:jc w:val="right"/>
              <w:ind w:right="860"/>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ind w:left="920"/>
              <w:spacing w:after="0" w:line="183" w:lineRule="exact"/>
              <w:rPr>
                <w:sz w:val="20"/>
                <w:szCs w:val="20"/>
                <w:color w:val="auto"/>
              </w:rPr>
            </w:pPr>
            <w:r>
              <w:rPr>
                <w:rFonts w:ascii="Arial" w:cs="Arial" w:eastAsia="Arial" w:hAnsi="Arial"/>
                <w:sz w:val="16"/>
                <w:szCs w:val="16"/>
                <w:color w:val="auto"/>
                <w:w w:val="99"/>
              </w:rPr>
              <w:t>—</w:t>
            </w:r>
          </w:p>
        </w:tc>
        <w:tc>
          <w:tcPr>
            <w:tcW w:w="960" w:type="dxa"/>
            <w:vAlign w:val="bottom"/>
            <w:gridSpan w:val="2"/>
            <w:shd w:val="clear" w:color="auto" w:fill="CFF0FC"/>
          </w:tcPr>
          <w:p>
            <w:pPr>
              <w:jc w:val="right"/>
              <w:ind w:right="701"/>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w w:val="87"/>
              </w:rPr>
              <w:t>—</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ind w:left="900"/>
              <w:spacing w:after="0" w:line="183" w:lineRule="exact"/>
              <w:rPr>
                <w:sz w:val="20"/>
                <w:szCs w:val="20"/>
                <w:color w:val="auto"/>
              </w:rPr>
            </w:pPr>
            <w:r>
              <w:rPr>
                <w:rFonts w:ascii="Arial" w:cs="Arial" w:eastAsia="Arial" w:hAnsi="Arial"/>
                <w:sz w:val="16"/>
                <w:szCs w:val="16"/>
                <w:color w:val="auto"/>
                <w:w w:val="89"/>
              </w:rPr>
              <w:t>57</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4,394</w:t>
            </w: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-25400</wp:posOffset>
            </wp:positionV>
            <wp:extent cx="76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153"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following table summarizes the estimated fair value of available-for-sale debt securities included within short-term and long-term investments as of December 31, 2024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December 31, 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19"/>
              <w:spacing w:after="0" w:line="168" w:lineRule="exact"/>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99"/>
              <w:spacing w:after="0" w:line="168" w:lineRule="exact"/>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Allowance for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99"/>
              <w:spacing w:after="0" w:line="168" w:lineRule="exact"/>
              <w:rPr>
                <w:sz w:val="20"/>
                <w:szCs w:val="20"/>
                <w:color w:val="auto"/>
              </w:rPr>
            </w:pPr>
            <w:r>
              <w:rPr>
                <w:rFonts w:ascii="Arial" w:cs="Arial" w:eastAsia="Arial" w:hAnsi="Arial"/>
                <w:sz w:val="16"/>
                <w:szCs w:val="16"/>
                <w:b w:val="1"/>
                <w:bCs w:val="1"/>
                <w:color w:val="auto"/>
                <w:w w:val="99"/>
              </w:rPr>
              <w:t>Accrued</w:t>
            </w:r>
          </w:p>
        </w:tc>
        <w:tc>
          <w:tcPr>
            <w:tcW w:w="12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Aggregate Fair</w:t>
            </w:r>
          </w:p>
        </w:tc>
        <w:tc>
          <w:tcPr>
            <w:tcW w:w="0" w:type="dxa"/>
            <w:vAlign w:val="bottom"/>
          </w:tcPr>
          <w:p>
            <w:pPr>
              <w:spacing w:after="0"/>
              <w:rPr>
                <w:sz w:val="1"/>
                <w:szCs w:val="1"/>
                <w:color w:val="auto"/>
              </w:rPr>
            </w:pPr>
          </w:p>
        </w:tc>
      </w:tr>
      <w:tr>
        <w:trPr>
          <w:trHeight w:val="94"/>
        </w:trPr>
        <w:tc>
          <w:tcPr>
            <w:tcW w:w="2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Interest</w:t>
            </w:r>
          </w:p>
        </w:tc>
        <w:tc>
          <w:tcPr>
            <w:tcW w:w="12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Credit Losses</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28"/>
        </w:trPr>
        <w:tc>
          <w:tcPr>
            <w:tcW w:w="2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8"/>
              </w:rPr>
              <w:t>Gains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Receivable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7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Short-term investments</w:t>
            </w: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60" w:type="dxa"/>
            <w:vAlign w:val="bottom"/>
          </w:tcPr>
          <w:p>
            <w:pPr>
              <w:ind w:left="60"/>
              <w:spacing w:after="0"/>
              <w:rPr>
                <w:sz w:val="20"/>
                <w:szCs w:val="20"/>
                <w:color w:val="auto"/>
              </w:rPr>
            </w:pPr>
            <w:r>
              <w:rPr>
                <w:rFonts w:ascii="Arial" w:cs="Arial" w:eastAsia="Arial" w:hAnsi="Arial"/>
                <w:sz w:val="16"/>
                <w:szCs w:val="16"/>
                <w:color w:val="auto"/>
              </w:rPr>
              <w:t>Corporate bonds</w:t>
            </w:r>
          </w:p>
        </w:tc>
        <w:tc>
          <w:tcPr>
            <w:tcW w:w="7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61,941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920" w:type="dxa"/>
            <w:vAlign w:val="bottom"/>
            <w:gridSpan w:val="2"/>
          </w:tcPr>
          <w:p>
            <w:pPr>
              <w:jc w:val="right"/>
              <w:ind w:right="639"/>
              <w:spacing w:after="0"/>
              <w:rPr>
                <w:sz w:val="20"/>
                <w:szCs w:val="20"/>
                <w:color w:val="auto"/>
              </w:rPr>
            </w:pPr>
            <w:r>
              <w:rPr>
                <w:rFonts w:ascii="Arial" w:cs="Arial" w:eastAsia="Arial" w:hAnsi="Arial"/>
                <w:sz w:val="16"/>
                <w:szCs w:val="16"/>
                <w:color w:val="auto"/>
              </w:rPr>
              <w:t>$</w:t>
            </w:r>
          </w:p>
        </w:tc>
        <w:tc>
          <w:tcPr>
            <w:tcW w:w="420" w:type="dxa"/>
            <w:vAlign w:val="bottom"/>
          </w:tcPr>
          <w:p>
            <w:pPr>
              <w:ind w:left="240"/>
              <w:spacing w:after="0"/>
              <w:rPr>
                <w:sz w:val="20"/>
                <w:szCs w:val="20"/>
                <w:color w:val="auto"/>
              </w:rPr>
            </w:pPr>
            <w:r>
              <w:rPr>
                <w:rFonts w:ascii="Arial" w:cs="Arial" w:eastAsia="Arial" w:hAnsi="Arial"/>
                <w:sz w:val="16"/>
                <w:szCs w:val="16"/>
                <w:color w:val="auto"/>
                <w:w w:val="99"/>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544</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62,625</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60"/>
              <w:spacing w:after="0"/>
              <w:rPr>
                <w:sz w:val="20"/>
                <w:szCs w:val="20"/>
                <w:color w:val="auto"/>
              </w:rPr>
            </w:pPr>
            <w:r>
              <w:rPr>
                <w:rFonts w:ascii="Arial" w:cs="Arial" w:eastAsia="Arial" w:hAnsi="Arial"/>
                <w:sz w:val="16"/>
                <w:szCs w:val="16"/>
                <w:color w:val="auto"/>
              </w:rPr>
              <w:t>U.S. Government obligations</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36,358</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2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36,755</w:t>
            </w:r>
          </w:p>
        </w:tc>
        <w:tc>
          <w:tcPr>
            <w:tcW w:w="0" w:type="dxa"/>
            <w:vAlign w:val="bottom"/>
          </w:tcPr>
          <w:p>
            <w:pPr>
              <w:spacing w:after="0"/>
              <w:rPr>
                <w:sz w:val="1"/>
                <w:szCs w:val="1"/>
                <w:color w:val="auto"/>
              </w:rPr>
            </w:pPr>
          </w:p>
        </w:tc>
      </w:tr>
      <w:tr>
        <w:trPr>
          <w:trHeight w:val="189"/>
        </w:trPr>
        <w:tc>
          <w:tcPr>
            <w:tcW w:w="2760" w:type="dxa"/>
            <w:vAlign w:val="bottom"/>
          </w:tcPr>
          <w:p>
            <w:pPr>
              <w:ind w:left="60"/>
              <w:spacing w:after="0"/>
              <w:rPr>
                <w:sz w:val="20"/>
                <w:szCs w:val="20"/>
                <w:color w:val="auto"/>
              </w:rPr>
            </w:pPr>
            <w:r>
              <w:rPr>
                <w:rFonts w:ascii="Arial" w:cs="Arial" w:eastAsia="Arial" w:hAnsi="Arial"/>
                <w:sz w:val="16"/>
                <w:szCs w:val="16"/>
                <w:color w:val="auto"/>
              </w:rPr>
              <w:t>Treasury bill</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6,979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ind w:left="2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6,983</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60"/>
              <w:spacing w:after="0"/>
              <w:rPr>
                <w:sz w:val="20"/>
                <w:szCs w:val="20"/>
                <w:color w:val="auto"/>
              </w:rPr>
            </w:pPr>
            <w:r>
              <w:rPr>
                <w:rFonts w:ascii="Arial" w:cs="Arial" w:eastAsia="Arial" w:hAnsi="Arial"/>
                <w:sz w:val="16"/>
                <w:szCs w:val="16"/>
                <w:color w:val="auto"/>
              </w:rPr>
              <w:t>Foreign agency securities</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2,583</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2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2,607</w:t>
            </w:r>
          </w:p>
        </w:tc>
        <w:tc>
          <w:tcPr>
            <w:tcW w:w="0" w:type="dxa"/>
            <w:vAlign w:val="bottom"/>
          </w:tcPr>
          <w:p>
            <w:pPr>
              <w:spacing w:after="0"/>
              <w:rPr>
                <w:sz w:val="1"/>
                <w:szCs w:val="1"/>
                <w:color w:val="auto"/>
              </w:rPr>
            </w:pPr>
          </w:p>
        </w:tc>
      </w:tr>
      <w:tr>
        <w:trPr>
          <w:trHeight w:val="189"/>
        </w:trPr>
        <w:tc>
          <w:tcPr>
            <w:tcW w:w="2760" w:type="dxa"/>
            <w:vAlign w:val="bottom"/>
          </w:tcPr>
          <w:p>
            <w:pPr>
              <w:ind w:left="60"/>
              <w:spacing w:after="0"/>
              <w:rPr>
                <w:sz w:val="20"/>
                <w:szCs w:val="20"/>
                <w:color w:val="auto"/>
              </w:rPr>
            </w:pPr>
            <w:r>
              <w:rPr>
                <w:rFonts w:ascii="Arial" w:cs="Arial" w:eastAsia="Arial" w:hAnsi="Arial"/>
                <w:sz w:val="16"/>
                <w:szCs w:val="16"/>
                <w:color w:val="auto"/>
              </w:rPr>
              <w:t>Commercial paper</w:t>
            </w:r>
          </w:p>
        </w:tc>
        <w:tc>
          <w:tcPr>
            <w:tcW w:w="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6,877</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6,878</w:t>
            </w:r>
          </w:p>
        </w:tc>
        <w:tc>
          <w:tcPr>
            <w:tcW w:w="0" w:type="dxa"/>
            <w:vAlign w:val="bottom"/>
          </w:tcPr>
          <w:p>
            <w:pPr>
              <w:spacing w:after="0"/>
              <w:rPr>
                <w:sz w:val="1"/>
                <w:szCs w:val="1"/>
                <w:color w:val="auto"/>
              </w:rPr>
            </w:pPr>
          </w:p>
        </w:tc>
      </w:tr>
      <w:tr>
        <w:trPr>
          <w:trHeight w:val="223"/>
        </w:trPr>
        <w:tc>
          <w:tcPr>
            <w:tcW w:w="27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short-term investments</w:t>
            </w:r>
          </w:p>
        </w:tc>
        <w:tc>
          <w:tcPr>
            <w:tcW w:w="720" w:type="dxa"/>
            <w:vAlign w:val="bottom"/>
            <w:gridSpan w:val="2"/>
            <w:shd w:val="clear" w:color="auto" w:fill="CFF0FC"/>
          </w:tcPr>
          <w:p>
            <w:pPr>
              <w:ind w:left="50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114,738</w:t>
            </w:r>
          </w:p>
        </w:tc>
        <w:tc>
          <w:tcPr>
            <w:tcW w:w="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227</w:t>
            </w:r>
          </w:p>
        </w:tc>
        <w:tc>
          <w:tcPr>
            <w:tcW w:w="2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w:t>
            </w:r>
          </w:p>
        </w:tc>
        <w:tc>
          <w:tcPr>
            <w:tcW w:w="920" w:type="dxa"/>
            <w:vAlign w:val="bottom"/>
            <w:gridSpan w:val="2"/>
            <w:shd w:val="clear" w:color="auto" w:fill="CFF0FC"/>
          </w:tcPr>
          <w:p>
            <w:pPr>
              <w:jc w:val="right"/>
              <w:ind w:right="639"/>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ind w:left="240"/>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890</w:t>
            </w:r>
          </w:p>
        </w:tc>
        <w:tc>
          <w:tcPr>
            <w:tcW w:w="340" w:type="dxa"/>
            <w:vAlign w:val="bottom"/>
            <w:gridSpan w:val="2"/>
            <w:shd w:val="clear" w:color="auto" w:fill="CFF0FC"/>
          </w:tcPr>
          <w:p>
            <w:pPr>
              <w:ind w:left="100"/>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115,848</w:t>
            </w:r>
          </w:p>
        </w:tc>
        <w:tc>
          <w:tcPr>
            <w:tcW w:w="0" w:type="dxa"/>
            <w:vAlign w:val="bottom"/>
          </w:tcPr>
          <w:p>
            <w:pPr>
              <w:spacing w:after="0"/>
              <w:rPr>
                <w:sz w:val="1"/>
                <w:szCs w:val="1"/>
                <w:color w:val="auto"/>
              </w:rPr>
            </w:pPr>
          </w:p>
        </w:tc>
      </w:tr>
      <w:tr>
        <w:trPr>
          <w:trHeight w:val="170"/>
        </w:trPr>
        <w:tc>
          <w:tcPr>
            <w:tcW w:w="276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Long-term investments</w:t>
            </w:r>
          </w:p>
        </w:tc>
        <w:tc>
          <w:tcPr>
            <w:tcW w:w="5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Corporate bonds</w:t>
            </w:r>
          </w:p>
        </w:tc>
        <w:tc>
          <w:tcPr>
            <w:tcW w:w="72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22,797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920" w:type="dxa"/>
            <w:vAlign w:val="bottom"/>
            <w:gridSpan w:val="2"/>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9"/>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23,100</w:t>
            </w:r>
          </w:p>
        </w:tc>
        <w:tc>
          <w:tcPr>
            <w:tcW w:w="0" w:type="dxa"/>
            <w:vAlign w:val="bottom"/>
          </w:tcPr>
          <w:p>
            <w:pPr>
              <w:spacing w:after="0"/>
              <w:rPr>
                <w:sz w:val="1"/>
                <w:szCs w:val="1"/>
                <w:color w:val="auto"/>
              </w:rPr>
            </w:pPr>
          </w:p>
        </w:tc>
      </w:tr>
      <w:tr>
        <w:trPr>
          <w:trHeight w:val="189"/>
        </w:trPr>
        <w:tc>
          <w:tcPr>
            <w:tcW w:w="2760" w:type="dxa"/>
            <w:vAlign w:val="bottom"/>
          </w:tcPr>
          <w:p>
            <w:pPr>
              <w:ind w:left="60"/>
              <w:spacing w:after="0"/>
              <w:rPr>
                <w:sz w:val="20"/>
                <w:szCs w:val="20"/>
                <w:color w:val="auto"/>
              </w:rPr>
            </w:pPr>
            <w:r>
              <w:rPr>
                <w:rFonts w:ascii="Arial" w:cs="Arial" w:eastAsia="Arial" w:hAnsi="Arial"/>
                <w:sz w:val="16"/>
                <w:szCs w:val="16"/>
                <w:color w:val="auto"/>
              </w:rPr>
              <w:t>U.S. Government obligations</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21,174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ind w:left="2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21,384</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Agency bond</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2,458</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2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2,469</w:t>
            </w:r>
          </w:p>
        </w:tc>
        <w:tc>
          <w:tcPr>
            <w:tcW w:w="0" w:type="dxa"/>
            <w:vAlign w:val="bottom"/>
          </w:tcPr>
          <w:p>
            <w:pPr>
              <w:spacing w:after="0"/>
              <w:rPr>
                <w:sz w:val="1"/>
                <w:szCs w:val="1"/>
                <w:color w:val="auto"/>
              </w:rPr>
            </w:pPr>
          </w:p>
        </w:tc>
      </w:tr>
      <w:tr>
        <w:trPr>
          <w:trHeight w:val="189"/>
        </w:trPr>
        <w:tc>
          <w:tcPr>
            <w:tcW w:w="2760" w:type="dxa"/>
            <w:vAlign w:val="bottom"/>
          </w:tcPr>
          <w:p>
            <w:pPr>
              <w:ind w:left="60"/>
              <w:spacing w:after="0"/>
              <w:rPr>
                <w:sz w:val="20"/>
                <w:szCs w:val="20"/>
                <w:color w:val="auto"/>
              </w:rPr>
            </w:pPr>
            <w:r>
              <w:rPr>
                <w:rFonts w:ascii="Arial" w:cs="Arial" w:eastAsia="Arial" w:hAnsi="Arial"/>
                <w:sz w:val="16"/>
                <w:szCs w:val="16"/>
                <w:color w:val="auto"/>
              </w:rPr>
              <w:t>Asset-backed securities</w:t>
            </w:r>
          </w:p>
        </w:tc>
        <w:tc>
          <w:tcPr>
            <w:tcW w:w="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3,163</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long-term investments</w:t>
            </w: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49,592</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80</w:t>
            </w:r>
          </w:p>
        </w:tc>
        <w:tc>
          <w:tcPr>
            <w:tcW w:w="2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(92)</w:t>
            </w:r>
          </w:p>
        </w:tc>
        <w:tc>
          <w:tcPr>
            <w:tcW w:w="920" w:type="dxa"/>
            <w:vAlign w:val="bottom"/>
            <w:gridSpan w:val="2"/>
            <w:shd w:val="clear" w:color="auto" w:fill="CFF0FC"/>
          </w:tcPr>
          <w:p>
            <w:pPr>
              <w:jc w:val="right"/>
              <w:ind w:right="639"/>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ind w:left="240"/>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545</w:t>
            </w:r>
          </w:p>
        </w:tc>
        <w:tc>
          <w:tcPr>
            <w:tcW w:w="340" w:type="dxa"/>
            <w:vAlign w:val="bottom"/>
            <w:gridSpan w:val="2"/>
            <w:shd w:val="clear" w:color="auto" w:fill="CFF0FC"/>
          </w:tcPr>
          <w:p>
            <w:pPr>
              <w:ind w:left="100"/>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50,125</w:t>
            </w: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-779145</wp:posOffset>
            </wp:positionV>
            <wp:extent cx="946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-762000</wp:posOffset>
            </wp:positionV>
            <wp:extent cx="946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-779145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-779145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-779145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-779145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-24765</wp:posOffset>
            </wp:positionV>
            <wp:extent cx="946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wp:posOffset>
            </wp:positionV>
            <wp:extent cx="946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following table summarizes the fair value of the Company's available-for-sale debt securities by remaining contractual maturity as of September 30, 2025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September 30, 2025</w:t>
            </w:r>
          </w:p>
        </w:tc>
      </w:tr>
      <w:tr>
        <w:trPr>
          <w:trHeight w:val="183"/>
        </w:trPr>
        <w:tc>
          <w:tcPr>
            <w:tcW w:w="6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Due within one year</w:t>
            </w:r>
          </w:p>
        </w:tc>
        <w:tc>
          <w:tcPr>
            <w:tcW w:w="35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22,430</w:t>
            </w:r>
          </w:p>
        </w:tc>
      </w:tr>
      <w:tr>
        <w:trPr>
          <w:trHeight w:val="189"/>
        </w:trPr>
        <w:tc>
          <w:tcPr>
            <w:tcW w:w="60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Due after one year through five years</w:t>
            </w:r>
          </w:p>
        </w:tc>
        <w:tc>
          <w:tcPr>
            <w:tcW w:w="34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4,394</w:t>
            </w:r>
          </w:p>
        </w:tc>
      </w:tr>
      <w:tr>
        <w:trPr>
          <w:trHeight w:val="223"/>
        </w:trPr>
        <w:tc>
          <w:tcPr>
            <w:tcW w:w="60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investments</w:t>
            </w:r>
          </w:p>
        </w:tc>
        <w:tc>
          <w:tcPr>
            <w:tcW w:w="3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26,824</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jc w:val="both"/>
        <w:ind w:right="300" w:firstLine="509"/>
        <w:spacing w:after="0" w:line="253" w:lineRule="auto"/>
        <w:rPr>
          <w:sz w:val="20"/>
          <w:szCs w:val="20"/>
          <w:color w:val="auto"/>
        </w:rPr>
      </w:pPr>
      <w:r>
        <w:rPr>
          <w:rFonts w:ascii="Arial" w:cs="Arial" w:eastAsia="Arial" w:hAnsi="Arial"/>
          <w:sz w:val="18"/>
          <w:szCs w:val="18"/>
          <w:color w:val="auto"/>
        </w:rPr>
        <w:t>As of September 30, 2025, one out of approximately 16 investments in available-for-sale debt securities were in an unrealized loss position. The following table shows fair values and gross unrealized losses for available-for-sale debt securities that were in an unrealized loss position, for which an allowance for credit losses has not been recorded, as of September 30, 2025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September 30, 2025</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83"/>
        </w:trPr>
        <w:tc>
          <w:tcPr>
            <w:tcW w:w="3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219"/>
              <w:spacing w:after="0" w:line="183" w:lineRule="exact"/>
              <w:rPr>
                <w:sz w:val="20"/>
                <w:szCs w:val="20"/>
                <w:color w:val="auto"/>
              </w:rPr>
            </w:pPr>
            <w:r>
              <w:rPr>
                <w:rFonts w:ascii="Arial" w:cs="Arial" w:eastAsia="Arial" w:hAnsi="Arial"/>
                <w:sz w:val="16"/>
                <w:szCs w:val="16"/>
                <w:b w:val="1"/>
                <w:bCs w:val="1"/>
                <w:color w:val="auto"/>
              </w:rPr>
              <w:t>Less than 12 Months</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Borders>
              <w:bottom w:val="single" w:sz="8" w:color="auto"/>
            </w:tcBorders>
            <w:gridSpan w:val="4"/>
          </w:tcPr>
          <w:p>
            <w:pPr>
              <w:jc w:val="right"/>
              <w:ind w:right="199"/>
              <w:spacing w:after="0" w:line="183" w:lineRule="exact"/>
              <w:rPr>
                <w:sz w:val="20"/>
                <w:szCs w:val="20"/>
                <w:color w:val="auto"/>
              </w:rPr>
            </w:pPr>
            <w:r>
              <w:rPr>
                <w:rFonts w:ascii="Arial" w:cs="Arial" w:eastAsia="Arial" w:hAnsi="Arial"/>
                <w:sz w:val="16"/>
                <w:szCs w:val="16"/>
                <w:b w:val="1"/>
                <w:bCs w:val="1"/>
                <w:color w:val="auto"/>
              </w:rPr>
              <w:t>12 Months or Longer</w:t>
            </w: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20"/>
              <w:spacing w:after="0" w:line="183" w:lineRule="exact"/>
              <w:rPr>
                <w:sz w:val="20"/>
                <w:szCs w:val="20"/>
                <w:color w:val="auto"/>
              </w:rPr>
            </w:pPr>
            <w:r>
              <w:rPr>
                <w:rFonts w:ascii="Arial" w:cs="Arial" w:eastAsia="Arial" w:hAnsi="Arial"/>
                <w:sz w:val="16"/>
                <w:szCs w:val="16"/>
                <w:b w:val="1"/>
                <w:bCs w:val="1"/>
                <w:color w:val="auto"/>
              </w:rPr>
              <w:t>Total</w:t>
            </w:r>
          </w:p>
        </w:tc>
        <w:tc>
          <w:tcPr>
            <w:tcW w:w="1080" w:type="dxa"/>
            <w:vAlign w:val="bottom"/>
            <w:tcBorders>
              <w:bottom w:val="single" w:sz="8" w:color="auto"/>
            </w:tcBorders>
          </w:tcPr>
          <w:p>
            <w:pPr>
              <w:spacing w:after="0"/>
              <w:rPr>
                <w:sz w:val="15"/>
                <w:szCs w:val="15"/>
                <w:color w:val="auto"/>
              </w:rPr>
            </w:pPr>
          </w:p>
        </w:tc>
      </w:tr>
      <w:tr>
        <w:trPr>
          <w:trHeight w:val="168"/>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left="79"/>
              <w:spacing w:after="0" w:line="168" w:lineRule="exact"/>
              <w:rPr>
                <w:sz w:val="20"/>
                <w:szCs w:val="20"/>
                <w:color w:val="auto"/>
              </w:rPr>
            </w:pPr>
            <w:r>
              <w:rPr>
                <w:rFonts w:ascii="Arial" w:cs="Arial" w:eastAsia="Arial" w:hAnsi="Arial"/>
                <w:sz w:val="16"/>
                <w:szCs w:val="16"/>
                <w:b w:val="1"/>
                <w:bCs w:val="1"/>
                <w:color w:val="auto"/>
                <w:w w:val="99"/>
              </w:rPr>
              <w:t>Gross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left="59"/>
              <w:spacing w:after="0" w:line="168" w:lineRule="exact"/>
              <w:rPr>
                <w:sz w:val="20"/>
                <w:szCs w:val="20"/>
                <w:color w:val="auto"/>
              </w:rPr>
            </w:pPr>
            <w:r>
              <w:rPr>
                <w:rFonts w:ascii="Arial" w:cs="Arial" w:eastAsia="Arial" w:hAnsi="Arial"/>
                <w:sz w:val="16"/>
                <w:szCs w:val="16"/>
                <w:b w:val="1"/>
                <w:bCs w:val="1"/>
                <w:color w:val="auto"/>
              </w:rPr>
              <w:t>Gross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119"/>
              <w:spacing w:after="0" w:line="168" w:lineRule="exact"/>
              <w:rPr>
                <w:sz w:val="20"/>
                <w:szCs w:val="20"/>
                <w:color w:val="auto"/>
              </w:rPr>
            </w:pPr>
            <w:r>
              <w:rPr>
                <w:rFonts w:ascii="Arial" w:cs="Arial" w:eastAsia="Arial" w:hAnsi="Arial"/>
                <w:sz w:val="16"/>
                <w:szCs w:val="16"/>
                <w:b w:val="1"/>
                <w:bCs w:val="1"/>
                <w:color w:val="auto"/>
              </w:rPr>
              <w:t>Gross</w:t>
            </w:r>
          </w:p>
        </w:tc>
      </w:tr>
      <w:tr>
        <w:trPr>
          <w:trHeight w:val="189"/>
        </w:trPr>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6"/>
                <w:szCs w:val="16"/>
                <w:color w:val="auto"/>
              </w:rPr>
            </w:pPr>
          </w:p>
        </w:tc>
        <w:tc>
          <w:tcPr>
            <w:tcW w:w="1020" w:type="dxa"/>
            <w:vAlign w:val="bottom"/>
          </w:tcPr>
          <w:p>
            <w:pPr>
              <w:jc w:val="center"/>
              <w:ind w:left="79"/>
              <w:spacing w:after="0"/>
              <w:rPr>
                <w:sz w:val="20"/>
                <w:szCs w:val="20"/>
                <w:color w:val="auto"/>
              </w:rPr>
            </w:pPr>
            <w:r>
              <w:rPr>
                <w:rFonts w:ascii="Arial" w:cs="Arial" w:eastAsia="Arial" w:hAnsi="Arial"/>
                <w:sz w:val="16"/>
                <w:szCs w:val="16"/>
                <w:b w:val="1"/>
                <w:bCs w:val="1"/>
                <w:color w:val="auto"/>
              </w:rPr>
              <w:t>Unrealized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left="79"/>
              <w:spacing w:after="0"/>
              <w:rPr>
                <w:sz w:val="20"/>
                <w:szCs w:val="20"/>
                <w:color w:val="auto"/>
              </w:rPr>
            </w:pPr>
            <w:r>
              <w:rPr>
                <w:rFonts w:ascii="Arial" w:cs="Arial" w:eastAsia="Arial" w:hAnsi="Arial"/>
                <w:sz w:val="16"/>
                <w:szCs w:val="16"/>
                <w:b w:val="1"/>
                <w:bCs w:val="1"/>
                <w:color w:val="auto"/>
              </w:rPr>
              <w:t>Unrealized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39"/>
              <w:spacing w:after="0"/>
              <w:rPr>
                <w:sz w:val="20"/>
                <w:szCs w:val="20"/>
                <w:color w:val="auto"/>
              </w:rPr>
            </w:pPr>
            <w:r>
              <w:rPr>
                <w:rFonts w:ascii="Arial" w:cs="Arial" w:eastAsia="Arial" w:hAnsi="Arial"/>
                <w:sz w:val="16"/>
                <w:szCs w:val="16"/>
                <w:b w:val="1"/>
                <w:bCs w:val="1"/>
                <w:color w:val="auto"/>
              </w:rPr>
              <w:t>Unrealized</w:t>
            </w:r>
          </w:p>
        </w:tc>
      </w:tr>
      <w:tr>
        <w:trPr>
          <w:trHeight w:val="203"/>
        </w:trPr>
        <w:tc>
          <w:tcPr>
            <w:tcW w:w="3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Losses</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Losses</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Losses</w:t>
            </w:r>
          </w:p>
        </w:tc>
      </w:tr>
      <w:tr>
        <w:trPr>
          <w:trHeight w:val="183"/>
        </w:trPr>
        <w:tc>
          <w:tcPr>
            <w:tcW w:w="32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Short-term investments</w:t>
            </w: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89"/>
        </w:trPr>
        <w:tc>
          <w:tcPr>
            <w:tcW w:w="3260" w:type="dxa"/>
            <w:vAlign w:val="bottom"/>
          </w:tcPr>
          <w:p>
            <w:pPr>
              <w:ind w:left="60"/>
              <w:spacing w:after="0"/>
              <w:rPr>
                <w:sz w:val="20"/>
                <w:szCs w:val="20"/>
                <w:color w:val="auto"/>
              </w:rPr>
            </w:pPr>
            <w:r>
              <w:rPr>
                <w:rFonts w:ascii="Arial" w:cs="Arial" w:eastAsia="Arial" w:hAnsi="Arial"/>
                <w:sz w:val="16"/>
                <w:szCs w:val="16"/>
                <w:color w:val="auto"/>
              </w:rPr>
              <w:t>Corporate bonds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496</w:t>
            </w:r>
          </w:p>
        </w:tc>
        <w:tc>
          <w:tcPr>
            <w:tcW w:w="114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1340" w:type="dxa"/>
            <w:vAlign w:val="bottom"/>
            <w:gridSpan w:val="3"/>
          </w:tcPr>
          <w:p>
            <w:pPr>
              <w:ind w:left="4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12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w w:val="87"/>
              </w:rPr>
              <w:t>—</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496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ind w:left="900"/>
              <w:spacing w:after="0"/>
              <w:rPr>
                <w:sz w:val="20"/>
                <w:szCs w:val="20"/>
                <w:color w:val="auto"/>
              </w:rPr>
            </w:pPr>
            <w:r>
              <w:rPr>
                <w:rFonts w:ascii="Arial" w:cs="Arial" w:eastAsia="Arial" w:hAnsi="Arial"/>
                <w:sz w:val="16"/>
                <w:szCs w:val="16"/>
                <w:color w:val="auto"/>
                <w:w w:val="99"/>
              </w:rPr>
              <w:t>—</w:t>
            </w:r>
          </w:p>
        </w:tc>
      </w:tr>
      <w:tr>
        <w:trPr>
          <w:trHeight w:val="189"/>
        </w:trPr>
        <w:tc>
          <w:tcPr>
            <w:tcW w:w="3260" w:type="dxa"/>
            <w:vAlign w:val="bottom"/>
            <w:shd w:val="clear" w:color="auto" w:fill="CFF0FC"/>
          </w:tcPr>
          <w:p>
            <w:pPr>
              <w:ind w:left="60"/>
              <w:spacing w:after="0"/>
              <w:rPr>
                <w:sz w:val="20"/>
                <w:szCs w:val="20"/>
                <w:color w:val="auto"/>
              </w:rPr>
            </w:pPr>
            <w:r>
              <w:rPr>
                <w:rFonts w:ascii="Arial" w:cs="Arial" w:eastAsia="Arial" w:hAnsi="Arial"/>
                <w:sz w:val="16"/>
                <w:szCs w:val="16"/>
                <w:color w:val="auto"/>
              </w:rPr>
              <w:t>U.S. Government obligations</w:t>
            </w: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ind w:left="900"/>
              <w:spacing w:after="0"/>
              <w:rPr>
                <w:sz w:val="20"/>
                <w:szCs w:val="20"/>
                <w:color w:val="auto"/>
              </w:rPr>
            </w:pPr>
            <w:r>
              <w:rPr>
                <w:rFonts w:ascii="Arial" w:cs="Arial" w:eastAsia="Arial" w:hAnsi="Arial"/>
                <w:sz w:val="16"/>
                <w:szCs w:val="16"/>
                <w:color w:val="auto"/>
                <w:w w:val="99"/>
              </w:rPr>
              <w:t>—</w:t>
            </w:r>
          </w:p>
        </w:tc>
      </w:tr>
      <w:tr>
        <w:trPr>
          <w:trHeight w:val="189"/>
        </w:trPr>
        <w:tc>
          <w:tcPr>
            <w:tcW w:w="3260" w:type="dxa"/>
            <w:vAlign w:val="bottom"/>
          </w:tcPr>
          <w:p>
            <w:pPr>
              <w:ind w:left="60"/>
              <w:spacing w:after="0"/>
              <w:rPr>
                <w:sz w:val="20"/>
                <w:szCs w:val="20"/>
                <w:color w:val="auto"/>
              </w:rPr>
            </w:pPr>
            <w:r>
              <w:rPr>
                <w:rFonts w:ascii="Arial" w:cs="Arial" w:eastAsia="Arial" w:hAnsi="Arial"/>
                <w:sz w:val="16"/>
                <w:szCs w:val="16"/>
                <w:color w:val="auto"/>
              </w:rPr>
              <w:t>Treasury bill</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900"/>
              <w:spacing w:after="0"/>
              <w:rPr>
                <w:sz w:val="20"/>
                <w:szCs w:val="20"/>
                <w:color w:val="auto"/>
              </w:rPr>
            </w:pPr>
            <w:r>
              <w:rPr>
                <w:rFonts w:ascii="Arial" w:cs="Arial" w:eastAsia="Arial" w:hAnsi="Arial"/>
                <w:sz w:val="16"/>
                <w:szCs w:val="16"/>
                <w:color w:val="auto"/>
                <w:w w:val="99"/>
              </w:rPr>
              <w:t>—</w:t>
            </w:r>
          </w:p>
        </w:tc>
      </w:tr>
      <w:tr>
        <w:trPr>
          <w:trHeight w:val="189"/>
        </w:trPr>
        <w:tc>
          <w:tcPr>
            <w:tcW w:w="3260" w:type="dxa"/>
            <w:vAlign w:val="bottom"/>
            <w:shd w:val="clear" w:color="auto" w:fill="CFF0FC"/>
          </w:tcPr>
          <w:p>
            <w:pPr>
              <w:ind w:left="60"/>
              <w:spacing w:after="0"/>
              <w:rPr>
                <w:sz w:val="20"/>
                <w:szCs w:val="20"/>
                <w:color w:val="auto"/>
              </w:rPr>
            </w:pPr>
            <w:r>
              <w:rPr>
                <w:rFonts w:ascii="Arial" w:cs="Arial" w:eastAsia="Arial" w:hAnsi="Arial"/>
                <w:sz w:val="16"/>
                <w:szCs w:val="16"/>
                <w:color w:val="auto"/>
              </w:rPr>
              <w:t>Foreign agency securities</w:t>
            </w: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ind w:left="900"/>
              <w:spacing w:after="0"/>
              <w:rPr>
                <w:sz w:val="20"/>
                <w:szCs w:val="20"/>
                <w:color w:val="auto"/>
              </w:rPr>
            </w:pPr>
            <w:r>
              <w:rPr>
                <w:rFonts w:ascii="Arial" w:cs="Arial" w:eastAsia="Arial" w:hAnsi="Arial"/>
                <w:sz w:val="16"/>
                <w:szCs w:val="16"/>
                <w:color w:val="auto"/>
                <w:w w:val="99"/>
              </w:rPr>
              <w:t>—</w:t>
            </w:r>
          </w:p>
        </w:tc>
      </w:tr>
      <w:tr>
        <w:trPr>
          <w:trHeight w:val="189"/>
        </w:trPr>
        <w:tc>
          <w:tcPr>
            <w:tcW w:w="3260" w:type="dxa"/>
            <w:vAlign w:val="bottom"/>
          </w:tcPr>
          <w:p>
            <w:pPr>
              <w:ind w:left="6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900"/>
              <w:spacing w:after="0"/>
              <w:rPr>
                <w:sz w:val="20"/>
                <w:szCs w:val="20"/>
                <w:color w:val="auto"/>
              </w:rPr>
            </w:pPr>
            <w:r>
              <w:rPr>
                <w:rFonts w:ascii="Arial" w:cs="Arial" w:eastAsia="Arial" w:hAnsi="Arial"/>
                <w:sz w:val="16"/>
                <w:szCs w:val="16"/>
                <w:color w:val="auto"/>
                <w:w w:val="99"/>
              </w:rPr>
              <w:t>—</w:t>
            </w:r>
          </w:p>
        </w:tc>
      </w:tr>
      <w:tr>
        <w:trPr>
          <w:trHeight w:val="189"/>
        </w:trPr>
        <w:tc>
          <w:tcPr>
            <w:tcW w:w="32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Asset-backed securities</w:t>
            </w:r>
          </w:p>
        </w:tc>
        <w:tc>
          <w:tcPr>
            <w:tcW w:w="1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6"/>
                <w:szCs w:val="16"/>
                <w:color w:val="auto"/>
                <w:w w:val="99"/>
              </w:rPr>
              <w:t>—</w:t>
            </w:r>
          </w:p>
        </w:tc>
      </w:tr>
      <w:tr>
        <w:trPr>
          <w:trHeight w:val="183"/>
        </w:trPr>
        <w:tc>
          <w:tcPr>
            <w:tcW w:w="3260" w:type="dxa"/>
            <w:vAlign w:val="bottom"/>
          </w:tcPr>
          <w:p>
            <w:pPr>
              <w:spacing w:after="0" w:line="183" w:lineRule="exact"/>
              <w:rPr>
                <w:sz w:val="20"/>
                <w:szCs w:val="20"/>
                <w:color w:val="auto"/>
              </w:rPr>
            </w:pPr>
            <w:r>
              <w:rPr>
                <w:rFonts w:ascii="Arial" w:cs="Arial" w:eastAsia="Arial" w:hAnsi="Arial"/>
                <w:sz w:val="16"/>
                <w:szCs w:val="16"/>
                <w:b w:val="1"/>
                <w:bCs w:val="1"/>
                <w:color w:val="auto"/>
              </w:rPr>
              <w:t>Total short-term investments</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496</w:t>
            </w:r>
          </w:p>
        </w:tc>
        <w:tc>
          <w:tcPr>
            <w:tcW w:w="1140" w:type="dxa"/>
            <w:vAlign w:val="bottom"/>
            <w:gridSpan w:val="2"/>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ind w:left="40"/>
              <w:spacing w:after="0" w:line="183" w:lineRule="exact"/>
              <w:rPr>
                <w:sz w:val="20"/>
                <w:szCs w:val="20"/>
                <w:color w:val="auto"/>
              </w:rPr>
            </w:pPr>
            <w:r>
              <w:rPr>
                <w:rFonts w:ascii="Arial" w:cs="Arial" w:eastAsia="Arial" w:hAnsi="Arial"/>
                <w:sz w:val="16"/>
                <w:szCs w:val="16"/>
                <w:color w:val="auto"/>
                <w:w w:val="99"/>
              </w:rPr>
              <w:t>—</w:t>
            </w:r>
          </w:p>
        </w:tc>
        <w:tc>
          <w:tcPr>
            <w:tcW w:w="1120" w:type="dxa"/>
            <w:vAlign w:val="bottom"/>
            <w:gridSpan w:val="2"/>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ind w:left="40"/>
              <w:spacing w:after="0" w:line="183" w:lineRule="exact"/>
              <w:rPr>
                <w:sz w:val="20"/>
                <w:szCs w:val="20"/>
                <w:color w:val="auto"/>
              </w:rPr>
            </w:pPr>
            <w:r>
              <w:rPr>
                <w:rFonts w:ascii="Arial" w:cs="Arial" w:eastAsia="Arial" w:hAnsi="Arial"/>
                <w:sz w:val="16"/>
                <w:szCs w:val="16"/>
                <w:color w:val="auto"/>
                <w:w w:val="99"/>
              </w:rPr>
              <w:t>—</w:t>
            </w:r>
          </w:p>
        </w:tc>
        <w:tc>
          <w:tcPr>
            <w:tcW w:w="1120" w:type="dxa"/>
            <w:vAlign w:val="bottom"/>
            <w:gridSpan w:val="2"/>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ind w:left="40"/>
              <w:spacing w:after="0" w:line="183" w:lineRule="exact"/>
              <w:rPr>
                <w:sz w:val="20"/>
                <w:szCs w:val="20"/>
                <w:color w:val="auto"/>
              </w:rPr>
            </w:pPr>
            <w:r>
              <w:rPr>
                <w:rFonts w:ascii="Arial" w:cs="Arial" w:eastAsia="Arial" w:hAnsi="Arial"/>
                <w:sz w:val="16"/>
                <w:szCs w:val="16"/>
                <w:color w:val="auto"/>
                <w:w w:val="87"/>
              </w:rPr>
              <w:t>—</w:t>
            </w:r>
          </w:p>
        </w:tc>
        <w:tc>
          <w:tcPr>
            <w:tcW w:w="28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496</w:t>
            </w:r>
          </w:p>
        </w:tc>
        <w:tc>
          <w:tcPr>
            <w:tcW w:w="2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080" w:type="dxa"/>
            <w:vAlign w:val="bottom"/>
          </w:tcPr>
          <w:p>
            <w:pPr>
              <w:ind w:left="900"/>
              <w:spacing w:after="0" w:line="183" w:lineRule="exact"/>
              <w:rPr>
                <w:sz w:val="20"/>
                <w:szCs w:val="20"/>
                <w:color w:val="auto"/>
              </w:rPr>
            </w:pPr>
            <w:r>
              <w:rPr>
                <w:rFonts w:ascii="Arial" w:cs="Arial" w:eastAsia="Arial" w:hAnsi="Arial"/>
                <w:sz w:val="16"/>
                <w:szCs w:val="16"/>
                <w:color w:val="auto"/>
                <w:w w:val="99"/>
              </w:rPr>
              <w:t>—</w:t>
            </w:r>
          </w:p>
        </w:tc>
      </w:tr>
      <w:tr>
        <w:trPr>
          <w:trHeight w:val="20"/>
        </w:trPr>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326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Long-term investments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189"/>
        </w:trPr>
        <w:tc>
          <w:tcPr>
            <w:tcW w:w="3260" w:type="dxa"/>
            <w:vAlign w:val="bottom"/>
          </w:tcPr>
          <w:p>
            <w:pPr>
              <w:ind w:left="60"/>
              <w:spacing w:after="0"/>
              <w:rPr>
                <w:sz w:val="20"/>
                <w:szCs w:val="20"/>
                <w:color w:val="auto"/>
              </w:rPr>
            </w:pPr>
            <w:r>
              <w:rPr>
                <w:rFonts w:ascii="Arial" w:cs="Arial" w:eastAsia="Arial" w:hAnsi="Arial"/>
                <w:sz w:val="16"/>
                <w:szCs w:val="16"/>
                <w:color w:val="auto"/>
              </w:rPr>
              <w:t>Corporate bonds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120" w:type="dxa"/>
            <w:vAlign w:val="bottom"/>
            <w:gridSpan w:val="2"/>
          </w:tcPr>
          <w:p>
            <w:pPr>
              <w:jc w:val="right"/>
              <w:ind w:right="839"/>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12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w w:val="87"/>
              </w:rPr>
              <w:t>—</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ind w:left="900"/>
              <w:spacing w:after="0"/>
              <w:rPr>
                <w:sz w:val="20"/>
                <w:szCs w:val="20"/>
                <w:color w:val="auto"/>
              </w:rPr>
            </w:pPr>
            <w:r>
              <w:rPr>
                <w:rFonts w:ascii="Arial" w:cs="Arial" w:eastAsia="Arial" w:hAnsi="Arial"/>
                <w:sz w:val="16"/>
                <w:szCs w:val="16"/>
                <w:color w:val="auto"/>
                <w:w w:val="99"/>
              </w:rPr>
              <w:t>—</w:t>
            </w:r>
          </w:p>
        </w:tc>
      </w:tr>
      <w:tr>
        <w:trPr>
          <w:trHeight w:val="189"/>
        </w:trPr>
        <w:tc>
          <w:tcPr>
            <w:tcW w:w="3260" w:type="dxa"/>
            <w:vAlign w:val="bottom"/>
            <w:shd w:val="clear" w:color="auto" w:fill="CFF0FC"/>
          </w:tcPr>
          <w:p>
            <w:pPr>
              <w:ind w:left="60"/>
              <w:spacing w:after="0"/>
              <w:rPr>
                <w:sz w:val="20"/>
                <w:szCs w:val="20"/>
                <w:color w:val="auto"/>
              </w:rPr>
            </w:pPr>
            <w:r>
              <w:rPr>
                <w:rFonts w:ascii="Arial" w:cs="Arial" w:eastAsia="Arial" w:hAnsi="Arial"/>
                <w:sz w:val="16"/>
                <w:szCs w:val="16"/>
                <w:color w:val="auto"/>
              </w:rPr>
              <w:t>U.S. Government obligations</w:t>
            </w: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ind w:left="900"/>
              <w:spacing w:after="0"/>
              <w:rPr>
                <w:sz w:val="20"/>
                <w:szCs w:val="20"/>
                <w:color w:val="auto"/>
              </w:rPr>
            </w:pPr>
            <w:r>
              <w:rPr>
                <w:rFonts w:ascii="Arial" w:cs="Arial" w:eastAsia="Arial" w:hAnsi="Arial"/>
                <w:sz w:val="16"/>
                <w:szCs w:val="16"/>
                <w:color w:val="auto"/>
                <w:w w:val="99"/>
              </w:rPr>
              <w:t>—</w:t>
            </w:r>
          </w:p>
        </w:tc>
      </w:tr>
      <w:tr>
        <w:trPr>
          <w:trHeight w:val="189"/>
        </w:trPr>
        <w:tc>
          <w:tcPr>
            <w:tcW w:w="3260" w:type="dxa"/>
            <w:vAlign w:val="bottom"/>
          </w:tcPr>
          <w:p>
            <w:pPr>
              <w:ind w:left="60"/>
              <w:spacing w:after="0"/>
              <w:rPr>
                <w:sz w:val="20"/>
                <w:szCs w:val="20"/>
                <w:color w:val="auto"/>
              </w:rPr>
            </w:pPr>
            <w:r>
              <w:rPr>
                <w:rFonts w:ascii="Arial" w:cs="Arial" w:eastAsia="Arial" w:hAnsi="Arial"/>
                <w:sz w:val="16"/>
                <w:szCs w:val="16"/>
                <w:color w:val="auto"/>
              </w:rPr>
              <w:t>Agency bond</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900"/>
              <w:spacing w:after="0"/>
              <w:rPr>
                <w:sz w:val="20"/>
                <w:szCs w:val="20"/>
                <w:color w:val="auto"/>
              </w:rPr>
            </w:pPr>
            <w:r>
              <w:rPr>
                <w:rFonts w:ascii="Arial" w:cs="Arial" w:eastAsia="Arial" w:hAnsi="Arial"/>
                <w:sz w:val="16"/>
                <w:szCs w:val="16"/>
                <w:color w:val="auto"/>
                <w:w w:val="99"/>
              </w:rPr>
              <w:t>—</w:t>
            </w:r>
          </w:p>
        </w:tc>
      </w:tr>
      <w:tr>
        <w:trPr>
          <w:trHeight w:val="189"/>
        </w:trPr>
        <w:tc>
          <w:tcPr>
            <w:tcW w:w="32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Asset-backed securities</w:t>
            </w:r>
          </w:p>
        </w:tc>
        <w:tc>
          <w:tcPr>
            <w:tcW w:w="1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6"/>
                <w:szCs w:val="16"/>
                <w:color w:val="auto"/>
                <w:w w:val="99"/>
              </w:rPr>
              <w:t>—</w:t>
            </w:r>
          </w:p>
        </w:tc>
      </w:tr>
      <w:tr>
        <w:trPr>
          <w:trHeight w:val="183"/>
        </w:trPr>
        <w:tc>
          <w:tcPr>
            <w:tcW w:w="3260" w:type="dxa"/>
            <w:vAlign w:val="bottom"/>
          </w:tcPr>
          <w:p>
            <w:pPr>
              <w:spacing w:after="0" w:line="183" w:lineRule="exact"/>
              <w:rPr>
                <w:sz w:val="20"/>
                <w:szCs w:val="20"/>
                <w:color w:val="auto"/>
              </w:rPr>
            </w:pPr>
            <w:r>
              <w:rPr>
                <w:rFonts w:ascii="Arial" w:cs="Arial" w:eastAsia="Arial" w:hAnsi="Arial"/>
                <w:sz w:val="16"/>
                <w:szCs w:val="16"/>
                <w:b w:val="1"/>
                <w:bCs w:val="1"/>
                <w:color w:val="auto"/>
              </w:rPr>
              <w:t>Total long-term investments</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2260" w:type="dxa"/>
            <w:vAlign w:val="bottom"/>
            <w:gridSpan w:val="3"/>
          </w:tcPr>
          <w:p>
            <w:pPr>
              <w:jc w:val="right"/>
              <w:ind w:right="859"/>
              <w:spacing w:after="0" w:line="183" w:lineRule="exact"/>
              <w:rPr>
                <w:sz w:val="20"/>
                <w:szCs w:val="20"/>
                <w:color w:val="auto"/>
              </w:rPr>
            </w:pPr>
            <w:r>
              <w:rPr>
                <w:rFonts w:ascii="Arial" w:cs="Arial" w:eastAsia="Arial" w:hAnsi="Arial"/>
                <w:sz w:val="16"/>
                <w:szCs w:val="16"/>
                <w:color w:val="auto"/>
              </w:rPr>
              <w:t>—  $</w:t>
            </w:r>
          </w:p>
        </w:tc>
        <w:tc>
          <w:tcPr>
            <w:tcW w:w="1340" w:type="dxa"/>
            <w:vAlign w:val="bottom"/>
            <w:gridSpan w:val="3"/>
          </w:tcPr>
          <w:p>
            <w:pPr>
              <w:ind w:left="40"/>
              <w:spacing w:after="0" w:line="183" w:lineRule="exact"/>
              <w:rPr>
                <w:sz w:val="20"/>
                <w:szCs w:val="20"/>
                <w:color w:val="auto"/>
              </w:rPr>
            </w:pPr>
            <w:r>
              <w:rPr>
                <w:rFonts w:ascii="Arial" w:cs="Arial" w:eastAsia="Arial" w:hAnsi="Arial"/>
                <w:sz w:val="16"/>
                <w:szCs w:val="16"/>
                <w:color w:val="auto"/>
              </w:rPr>
              <w:t>—  $</w:t>
            </w:r>
          </w:p>
        </w:tc>
        <w:tc>
          <w:tcPr>
            <w:tcW w:w="1340" w:type="dxa"/>
            <w:vAlign w:val="bottom"/>
            <w:gridSpan w:val="3"/>
          </w:tcPr>
          <w:p>
            <w:pPr>
              <w:ind w:left="40"/>
              <w:spacing w:after="0" w:line="183" w:lineRule="exact"/>
              <w:rPr>
                <w:sz w:val="20"/>
                <w:szCs w:val="20"/>
                <w:color w:val="auto"/>
              </w:rPr>
            </w:pPr>
            <w:r>
              <w:rPr>
                <w:rFonts w:ascii="Arial" w:cs="Arial" w:eastAsia="Arial" w:hAnsi="Arial"/>
                <w:sz w:val="16"/>
                <w:szCs w:val="16"/>
                <w:color w:val="auto"/>
              </w:rPr>
              <w:t>—  $</w:t>
            </w:r>
          </w:p>
        </w:tc>
        <w:tc>
          <w:tcPr>
            <w:tcW w:w="480" w:type="dxa"/>
            <w:vAlign w:val="bottom"/>
            <w:gridSpan w:val="3"/>
          </w:tcPr>
          <w:p>
            <w:pPr>
              <w:ind w:left="40"/>
              <w:spacing w:after="0" w:line="183" w:lineRule="exact"/>
              <w:rPr>
                <w:sz w:val="20"/>
                <w:szCs w:val="20"/>
                <w:color w:val="auto"/>
              </w:rPr>
            </w:pPr>
            <w:r>
              <w:rPr>
                <w:rFonts w:ascii="Arial" w:cs="Arial" w:eastAsia="Arial" w:hAnsi="Arial"/>
                <w:sz w:val="16"/>
                <w:szCs w:val="16"/>
                <w:color w:val="auto"/>
              </w:rPr>
              <w:t>—  $</w:t>
            </w:r>
          </w:p>
        </w:tc>
        <w:tc>
          <w:tcPr>
            <w:tcW w:w="1320" w:type="dxa"/>
            <w:vAlign w:val="bottom"/>
            <w:gridSpan w:val="3"/>
          </w:tcPr>
          <w:p>
            <w:pPr>
              <w:jc w:val="right"/>
              <w:ind w:right="60"/>
              <w:spacing w:after="0" w:line="183" w:lineRule="exact"/>
              <w:rPr>
                <w:sz w:val="20"/>
                <w:szCs w:val="20"/>
                <w:color w:val="auto"/>
              </w:rPr>
            </w:pPr>
            <w:r>
              <w:rPr>
                <w:rFonts w:ascii="Arial" w:cs="Arial" w:eastAsia="Arial" w:hAnsi="Arial"/>
                <w:sz w:val="16"/>
                <w:szCs w:val="16"/>
                <w:color w:val="auto"/>
              </w:rPr>
              <w:t>—  $</w:t>
            </w:r>
          </w:p>
        </w:tc>
        <w:tc>
          <w:tcPr>
            <w:tcW w:w="1080" w:type="dxa"/>
            <w:vAlign w:val="bottom"/>
          </w:tcPr>
          <w:p>
            <w:pPr>
              <w:ind w:left="900"/>
              <w:spacing w:after="0" w:line="183" w:lineRule="exact"/>
              <w:rPr>
                <w:sz w:val="20"/>
                <w:szCs w:val="20"/>
                <w:color w:val="auto"/>
              </w:rPr>
            </w:pPr>
            <w:r>
              <w:rPr>
                <w:rFonts w:ascii="Arial" w:cs="Arial" w:eastAsia="Arial" w:hAnsi="Arial"/>
                <w:sz w:val="16"/>
                <w:szCs w:val="16"/>
                <w:color w:val="auto"/>
                <w:w w:val="99"/>
              </w:rPr>
              <w:t>—</w:t>
            </w:r>
          </w:p>
        </w:tc>
      </w:tr>
      <w:tr>
        <w:trPr>
          <w:trHeight w:val="20"/>
        </w:trPr>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-908050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-908050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-908050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-908050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-908050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-153670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-153670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-153670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-153670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-153670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153"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Unrealized losses have not been recognized into income (loss) as the Company neither intends to sell, nor anticipates that it is more likely than not that the Company will be required to sell, the securities before recovery of their amortized cost basis. The decline in fair value is due primarily to changes in market interest rates, rather than credit losses. Based on the evaluation of available evidence, the Company does not believe any unrealized losses represent impairments.</w:t>
      </w:r>
    </w:p>
    <w:p>
      <w:pPr>
        <w:spacing w:after="0" w:line="133" w:lineRule="exact"/>
        <w:rPr>
          <w:sz w:val="20"/>
          <w:szCs w:val="20"/>
          <w:color w:val="auto"/>
        </w:rPr>
      </w:pPr>
    </w:p>
    <w:p>
      <w:pPr>
        <w:ind w:right="280" w:firstLine="509"/>
        <w:spacing w:after="0"/>
        <w:rPr>
          <w:sz w:val="20"/>
          <w:szCs w:val="20"/>
          <w:color w:val="auto"/>
        </w:rPr>
      </w:pPr>
      <w:r>
        <w:rPr>
          <w:rFonts w:ascii="Arial" w:cs="Arial" w:eastAsia="Arial" w:hAnsi="Arial"/>
          <w:sz w:val="18"/>
          <w:szCs w:val="18"/>
          <w:color w:val="auto"/>
        </w:rPr>
        <w:t>For the three months ended September 30, 2025, the Company received proceeds of $12.4 million from the sale of short-term investments primarily due to scheduled maturities of these investments. For the nine months ended September 30, 2025, the Company received proceeds of $154.7 million from the maturity and sale of short-term and long-term investments that was primarily used to partially pay down the outstanding debt under the Company's revolving credit facility used for the Sertifi acquisition. Realized gains on the sale of available-for-sale debt securities during the three and nine months ended September 30, 2025 were $0.0 million and $0.2 million, respectively. There were no realized losses on the sale of available-for-sale debt securities during the three and nine months ended September 30, 2025.</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Fair Value Measurements</w:t>
      </w:r>
    </w:p>
    <w:p>
      <w:pPr>
        <w:spacing w:after="0" w:line="185"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2"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6" w:name="page17"/>
    <w:bookmarkEnd w:id="16"/>
    <w:p>
      <w:pPr>
        <w:ind w:right="120" w:firstLine="509"/>
        <w:spacing w:after="0" w:line="239" w:lineRule="auto"/>
        <w:rPr>
          <w:sz w:val="20"/>
          <w:szCs w:val="20"/>
          <w:color w:val="auto"/>
        </w:rPr>
      </w:pPr>
      <w:r>
        <w:rPr>
          <w:rFonts w:ascii="Arial" w:cs="Arial" w:eastAsia="Arial" w:hAnsi="Arial"/>
          <w:sz w:val="18"/>
          <w:szCs w:val="18"/>
          <w:color w:val="auto"/>
        </w:rPr>
        <w:t>The Company’s cash equivalents are carried at fair value (Level 1) as determined according to the fair value hierarchy described above. The money market funds, which are AAA-rated are comprised of liquid, high-quality debt securities issued by the U.S. government. Shares in money market funds are purchased and redeemed at the net asset value (NAV) at the time of the purchase or sale, which may be purchased or redeemed on demand, as may be required by the Company which represents fair value. The Company's investments in available-for-sale debt securities and the foreign exchange contracts are carried at fair value, determined using Level 2 inputs in the fair value hierarchy as quoted prices are available to support the valuation. The carrying values of accounts receivable, funds receivable from payment partners, unbilled receivables, prepaid expenses, accounts payable, funds payable to clients, and accrued expenses and other current liabilities approximate their respective fair values due to the short-term nature of these assets and liabilities. The Company’s contingent consideration is carried at fair value, determined using Level 3 inputs in the fair value hierarchy.</w:t>
      </w:r>
    </w:p>
    <w:p>
      <w:pPr>
        <w:spacing w:after="0" w:line="156"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as of September 30, 2025 and December 31, 2024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6"/>
                <w:szCs w:val="16"/>
                <w:b w:val="1"/>
                <w:bCs w:val="1"/>
                <w:color w:val="auto"/>
              </w:rPr>
              <w:t>Measured at Fair Value as of September 30, 2025</w:t>
            </w:r>
          </w:p>
        </w:tc>
        <w:tc>
          <w:tcPr>
            <w:tcW w:w="1200" w:type="dxa"/>
            <w:vAlign w:val="bottom"/>
            <w:tcBorders>
              <w:bottom w:val="single" w:sz="8" w:color="auto"/>
            </w:tcBorders>
          </w:tcPr>
          <w:p>
            <w:pPr>
              <w:spacing w:after="0"/>
              <w:rPr>
                <w:sz w:val="17"/>
                <w:szCs w:val="17"/>
                <w:color w:val="auto"/>
              </w:rPr>
            </w:pPr>
          </w:p>
        </w:tc>
      </w:tr>
      <w:tr>
        <w:trPr>
          <w:trHeight w:val="183"/>
        </w:trPr>
        <w:tc>
          <w:tcPr>
            <w:tcW w:w="4620" w:type="dxa"/>
            <w:vAlign w:val="bottom"/>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Level 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Total</w:t>
            </w: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Financial Assets:</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Cash equivalents</w:t>
            </w: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Money market funds</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41,745</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41,745</w:t>
            </w: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Foreign exchange contracts</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Short-term investments</w:t>
            </w: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Corporate bonds</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5,788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5,788</w:t>
            </w: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U.S. Government obligations</w:t>
            </w:r>
          </w:p>
        </w:tc>
        <w:tc>
          <w:tcPr>
            <w:tcW w:w="10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16,642</w:t>
            </w:r>
          </w:p>
        </w:tc>
        <w:tc>
          <w:tcPr>
            <w:tcW w:w="1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16,642</w:t>
            </w: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b w:val="1"/>
                <w:bCs w:val="1"/>
                <w:color w:val="auto"/>
              </w:rPr>
              <w:t>Total short-term investments</w:t>
            </w: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22,430</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22,430</w:t>
            </w: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Long-term investments</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Corporate bonds</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1,282</w:t>
            </w: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U.S. Government obligations</w:t>
            </w: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3,061</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3,061</w:t>
            </w: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Asset-backed securities</w:t>
            </w:r>
          </w:p>
        </w:tc>
        <w:tc>
          <w:tcPr>
            <w:tcW w:w="10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183"/>
        </w:trPr>
        <w:tc>
          <w:tcPr>
            <w:tcW w:w="46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long-term investments</w:t>
            </w:r>
          </w:p>
        </w:tc>
        <w:tc>
          <w:tcPr>
            <w:tcW w:w="106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4,394</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4,394</w:t>
            </w: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b w:val="1"/>
                <w:bCs w:val="1"/>
                <w:color w:val="auto"/>
              </w:rPr>
              <w:t>Total financial assets</w:t>
            </w:r>
          </w:p>
        </w:tc>
        <w:tc>
          <w:tcPr>
            <w:tcW w:w="1060" w:type="dxa"/>
            <w:vAlign w:val="bottom"/>
          </w:tcPr>
          <w:p>
            <w:pPr>
              <w:jc w:val="right"/>
              <w:ind w:right="879"/>
              <w:spacing w:after="0" w:line="183" w:lineRule="exact"/>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41,745</w:t>
            </w:r>
          </w:p>
        </w:tc>
        <w:tc>
          <w:tcPr>
            <w:tcW w:w="42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27,210</w:t>
            </w:r>
          </w:p>
        </w:tc>
        <w:tc>
          <w:tcPr>
            <w:tcW w:w="42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68,955</w:t>
            </w:r>
          </w:p>
        </w:tc>
      </w:tr>
      <w:tr>
        <w:trPr>
          <w:trHeight w:val="20"/>
        </w:trPr>
        <w:tc>
          <w:tcPr>
            <w:tcW w:w="4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462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Financial Liabilities:</w:t>
            </w:r>
          </w:p>
        </w:tc>
        <w:tc>
          <w:tcPr>
            <w:tcW w:w="10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Foreign exchange contracts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197</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189"/>
        </w:trPr>
        <w:tc>
          <w:tcPr>
            <w:tcW w:w="46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Contingent consideration</w:t>
            </w:r>
          </w:p>
        </w:tc>
        <w:tc>
          <w:tcPr>
            <w:tcW w:w="10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2,724</w:t>
            </w: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2,724</w:t>
            </w: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b w:val="1"/>
                <w:bCs w:val="1"/>
                <w:color w:val="auto"/>
              </w:rPr>
              <w:t>Total financial liabilities</w:t>
            </w:r>
          </w:p>
        </w:tc>
        <w:tc>
          <w:tcPr>
            <w:tcW w:w="1060" w:type="dxa"/>
            <w:vAlign w:val="bottom"/>
          </w:tcPr>
          <w:p>
            <w:pPr>
              <w:jc w:val="right"/>
              <w:ind w:right="879"/>
              <w:spacing w:after="0" w:line="183" w:lineRule="exact"/>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197</w:t>
            </w:r>
          </w:p>
        </w:tc>
        <w:tc>
          <w:tcPr>
            <w:tcW w:w="42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2,724</w:t>
            </w:r>
          </w:p>
        </w:tc>
        <w:tc>
          <w:tcPr>
            <w:tcW w:w="46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2,921</w:t>
            </w:r>
          </w:p>
        </w:tc>
      </w:tr>
      <w:tr>
        <w:trPr>
          <w:trHeight w:val="20"/>
        </w:trPr>
        <w:tc>
          <w:tcPr>
            <w:tcW w:w="4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-1426210</wp:posOffset>
            </wp:positionV>
            <wp:extent cx="102235" cy="162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235" cy="16256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-1426210</wp:posOffset>
            </wp:positionV>
            <wp:extent cx="102235"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2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-1426210</wp:posOffset>
            </wp:positionV>
            <wp:extent cx="93980"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-668020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-668020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-668020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-153670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-153670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-153670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gridSpan w:val="9"/>
          </w:tcPr>
          <w:p>
            <w:pPr>
              <w:jc w:val="right"/>
              <w:ind w:right="159"/>
              <w:spacing w:after="0"/>
              <w:rPr>
                <w:sz w:val="20"/>
                <w:szCs w:val="20"/>
                <w:color w:val="auto"/>
              </w:rPr>
            </w:pPr>
            <w:r>
              <w:rPr>
                <w:rFonts w:ascii="Arial" w:cs="Arial" w:eastAsia="Arial" w:hAnsi="Arial"/>
                <w:sz w:val="16"/>
                <w:szCs w:val="16"/>
                <w:b w:val="1"/>
                <w:bCs w:val="1"/>
                <w:color w:val="auto"/>
              </w:rPr>
              <w:t>Measured at Fair Value as of December 31, 2024</w:t>
            </w:r>
          </w:p>
        </w:tc>
        <w:tc>
          <w:tcPr>
            <w:tcW w:w="1220" w:type="dxa"/>
            <w:vAlign w:val="bottom"/>
            <w:tcBorders>
              <w:bottom w:val="single" w:sz="8" w:color="auto"/>
            </w:tcBorders>
          </w:tcPr>
          <w:p>
            <w:pPr>
              <w:spacing w:after="0"/>
              <w:rPr>
                <w:sz w:val="17"/>
                <w:szCs w:val="17"/>
                <w:color w:val="auto"/>
              </w:rPr>
            </w:pPr>
          </w:p>
        </w:tc>
      </w:tr>
      <w:tr>
        <w:trPr>
          <w:trHeight w:val="183"/>
        </w:trPr>
        <w:tc>
          <w:tcPr>
            <w:tcW w:w="4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Total</w:t>
            </w: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Financial Assets:</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Cash equivalents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Money market funds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139,545</w:t>
            </w:r>
          </w:p>
        </w:tc>
        <w:tc>
          <w:tcPr>
            <w:tcW w:w="4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139,545</w:t>
            </w: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Foreign exchange contracts</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Short-term investments</w:t>
            </w: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Corporate bonds</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62,625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62,625</w:t>
            </w: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U.S. Government obligations</w:t>
            </w: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36,755</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36,755</w:t>
            </w: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Treasury bill</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6,983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6,983</w:t>
            </w: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Foreign agency securities</w:t>
            </w: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2,607</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2,607</w:t>
            </w: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Commercial paper</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6,878</w:t>
            </w:r>
          </w:p>
        </w:tc>
      </w:tr>
      <w:tr>
        <w:trPr>
          <w:trHeight w:val="183"/>
        </w:trPr>
        <w:tc>
          <w:tcPr>
            <w:tcW w:w="46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short-term investments</w:t>
            </w:r>
          </w:p>
        </w:tc>
        <w:tc>
          <w:tcPr>
            <w:tcW w:w="30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115,848</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115,848</w:t>
            </w: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b w:val="1"/>
                <w:bCs w:val="1"/>
                <w:color w:val="auto"/>
              </w:rPr>
              <w:t>Long-term investments</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Corporate bonds</w:t>
            </w: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23,100</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23,100</w:t>
            </w: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U.S. Government obligations</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21,384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21,384</w:t>
            </w: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Agency bond</w:t>
            </w: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2,469</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2,469</w:t>
            </w: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Asset-backed securities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w:t>
            </w:r>
          </w:p>
        </w:tc>
      </w:tr>
      <w:tr>
        <w:trPr>
          <w:trHeight w:val="183"/>
        </w:trPr>
        <w:tc>
          <w:tcPr>
            <w:tcW w:w="46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long-term investments</w:t>
            </w:r>
          </w:p>
        </w:tc>
        <w:tc>
          <w:tcPr>
            <w:tcW w:w="30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50,125</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50,125</w:t>
            </w: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b w:val="1"/>
                <w:bCs w:val="1"/>
                <w:color w:val="auto"/>
              </w:rPr>
              <w:t>Total financial assets</w:t>
            </w:r>
          </w:p>
        </w:tc>
        <w:tc>
          <w:tcPr>
            <w:tcW w:w="300" w:type="dxa"/>
            <w:vAlign w:val="bottom"/>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139,545</w:t>
            </w:r>
          </w:p>
        </w:tc>
        <w:tc>
          <w:tcPr>
            <w:tcW w:w="42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165,973</w:t>
            </w:r>
          </w:p>
        </w:tc>
        <w:tc>
          <w:tcPr>
            <w:tcW w:w="42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49</w:t>
            </w:r>
          </w:p>
        </w:tc>
        <w:tc>
          <w:tcPr>
            <w:tcW w:w="440" w:type="dxa"/>
            <w:vAlign w:val="bottom"/>
            <w:gridSpan w:val="2"/>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305,567</w:t>
            </w:r>
          </w:p>
        </w:tc>
      </w:tr>
      <w:tr>
        <w:trPr>
          <w:trHeight w:val="20"/>
        </w:trPr>
        <w:tc>
          <w:tcPr>
            <w:tcW w:w="4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462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Financial Liabilities:</w:t>
            </w: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Contingent consideration</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5,094</w:t>
            </w:r>
          </w:p>
        </w:tc>
      </w:tr>
      <w:tr>
        <w:trPr>
          <w:trHeight w:val="222"/>
        </w:trPr>
        <w:tc>
          <w:tcPr>
            <w:tcW w:w="46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financial liabilities</w:t>
            </w:r>
          </w:p>
        </w:tc>
        <w:tc>
          <w:tcPr>
            <w:tcW w:w="30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5,094</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-1285240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-1285240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-1285240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-548005</wp:posOffset>
            </wp:positionV>
            <wp:extent cx="768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-548005</wp:posOffset>
            </wp:positionV>
            <wp:extent cx="768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-548005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-25400</wp:posOffset>
            </wp:positionV>
            <wp:extent cx="76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During the three months ended September 30, 2025, the Company corrected the footnotes to its consolidated financial statements for the year ended December 31, 2024, related to the ASC 820 Fair Value Measurement Level classification of money market funds from NAV to Level 1. The table above reflects the appropriate fair value hierarchy classification as of December 31, 2024, which conforms with the current year presentation. The prior period reclassifications had no effect on the reported values of these instruments and the Company does not consider the impact to be material to the prior period financial statements. Other than this reclassification, during the nine months ended September 30, 2025 and year ended December 31, 2024, there were no transfers between Level 1, Level 2 or Level 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Sertifi LLC (Sertifi)</w:t>
      </w:r>
    </w:p>
    <w:p>
      <w:pPr>
        <w:spacing w:after="0" w:line="16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fair value of the contingent consideration related to the gross profit milestone from the Company’s acquisition of Sertifi in February 2025 was determined using an option pricing model and the fair value of the contingent consideration related to the technology and security integration milestones was determined using a scenario-based method. Refer to Note 10 - Business Combinations for additional details on the Sertifi acquisition. The following table presents the unobservable inputs incorporated into the fair value of the contingent consideration liability as of September 30,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40" w:type="dxa"/>
            <w:vAlign w:val="bottom"/>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September 30, 2025</w:t>
            </w:r>
          </w:p>
        </w:tc>
      </w:tr>
      <w:tr>
        <w:trPr>
          <w:trHeight w:val="183"/>
        </w:trPr>
        <w:tc>
          <w:tcPr>
            <w:tcW w:w="9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Discount rate</w:t>
            </w:r>
          </w:p>
        </w:tc>
        <w:tc>
          <w:tcPr>
            <w:tcW w:w="1800" w:type="dxa"/>
            <w:vAlign w:val="bottom"/>
            <w:shd w:val="clear" w:color="auto" w:fill="CFF0FC"/>
          </w:tcPr>
          <w:p>
            <w:pPr>
              <w:jc w:val="right"/>
              <w:ind w:right="639"/>
              <w:spacing w:after="0" w:line="183" w:lineRule="exact"/>
              <w:rPr>
                <w:sz w:val="20"/>
                <w:szCs w:val="20"/>
                <w:color w:val="auto"/>
              </w:rPr>
            </w:pPr>
            <w:r>
              <w:rPr>
                <w:rFonts w:ascii="Arial" w:cs="Arial" w:eastAsia="Arial" w:hAnsi="Arial"/>
                <w:sz w:val="16"/>
                <w:szCs w:val="16"/>
                <w:color w:val="auto"/>
              </w:rPr>
              <w:t>6.6%</w:t>
            </w:r>
          </w:p>
        </w:tc>
      </w:tr>
      <w:tr>
        <w:trPr>
          <w:trHeight w:val="194"/>
        </w:trPr>
        <w:tc>
          <w:tcPr>
            <w:tcW w:w="9440" w:type="dxa"/>
            <w:vAlign w:val="bottom"/>
          </w:tcPr>
          <w:p>
            <w:pPr>
              <w:spacing w:after="0" w:line="194" w:lineRule="exact"/>
              <w:rPr>
                <w:sz w:val="20"/>
                <w:szCs w:val="20"/>
                <w:color w:val="auto"/>
              </w:rPr>
            </w:pPr>
            <w:r>
              <w:rPr>
                <w:rFonts w:ascii="Arial" w:cs="Arial" w:eastAsia="Arial" w:hAnsi="Arial"/>
                <w:sz w:val="16"/>
                <w:szCs w:val="16"/>
                <w:color w:val="auto"/>
              </w:rPr>
              <w:t xml:space="preserve">Probability of successful achievement </w:t>
            </w:r>
            <w:r>
              <w:rPr>
                <w:rFonts w:ascii="Arial" w:cs="Arial" w:eastAsia="Arial" w:hAnsi="Arial"/>
                <w:sz w:val="21"/>
                <w:szCs w:val="21"/>
                <w:color w:val="auto"/>
                <w:vertAlign w:val="superscript"/>
              </w:rPr>
              <w:t>(a)</w:t>
            </w:r>
          </w:p>
        </w:tc>
        <w:tc>
          <w:tcPr>
            <w:tcW w:w="1800" w:type="dxa"/>
            <w:vAlign w:val="bottom"/>
          </w:tcPr>
          <w:p>
            <w:pPr>
              <w:jc w:val="right"/>
              <w:ind w:right="319"/>
              <w:spacing w:after="0"/>
              <w:rPr>
                <w:sz w:val="20"/>
                <w:szCs w:val="20"/>
                <w:color w:val="auto"/>
              </w:rPr>
            </w:pPr>
            <w:r>
              <w:rPr>
                <w:rFonts w:ascii="Arial" w:cs="Arial" w:eastAsia="Arial" w:hAnsi="Arial"/>
                <w:sz w:val="16"/>
                <w:szCs w:val="16"/>
                <w:color w:val="auto"/>
              </w:rPr>
              <w:t>15%  -  62%</w:t>
            </w:r>
          </w:p>
        </w:tc>
      </w:tr>
    </w:tbl>
    <w:p>
      <w:pPr>
        <w:spacing w:after="0"/>
        <w:rPr>
          <w:sz w:val="20"/>
          <w:szCs w:val="20"/>
          <w:color w:val="auto"/>
        </w:rPr>
      </w:pPr>
      <w:r>
        <w:rPr>
          <w:rFonts w:ascii="Arial" w:cs="Arial" w:eastAsia="Arial" w:hAnsi="Arial"/>
          <w:sz w:val="14"/>
          <w:szCs w:val="14"/>
          <w:color w:val="auto"/>
        </w:rPr>
        <w:t>_____________________________</w:t>
      </w:r>
    </w:p>
    <w:p>
      <w:pPr>
        <w:spacing w:after="0" w:line="55" w:lineRule="exact"/>
        <w:rPr>
          <w:sz w:val="20"/>
          <w:szCs w:val="20"/>
          <w:color w:val="auto"/>
        </w:rPr>
      </w:pPr>
    </w:p>
    <w:p>
      <w:pPr>
        <w:ind w:right="380" w:firstLine="8"/>
        <w:spacing w:after="0" w:line="229" w:lineRule="auto"/>
        <w:tabs>
          <w:tab w:leader="none" w:pos="157"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Probability of successful achievement was set at different targets based on the Company’s estimates on achieving them. The weighted average probability of successful achievement was 29.1% as of September 30, 2025.</w:t>
      </w:r>
    </w:p>
    <w:p>
      <w:pPr>
        <w:spacing w:after="0" w:line="13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Increases or decreases in the discount rate would result in a lower or higher fair value measurement, respectively. Increases or decreases in any of the probabilities of success in which the gross profit and technology and security milestones are expected to be achieved would result in higher or lower fair value measurement,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Invoiced Inc. (Invoiced)</w:t>
      </w:r>
    </w:p>
    <w:p>
      <w:pPr>
        <w:spacing w:after="0" w:line="183"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 xml:space="preserve">The fair value of the contingent consideration related to the revenue milestone from the Company’s acquisition of Invoiced in August 2024 was determined using an option pricing model and the fair value of the contingent consideration related to the cross-selling, product, and security and information technology (IT) milestones was determined using a scenario-based method. As of September 30, 2025, the revenue milestone is the only remaining contingent consideration milestone outstanding. Refer to </w:t>
      </w:r>
      <w:r>
        <w:rPr>
          <w:rFonts w:ascii="Arial" w:cs="Arial" w:eastAsia="Arial" w:hAnsi="Arial"/>
          <w:sz w:val="18"/>
          <w:szCs w:val="18"/>
          <w:i w:val="1"/>
          <w:iCs w:val="1"/>
          <w:color w:val="auto"/>
        </w:rPr>
        <w:t>Note 10 - Business Combinations</w:t>
      </w:r>
      <w:r>
        <w:rPr>
          <w:rFonts w:ascii="Arial" w:cs="Arial" w:eastAsia="Arial" w:hAnsi="Arial"/>
          <w:sz w:val="18"/>
          <w:szCs w:val="18"/>
          <w:color w:val="auto"/>
        </w:rPr>
        <w:t xml:space="preserve"> for additional details on the Invoiced acquisition. The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8" w:name="page19"/>
    <w:bookmarkEnd w:id="18"/>
    <w:p>
      <w:pPr>
        <w:ind w:right="160"/>
        <w:spacing w:after="0" w:line="271" w:lineRule="auto"/>
        <w:rPr>
          <w:sz w:val="20"/>
          <w:szCs w:val="20"/>
          <w:color w:val="auto"/>
        </w:rPr>
      </w:pPr>
      <w:r>
        <w:rPr>
          <w:rFonts w:ascii="Arial" w:cs="Arial" w:eastAsia="Arial" w:hAnsi="Arial"/>
          <w:sz w:val="18"/>
          <w:szCs w:val="18"/>
          <w:color w:val="auto"/>
        </w:rPr>
        <w:t>following table presents the unobservable inputs incorporated into the fair value of the contingent consideration liability as of September 30, 2025 and December 31,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8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September 30, 2025</w:t>
            </w:r>
          </w:p>
        </w:tc>
        <w:tc>
          <w:tcPr>
            <w:tcW w:w="120" w:type="dxa"/>
            <w:vAlign w:val="bottom"/>
          </w:tcPr>
          <w:p>
            <w:pPr>
              <w:spacing w:after="0"/>
              <w:rPr>
                <w:sz w:val="17"/>
                <w:szCs w:val="17"/>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7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Discount rate</w:t>
            </w:r>
          </w:p>
        </w:tc>
        <w:tc>
          <w:tcPr>
            <w:tcW w:w="1860" w:type="dxa"/>
            <w:vAlign w:val="bottom"/>
            <w:shd w:val="clear" w:color="auto" w:fill="CFF0FC"/>
          </w:tcPr>
          <w:p>
            <w:pPr>
              <w:jc w:val="right"/>
              <w:ind w:right="679"/>
              <w:spacing w:after="0" w:line="183" w:lineRule="exact"/>
              <w:rPr>
                <w:sz w:val="20"/>
                <w:szCs w:val="20"/>
                <w:color w:val="auto"/>
              </w:rPr>
            </w:pPr>
            <w:r>
              <w:rPr>
                <w:rFonts w:ascii="Arial" w:cs="Arial" w:eastAsia="Arial" w:hAnsi="Arial"/>
                <w:sz w:val="16"/>
                <w:szCs w:val="16"/>
                <w:color w:val="auto"/>
              </w:rPr>
              <w:t>6.5%</w:t>
            </w:r>
          </w:p>
        </w:tc>
        <w:tc>
          <w:tcPr>
            <w:tcW w:w="9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6.5%</w:t>
            </w:r>
          </w:p>
        </w:tc>
        <w:tc>
          <w:tcPr>
            <w:tcW w:w="14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74"/>
              </w:rPr>
              <w:t>-</w:t>
            </w:r>
          </w:p>
        </w:tc>
        <w:tc>
          <w:tcPr>
            <w:tcW w:w="86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6.6%</w:t>
            </w:r>
          </w:p>
        </w:tc>
      </w:tr>
      <w:tr>
        <w:trPr>
          <w:trHeight w:val="194"/>
        </w:trPr>
        <w:tc>
          <w:tcPr>
            <w:tcW w:w="7440" w:type="dxa"/>
            <w:vAlign w:val="bottom"/>
          </w:tcPr>
          <w:p>
            <w:pPr>
              <w:spacing w:after="0" w:line="194" w:lineRule="exact"/>
              <w:rPr>
                <w:sz w:val="20"/>
                <w:szCs w:val="20"/>
                <w:color w:val="auto"/>
              </w:rPr>
            </w:pPr>
            <w:r>
              <w:rPr>
                <w:rFonts w:ascii="Arial" w:cs="Arial" w:eastAsia="Arial" w:hAnsi="Arial"/>
                <w:sz w:val="16"/>
                <w:szCs w:val="16"/>
                <w:color w:val="auto"/>
              </w:rPr>
              <w:t xml:space="preserve">Probability of successful achievement </w:t>
            </w:r>
            <w:r>
              <w:rPr>
                <w:rFonts w:ascii="Arial" w:cs="Arial" w:eastAsia="Arial" w:hAnsi="Arial"/>
                <w:sz w:val="21"/>
                <w:szCs w:val="21"/>
                <w:color w:val="auto"/>
                <w:vertAlign w:val="superscript"/>
              </w:rPr>
              <w:t>(a)</w:t>
            </w:r>
          </w:p>
        </w:tc>
        <w:tc>
          <w:tcPr>
            <w:tcW w:w="1860" w:type="dxa"/>
            <w:vAlign w:val="bottom"/>
          </w:tcPr>
          <w:p>
            <w:pPr>
              <w:jc w:val="right"/>
              <w:ind w:right="739"/>
              <w:spacing w:after="0"/>
              <w:rPr>
                <w:sz w:val="20"/>
                <w:szCs w:val="20"/>
                <w:color w:val="auto"/>
              </w:rPr>
            </w:pPr>
            <w:r>
              <w:rPr>
                <w:rFonts w:ascii="Arial" w:cs="Arial" w:eastAsia="Arial" w:hAnsi="Arial"/>
                <w:sz w:val="16"/>
                <w:szCs w:val="16"/>
                <w:color w:val="auto"/>
              </w:rPr>
              <w:t>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860" w:type="dxa"/>
            <w:vAlign w:val="bottom"/>
          </w:tcPr>
          <w:p>
            <w:pPr>
              <w:ind w:left="40"/>
              <w:spacing w:after="0"/>
              <w:rPr>
                <w:sz w:val="20"/>
                <w:szCs w:val="20"/>
                <w:color w:val="auto"/>
              </w:rPr>
            </w:pPr>
            <w:r>
              <w:rPr>
                <w:rFonts w:ascii="Arial" w:cs="Arial" w:eastAsia="Arial" w:hAnsi="Arial"/>
                <w:sz w:val="16"/>
                <w:szCs w:val="16"/>
                <w:color w:val="auto"/>
              </w:rPr>
              <w:t>100%</w:t>
            </w:r>
          </w:p>
        </w:tc>
      </w:tr>
    </w:tbl>
    <w:p>
      <w:pPr>
        <w:spacing w:after="0"/>
        <w:rPr>
          <w:sz w:val="20"/>
          <w:szCs w:val="20"/>
          <w:color w:val="auto"/>
        </w:rPr>
      </w:pPr>
      <w:r>
        <w:rPr>
          <w:rFonts w:ascii="Arial" w:cs="Arial" w:eastAsia="Arial" w:hAnsi="Arial"/>
          <w:sz w:val="14"/>
          <w:szCs w:val="14"/>
          <w:color w:val="auto"/>
        </w:rPr>
        <w:t>_____________________________</w:t>
      </w:r>
    </w:p>
    <w:p>
      <w:pPr>
        <w:spacing w:after="0" w:line="55" w:lineRule="exact"/>
        <w:rPr>
          <w:sz w:val="20"/>
          <w:szCs w:val="20"/>
          <w:color w:val="auto"/>
        </w:rPr>
      </w:pPr>
    </w:p>
    <w:p>
      <w:pPr>
        <w:ind w:right="380" w:firstLine="8"/>
        <w:spacing w:after="0" w:line="229" w:lineRule="auto"/>
        <w:tabs>
          <w:tab w:leader="none" w:pos="157"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Probability of successful achievement was set at different targets based on the Company’s estimates on achieving them. The weighted average probability of successful achievement was 0.0% as of September 30, 2025.</w:t>
      </w:r>
    </w:p>
    <w:p>
      <w:pPr>
        <w:spacing w:after="0" w:line="139"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Increases or decreases in the discount rate would result in a lower or higher fair value measurement, respectively. Increases or decreases in any of the probabilities of success in which the revenue, top customers, product and IT milestones are expected to be achieved would result in higher or lower fair value measurement,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Learning Information Systems Pty Ltd. (StudyLink)</w:t>
      </w:r>
    </w:p>
    <w:p>
      <w:pPr>
        <w:spacing w:after="0" w:line="183"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The fair value of the contingent consideration related to the revenue milestone from the Company’s acquisition of StudyLink in November 2023 was determined using an option pricing model and the fair value of the contingent consideration related to the volume of money movement, cross-selling and engineering implementation milestones was determined using a scenario-based method. As of September 30, 2025, the volume of money movement milestone is the only remaining contingent consideration milestone outstanding. The following table presents the unobservable inputs incorporated into the fair value of the contingent consideration liability as of September 30, 2025 and December 31,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7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September 30, 2025</w:t>
            </w:r>
          </w:p>
        </w:tc>
        <w:tc>
          <w:tcPr>
            <w:tcW w:w="120" w:type="dxa"/>
            <w:vAlign w:val="bottom"/>
          </w:tcPr>
          <w:p>
            <w:pPr>
              <w:spacing w:after="0"/>
              <w:rPr>
                <w:sz w:val="17"/>
                <w:szCs w:val="17"/>
                <w:color w:val="auto"/>
              </w:rPr>
            </w:pPr>
          </w:p>
        </w:tc>
        <w:tc>
          <w:tcPr>
            <w:tcW w:w="190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7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Discount rate</w:t>
            </w:r>
          </w:p>
        </w:tc>
        <w:tc>
          <w:tcPr>
            <w:tcW w:w="1780" w:type="dxa"/>
            <w:vAlign w:val="bottom"/>
            <w:shd w:val="clear" w:color="auto" w:fill="CFF0FC"/>
          </w:tcPr>
          <w:p>
            <w:pPr>
              <w:jc w:val="right"/>
              <w:ind w:right="639"/>
              <w:spacing w:after="0" w:line="183" w:lineRule="exact"/>
              <w:rPr>
                <w:sz w:val="20"/>
                <w:szCs w:val="20"/>
                <w:color w:val="auto"/>
              </w:rPr>
            </w:pPr>
            <w:r>
              <w:rPr>
                <w:rFonts w:ascii="Arial" w:cs="Arial" w:eastAsia="Arial" w:hAnsi="Arial"/>
                <w:sz w:val="16"/>
                <w:szCs w:val="16"/>
                <w:color w:val="auto"/>
              </w:rPr>
              <w:t>7.5%</w:t>
            </w:r>
          </w:p>
        </w:tc>
        <w:tc>
          <w:tcPr>
            <w:tcW w:w="9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6.3%</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8.2%</w:t>
            </w:r>
          </w:p>
        </w:tc>
      </w:tr>
      <w:tr>
        <w:trPr>
          <w:trHeight w:val="194"/>
        </w:trPr>
        <w:tc>
          <w:tcPr>
            <w:tcW w:w="7440" w:type="dxa"/>
            <w:vAlign w:val="bottom"/>
          </w:tcPr>
          <w:p>
            <w:pPr>
              <w:spacing w:after="0" w:line="194" w:lineRule="exact"/>
              <w:rPr>
                <w:sz w:val="20"/>
                <w:szCs w:val="20"/>
                <w:color w:val="auto"/>
              </w:rPr>
            </w:pPr>
            <w:r>
              <w:rPr>
                <w:rFonts w:ascii="Arial" w:cs="Arial" w:eastAsia="Arial" w:hAnsi="Arial"/>
                <w:sz w:val="16"/>
                <w:szCs w:val="16"/>
                <w:color w:val="auto"/>
              </w:rPr>
              <w:t xml:space="preserve">Probability of successful achievement </w:t>
            </w:r>
            <w:r>
              <w:rPr>
                <w:rFonts w:ascii="Arial" w:cs="Arial" w:eastAsia="Arial" w:hAnsi="Arial"/>
                <w:sz w:val="21"/>
                <w:szCs w:val="21"/>
                <w:color w:val="auto"/>
                <w:vertAlign w:val="superscript"/>
              </w:rPr>
              <w:t>(a)</w:t>
            </w:r>
          </w:p>
        </w:tc>
        <w:tc>
          <w:tcPr>
            <w:tcW w:w="1780" w:type="dxa"/>
            <w:vAlign w:val="bottom"/>
          </w:tcPr>
          <w:p>
            <w:pPr>
              <w:jc w:val="right"/>
              <w:ind w:right="699"/>
              <w:spacing w:after="0"/>
              <w:rPr>
                <w:sz w:val="20"/>
                <w:szCs w:val="20"/>
                <w:color w:val="auto"/>
              </w:rPr>
            </w:pPr>
            <w:r>
              <w:rPr>
                <w:rFonts w:ascii="Arial" w:cs="Arial" w:eastAsia="Arial" w:hAnsi="Arial"/>
                <w:sz w:val="16"/>
                <w:szCs w:val="16"/>
                <w:color w:val="auto"/>
              </w:rPr>
              <w:t>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40"/>
              <w:spacing w:after="0"/>
              <w:rPr>
                <w:sz w:val="20"/>
                <w:szCs w:val="20"/>
                <w:color w:val="auto"/>
              </w:rPr>
            </w:pPr>
            <w:r>
              <w:rPr>
                <w:rFonts w:ascii="Arial" w:cs="Arial" w:eastAsia="Arial" w:hAnsi="Arial"/>
                <w:sz w:val="16"/>
                <w:szCs w:val="16"/>
                <w:color w:val="auto"/>
              </w:rPr>
              <w:t>100%</w:t>
            </w:r>
          </w:p>
        </w:tc>
      </w:tr>
    </w:tbl>
    <w:p>
      <w:pPr>
        <w:spacing w:after="0"/>
        <w:rPr>
          <w:sz w:val="20"/>
          <w:szCs w:val="20"/>
          <w:color w:val="auto"/>
        </w:rPr>
      </w:pPr>
      <w:r>
        <w:rPr>
          <w:rFonts w:ascii="Arial" w:cs="Arial" w:eastAsia="Arial" w:hAnsi="Arial"/>
          <w:sz w:val="14"/>
          <w:szCs w:val="14"/>
          <w:color w:val="auto"/>
        </w:rPr>
        <w:t>_____________________________</w:t>
      </w:r>
    </w:p>
    <w:p>
      <w:pPr>
        <w:spacing w:after="0" w:line="55" w:lineRule="exact"/>
        <w:rPr>
          <w:sz w:val="20"/>
          <w:szCs w:val="20"/>
          <w:color w:val="auto"/>
        </w:rPr>
      </w:pPr>
    </w:p>
    <w:p>
      <w:pPr>
        <w:ind w:right="380" w:firstLine="8"/>
        <w:spacing w:after="0" w:line="229" w:lineRule="auto"/>
        <w:tabs>
          <w:tab w:leader="none" w:pos="157"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Probability of successful achievement was set at different targets based on the Company’s estimates on achieving them. The weighted average probability of successful achievement was 0.0% as of September 30, 2025.</w:t>
      </w:r>
    </w:p>
    <w:p>
      <w:pPr>
        <w:spacing w:after="0" w:line="139"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Increases or decreases in the discount rate would result in a lower or higher fair value measurement, respectively. Increases or decreases in any of the probabilities of success in which the revenue, volume, cross-selling and engineering implementation milestones are expected to be achieved would result in higher or lower fair value measurement, respectively.</w:t>
      </w:r>
    </w:p>
    <w:p>
      <w:pPr>
        <w:spacing w:after="0" w:line="14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Changes in the fair value of contingent consideration are included as a component of general and administrative expense within the condensed consolidated statements of operations and comprehensive income. At September 30, 2025, $2.7 million of contingent consideration are reflected in the Company's balance sheet in other current liabilities and other liabilities. The following table summarizes the changes in the carrying value of the contingent consideration for the periods presented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Nine Months Ended September 30,</w:t>
            </w:r>
          </w:p>
        </w:tc>
      </w:tr>
      <w:tr>
        <w:trPr>
          <w:trHeight w:val="183"/>
        </w:trPr>
        <w:tc>
          <w:tcPr>
            <w:tcW w:w="7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7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Beginning balance</w:t>
            </w:r>
          </w:p>
        </w:tc>
        <w:tc>
          <w:tcPr>
            <w:tcW w:w="1020" w:type="dxa"/>
            <w:vAlign w:val="bottom"/>
            <w:gridSpan w:val="2"/>
            <w:shd w:val="clear" w:color="auto" w:fill="CFF0FC"/>
          </w:tcPr>
          <w:p>
            <w:pPr>
              <w:jc w:val="right"/>
              <w:ind w:right="839"/>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5,094</w:t>
            </w:r>
          </w:p>
        </w:tc>
        <w:tc>
          <w:tcPr>
            <w:tcW w:w="46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2,882</w:t>
            </w:r>
          </w:p>
        </w:tc>
      </w:tr>
      <w:tr>
        <w:trPr>
          <w:trHeight w:val="189"/>
        </w:trPr>
        <w:tc>
          <w:tcPr>
            <w:tcW w:w="7980" w:type="dxa"/>
            <w:vAlign w:val="bottom"/>
          </w:tcPr>
          <w:p>
            <w:pPr>
              <w:spacing w:after="0"/>
              <w:rPr>
                <w:sz w:val="20"/>
                <w:szCs w:val="20"/>
                <w:color w:val="auto"/>
              </w:rPr>
            </w:pPr>
            <w:r>
              <w:rPr>
                <w:rFonts w:ascii="Arial" w:cs="Arial" w:eastAsia="Arial" w:hAnsi="Arial"/>
                <w:sz w:val="16"/>
                <w:szCs w:val="16"/>
                <w:color w:val="auto"/>
              </w:rPr>
              <w:t>Additions</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3,107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4,508</w:t>
            </w:r>
          </w:p>
        </w:tc>
      </w:tr>
      <w:tr>
        <w:trPr>
          <w:trHeight w:val="189"/>
        </w:trPr>
        <w:tc>
          <w:tcPr>
            <w:tcW w:w="7980" w:type="dxa"/>
            <w:vAlign w:val="bottom"/>
            <w:shd w:val="clear" w:color="auto" w:fill="CFF0FC"/>
          </w:tcPr>
          <w:p>
            <w:pPr>
              <w:spacing w:after="0"/>
              <w:rPr>
                <w:sz w:val="20"/>
                <w:szCs w:val="20"/>
                <w:color w:val="auto"/>
              </w:rPr>
            </w:pPr>
            <w:r>
              <w:rPr>
                <w:rFonts w:ascii="Arial" w:cs="Arial" w:eastAsia="Arial" w:hAnsi="Arial"/>
                <w:sz w:val="16"/>
                <w:szCs w:val="16"/>
                <w:color w:val="auto"/>
              </w:rPr>
              <w:t>Change in fair value</w:t>
            </w:r>
          </w:p>
        </w:tc>
        <w:tc>
          <w:tcPr>
            <w:tcW w:w="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(1,223)</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w:t>
            </w:r>
          </w:p>
        </w:tc>
      </w:tr>
      <w:tr>
        <w:trPr>
          <w:trHeight w:val="189"/>
        </w:trPr>
        <w:tc>
          <w:tcPr>
            <w:tcW w:w="7980" w:type="dxa"/>
            <w:vAlign w:val="bottom"/>
          </w:tcPr>
          <w:p>
            <w:pPr>
              <w:spacing w:after="0" w:line="189" w:lineRule="exact"/>
              <w:rPr>
                <w:sz w:val="20"/>
                <w:szCs w:val="20"/>
                <w:color w:val="auto"/>
              </w:rPr>
            </w:pPr>
            <w:r>
              <w:rPr>
                <w:rFonts w:ascii="Arial" w:cs="Arial" w:eastAsia="Arial" w:hAnsi="Arial"/>
                <w:sz w:val="16"/>
                <w:szCs w:val="16"/>
                <w:color w:val="auto"/>
              </w:rPr>
              <w:t xml:space="preserve">Contingent consideration paid </w:t>
            </w:r>
            <w:r>
              <w:rPr>
                <w:rFonts w:ascii="Arial" w:cs="Arial" w:eastAsia="Arial" w:hAnsi="Arial"/>
                <w:sz w:val="21"/>
                <w:szCs w:val="21"/>
                <w:color w:val="auto"/>
                <w:vertAlign w:val="superscript"/>
              </w:rPr>
              <w:t>(a)</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7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Foreign currency translation adjustment</w:t>
            </w:r>
          </w:p>
        </w:tc>
        <w:tc>
          <w:tcPr>
            <w:tcW w:w="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980" w:type="dxa"/>
            <w:vAlign w:val="bottom"/>
          </w:tcPr>
          <w:p>
            <w:pPr>
              <w:spacing w:after="0" w:line="183" w:lineRule="exact"/>
              <w:rPr>
                <w:sz w:val="20"/>
                <w:szCs w:val="20"/>
                <w:color w:val="auto"/>
              </w:rPr>
            </w:pPr>
            <w:r>
              <w:rPr>
                <w:rFonts w:ascii="Arial" w:cs="Arial" w:eastAsia="Arial" w:hAnsi="Arial"/>
                <w:sz w:val="16"/>
                <w:szCs w:val="16"/>
                <w:color w:val="auto"/>
              </w:rPr>
              <w:t>Ending balance</w:t>
            </w:r>
          </w:p>
        </w:tc>
        <w:tc>
          <w:tcPr>
            <w:tcW w:w="1020" w:type="dxa"/>
            <w:vAlign w:val="bottom"/>
            <w:gridSpan w:val="2"/>
          </w:tcPr>
          <w:p>
            <w:pPr>
              <w:jc w:val="right"/>
              <w:ind w:right="839"/>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2,724</w:t>
            </w:r>
          </w:p>
        </w:tc>
        <w:tc>
          <w:tcPr>
            <w:tcW w:w="46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6,402</w:t>
            </w:r>
          </w:p>
        </w:tc>
      </w:tr>
      <w:tr>
        <w:trPr>
          <w:trHeight w:val="20"/>
        </w:trPr>
        <w:tc>
          <w:tcPr>
            <w:tcW w:w="7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-153670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742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27" w:lineRule="exact"/>
        <w:rPr>
          <w:sz w:val="20"/>
          <w:szCs w:val="20"/>
          <w:color w:val="auto"/>
        </w:rPr>
      </w:pPr>
    </w:p>
    <w:p>
      <w:pPr>
        <w:ind w:right="200" w:firstLine="8"/>
        <w:spacing w:after="0" w:line="233" w:lineRule="auto"/>
        <w:tabs>
          <w:tab w:leader="none" w:pos="157"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Contingent consideration when paid is bifurcated between financing and operating sections of the condensed consolidated statement of cash flows. Amounts paid up to the fair value initially recorded in purchase accounting is reported in the financing section, while any excess is reported in the operating section of the condensed consolidated statement of cash flows.</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Derivative Instruments</w:t>
      </w:r>
    </w:p>
    <w:p>
      <w:pPr>
        <w:spacing w:after="0" w:line="185"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As part of the Company’s foreign currency risk management program, the Company uses derivative instruments to mitigate the volatility related to fluctuations in foreign exchange rates. The Company entered into foreign currency forward contracts used to mitigate the currency exchange risk associated with clients and their customers' payments. In addition, during the three months ended September 30, 2025, the Company entered into foreign currency forward contracts to mitigate the currency exchange risk associated with intercompany loans denominated in British Pound Sterling and the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Australian dollar. The intercompany transaction derivatives are for a duration of one year with an aggregate notional amount of $83.4 million.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Company's foreign currency forward contracts are not designated as hedging instruments.</w:t>
      </w:r>
    </w:p>
    <w:p>
      <w:pPr>
        <w:spacing w:after="0" w:line="167"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notional amounts are generally not exchanged, but are used only as the underlying basis on which the value of foreign exchange payments under these contracts is determined. The notional amounts are not recorded on the condensed consolidated balance sheets and are not, when viewed in isolation, a meaningful measure of the risk profile of the derivative instruments. As of September 30, 2025 and December 31, 2024, the Company had 15,767 and 18,858 open foreign exchange contracts related to clients and their customers' payments, respectively. As of September 30, 2025 and December 31, 2024, the Company had foreign currency forward contracts related to clients and their customers' payments outstanding with notional amounts of $79.6 million and $43.3 million, respectively.</w:t>
      </w:r>
    </w:p>
    <w:p>
      <w:pPr>
        <w:spacing w:after="0" w:line="138"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Company records all derivative instruments in the condensed consolidated balance sheets at their fair values. The Company recorded an asset of $0.4 million and a liability of $0.2 million related to outstanding foreign exchange contracts as of September 30, 2025, respectively. The Company recorded an asset of less than $0.1 million related to outstanding foreign exchange contracts as of December 31, 2024.</w:t>
      </w:r>
    </w:p>
    <w:p>
      <w:pPr>
        <w:spacing w:after="0" w:line="133"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 Company recognized losses on derivatives related to clients and their customers' payments of $1.0 million and $0.4 million during the three and nine months ended September 30, 2025, and losses of $0.5 million and $0.6 million during the three and nine months ended September 30, 2024. The Company recorded gains on the intercompany loan derivatives of $0.2 million during the three and nine months ended September 30, 2025.</w:t>
      </w:r>
    </w:p>
    <w:p>
      <w:pPr>
        <w:spacing w:after="0" w:line="147" w:lineRule="exact"/>
        <w:rPr>
          <w:sz w:val="20"/>
          <w:szCs w:val="20"/>
          <w:color w:val="auto"/>
        </w:rPr>
      </w:pPr>
    </w:p>
    <w:p>
      <w:pPr>
        <w:ind w:right="400" w:firstLine="509"/>
        <w:spacing w:after="0" w:line="247" w:lineRule="auto"/>
        <w:rPr>
          <w:sz w:val="20"/>
          <w:szCs w:val="20"/>
          <w:color w:val="auto"/>
        </w:rPr>
      </w:pPr>
      <w:r>
        <w:rPr>
          <w:rFonts w:ascii="Arial" w:cs="Arial" w:eastAsia="Arial" w:hAnsi="Arial"/>
          <w:sz w:val="18"/>
          <w:szCs w:val="18"/>
          <w:color w:val="auto"/>
        </w:rPr>
        <w:t>Gains and losses on the derivatives related to clients and their customers' payments are included as a component of general and administrative expense within the condensed consolidated statements of operations and comprehensive income due to the nature of the transactions. Gains and losses on the intercompany loans derivatives are included as a component of other income (expense) in the condensed consolidated statements of operations and comprehensive income.</w:t>
      </w:r>
    </w:p>
    <w:p>
      <w:pPr>
        <w:spacing w:after="0" w:line="17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Accrued Expenses and Other Current Liabilities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September 30, 2025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75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Accrued employee compensation and related taxes</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7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18,050</w:t>
            </w:r>
          </w:p>
        </w:tc>
        <w:tc>
          <w:tcPr>
            <w:tcW w:w="2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17,950</w:t>
            </w: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Accrued income and other non-employee related taxes</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8,699</w:t>
            </w:r>
          </w:p>
        </w:tc>
      </w:tr>
      <w:tr>
        <w:trPr>
          <w:trHeight w:val="18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Accrued vendor liabilities</w:t>
            </w:r>
          </w:p>
        </w:tc>
        <w:tc>
          <w:tcPr>
            <w:tcW w:w="120" w:type="dxa"/>
            <w:vAlign w:val="bottom"/>
            <w:shd w:val="clear" w:color="auto" w:fill="CFF0FC"/>
          </w:tcPr>
          <w:p>
            <w:pPr>
              <w:spacing w:after="0"/>
              <w:rPr>
                <w:sz w:val="16"/>
                <w:szCs w:val="16"/>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3,992</w:t>
            </w: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Accrued professional services</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3,302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1,879</w:t>
            </w:r>
          </w:p>
        </w:tc>
      </w:tr>
      <w:tr>
        <w:trPr>
          <w:trHeight w:val="18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Sales tax payable</w:t>
            </w:r>
          </w:p>
        </w:tc>
        <w:tc>
          <w:tcPr>
            <w:tcW w:w="120" w:type="dxa"/>
            <w:vAlign w:val="bottom"/>
            <w:shd w:val="clear" w:color="auto" w:fill="CFF0FC"/>
          </w:tcPr>
          <w:p>
            <w:pPr>
              <w:spacing w:after="0"/>
              <w:rPr>
                <w:sz w:val="16"/>
                <w:szCs w:val="16"/>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Current portion of operating lease liabilities</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1,719</w:t>
            </w:r>
          </w:p>
        </w:tc>
      </w:tr>
      <w:tr>
        <w:trPr>
          <w:trHeight w:val="18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Restructuring</w:t>
            </w:r>
          </w:p>
        </w:tc>
        <w:tc>
          <w:tcPr>
            <w:tcW w:w="120" w:type="dxa"/>
            <w:vAlign w:val="bottom"/>
            <w:shd w:val="clear" w:color="auto" w:fill="CFF0FC"/>
          </w:tcPr>
          <w:p>
            <w:pPr>
              <w:spacing w:after="0"/>
              <w:rPr>
                <w:sz w:val="16"/>
                <w:szCs w:val="16"/>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Current portion of contingent consideration</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4,113</w:t>
            </w:r>
          </w:p>
        </w:tc>
      </w:tr>
      <w:tr>
        <w:trPr>
          <w:trHeight w:val="189"/>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accrued expenses and current liabilities</w:t>
            </w:r>
          </w:p>
        </w:tc>
        <w:tc>
          <w:tcPr>
            <w:tcW w:w="120" w:type="dxa"/>
            <w:vAlign w:val="bottom"/>
            <w:tcBorders>
              <w:bottom w:val="single" w:sz="8" w:color="auto"/>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11,809</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10,945</w:t>
            </w:r>
          </w:p>
        </w:tc>
      </w:tr>
      <w:tr>
        <w:trPr>
          <w:trHeight w:val="183"/>
        </w:trPr>
        <w:tc>
          <w:tcPr>
            <w:tcW w:w="7540" w:type="dxa"/>
            <w:vAlign w:val="bottom"/>
          </w:tcPr>
          <w:p>
            <w:pPr>
              <w:spacing w:after="0" w:line="183" w:lineRule="exact"/>
              <w:rPr>
                <w:sz w:val="20"/>
                <w:szCs w:val="20"/>
                <w:color w:val="auto"/>
              </w:rPr>
            </w:pPr>
            <w:r>
              <w:rPr>
                <w:rFonts w:ascii="Arial" w:cs="Arial" w:eastAsia="Arial" w:hAnsi="Arial"/>
                <w:sz w:val="16"/>
                <w:szCs w:val="16"/>
                <w:b w:val="1"/>
                <w:bCs w:val="1"/>
                <w:color w:val="auto"/>
              </w:rPr>
              <w:t>Accrued expenses and other current liabilities</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line="183" w:lineRule="exact"/>
              <w:rPr>
                <w:sz w:val="20"/>
                <w:szCs w:val="20"/>
                <w:color w:val="auto"/>
              </w:rPr>
            </w:pPr>
            <w:r>
              <w:rPr>
                <w:rFonts w:ascii="Arial" w:cs="Arial" w:eastAsia="Arial" w:hAnsi="Arial"/>
                <w:sz w:val="16"/>
                <w:szCs w:val="16"/>
                <w:color w:val="auto"/>
              </w:rPr>
              <w:t>52,665</w:t>
            </w:r>
          </w:p>
        </w:tc>
        <w:tc>
          <w:tcPr>
            <w:tcW w:w="2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Pr>
          <w:p>
            <w:pPr>
              <w:jc w:val="right"/>
              <w:spacing w:after="0" w:line="183" w:lineRule="exact"/>
              <w:rPr>
                <w:sz w:val="20"/>
                <w:szCs w:val="20"/>
                <w:color w:val="auto"/>
              </w:rPr>
            </w:pPr>
            <w:r>
              <w:rPr>
                <w:rFonts w:ascii="Arial" w:cs="Arial" w:eastAsia="Arial" w:hAnsi="Arial"/>
                <w:sz w:val="16"/>
                <w:szCs w:val="16"/>
                <w:color w:val="auto"/>
              </w:rPr>
              <w:t>49,297</w:t>
            </w:r>
          </w:p>
        </w:tc>
      </w:tr>
      <w:tr>
        <w:trPr>
          <w:trHeight w:val="20"/>
        </w:trPr>
        <w:tc>
          <w:tcPr>
            <w:tcW w:w="7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-153670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Property and Equipment, net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as of the dates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September 30, 2025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5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Internal-use software</w:t>
            </w:r>
          </w:p>
        </w:tc>
        <w:tc>
          <w:tcPr>
            <w:tcW w:w="20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28,675</w:t>
            </w:r>
          </w:p>
        </w:tc>
        <w:tc>
          <w:tcPr>
            <w:tcW w:w="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23,378</w:t>
            </w:r>
          </w:p>
        </w:tc>
      </w:tr>
      <w:tr>
        <w:trPr>
          <w:trHeight w:val="189"/>
        </w:trPr>
        <w:tc>
          <w:tcPr>
            <w:tcW w:w="5600" w:type="dxa"/>
            <w:vAlign w:val="bottom"/>
          </w:tcPr>
          <w:p>
            <w:pPr>
              <w:spacing w:after="0"/>
              <w:rPr>
                <w:sz w:val="20"/>
                <w:szCs w:val="20"/>
                <w:color w:val="auto"/>
              </w:rPr>
            </w:pPr>
            <w:r>
              <w:rPr>
                <w:rFonts w:ascii="Arial" w:cs="Arial" w:eastAsia="Arial" w:hAnsi="Arial"/>
                <w:sz w:val="16"/>
                <w:szCs w:val="16"/>
                <w:color w:val="auto"/>
              </w:rPr>
              <w:t>Computer equipment and software</w:t>
            </w: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4,447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3,907</w:t>
            </w:r>
          </w:p>
        </w:tc>
      </w:tr>
      <w:tr>
        <w:trPr>
          <w:trHeight w:val="189"/>
        </w:trPr>
        <w:tc>
          <w:tcPr>
            <w:tcW w:w="5600" w:type="dxa"/>
            <w:vAlign w:val="bottom"/>
            <w:shd w:val="clear" w:color="auto" w:fill="CFF0FC"/>
          </w:tcPr>
          <w:p>
            <w:pPr>
              <w:spacing w:after="0"/>
              <w:rPr>
                <w:sz w:val="20"/>
                <w:szCs w:val="20"/>
                <w:color w:val="auto"/>
              </w:rPr>
            </w:pPr>
            <w:r>
              <w:rPr>
                <w:rFonts w:ascii="Arial" w:cs="Arial" w:eastAsia="Arial" w:hAnsi="Arial"/>
                <w:sz w:val="16"/>
                <w:szCs w:val="16"/>
                <w:color w:val="auto"/>
              </w:rPr>
              <w:t>Leasehold improvements</w:t>
            </w:r>
          </w:p>
        </w:tc>
        <w:tc>
          <w:tcPr>
            <w:tcW w:w="1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5,456</w:t>
            </w:r>
          </w:p>
        </w:tc>
      </w:tr>
      <w:tr>
        <w:trPr>
          <w:trHeight w:val="189"/>
        </w:trPr>
        <w:tc>
          <w:tcPr>
            <w:tcW w:w="5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Furniture and fixtures</w:t>
            </w:r>
          </w:p>
        </w:tc>
        <w:tc>
          <w:tcPr>
            <w:tcW w:w="19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r>
      <w:tr>
        <w:trPr>
          <w:trHeight w:val="183"/>
        </w:trPr>
        <w:tc>
          <w:tcPr>
            <w:tcW w:w="5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property and equipment</w:t>
            </w:r>
          </w:p>
        </w:tc>
        <w:tc>
          <w:tcPr>
            <w:tcW w:w="1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38,167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33,645</w:t>
            </w:r>
          </w:p>
        </w:tc>
      </w:tr>
      <w:tr>
        <w:trPr>
          <w:trHeight w:val="189"/>
        </w:trPr>
        <w:tc>
          <w:tcPr>
            <w:tcW w:w="5600" w:type="dxa"/>
            <w:vAlign w:val="bottom"/>
          </w:tcPr>
          <w:p>
            <w:pPr>
              <w:ind w:left="140"/>
              <w:spacing w:after="0"/>
              <w:rPr>
                <w:sz w:val="20"/>
                <w:szCs w:val="20"/>
                <w:color w:val="auto"/>
              </w:rPr>
            </w:pPr>
            <w:r>
              <w:rPr>
                <w:rFonts w:ascii="Arial" w:cs="Arial" w:eastAsia="Arial" w:hAnsi="Arial"/>
                <w:sz w:val="16"/>
                <w:szCs w:val="16"/>
                <w:color w:val="auto"/>
              </w:rPr>
              <w:t>Less: Accumulated depreciation and amortization</w:t>
            </w:r>
          </w:p>
        </w:tc>
        <w:tc>
          <w:tcPr>
            <w:tcW w:w="1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(16,485)</w:t>
            </w:r>
          </w:p>
        </w:tc>
      </w:tr>
      <w:tr>
        <w:trPr>
          <w:trHeight w:val="203"/>
        </w:trPr>
        <w:tc>
          <w:tcPr>
            <w:tcW w:w="56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Property and equipment, net</w:t>
            </w:r>
          </w:p>
        </w:tc>
        <w:tc>
          <w:tcPr>
            <w:tcW w:w="19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20,356</w:t>
            </w:r>
          </w:p>
        </w:tc>
        <w:tc>
          <w:tcPr>
            <w:tcW w:w="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17,160</w:t>
            </w: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-402590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Depreciation of property and equipment and amortization of internal-use software for the three months ended September 30, 2025 and 2024 was $1.5 million and $1.1 million, respectively. Depreciation of property and equipment and amortization of internal-use software for the nine months ended September 30, 2025 and 2024 was $4.4 million and $3.6 million, respectively.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0" w:name="page21"/>
    <w:bookmarkEnd w:id="20"/>
    <w:p>
      <w:pPr>
        <w:ind w:right="200" w:firstLine="509"/>
        <w:spacing w:after="0" w:line="253" w:lineRule="auto"/>
        <w:rPr>
          <w:sz w:val="20"/>
          <w:szCs w:val="20"/>
          <w:color w:val="auto"/>
        </w:rPr>
      </w:pPr>
      <w:r>
        <w:rPr>
          <w:rFonts w:ascii="Arial" w:cs="Arial" w:eastAsia="Arial" w:hAnsi="Arial"/>
          <w:sz w:val="18"/>
          <w:szCs w:val="18"/>
          <w:color w:val="auto"/>
        </w:rPr>
        <w:t>The Company capitalized $6.6 million and $4.7 million in costs related to internal-use software during the nine months ended September 30, 2025 and 2024. Software developed for internal use is amortized on a straight-line basis over its estimated useful life of five years.</w:t>
      </w:r>
    </w:p>
    <w:p>
      <w:pPr>
        <w:spacing w:after="0" w:line="142"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As of September 30, 2025 and December 31, 2024, the carrying value of internal-use software was $18.4 million and $15.4 million, respectively. Amortization expense related to internal-use software for the three months ended September 30, 2025 and 2024 was $1.2 million and $0.7 million, respectively. Amortization expense related to internal-use software for the nine months ended September 30, 2025 and 2024 was $3.5 million and $2.5 million, respectively.</w:t>
      </w:r>
    </w:p>
    <w:p>
      <w:pPr>
        <w:spacing w:after="0" w:line="1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Restructuring</w:t>
      </w:r>
    </w:p>
    <w:p>
      <w:pPr>
        <w:spacing w:after="0" w:line="171"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In February 2025, the Company announced a restructuring plan designed to improve operational efficiencies, reduce operating costs, and better align the Company’s workforce with current business needs, top strategic priorities, and key growth opportunities (collectively, the Restructuring Plan). In connection with the Restructuring Plan, the Company incurred restructuring and restructuring-related charges of $8.7 million during the nine months ended September 30, 2025, recorded within restructuring expenses on the condensed consolidated statements of operations and comprehensive income, primarily consisting of cash expenditures for severance payments and related expenses of $6.3 million for the nine months ended September 30, 2025, as well as non-cash expenditures related to acceleration of vesting of share-based awards of $2.4 million for the nine months ended September 30, 2025. As of September 30, 2025, the accrued restructuring liability was $0.7 million, which is included within accrued expenses and other current liabilities in the condensed consolidated balance sheets. Total restructuring costs were complete as of June 30, 2025.</w:t>
      </w:r>
    </w:p>
    <w:p>
      <w:pPr>
        <w:spacing w:after="0" w:line="18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Business Combinations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Sertifi</w:t>
      </w:r>
    </w:p>
    <w:p>
      <w:pPr>
        <w:spacing w:after="0" w:line="183"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On February 24, 2025, Flywire acquired all of the issued and outstanding membership interests of Sertifi LLC (Sertifi) for upfront cash consideration of $330.0 million, subject to certain post-closing adjustments set forth in the Purchase and Sale Agreement (the Agreement), and contingent consideration of up to $10.0 million upon the completion or satisfaction of certain technical and commercial milestones by Sertifi. Sertifi is a vertical software and payments platform digitizing hospitality-specific workflows and associated payments. The acquisition of Sertifi was intended to accelerate the Company’s travel business and expand Flywire’s offerings to support over 20,000 hotel locations globally.</w:t>
      </w:r>
    </w:p>
    <w:p>
      <w:pPr>
        <w:spacing w:after="0" w:line="138"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The Company paid the upfront cash consideration through a combination of cash on hand and $125.0 million borrowed from its existing 2024 Revolving Credit Facility.</w:t>
      </w:r>
    </w:p>
    <w:p>
      <w:pPr>
        <w:spacing w:after="0" w:line="113" w:lineRule="exact"/>
        <w:rPr>
          <w:sz w:val="20"/>
          <w:szCs w:val="20"/>
          <w:color w:val="auto"/>
        </w:rPr>
      </w:pPr>
    </w:p>
    <w:p>
      <w:pPr>
        <w:jc w:val="both"/>
        <w:ind w:right="260" w:firstLine="559"/>
        <w:spacing w:after="0" w:line="253" w:lineRule="auto"/>
        <w:rPr>
          <w:sz w:val="20"/>
          <w:szCs w:val="20"/>
          <w:color w:val="auto"/>
        </w:rPr>
      </w:pPr>
      <w:r>
        <w:rPr>
          <w:rFonts w:ascii="Arial" w:cs="Arial" w:eastAsia="Arial" w:hAnsi="Arial"/>
          <w:sz w:val="18"/>
          <w:szCs w:val="18"/>
          <w:color w:val="auto"/>
        </w:rPr>
        <w:t>During the second quarter of 2025, the Company completed its purchase accounting. The Company recorded measurement period adjustments that increased Goodwill by $0.1 million due to changes in acquired intangible assets, contingent consideration, and a working capital adjustment.</w:t>
      </w:r>
    </w:p>
    <w:p>
      <w:pPr>
        <w:spacing w:after="0" w:line="142"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Pursuant to the terms of the Agreement, the Company acquired Sertifi for total purchase consideration of approximately $336.1 million or $328.0 million, net of cash acquired, which consisted of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60" w:type="dxa"/>
            <w:vAlign w:val="bottom"/>
            <w:shd w:val="clear" w:color="auto" w:fill="CFF0FC"/>
          </w:tcPr>
          <w:p>
            <w:pPr>
              <w:spacing w:after="0"/>
              <w:rPr>
                <w:sz w:val="20"/>
                <w:szCs w:val="20"/>
                <w:color w:val="auto"/>
              </w:rPr>
            </w:pPr>
            <w:r>
              <w:rPr>
                <w:rFonts w:ascii="Arial" w:cs="Arial" w:eastAsia="Arial" w:hAnsi="Arial"/>
                <w:sz w:val="16"/>
                <w:szCs w:val="16"/>
                <w:color w:val="auto"/>
              </w:rPr>
              <w:t>Cash consideration, net of cash acquired</w:t>
            </w:r>
          </w:p>
        </w:tc>
        <w:tc>
          <w:tcPr>
            <w:tcW w:w="640" w:type="dxa"/>
            <w:vAlign w:val="bottom"/>
            <w:shd w:val="clear" w:color="auto" w:fill="CFF0FC"/>
          </w:tcPr>
          <w:p>
            <w:pPr>
              <w:jc w:val="right"/>
              <w:ind w:right="48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324,921</w:t>
            </w:r>
          </w:p>
        </w:tc>
      </w:tr>
      <w:tr>
        <w:trPr>
          <w:trHeight w:val="189"/>
        </w:trPr>
        <w:tc>
          <w:tcPr>
            <w:tcW w:w="9460" w:type="dxa"/>
            <w:vAlign w:val="bottom"/>
          </w:tcPr>
          <w:p>
            <w:pPr>
              <w:spacing w:after="0"/>
              <w:rPr>
                <w:sz w:val="20"/>
                <w:szCs w:val="20"/>
                <w:color w:val="auto"/>
              </w:rPr>
            </w:pPr>
            <w:r>
              <w:rPr>
                <w:rFonts w:ascii="Arial" w:cs="Arial" w:eastAsia="Arial" w:hAnsi="Arial"/>
                <w:sz w:val="16"/>
                <w:szCs w:val="16"/>
                <w:color w:val="auto"/>
              </w:rPr>
              <w:t>Estimated fair value of contingent consideration</w:t>
            </w: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w:t>
            </w:r>
          </w:p>
        </w:tc>
      </w:tr>
      <w:tr>
        <w:trPr>
          <w:trHeight w:val="223"/>
        </w:trPr>
        <w:tc>
          <w:tcPr>
            <w:tcW w:w="94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purchase consideration, net of cash acquired</w:t>
            </w:r>
          </w:p>
        </w:tc>
        <w:tc>
          <w:tcPr>
            <w:tcW w:w="640" w:type="dxa"/>
            <w:vAlign w:val="bottom"/>
            <w:tcBorders>
              <w:bottom w:val="single" w:sz="8" w:color="auto"/>
            </w:tcBorders>
            <w:shd w:val="clear" w:color="auto" w:fill="CFF0FC"/>
          </w:tcPr>
          <w:p>
            <w:pPr>
              <w:jc w:val="right"/>
              <w:ind w:right="4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328,028</w:t>
            </w:r>
          </w:p>
        </w:tc>
      </w:tr>
    </w:tbl>
    <w:p>
      <w:pPr>
        <w:spacing w:after="0" w:line="157"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During the three months ended September 30, 2025, the Company paid $5.1 million for post-closing adjustments. The Agreement provides for contingent consideration of up to $10.0 million, with an estimated fair value of $3.1 million on the date of acquisition, and represents additional payments that Flywire may be required to make in the future which are dependent upon the successful achievement of certain targets related to gross profit as well as milestones related to the Sertifi's technology and security integration.</w:t>
      </w:r>
    </w:p>
    <w:p>
      <w:pPr>
        <w:spacing w:after="0" w:line="147"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During the three and nine months ended September 30, 2025, the Company incurred $0.0 million and $2.6 million in transaction costs in connection with the Sertifi acquisition. These transaction costs are included in general and administrative expenses in the condensed consolidated statements of operations and comprehensive income.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1" w:name="page22"/>
    <w:bookmarkEnd w:id="21"/>
    <w:p>
      <w:pPr>
        <w:ind w:right="240" w:firstLine="509"/>
        <w:spacing w:after="0" w:line="271" w:lineRule="auto"/>
        <w:rPr>
          <w:sz w:val="20"/>
          <w:szCs w:val="20"/>
          <w:color w:val="auto"/>
        </w:rPr>
      </w:pPr>
      <w:r>
        <w:rPr>
          <w:rFonts w:ascii="Arial" w:cs="Arial" w:eastAsia="Arial" w:hAnsi="Arial"/>
          <w:sz w:val="18"/>
          <w:szCs w:val="18"/>
          <w:color w:val="auto"/>
        </w:rPr>
        <w:t>The table summarizes the allocation of the purchase consideration to the fair value of the assets acquired and liabilities assumed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Cash</w:t>
            </w: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8,109</w:t>
            </w:r>
          </w:p>
        </w:tc>
      </w:tr>
      <w:tr>
        <w:trPr>
          <w:trHeight w:val="189"/>
        </w:trPr>
        <w:tc>
          <w:tcPr>
            <w:tcW w:w="9400" w:type="dxa"/>
            <w:vAlign w:val="bottom"/>
          </w:tcPr>
          <w:p>
            <w:pPr>
              <w:spacing w:after="0"/>
              <w:rPr>
                <w:sz w:val="20"/>
                <w:szCs w:val="20"/>
                <w:color w:val="auto"/>
              </w:rPr>
            </w:pPr>
            <w:r>
              <w:rPr>
                <w:rFonts w:ascii="Arial" w:cs="Arial" w:eastAsia="Arial" w:hAnsi="Arial"/>
                <w:sz w:val="16"/>
                <w:szCs w:val="16"/>
                <w:color w:val="auto"/>
              </w:rPr>
              <w:t>Accounts receivable</w:t>
            </w:r>
          </w:p>
        </w:tc>
        <w:tc>
          <w:tcPr>
            <w:tcW w:w="6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6,418</w:t>
            </w:r>
          </w:p>
        </w:tc>
      </w:tr>
      <w:tr>
        <w:trPr>
          <w:trHeight w:val="189"/>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Prepaid expenses and other current assets</w:t>
            </w:r>
          </w:p>
        </w:tc>
        <w:tc>
          <w:tcPr>
            <w:tcW w:w="6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982</w:t>
            </w:r>
          </w:p>
        </w:tc>
      </w:tr>
      <w:tr>
        <w:trPr>
          <w:trHeight w:val="189"/>
        </w:trPr>
        <w:tc>
          <w:tcPr>
            <w:tcW w:w="9400" w:type="dxa"/>
            <w:vAlign w:val="bottom"/>
          </w:tcPr>
          <w:p>
            <w:pPr>
              <w:spacing w:after="0"/>
              <w:rPr>
                <w:sz w:val="20"/>
                <w:szCs w:val="20"/>
                <w:color w:val="auto"/>
              </w:rPr>
            </w:pPr>
            <w:r>
              <w:rPr>
                <w:rFonts w:ascii="Arial" w:cs="Arial" w:eastAsia="Arial" w:hAnsi="Arial"/>
                <w:sz w:val="16"/>
                <w:szCs w:val="16"/>
                <w:color w:val="auto"/>
              </w:rPr>
              <w:t>Other assets</w:t>
            </w:r>
          </w:p>
        </w:tc>
        <w:tc>
          <w:tcPr>
            <w:tcW w:w="6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189"/>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6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251,569</w:t>
            </w:r>
          </w:p>
        </w:tc>
      </w:tr>
      <w:tr>
        <w:trPr>
          <w:trHeight w:val="189"/>
        </w:trPr>
        <w:tc>
          <w:tcPr>
            <w:tcW w:w="9400" w:type="dxa"/>
            <w:vAlign w:val="bottom"/>
          </w:tcPr>
          <w:p>
            <w:pPr>
              <w:spacing w:after="0"/>
              <w:rPr>
                <w:sz w:val="20"/>
                <w:szCs w:val="20"/>
                <w:color w:val="auto"/>
              </w:rPr>
            </w:pPr>
            <w:r>
              <w:rPr>
                <w:rFonts w:ascii="Arial" w:cs="Arial" w:eastAsia="Arial" w:hAnsi="Arial"/>
                <w:sz w:val="16"/>
                <w:szCs w:val="16"/>
                <w:color w:val="auto"/>
              </w:rPr>
              <w:t>Identifiable intangible assets</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86,700</w:t>
            </w:r>
          </w:p>
        </w:tc>
      </w:tr>
      <w:tr>
        <w:trPr>
          <w:trHeight w:val="183"/>
        </w:trPr>
        <w:tc>
          <w:tcPr>
            <w:tcW w:w="94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assets acquired</w:t>
            </w:r>
          </w:p>
        </w:tc>
        <w:tc>
          <w:tcPr>
            <w:tcW w:w="6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354,099</w:t>
            </w:r>
          </w:p>
        </w:tc>
      </w:tr>
      <w:tr>
        <w:trPr>
          <w:trHeight w:val="183"/>
        </w:trPr>
        <w:tc>
          <w:tcPr>
            <w:tcW w:w="9400" w:type="dxa"/>
            <w:vAlign w:val="bottom"/>
          </w:tcPr>
          <w:p>
            <w:pPr>
              <w:spacing w:after="0" w:line="183" w:lineRule="exact"/>
              <w:rPr>
                <w:sz w:val="20"/>
                <w:szCs w:val="20"/>
                <w:color w:val="auto"/>
              </w:rPr>
            </w:pPr>
            <w:r>
              <w:rPr>
                <w:rFonts w:ascii="Arial" w:cs="Arial" w:eastAsia="Arial" w:hAnsi="Arial"/>
                <w:sz w:val="16"/>
                <w:szCs w:val="16"/>
                <w:color w:val="auto"/>
              </w:rPr>
              <w:t>Deferred revenue</w:t>
            </w:r>
          </w:p>
        </w:tc>
        <w:tc>
          <w:tcPr>
            <w:tcW w:w="6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14,347</w:t>
            </w:r>
          </w:p>
        </w:tc>
      </w:tr>
      <w:tr>
        <w:trPr>
          <w:trHeight w:val="189"/>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expenses</w:t>
            </w:r>
          </w:p>
        </w:tc>
        <w:tc>
          <w:tcPr>
            <w:tcW w:w="6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3,615</w:t>
            </w:r>
          </w:p>
        </w:tc>
      </w:tr>
      <w:tr>
        <w:trPr>
          <w:trHeight w:val="183"/>
        </w:trPr>
        <w:tc>
          <w:tcPr>
            <w:tcW w:w="9400" w:type="dxa"/>
            <w:vAlign w:val="bottom"/>
          </w:tcPr>
          <w:p>
            <w:pPr>
              <w:spacing w:after="0" w:line="183" w:lineRule="exact"/>
              <w:rPr>
                <w:sz w:val="20"/>
                <w:szCs w:val="20"/>
                <w:color w:val="auto"/>
              </w:rPr>
            </w:pPr>
            <w:r>
              <w:rPr>
                <w:rFonts w:ascii="Arial" w:cs="Arial" w:eastAsia="Arial" w:hAnsi="Arial"/>
                <w:sz w:val="16"/>
                <w:szCs w:val="16"/>
                <w:b w:val="1"/>
                <w:bCs w:val="1"/>
                <w:color w:val="auto"/>
              </w:rPr>
              <w:t>Total liabilities assumed</w:t>
            </w:r>
          </w:p>
        </w:tc>
        <w:tc>
          <w:tcPr>
            <w:tcW w:w="6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17,962</w:t>
            </w:r>
          </w:p>
        </w:tc>
      </w:tr>
      <w:tr>
        <w:trPr>
          <w:trHeight w:val="183"/>
        </w:trPr>
        <w:tc>
          <w:tcPr>
            <w:tcW w:w="9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assets acquired</w:t>
            </w:r>
          </w:p>
        </w:tc>
        <w:tc>
          <w:tcPr>
            <w:tcW w:w="6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336,137</w:t>
            </w:r>
          </w:p>
        </w:tc>
      </w:tr>
      <w:tr>
        <w:trPr>
          <w:trHeight w:val="189"/>
        </w:trPr>
        <w:tc>
          <w:tcPr>
            <w:tcW w:w="9400" w:type="dxa"/>
            <w:vAlign w:val="bottom"/>
          </w:tcPr>
          <w:p>
            <w:pPr>
              <w:ind w:left="180"/>
              <w:spacing w:after="0"/>
              <w:rPr>
                <w:sz w:val="20"/>
                <w:szCs w:val="20"/>
                <w:color w:val="auto"/>
              </w:rPr>
            </w:pPr>
            <w:r>
              <w:rPr>
                <w:rFonts w:ascii="Arial" w:cs="Arial" w:eastAsia="Arial" w:hAnsi="Arial"/>
                <w:sz w:val="16"/>
                <w:szCs w:val="16"/>
                <w:color w:val="auto"/>
              </w:rPr>
              <w:t>Less: cash acquired</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8,109</w:t>
            </w:r>
          </w:p>
        </w:tc>
      </w:tr>
      <w:tr>
        <w:trPr>
          <w:trHeight w:val="223"/>
        </w:trPr>
        <w:tc>
          <w:tcPr>
            <w:tcW w:w="94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assets, less cash acquired</w:t>
            </w:r>
          </w:p>
        </w:tc>
        <w:tc>
          <w:tcPr>
            <w:tcW w:w="660" w:type="dxa"/>
            <w:vAlign w:val="bottom"/>
            <w:tcBorders>
              <w:bottom w:val="single" w:sz="8" w:color="auto"/>
            </w:tcBorders>
            <w:shd w:val="clear" w:color="auto" w:fill="CFF0FC"/>
          </w:tcPr>
          <w:p>
            <w:pPr>
              <w:jc w:val="right"/>
              <w:ind w:right="47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328,028</w:t>
            </w:r>
          </w:p>
        </w:tc>
      </w:tr>
    </w:tbl>
    <w:p>
      <w:pPr>
        <w:spacing w:after="0" w:line="157" w:lineRule="exact"/>
        <w:rPr>
          <w:sz w:val="20"/>
          <w:szCs w:val="20"/>
          <w:color w:val="auto"/>
        </w:rPr>
      </w:pPr>
    </w:p>
    <w:p>
      <w:pPr>
        <w:jc w:val="both"/>
        <w:ind w:right="360" w:firstLine="509"/>
        <w:spacing w:after="0" w:line="253" w:lineRule="auto"/>
        <w:rPr>
          <w:sz w:val="20"/>
          <w:szCs w:val="20"/>
          <w:color w:val="auto"/>
        </w:rPr>
      </w:pPr>
      <w:r>
        <w:rPr>
          <w:rFonts w:ascii="Arial" w:cs="Arial" w:eastAsia="Arial" w:hAnsi="Arial"/>
          <w:sz w:val="18"/>
          <w:szCs w:val="18"/>
          <w:color w:val="auto"/>
        </w:rPr>
        <w:t>The goodwill of $251.6 million arising from the acquisition of Sertifi can be attributed to a number of business factors, including an assembled workforce and revenue and cost synergies expected to be realized. Goodwill from this acquisition is deductible for income tax purposes.</w:t>
      </w:r>
    </w:p>
    <w:p>
      <w:pPr>
        <w:spacing w:after="0" w:line="128" w:lineRule="exact"/>
        <w:rPr>
          <w:sz w:val="20"/>
          <w:szCs w:val="20"/>
          <w:color w:val="auto"/>
        </w:rPr>
      </w:pPr>
    </w:p>
    <w:p>
      <w:pPr>
        <w:ind w:right="960" w:firstLine="509"/>
        <w:spacing w:after="0" w:line="271" w:lineRule="auto"/>
        <w:rPr>
          <w:sz w:val="20"/>
          <w:szCs w:val="20"/>
          <w:color w:val="auto"/>
        </w:rPr>
      </w:pPr>
      <w:r>
        <w:rPr>
          <w:rFonts w:ascii="Arial" w:cs="Arial" w:eastAsia="Arial" w:hAnsi="Arial"/>
          <w:sz w:val="18"/>
          <w:szCs w:val="18"/>
          <w:color w:val="auto"/>
        </w:rPr>
        <w:t>The following table reflects the fair values of the identified intangible assets of Sertifi and their respective weighted-average amortization periods.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Weighted-Average</w:t>
            </w:r>
          </w:p>
        </w:tc>
      </w:tr>
      <w:tr>
        <w:trPr>
          <w:trHeight w:val="203"/>
        </w:trPr>
        <w:tc>
          <w:tcPr>
            <w:tcW w:w="7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Amortization Periods</w:t>
            </w:r>
          </w:p>
        </w:tc>
      </w:tr>
      <w:tr>
        <w:trPr>
          <w:trHeight w:val="183"/>
        </w:trPr>
        <w:tc>
          <w:tcPr>
            <w:tcW w:w="7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right"/>
              <w:ind w:right="259"/>
              <w:spacing w:after="0" w:line="183" w:lineRule="exact"/>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5"/>
                <w:szCs w:val="15"/>
                <w:color w:val="auto"/>
              </w:rPr>
            </w:pPr>
          </w:p>
        </w:tc>
        <w:tc>
          <w:tcPr>
            <w:tcW w:w="19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9"/>
              </w:rPr>
              <w:t>(years)</w:t>
            </w:r>
          </w:p>
        </w:tc>
      </w:tr>
      <w:tr>
        <w:trPr>
          <w:trHeight w:val="18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Acquired relationships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53,100</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Developed technology</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29,000</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Trade name/Trademark</w:t>
            </w:r>
          </w:p>
        </w:tc>
        <w:tc>
          <w:tcPr>
            <w:tcW w:w="200" w:type="dxa"/>
            <w:vAlign w:val="bottom"/>
            <w:tcBorders>
              <w:bottom w:val="single" w:sz="8" w:color="auto"/>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4,600</w:t>
            </w:r>
          </w:p>
        </w:tc>
        <w:tc>
          <w:tcPr>
            <w:tcW w:w="20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r>
      <w:tr>
        <w:trPr>
          <w:trHeight w:val="183"/>
        </w:trPr>
        <w:tc>
          <w:tcPr>
            <w:tcW w:w="7440" w:type="dxa"/>
            <w:vAlign w:val="bottom"/>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86,700</w:t>
            </w: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-153670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60" w:firstLine="509"/>
        <w:spacing w:after="0" w:line="244" w:lineRule="auto"/>
        <w:rPr>
          <w:sz w:val="20"/>
          <w:szCs w:val="20"/>
          <w:color w:val="auto"/>
        </w:rPr>
      </w:pPr>
      <w:r>
        <w:rPr>
          <w:rFonts w:ascii="Arial" w:cs="Arial" w:eastAsia="Arial" w:hAnsi="Arial"/>
          <w:sz w:val="18"/>
          <w:szCs w:val="18"/>
          <w:color w:val="auto"/>
        </w:rPr>
        <w:t>The results of Sertifi have been included in the condensed consolidated financial statements since the date of the acquisition. Sertifi contributed $7.8 million in platform revenue and $5.1 million in transactional revenue during the three months ended September 30, 2025, and $18.4 million in platform revenue and $11.5 million in transactional revenue during the nine months ended September 30, 2025. The Company has not disclosed net income or loss since the acquisition date as the business was fully integrated into the consolidated Company's operations and therefore it was impracticable to determine this amount.</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Financial Information</w:t>
      </w:r>
    </w:p>
    <w:p>
      <w:pPr>
        <w:spacing w:after="0" w:line="185"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The following unaudited pro forma financial information shows the results of the Company’s operations for the three and nine months ended September 30, 2024, as if the acquisition had occurred on January 1, 2024.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Sertifi. The unaudited pro forma information reflects the effects of applying the Company’s accounting policies and certain pro forma adjustments to the combined historical financial information of the Company and Sertifi. The pro forma adjustments include:</w:t>
      </w:r>
    </w:p>
    <w:p>
      <w:pPr>
        <w:spacing w:after="0" w:line="7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amortization expense associated with the fair value of identified intangible assets;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employee compensation expense for Sertifi employees;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interest expense for borrowings related to the acquisition;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 costs;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estimated tax impact of the above items.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9"/>
        </w:trPr>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center"/>
              <w:ind w:right="219"/>
              <w:spacing w:after="0"/>
              <w:rPr>
                <w:sz w:val="20"/>
                <w:szCs w:val="20"/>
                <w:color w:val="auto"/>
              </w:rPr>
            </w:pPr>
            <w:r>
              <w:rPr>
                <w:rFonts w:ascii="Arial" w:cs="Arial" w:eastAsia="Arial" w:hAnsi="Arial"/>
                <w:sz w:val="16"/>
                <w:szCs w:val="16"/>
                <w:b w:val="1"/>
                <w:bCs w:val="1"/>
                <w:color w:val="auto"/>
              </w:rPr>
              <w:t>September 30, 2025</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center"/>
              <w:ind w:right="239"/>
              <w:spacing w:after="0"/>
              <w:rPr>
                <w:sz w:val="20"/>
                <w:szCs w:val="20"/>
                <w:color w:val="auto"/>
              </w:rPr>
            </w:pPr>
            <w:r>
              <w:rPr>
                <w:rFonts w:ascii="Arial" w:cs="Arial" w:eastAsia="Arial" w:hAnsi="Arial"/>
                <w:sz w:val="16"/>
                <w:szCs w:val="16"/>
                <w:b w:val="1"/>
                <w:bCs w:val="1"/>
                <w:color w:val="auto"/>
              </w:rPr>
              <w:t>September 30, 2024</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center"/>
              <w:ind w:right="219"/>
              <w:spacing w:after="0"/>
              <w:rPr>
                <w:sz w:val="20"/>
                <w:szCs w:val="20"/>
                <w:color w:val="auto"/>
              </w:rPr>
            </w:pPr>
            <w:r>
              <w:rPr>
                <w:rFonts w:ascii="Arial" w:cs="Arial" w:eastAsia="Arial" w:hAnsi="Arial"/>
                <w:sz w:val="16"/>
                <w:szCs w:val="16"/>
                <w:b w:val="1"/>
                <w:bCs w:val="1"/>
                <w:color w:val="auto"/>
              </w:rPr>
              <w:t>September 30, 2024</w:t>
            </w:r>
          </w:p>
        </w:tc>
      </w:tr>
      <w:tr>
        <w:trPr>
          <w:trHeight w:val="183"/>
        </w:trPr>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Actual</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rPr>
              <w:t>Pro Forma</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Actual</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rPr>
              <w:t>Pro Forma</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Actual</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rPr>
              <w:t>Pro Forma</w:t>
            </w:r>
          </w:p>
        </w:tc>
      </w:tr>
      <w:tr>
        <w:trPr>
          <w:trHeight w:val="183"/>
        </w:trPr>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gridSpan w:val="4"/>
          </w:tcPr>
          <w:p>
            <w:pPr>
              <w:jc w:val="center"/>
              <w:ind w:right="219"/>
              <w:spacing w:after="0" w:line="183" w:lineRule="exact"/>
              <w:rPr>
                <w:sz w:val="20"/>
                <w:szCs w:val="20"/>
                <w:color w:val="auto"/>
              </w:rPr>
            </w:pPr>
            <w:r>
              <w:rPr>
                <w:rFonts w:ascii="Arial" w:cs="Arial" w:eastAsia="Arial" w:hAnsi="Arial"/>
                <w:sz w:val="16"/>
                <w:szCs w:val="16"/>
                <w:b w:val="1"/>
                <w:bCs w:val="1"/>
                <w:color w:val="auto"/>
                <w:w w:val="99"/>
              </w:rPr>
              <w:t>(in thousands)</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4"/>
          </w:tcPr>
          <w:p>
            <w:pPr>
              <w:jc w:val="center"/>
              <w:ind w:right="239"/>
              <w:spacing w:after="0" w:line="183" w:lineRule="exact"/>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4"/>
          </w:tcPr>
          <w:p>
            <w:pPr>
              <w:jc w:val="center"/>
              <w:ind w:right="219"/>
              <w:spacing w:after="0" w:line="183" w:lineRule="exact"/>
              <w:rPr>
                <w:sz w:val="20"/>
                <w:szCs w:val="20"/>
                <w:color w:val="auto"/>
              </w:rPr>
            </w:pPr>
            <w:r>
              <w:rPr>
                <w:rFonts w:ascii="Arial" w:cs="Arial" w:eastAsia="Arial" w:hAnsi="Arial"/>
                <w:sz w:val="16"/>
                <w:szCs w:val="16"/>
                <w:b w:val="1"/>
                <w:bCs w:val="1"/>
                <w:color w:val="auto"/>
                <w:w w:val="99"/>
              </w:rPr>
              <w:t>(in thousands)</w:t>
            </w:r>
          </w:p>
        </w:tc>
      </w:tr>
      <w:tr>
        <w:trPr>
          <w:trHeight w:val="189"/>
        </w:trPr>
        <w:tc>
          <w:tcPr>
            <w:tcW w:w="12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465,481</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472,239</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156,815</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166,445</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374,594</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401,683</w:t>
            </w:r>
          </w:p>
        </w:tc>
      </w:tr>
      <w:tr>
        <w:trPr>
          <w:trHeight w:val="215"/>
        </w:trPr>
        <w:tc>
          <w:tcPr>
            <w:tcW w:w="1260" w:type="dxa"/>
            <w:vAlign w:val="bottom"/>
          </w:tcPr>
          <w:p>
            <w:pPr>
              <w:spacing w:after="0"/>
              <w:rPr>
                <w:sz w:val="20"/>
                <w:szCs w:val="20"/>
                <w:color w:val="auto"/>
              </w:rPr>
            </w:pPr>
            <w:r>
              <w:rPr>
                <w:rFonts w:ascii="Arial" w:cs="Arial" w:eastAsia="Arial" w:hAnsi="Arial"/>
                <w:sz w:val="16"/>
                <w:szCs w:val="16"/>
                <w:color w:val="auto"/>
              </w:rPr>
              <w:t>Net income</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13,464</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12,785</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38,896</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36,926</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18,799</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10,580</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Invoiced</w:t>
      </w:r>
    </w:p>
    <w:p>
      <w:pPr>
        <w:spacing w:after="0" w:line="183"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On August 2, 2024, Flywire acquired all of the issued and outstanding shares of Invoiced, a U.S.-based software as a service (SaaS) B2B company that provides accounts receivable software that automates all aspects of billing, collections, payments, reporting, and forecasting within a single online platform. The acquisition of Invoiced was intended to accelerate the Company's global expansion in its B2B vertical. The acquisition of Invoiced has been accounted for as a business combination.</w:t>
      </w:r>
    </w:p>
    <w:p>
      <w:pPr>
        <w:spacing w:after="0" w:line="133" w:lineRule="exact"/>
        <w:rPr>
          <w:sz w:val="20"/>
          <w:szCs w:val="20"/>
          <w:color w:val="auto"/>
        </w:rPr>
      </w:pPr>
    </w:p>
    <w:p>
      <w:pPr>
        <w:ind w:right="920" w:firstLine="509"/>
        <w:spacing w:after="0" w:line="271" w:lineRule="auto"/>
        <w:rPr>
          <w:sz w:val="20"/>
          <w:szCs w:val="20"/>
          <w:color w:val="auto"/>
        </w:rPr>
      </w:pPr>
      <w:r>
        <w:rPr>
          <w:rFonts w:ascii="Arial" w:cs="Arial" w:eastAsia="Arial" w:hAnsi="Arial"/>
          <w:sz w:val="18"/>
          <w:szCs w:val="18"/>
          <w:color w:val="auto"/>
        </w:rPr>
        <w:t>Pursuant to the terms of the business combination agreement, the Company acquired Invoiced for estimated total purchase consideration of approximately $53.2 million or $51.7 million, net of cash acquired, which consisted of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Cash consideration, net of cash acquired</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47,229</w:t>
            </w:r>
          </w:p>
        </w:tc>
      </w:tr>
      <w:tr>
        <w:trPr>
          <w:trHeight w:val="189"/>
        </w:trPr>
        <w:tc>
          <w:tcPr>
            <w:tcW w:w="9400" w:type="dxa"/>
            <w:vAlign w:val="bottom"/>
          </w:tcPr>
          <w:p>
            <w:pPr>
              <w:spacing w:after="0"/>
              <w:rPr>
                <w:sz w:val="20"/>
                <w:szCs w:val="20"/>
                <w:color w:val="auto"/>
              </w:rPr>
            </w:pPr>
            <w:r>
              <w:rPr>
                <w:rFonts w:ascii="Arial" w:cs="Arial" w:eastAsia="Arial" w:hAnsi="Arial"/>
                <w:sz w:val="16"/>
                <w:szCs w:val="16"/>
                <w:color w:val="auto"/>
              </w:rPr>
              <w:t>Estimated fair value of contingent consideration</w:t>
            </w:r>
          </w:p>
        </w:tc>
        <w:tc>
          <w:tcPr>
            <w:tcW w:w="7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4,508</w:t>
            </w:r>
          </w:p>
        </w:tc>
      </w:tr>
      <w:tr>
        <w:trPr>
          <w:trHeight w:val="223"/>
        </w:trPr>
        <w:tc>
          <w:tcPr>
            <w:tcW w:w="94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purchase consideration, net of cash acquired</w:t>
            </w:r>
          </w:p>
        </w:tc>
        <w:tc>
          <w:tcPr>
            <w:tcW w:w="720" w:type="dxa"/>
            <w:vAlign w:val="bottom"/>
            <w:tcBorders>
              <w:bottom w:val="single" w:sz="8" w:color="auto"/>
            </w:tcBorders>
            <w:shd w:val="clear" w:color="auto" w:fill="CFF0FC"/>
          </w:tcPr>
          <w:p>
            <w:pPr>
              <w:jc w:val="right"/>
              <w:ind w:right="53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51,737</w:t>
            </w:r>
          </w:p>
        </w:tc>
      </w:tr>
    </w:tbl>
    <w:p>
      <w:pPr>
        <w:spacing w:after="0" w:line="170"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The purchase consideration included $2.0 million of acquisition holdback payments payable to former Invoiced shareholders in the absence of pending claims, $1.0 million on each of the first and second anniversary dates of the acquisition. During the three months ended September 30, 2025, the Company released the first anniversary holdback amount of $1.0 million.</w:t>
      </w:r>
    </w:p>
    <w:p>
      <w:pPr>
        <w:spacing w:after="0" w:line="12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business combination agreement provides for contingent consideration of up to $7.5 million, with an estimated fair value of $4.5 million on the date of acquisition, and represents additional payments that Flywire may be required to make in the future which are dependent upon the successful achievement of certain targets related to revenue and cross-selling of the Invoiced software as well as milestones related to the Invoiced software product and security and IT integration. As of September 30, 2025, the fair value of the revenue milestone contingent consideration was assessed at 0% probability. During the nine months ended September 30, 2025, the Company paid $2.6 million related to the product and security and IT integration milestones being achieved. During the year ended December 31, 2024, the Company paid $1.1 million related to a product integration milestone achieved.</w:t>
      </w:r>
    </w:p>
    <w:p>
      <w:pPr>
        <w:spacing w:after="0" w:line="144" w:lineRule="exact"/>
        <w:rPr>
          <w:sz w:val="20"/>
          <w:szCs w:val="20"/>
          <w:color w:val="auto"/>
        </w:rPr>
      </w:pPr>
    </w:p>
    <w:p>
      <w:pPr>
        <w:jc w:val="both"/>
        <w:ind w:right="400" w:firstLine="509"/>
        <w:spacing w:after="0" w:line="253" w:lineRule="auto"/>
        <w:rPr>
          <w:sz w:val="20"/>
          <w:szCs w:val="20"/>
          <w:color w:val="auto"/>
        </w:rPr>
      </w:pPr>
      <w:r>
        <w:rPr>
          <w:rFonts w:ascii="Arial" w:cs="Arial" w:eastAsia="Arial" w:hAnsi="Arial"/>
          <w:sz w:val="18"/>
          <w:szCs w:val="18"/>
          <w:color w:val="auto"/>
        </w:rPr>
        <w:t>During the year ended December 31, 2024, the Company incurred $0.6 million in transaction costs in connection with the Invoiced acquisition, which are included in general and administrative expenses in the consolidated statements of operations and comprehensive income.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table summarizes the allocation of the purchase consideration to the assets acquired and liabilities assumed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80" w:type="dxa"/>
            <w:vAlign w:val="bottom"/>
            <w:shd w:val="clear" w:color="auto" w:fill="CFF0FC"/>
          </w:tcPr>
          <w:p>
            <w:pPr>
              <w:spacing w:after="0"/>
              <w:rPr>
                <w:sz w:val="20"/>
                <w:szCs w:val="20"/>
                <w:color w:val="auto"/>
              </w:rPr>
            </w:pPr>
            <w:r>
              <w:rPr>
                <w:rFonts w:ascii="Arial" w:cs="Arial" w:eastAsia="Arial" w:hAnsi="Arial"/>
                <w:sz w:val="16"/>
                <w:szCs w:val="16"/>
                <w:color w:val="auto"/>
              </w:rPr>
              <w:t>Cash</w:t>
            </w:r>
          </w:p>
        </w:tc>
        <w:tc>
          <w:tcPr>
            <w:tcW w:w="3860" w:type="dxa"/>
            <w:vAlign w:val="bottom"/>
            <w:gridSpan w:val="2"/>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1,418</w:t>
            </w:r>
          </w:p>
        </w:tc>
      </w:tr>
      <w:tr>
        <w:trPr>
          <w:trHeight w:val="189"/>
        </w:trPr>
        <w:tc>
          <w:tcPr>
            <w:tcW w:w="628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3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189"/>
        </w:trPr>
        <w:tc>
          <w:tcPr>
            <w:tcW w:w="62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3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6280" w:type="dxa"/>
            <w:vAlign w:val="bottom"/>
          </w:tcPr>
          <w:p>
            <w:pPr>
              <w:spacing w:after="0"/>
              <w:rPr>
                <w:sz w:val="20"/>
                <w:szCs w:val="20"/>
                <w:color w:val="auto"/>
              </w:rPr>
            </w:pPr>
            <w:r>
              <w:rPr>
                <w:rFonts w:ascii="Arial" w:cs="Arial" w:eastAsia="Arial" w:hAnsi="Arial"/>
                <w:sz w:val="16"/>
                <w:szCs w:val="16"/>
                <w:color w:val="auto"/>
              </w:rPr>
              <w:t>Identifiable intangible assets</w:t>
            </w:r>
          </w:p>
        </w:tc>
        <w:tc>
          <w:tcPr>
            <w:tcW w:w="3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26,100</w:t>
            </w:r>
          </w:p>
        </w:tc>
      </w:tr>
      <w:tr>
        <w:trPr>
          <w:trHeight w:val="189"/>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Goodwill</w:t>
            </w:r>
          </w:p>
        </w:tc>
        <w:tc>
          <w:tcPr>
            <w:tcW w:w="31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31,818</w:t>
            </w:r>
          </w:p>
        </w:tc>
      </w:tr>
      <w:tr>
        <w:trPr>
          <w:trHeight w:val="183"/>
        </w:trPr>
        <w:tc>
          <w:tcPr>
            <w:tcW w:w="6280" w:type="dxa"/>
            <w:vAlign w:val="bottom"/>
          </w:tcPr>
          <w:p>
            <w:pPr>
              <w:spacing w:after="0" w:line="183" w:lineRule="exact"/>
              <w:rPr>
                <w:sz w:val="20"/>
                <w:szCs w:val="20"/>
                <w:color w:val="auto"/>
              </w:rPr>
            </w:pPr>
            <w:r>
              <w:rPr>
                <w:rFonts w:ascii="Arial" w:cs="Arial" w:eastAsia="Arial" w:hAnsi="Arial"/>
                <w:sz w:val="16"/>
                <w:szCs w:val="16"/>
                <w:b w:val="1"/>
                <w:bCs w:val="1"/>
                <w:color w:val="auto"/>
              </w:rPr>
              <w:t>Total assets acquired</w:t>
            </w:r>
          </w:p>
        </w:tc>
        <w:tc>
          <w:tcPr>
            <w:tcW w:w="3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59,566</w:t>
            </w:r>
          </w:p>
        </w:tc>
      </w:tr>
      <w:tr>
        <w:trPr>
          <w:trHeight w:val="182"/>
        </w:trPr>
        <w:tc>
          <w:tcPr>
            <w:tcW w:w="62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Deferred tax liabilities</w:t>
            </w:r>
          </w:p>
        </w:tc>
        <w:tc>
          <w:tcPr>
            <w:tcW w:w="3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4,923</w:t>
            </w:r>
          </w:p>
        </w:tc>
      </w:tr>
      <w:tr>
        <w:trPr>
          <w:trHeight w:val="189"/>
        </w:trPr>
        <w:tc>
          <w:tcPr>
            <w:tcW w:w="6280" w:type="dxa"/>
            <w:vAlign w:val="bottom"/>
          </w:tcPr>
          <w:p>
            <w:pPr>
              <w:spacing w:after="0"/>
              <w:rPr>
                <w:sz w:val="20"/>
                <w:szCs w:val="20"/>
                <w:color w:val="auto"/>
              </w:rPr>
            </w:pPr>
            <w:r>
              <w:rPr>
                <w:rFonts w:ascii="Arial" w:cs="Arial" w:eastAsia="Arial" w:hAnsi="Arial"/>
                <w:sz w:val="16"/>
                <w:szCs w:val="16"/>
                <w:color w:val="auto"/>
              </w:rPr>
              <w:t>Deferred revenue</w:t>
            </w:r>
          </w:p>
        </w:tc>
        <w:tc>
          <w:tcPr>
            <w:tcW w:w="3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1,037</w:t>
            </w:r>
          </w:p>
        </w:tc>
      </w:tr>
      <w:tr>
        <w:trPr>
          <w:trHeight w:val="189"/>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Accounts payable and accrued expenses</w:t>
            </w:r>
          </w:p>
        </w:tc>
        <w:tc>
          <w:tcPr>
            <w:tcW w:w="31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451</w:t>
            </w:r>
          </w:p>
        </w:tc>
      </w:tr>
      <w:tr>
        <w:trPr>
          <w:trHeight w:val="183"/>
        </w:trPr>
        <w:tc>
          <w:tcPr>
            <w:tcW w:w="6280" w:type="dxa"/>
            <w:vAlign w:val="bottom"/>
          </w:tcPr>
          <w:p>
            <w:pPr>
              <w:spacing w:after="0" w:line="183" w:lineRule="exact"/>
              <w:rPr>
                <w:sz w:val="20"/>
                <w:szCs w:val="20"/>
                <w:color w:val="auto"/>
              </w:rPr>
            </w:pPr>
            <w:r>
              <w:rPr>
                <w:rFonts w:ascii="Arial" w:cs="Arial" w:eastAsia="Arial" w:hAnsi="Arial"/>
                <w:sz w:val="16"/>
                <w:szCs w:val="16"/>
                <w:b w:val="1"/>
                <w:bCs w:val="1"/>
                <w:color w:val="auto"/>
              </w:rPr>
              <w:t>Total liabilities assumed</w:t>
            </w:r>
          </w:p>
        </w:tc>
        <w:tc>
          <w:tcPr>
            <w:tcW w:w="3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6,411</w:t>
            </w:r>
          </w:p>
        </w:tc>
      </w:tr>
      <w:tr>
        <w:trPr>
          <w:trHeight w:val="183"/>
        </w:trPr>
        <w:tc>
          <w:tcPr>
            <w:tcW w:w="62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assets acquired</w:t>
            </w:r>
          </w:p>
        </w:tc>
        <w:tc>
          <w:tcPr>
            <w:tcW w:w="3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53,155</w:t>
            </w:r>
          </w:p>
        </w:tc>
      </w:tr>
      <w:tr>
        <w:trPr>
          <w:trHeight w:val="189"/>
        </w:trPr>
        <w:tc>
          <w:tcPr>
            <w:tcW w:w="6280" w:type="dxa"/>
            <w:vAlign w:val="bottom"/>
          </w:tcPr>
          <w:p>
            <w:pPr>
              <w:ind w:left="180"/>
              <w:spacing w:after="0"/>
              <w:rPr>
                <w:sz w:val="20"/>
                <w:szCs w:val="20"/>
                <w:color w:val="auto"/>
              </w:rPr>
            </w:pPr>
            <w:r>
              <w:rPr>
                <w:rFonts w:ascii="Arial" w:cs="Arial" w:eastAsia="Arial" w:hAnsi="Arial"/>
                <w:sz w:val="16"/>
                <w:szCs w:val="16"/>
                <w:color w:val="auto"/>
              </w:rPr>
              <w:t>Less: cash acquired</w:t>
            </w:r>
          </w:p>
        </w:tc>
        <w:tc>
          <w:tcPr>
            <w:tcW w:w="31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w:t>
            </w:r>
          </w:p>
        </w:tc>
      </w:tr>
      <w:tr>
        <w:trPr>
          <w:trHeight w:val="223"/>
        </w:trPr>
        <w:tc>
          <w:tcPr>
            <w:tcW w:w="62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assets, less cash acquired</w:t>
            </w:r>
          </w:p>
        </w:tc>
        <w:tc>
          <w:tcPr>
            <w:tcW w:w="3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51,737</w:t>
            </w:r>
          </w:p>
        </w:tc>
      </w:tr>
    </w:tbl>
    <w:p>
      <w:pPr>
        <w:spacing w:after="0" w:line="15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goodwill of $31.8 million arising from the acquisition of Invoiced can be attributed to a number of business factors, including an assembled workforce and revenue and cost synergies expected to be realized. No goodwill from this acquisition will be deductible for income tax purposes.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3" w:name="page24"/>
    <w:bookmarkEnd w:id="23"/>
    <w:p>
      <w:pPr>
        <w:ind w:right="740" w:firstLine="509"/>
        <w:spacing w:after="0" w:line="271" w:lineRule="auto"/>
        <w:rPr>
          <w:sz w:val="20"/>
          <w:szCs w:val="20"/>
          <w:color w:val="auto"/>
        </w:rPr>
      </w:pPr>
      <w:r>
        <w:rPr>
          <w:rFonts w:ascii="Arial" w:cs="Arial" w:eastAsia="Arial" w:hAnsi="Arial"/>
          <w:sz w:val="18"/>
          <w:szCs w:val="18"/>
          <w:color w:val="auto"/>
        </w:rPr>
        <w:t>The following table reflects the fair values of the identified intangible assets of Invoiced and their respective weighted-average amortization periods.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Weighted-Average</w:t>
            </w:r>
          </w:p>
        </w:tc>
      </w:tr>
      <w:tr>
        <w:trPr>
          <w:trHeight w:val="203"/>
        </w:trPr>
        <w:tc>
          <w:tcPr>
            <w:tcW w:w="7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Fair Values</w:t>
            </w:r>
          </w:p>
        </w:tc>
        <w:tc>
          <w:tcPr>
            <w:tcW w:w="100" w:type="dxa"/>
            <w:vAlign w:val="bottom"/>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Amortization Periods</w:t>
            </w:r>
          </w:p>
        </w:tc>
      </w:tr>
      <w:tr>
        <w:trPr>
          <w:trHeight w:val="183"/>
        </w:trPr>
        <w:tc>
          <w:tcPr>
            <w:tcW w:w="7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279"/>
              <w:spacing w:after="0" w:line="183" w:lineRule="exact"/>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5"/>
                <w:szCs w:val="15"/>
                <w:color w:val="auto"/>
              </w:rPr>
            </w:pPr>
          </w:p>
        </w:tc>
        <w:tc>
          <w:tcPr>
            <w:tcW w:w="19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(years)</w:t>
            </w:r>
          </w:p>
        </w:tc>
      </w:tr>
      <w:tr>
        <w:trPr>
          <w:trHeight w:val="18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Acquired relationships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Developed technology</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7,100</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Trade name/Trademark</w:t>
            </w:r>
          </w:p>
        </w:tc>
        <w:tc>
          <w:tcPr>
            <w:tcW w:w="20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20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4</w:t>
            </w:r>
          </w:p>
        </w:tc>
      </w:tr>
      <w:tr>
        <w:trPr>
          <w:trHeight w:val="183"/>
        </w:trPr>
        <w:tc>
          <w:tcPr>
            <w:tcW w:w="7440" w:type="dxa"/>
            <w:vAlign w:val="bottom"/>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26,100</w:t>
            </w: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-153670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520" w:right="560"/>
        <w:spacing w:after="0" w:line="446" w:lineRule="auto"/>
        <w:rPr>
          <w:sz w:val="20"/>
          <w:szCs w:val="20"/>
          <w:color w:val="auto"/>
        </w:rPr>
      </w:pPr>
      <w:r>
        <w:rPr>
          <w:rFonts w:ascii="Arial" w:cs="Arial" w:eastAsia="Arial" w:hAnsi="Arial"/>
          <w:sz w:val="18"/>
          <w:szCs w:val="18"/>
          <w:color w:val="auto"/>
        </w:rPr>
        <w:t>The results of Invoiced have been included in the condensed consolidated financial statements since the date of the acquisition. Unaudited Pro Forma Financial Information</w:t>
      </w:r>
    </w:p>
    <w:p>
      <w:pPr>
        <w:ind w:right="180" w:firstLine="509"/>
        <w:spacing w:after="0" w:line="242" w:lineRule="auto"/>
        <w:rPr>
          <w:sz w:val="20"/>
          <w:szCs w:val="20"/>
          <w:color w:val="auto"/>
        </w:rPr>
      </w:pPr>
      <w:r>
        <w:rPr>
          <w:rFonts w:ascii="Arial" w:cs="Arial" w:eastAsia="Arial" w:hAnsi="Arial"/>
          <w:sz w:val="18"/>
          <w:szCs w:val="18"/>
          <w:color w:val="auto"/>
        </w:rPr>
        <w:t>The following unaudited pro forma financial information shows the results of the Company’s operations for the three and nine months ended September 30, 2024, as if the acquisition had occurred on January 1, 2023.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Invoiced. The unaudited pro forma information reflects the effects of applying the Company’s accounting policies and certain pro forma adjustments to the combined historical financial information of the Company and Invoiced. The pro forma adjustments include:</w:t>
      </w:r>
    </w:p>
    <w:p>
      <w:pPr>
        <w:spacing w:after="0" w:line="71"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amortization expense associated with the estimated fair value of identified intangible assets;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employee compensation expense for Invoiced employees;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 costs;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estimated tax impact of the above items.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29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September 30, 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September 30, 2024</w:t>
            </w:r>
          </w:p>
        </w:tc>
      </w:tr>
      <w:tr>
        <w:trPr>
          <w:trHeight w:val="183"/>
        </w:trPr>
        <w:tc>
          <w:tcPr>
            <w:tcW w:w="29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Pro Forma</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Actual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rPr>
              <w:t>Pro Forma</w:t>
            </w:r>
          </w:p>
        </w:tc>
      </w:tr>
      <w:tr>
        <w:trPr>
          <w:trHeight w:val="183"/>
        </w:trPr>
        <w:tc>
          <w:tcPr>
            <w:tcW w:w="29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119"/>
              <w:spacing w:after="0" w:line="183" w:lineRule="exact"/>
              <w:rPr>
                <w:sz w:val="20"/>
                <w:szCs w:val="20"/>
                <w:color w:val="auto"/>
              </w:rPr>
            </w:pPr>
            <w:r>
              <w:rPr>
                <w:rFonts w:ascii="Arial" w:cs="Arial" w:eastAsia="Arial" w:hAnsi="Arial"/>
                <w:sz w:val="16"/>
                <w:szCs w:val="16"/>
                <w:b w:val="1"/>
                <w:bCs w:val="1"/>
                <w:color w:val="auto"/>
              </w:rPr>
              <w:t>(in</w:t>
            </w:r>
          </w:p>
        </w:tc>
        <w:tc>
          <w:tcPr>
            <w:tcW w:w="1560" w:type="dxa"/>
            <w:vAlign w:val="bottom"/>
            <w:gridSpan w:val="3"/>
          </w:tcPr>
          <w:p>
            <w:pPr>
              <w:jc w:val="right"/>
              <w:ind w:right="759"/>
              <w:spacing w:after="0" w:line="183" w:lineRule="exact"/>
              <w:rPr>
                <w:sz w:val="20"/>
                <w:szCs w:val="20"/>
                <w:color w:val="auto"/>
              </w:rPr>
            </w:pPr>
            <w:r>
              <w:rPr>
                <w:rFonts w:ascii="Arial" w:cs="Arial" w:eastAsia="Arial" w:hAnsi="Arial"/>
                <w:sz w:val="16"/>
                <w:szCs w:val="16"/>
                <w:b w:val="1"/>
                <w:bCs w:val="1"/>
                <w:color w:val="auto"/>
                <w:w w:val="81"/>
              </w:rPr>
              <w:t>thousands)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(in</w:t>
            </w:r>
          </w:p>
        </w:tc>
        <w:tc>
          <w:tcPr>
            <w:tcW w:w="1600" w:type="dxa"/>
            <w:vAlign w:val="bottom"/>
            <w:gridSpan w:val="3"/>
          </w:tcPr>
          <w:p>
            <w:pPr>
              <w:jc w:val="right"/>
              <w:ind w:right="779"/>
              <w:spacing w:after="0" w:line="183" w:lineRule="exact"/>
              <w:rPr>
                <w:sz w:val="20"/>
                <w:szCs w:val="20"/>
                <w:color w:val="auto"/>
              </w:rPr>
            </w:pPr>
            <w:r>
              <w:rPr>
                <w:rFonts w:ascii="Arial" w:cs="Arial" w:eastAsia="Arial" w:hAnsi="Arial"/>
                <w:sz w:val="16"/>
                <w:szCs w:val="16"/>
                <w:b w:val="1"/>
                <w:bCs w:val="1"/>
                <w:color w:val="auto"/>
                <w:w w:val="83"/>
              </w:rPr>
              <w:t>thousands)</w:t>
            </w:r>
          </w:p>
        </w:tc>
      </w:tr>
      <w:tr>
        <w:trPr>
          <w:trHeight w:val="18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156,815</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157,280</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374,594</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377,862</w:t>
            </w:r>
          </w:p>
        </w:tc>
      </w:tr>
      <w:tr>
        <w:trPr>
          <w:trHeight w:val="215"/>
        </w:trPr>
        <w:tc>
          <w:tcPr>
            <w:tcW w:w="2960" w:type="dxa"/>
            <w:vAlign w:val="bottom"/>
          </w:tcPr>
          <w:p>
            <w:pPr>
              <w:spacing w:after="0"/>
              <w:rPr>
                <w:sz w:val="20"/>
                <w:szCs w:val="20"/>
                <w:color w:val="auto"/>
              </w:rPr>
            </w:pPr>
            <w:r>
              <w:rPr>
                <w:rFonts w:ascii="Arial" w:cs="Arial" w:eastAsia="Arial" w:hAnsi="Arial"/>
                <w:sz w:val="16"/>
                <w:szCs w:val="16"/>
                <w:color w:val="auto"/>
              </w:rPr>
              <w:t>Net income</w:t>
            </w:r>
          </w:p>
        </w:tc>
        <w:tc>
          <w:tcPr>
            <w:tcW w:w="2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38,896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38,831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18,799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17,522</w:t>
            </w:r>
          </w:p>
        </w:tc>
      </w:tr>
    </w:tbl>
    <w:p>
      <w:pPr>
        <w:spacing w:after="0" w:line="2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Goodwill and Acquired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amount of goodwill as of the dates presented (in thousands):</w:t>
      </w:r>
    </w:p>
    <w:p>
      <w:pPr>
        <w:sectPr>
          <w:pgSz w:w="11900" w:h="16838" w:orient="portrait"/>
          <w:cols w:equalWidth="0" w:num="1">
            <w:col w:w="11240"/>
          </w:cols>
          <w:pgMar w:left="320" w:top="1376" w:right="339" w:bottom="1440" w:gutter="0" w:footer="0" w:header="0"/>
        </w:sect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Goodwill related to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Foreign currency translation adjustment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Measurement period adjustments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Balance at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5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43"/>
        <w:spacing w:after="0"/>
        <w:rPr>
          <w:sz w:val="20"/>
          <w:szCs w:val="20"/>
          <w:color w:val="auto"/>
        </w:rPr>
      </w:pPr>
      <w:r>
        <w:rPr>
          <w:rFonts w:ascii="Arial" w:cs="Arial" w:eastAsia="Arial" w:hAnsi="Arial"/>
          <w:sz w:val="16"/>
          <w:szCs w:val="16"/>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1576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15" w:lineRule="exact"/>
        <w:rPr>
          <w:sz w:val="20"/>
          <w:szCs w:val="20"/>
          <w:color w:val="auto"/>
        </w:rPr>
      </w:pPr>
    </w:p>
    <w:p>
      <w:pPr>
        <w:ind w:left="1223" w:hanging="1223"/>
        <w:spacing w:after="0"/>
        <w:tabs>
          <w:tab w:leader="none" w:pos="1223" w:val="left"/>
        </w:tabs>
        <w:numPr>
          <w:ilvl w:val="0"/>
          <w:numId w:val="12"/>
        </w:numPr>
        <w:rPr>
          <w:rFonts w:ascii="Arial" w:cs="Arial" w:eastAsia="Arial" w:hAnsi="Arial"/>
          <w:sz w:val="16"/>
          <w:szCs w:val="16"/>
          <w:color w:val="auto"/>
        </w:rPr>
      </w:pPr>
      <w:r>
        <w:rPr>
          <w:rFonts w:ascii="Arial" w:cs="Arial" w:eastAsia="Arial" w:hAnsi="Arial"/>
          <w:sz w:val="16"/>
          <w:szCs w:val="16"/>
          <w:color w:val="auto"/>
        </w:rPr>
        <w:t>149,558</w:t>
      </w:r>
    </w:p>
    <w:p>
      <w:pPr>
        <w:spacing w:after="0" w:line="5" w:lineRule="exact"/>
        <w:rPr>
          <w:rFonts w:ascii="Arial" w:cs="Arial" w:eastAsia="Arial" w:hAnsi="Arial"/>
          <w:sz w:val="16"/>
          <w:szCs w:val="16"/>
          <w:color w:val="auto"/>
        </w:rPr>
      </w:pPr>
    </w:p>
    <w:p>
      <w:pPr>
        <w:ind w:left="1223"/>
        <w:spacing w:after="0"/>
        <w:rPr>
          <w:rFonts w:ascii="Arial" w:cs="Arial" w:eastAsia="Arial" w:hAnsi="Arial"/>
          <w:sz w:val="16"/>
          <w:szCs w:val="16"/>
          <w:color w:val="auto"/>
        </w:rPr>
      </w:pPr>
      <w:r>
        <w:rPr>
          <w:rFonts w:ascii="Arial" w:cs="Arial" w:eastAsia="Arial" w:hAnsi="Arial"/>
          <w:sz w:val="16"/>
          <w:szCs w:val="16"/>
          <w:color w:val="auto"/>
        </w:rPr>
        <w:t>251,517</w:t>
      </w:r>
    </w:p>
    <w:p>
      <w:pPr>
        <w:spacing w:after="0" w:line="5" w:lineRule="exact"/>
        <w:rPr>
          <w:rFonts w:ascii="Arial" w:cs="Arial" w:eastAsia="Arial" w:hAnsi="Arial"/>
          <w:sz w:val="16"/>
          <w:szCs w:val="16"/>
          <w:color w:val="auto"/>
        </w:rPr>
      </w:pPr>
    </w:p>
    <w:p>
      <w:pPr>
        <w:ind w:left="1403"/>
        <w:spacing w:after="0"/>
        <w:rPr>
          <w:rFonts w:ascii="Arial" w:cs="Arial" w:eastAsia="Arial" w:hAnsi="Arial"/>
          <w:sz w:val="16"/>
          <w:szCs w:val="16"/>
          <w:color w:val="auto"/>
        </w:rPr>
      </w:pPr>
      <w:r>
        <w:rPr>
          <w:rFonts w:ascii="Arial" w:cs="Arial" w:eastAsia="Arial" w:hAnsi="Arial"/>
          <w:sz w:val="15"/>
          <w:szCs w:val="15"/>
          <w:color w:val="auto"/>
        </w:rPr>
        <w:t>5,017</w:t>
      </w:r>
    </w:p>
    <w:p>
      <w:pPr>
        <w:spacing w:after="0" w:line="16" w:lineRule="exact"/>
        <w:rPr>
          <w:rFonts w:ascii="Arial" w:cs="Arial" w:eastAsia="Arial" w:hAnsi="Arial"/>
          <w:sz w:val="16"/>
          <w:szCs w:val="16"/>
          <w:color w:val="auto"/>
        </w:rPr>
      </w:pPr>
    </w:p>
    <w:p>
      <w:pPr>
        <w:ind w:left="1623"/>
        <w:spacing w:after="0"/>
        <w:rPr>
          <w:rFonts w:ascii="Arial" w:cs="Arial" w:eastAsia="Arial" w:hAnsi="Arial"/>
          <w:sz w:val="16"/>
          <w:szCs w:val="16"/>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15760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1223" w:hanging="1223"/>
        <w:spacing w:after="0"/>
        <w:tabs>
          <w:tab w:leader="none" w:pos="1223" w:val="left"/>
        </w:tabs>
        <w:numPr>
          <w:ilvl w:val="0"/>
          <w:numId w:val="13"/>
        </w:numPr>
        <w:rPr>
          <w:rFonts w:ascii="Arial" w:cs="Arial" w:eastAsia="Arial" w:hAnsi="Arial"/>
          <w:sz w:val="16"/>
          <w:szCs w:val="16"/>
          <w:color w:val="auto"/>
        </w:rPr>
      </w:pPr>
      <w:r>
        <w:rPr>
          <w:rFonts w:ascii="Arial" w:cs="Arial" w:eastAsia="Arial" w:hAnsi="Arial"/>
          <w:sz w:val="16"/>
          <w:szCs w:val="16"/>
          <w:color w:val="auto"/>
        </w:rPr>
        <w:t>406,149</w:t>
      </w:r>
    </w:p>
    <w:p>
      <w:pPr>
        <w:spacing w:after="0" w:line="201" w:lineRule="exact"/>
        <w:rPr>
          <w:sz w:val="20"/>
          <w:szCs w:val="20"/>
          <w:color w:val="auto"/>
        </w:rPr>
      </w:pPr>
    </w:p>
    <w:p>
      <w:pPr>
        <w:sectPr>
          <w:pgSz w:w="11900" w:h="16838" w:orient="portrait"/>
          <w:cols w:equalWidth="0" w:num="2">
            <w:col w:w="8697" w:space="720"/>
            <w:col w:w="1823"/>
          </w:cols>
          <w:pgMar w:left="320" w:top="1376" w:right="339" w:bottom="1440" w:gutter="0" w:footer="0" w:header="0"/>
          <w:type w:val="continuous"/>
        </w:sectPr>
      </w:pP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Acquired intangible assets subject to amortization consisted of the following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September 30, 2025</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ind w:right="239"/>
              <w:spacing w:after="0" w:line="163" w:lineRule="exact"/>
              <w:rPr>
                <w:sz w:val="20"/>
                <w:szCs w:val="20"/>
                <w:color w:val="auto"/>
              </w:rPr>
            </w:pPr>
            <w:r>
              <w:rPr>
                <w:rFonts w:ascii="Arial" w:cs="Arial" w:eastAsia="Arial" w:hAnsi="Arial"/>
                <w:sz w:val="16"/>
                <w:szCs w:val="16"/>
                <w:b w:val="1"/>
                <w:bCs w:val="1"/>
                <w:color w:val="auto"/>
              </w:rPr>
              <w:t>Gross Carrying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line="163"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ind w:right="339"/>
              <w:spacing w:after="0" w:line="163" w:lineRule="exact"/>
              <w:rPr>
                <w:sz w:val="20"/>
                <w:szCs w:val="20"/>
                <w:color w:val="auto"/>
              </w:rPr>
            </w:pPr>
            <w:r>
              <w:rPr>
                <w:rFonts w:ascii="Arial" w:cs="Arial" w:eastAsia="Arial" w:hAnsi="Arial"/>
                <w:sz w:val="16"/>
                <w:szCs w:val="16"/>
                <w:b w:val="1"/>
                <w:bCs w:val="1"/>
                <w:color w:val="auto"/>
              </w:rPr>
              <w:t>Net Carrying</w:t>
            </w:r>
          </w:p>
        </w:tc>
        <w:tc>
          <w:tcPr>
            <w:tcW w:w="100" w:type="dxa"/>
            <w:vAlign w:val="bottom"/>
          </w:tcPr>
          <w:p>
            <w:pPr>
              <w:spacing w:after="0"/>
              <w:rPr>
                <w:sz w:val="14"/>
                <w:szCs w:val="14"/>
                <w:color w:val="auto"/>
              </w:rPr>
            </w:pPr>
          </w:p>
        </w:tc>
        <w:tc>
          <w:tcPr>
            <w:tcW w:w="180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Remaining Life</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19"/>
              <w:spacing w:after="0" w:line="230" w:lineRule="exact"/>
              <w:rPr>
                <w:sz w:val="20"/>
                <w:szCs w:val="20"/>
                <w:color w:val="auto"/>
              </w:rPr>
            </w:pPr>
            <w:r>
              <w:rPr>
                <w:rFonts w:ascii="Arial" w:cs="Arial" w:eastAsia="Arial" w:hAnsi="Arial"/>
                <w:sz w:val="16"/>
                <w:szCs w:val="16"/>
                <w:b w:val="1"/>
                <w:bCs w:val="1"/>
                <w:color w:val="auto"/>
              </w:rPr>
              <w:t xml:space="preserve">Value </w:t>
            </w:r>
            <w:r>
              <w:rPr>
                <w:rFonts w:ascii="Arial" w:cs="Arial" w:eastAsia="Arial" w:hAnsi="Arial"/>
                <w:sz w:val="21"/>
                <w:szCs w:val="21"/>
                <w:b w:val="1"/>
                <w:bCs w:val="1"/>
                <w:color w:val="auto"/>
                <w:vertAlign w:val="superscript"/>
              </w:rPr>
              <w:t>(a)</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39"/>
              <w:spacing w:after="0" w:line="230" w:lineRule="exact"/>
              <w:rPr>
                <w:sz w:val="20"/>
                <w:szCs w:val="20"/>
                <w:color w:val="auto"/>
              </w:rPr>
            </w:pPr>
            <w:r>
              <w:rPr>
                <w:rFonts w:ascii="Arial" w:cs="Arial" w:eastAsia="Arial" w:hAnsi="Arial"/>
                <w:sz w:val="16"/>
                <w:szCs w:val="16"/>
                <w:b w:val="1"/>
                <w:bCs w:val="1"/>
                <w:color w:val="auto"/>
                <w:w w:val="96"/>
              </w:rPr>
              <w:t xml:space="preserve">Amortization </w:t>
            </w:r>
            <w:r>
              <w:rPr>
                <w:rFonts w:ascii="Arial" w:cs="Arial" w:eastAsia="Arial" w:hAnsi="Arial"/>
                <w:sz w:val="21"/>
                <w:szCs w:val="21"/>
                <w:b w:val="1"/>
                <w:bCs w:val="1"/>
                <w:color w:val="auto"/>
                <w:w w:val="96"/>
                <w:vertAlign w:val="superscript"/>
              </w:rPr>
              <w:t>(b)</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183"/>
        </w:trPr>
        <w:tc>
          <w:tcPr>
            <w:tcW w:w="3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Acquired Relationships</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176,608</w:t>
            </w:r>
          </w:p>
        </w:tc>
        <w:tc>
          <w:tcPr>
            <w:tcW w:w="2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(29,539)</w:t>
            </w:r>
          </w:p>
        </w:tc>
        <w:tc>
          <w:tcPr>
            <w:tcW w:w="3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147,069</w:t>
            </w:r>
          </w:p>
        </w:tc>
        <w:tc>
          <w:tcPr>
            <w:tcW w:w="19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11.97</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6"/>
                <w:szCs w:val="16"/>
                <w:color w:val="auto"/>
              </w:rPr>
              <w:t>Developed Technology</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75,413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(33,035)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42,378</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189"/>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Trade Name/Trademark</w:t>
            </w:r>
          </w:p>
        </w:tc>
        <w:tc>
          <w:tcPr>
            <w:tcW w:w="20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5,132</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4,752</w:t>
            </w:r>
          </w:p>
        </w:tc>
        <w:tc>
          <w:tcPr>
            <w:tcW w:w="1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line="183" w:lineRule="exact"/>
              <w:rPr>
                <w:sz w:val="20"/>
                <w:szCs w:val="20"/>
                <w:color w:val="auto"/>
              </w:rPr>
            </w:pPr>
            <w:r>
              <w:rPr>
                <w:rFonts w:ascii="Arial" w:cs="Arial" w:eastAsia="Arial" w:hAnsi="Arial"/>
                <w:sz w:val="16"/>
                <w:szCs w:val="16"/>
                <w:color w:val="auto"/>
              </w:rPr>
              <w:t>257,153</w:t>
            </w:r>
          </w:p>
        </w:tc>
        <w:tc>
          <w:tcPr>
            <w:tcW w:w="2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680" w:type="dxa"/>
            <w:vAlign w:val="bottom"/>
          </w:tcPr>
          <w:p>
            <w:pPr>
              <w:jc w:val="right"/>
              <w:spacing w:after="0" w:line="183" w:lineRule="exact"/>
              <w:rPr>
                <w:sz w:val="20"/>
                <w:szCs w:val="20"/>
                <w:color w:val="auto"/>
              </w:rPr>
            </w:pPr>
            <w:r>
              <w:rPr>
                <w:rFonts w:ascii="Arial" w:cs="Arial" w:eastAsia="Arial" w:hAnsi="Arial"/>
                <w:sz w:val="16"/>
                <w:szCs w:val="16"/>
                <w:color w:val="auto"/>
              </w:rPr>
              <w:t>(62,954)</w:t>
            </w:r>
          </w:p>
        </w:tc>
        <w:tc>
          <w:tcPr>
            <w:tcW w:w="3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540" w:type="dxa"/>
            <w:vAlign w:val="bottom"/>
          </w:tcPr>
          <w:p>
            <w:pPr>
              <w:jc w:val="right"/>
              <w:spacing w:after="0" w:line="183" w:lineRule="exact"/>
              <w:rPr>
                <w:sz w:val="20"/>
                <w:szCs w:val="20"/>
                <w:color w:val="auto"/>
              </w:rPr>
            </w:pPr>
            <w:r>
              <w:rPr>
                <w:rFonts w:ascii="Arial" w:cs="Arial" w:eastAsia="Arial" w:hAnsi="Arial"/>
                <w:sz w:val="16"/>
                <w:szCs w:val="16"/>
                <w:color w:val="auto"/>
              </w:rPr>
              <w:t>194,199</w:t>
            </w: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-153670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-153670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-153670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23742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1"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a gain of $10 thousand foreign currency translation adjustments.</w:t>
      </w:r>
    </w:p>
    <w:p>
      <w:pPr>
        <w:spacing w:after="0" w:line="47" w:lineRule="exact"/>
        <w:rPr>
          <w:rFonts w:ascii="Arial" w:cs="Arial" w:eastAsia="Arial" w:hAnsi="Arial"/>
          <w:sz w:val="18"/>
          <w:szCs w:val="18"/>
          <w:color w:val="auto"/>
          <w:vertAlign w:val="superscript"/>
        </w:rPr>
      </w:pPr>
    </w:p>
    <w:p>
      <w:pPr>
        <w:ind w:left="160" w:hanging="152"/>
        <w:spacing w:after="0" w:line="211"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a loss of $462 thousand foreign currency translation adjustments.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December 31, 2024</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ind w:right="239"/>
              <w:spacing w:after="0" w:line="163" w:lineRule="exact"/>
              <w:rPr>
                <w:sz w:val="20"/>
                <w:szCs w:val="20"/>
                <w:color w:val="auto"/>
              </w:rPr>
            </w:pPr>
            <w:r>
              <w:rPr>
                <w:rFonts w:ascii="Arial" w:cs="Arial" w:eastAsia="Arial" w:hAnsi="Arial"/>
                <w:sz w:val="16"/>
                <w:szCs w:val="16"/>
                <w:b w:val="1"/>
                <w:bCs w:val="1"/>
                <w:color w:val="auto"/>
              </w:rPr>
              <w:t>Gross Carrying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line="163"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ind w:right="339"/>
              <w:spacing w:after="0" w:line="163" w:lineRule="exact"/>
              <w:rPr>
                <w:sz w:val="20"/>
                <w:szCs w:val="20"/>
                <w:color w:val="auto"/>
              </w:rPr>
            </w:pPr>
            <w:r>
              <w:rPr>
                <w:rFonts w:ascii="Arial" w:cs="Arial" w:eastAsia="Arial" w:hAnsi="Arial"/>
                <w:sz w:val="16"/>
                <w:szCs w:val="16"/>
                <w:b w:val="1"/>
                <w:bCs w:val="1"/>
                <w:color w:val="auto"/>
              </w:rPr>
              <w:t>Net Carrying</w:t>
            </w:r>
          </w:p>
        </w:tc>
        <w:tc>
          <w:tcPr>
            <w:tcW w:w="100" w:type="dxa"/>
            <w:vAlign w:val="bottom"/>
          </w:tcPr>
          <w:p>
            <w:pPr>
              <w:spacing w:after="0"/>
              <w:rPr>
                <w:sz w:val="14"/>
                <w:szCs w:val="14"/>
                <w:color w:val="auto"/>
              </w:rPr>
            </w:pPr>
          </w:p>
        </w:tc>
        <w:tc>
          <w:tcPr>
            <w:tcW w:w="180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Remaining Life</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19"/>
              <w:spacing w:after="0" w:line="230" w:lineRule="exact"/>
              <w:rPr>
                <w:sz w:val="20"/>
                <w:szCs w:val="20"/>
                <w:color w:val="auto"/>
              </w:rPr>
            </w:pPr>
            <w:r>
              <w:rPr>
                <w:rFonts w:ascii="Arial" w:cs="Arial" w:eastAsia="Arial" w:hAnsi="Arial"/>
                <w:sz w:val="16"/>
                <w:szCs w:val="16"/>
                <w:b w:val="1"/>
                <w:bCs w:val="1"/>
                <w:color w:val="auto"/>
              </w:rPr>
              <w:t xml:space="preserve">Value </w:t>
            </w:r>
            <w:r>
              <w:rPr>
                <w:rFonts w:ascii="Arial" w:cs="Arial" w:eastAsia="Arial" w:hAnsi="Arial"/>
                <w:sz w:val="21"/>
                <w:szCs w:val="21"/>
                <w:b w:val="1"/>
                <w:bCs w:val="1"/>
                <w:color w:val="auto"/>
                <w:vertAlign w:val="superscript"/>
              </w:rPr>
              <w:t>(a)</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39"/>
              <w:spacing w:after="0" w:line="230" w:lineRule="exact"/>
              <w:rPr>
                <w:sz w:val="20"/>
                <w:szCs w:val="20"/>
                <w:color w:val="auto"/>
              </w:rPr>
            </w:pPr>
            <w:r>
              <w:rPr>
                <w:rFonts w:ascii="Arial" w:cs="Arial" w:eastAsia="Arial" w:hAnsi="Arial"/>
                <w:sz w:val="16"/>
                <w:szCs w:val="16"/>
                <w:b w:val="1"/>
                <w:bCs w:val="1"/>
                <w:color w:val="auto"/>
                <w:w w:val="96"/>
              </w:rPr>
              <w:t xml:space="preserve">Amortization </w:t>
            </w:r>
            <w:r>
              <w:rPr>
                <w:rFonts w:ascii="Arial" w:cs="Arial" w:eastAsia="Arial" w:hAnsi="Arial"/>
                <w:sz w:val="21"/>
                <w:szCs w:val="21"/>
                <w:b w:val="1"/>
                <w:bCs w:val="1"/>
                <w:color w:val="auto"/>
                <w:w w:val="96"/>
                <w:vertAlign w:val="superscript"/>
              </w:rPr>
              <w:t>(b)</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183"/>
        </w:trPr>
        <w:tc>
          <w:tcPr>
            <w:tcW w:w="3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Acquired Relationships</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120,119</w:t>
            </w:r>
          </w:p>
        </w:tc>
        <w:tc>
          <w:tcPr>
            <w:tcW w:w="2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(21,104)</w:t>
            </w:r>
          </w:p>
        </w:tc>
        <w:tc>
          <w:tcPr>
            <w:tcW w:w="3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99,015</w:t>
            </w:r>
          </w:p>
        </w:tc>
        <w:tc>
          <w:tcPr>
            <w:tcW w:w="19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6"/>
                <w:szCs w:val="16"/>
                <w:color w:val="auto"/>
              </w:rPr>
              <w:t>Developed Technology</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45,546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(26,312)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19,234</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189"/>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Trade Name/Trademark</w:t>
            </w:r>
          </w:p>
        </w:tc>
        <w:tc>
          <w:tcPr>
            <w:tcW w:w="20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435</w:t>
            </w:r>
          </w:p>
        </w:tc>
        <w:tc>
          <w:tcPr>
            <w:tcW w:w="1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line="183" w:lineRule="exact"/>
              <w:rPr>
                <w:sz w:val="20"/>
                <w:szCs w:val="20"/>
                <w:color w:val="auto"/>
              </w:rPr>
            </w:pPr>
            <w:r>
              <w:rPr>
                <w:rFonts w:ascii="Arial" w:cs="Arial" w:eastAsia="Arial" w:hAnsi="Arial"/>
                <w:sz w:val="16"/>
                <w:szCs w:val="16"/>
                <w:color w:val="auto"/>
              </w:rPr>
              <w:t>166,189</w:t>
            </w:r>
          </w:p>
        </w:tc>
        <w:tc>
          <w:tcPr>
            <w:tcW w:w="2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680" w:type="dxa"/>
            <w:vAlign w:val="bottom"/>
          </w:tcPr>
          <w:p>
            <w:pPr>
              <w:jc w:val="right"/>
              <w:spacing w:after="0" w:line="183" w:lineRule="exact"/>
              <w:rPr>
                <w:sz w:val="20"/>
                <w:szCs w:val="20"/>
                <w:color w:val="auto"/>
              </w:rPr>
            </w:pPr>
            <w:r>
              <w:rPr>
                <w:rFonts w:ascii="Arial" w:cs="Arial" w:eastAsia="Arial" w:hAnsi="Arial"/>
                <w:sz w:val="16"/>
                <w:szCs w:val="16"/>
                <w:color w:val="auto"/>
              </w:rPr>
              <w:t>(47,505)</w:t>
            </w:r>
          </w:p>
        </w:tc>
        <w:tc>
          <w:tcPr>
            <w:tcW w:w="3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540" w:type="dxa"/>
            <w:vAlign w:val="bottom"/>
          </w:tcPr>
          <w:p>
            <w:pPr>
              <w:jc w:val="right"/>
              <w:spacing w:after="0" w:line="183" w:lineRule="exact"/>
              <w:rPr>
                <w:sz w:val="20"/>
                <w:szCs w:val="20"/>
                <w:color w:val="auto"/>
              </w:rPr>
            </w:pPr>
            <w:r>
              <w:rPr>
                <w:rFonts w:ascii="Arial" w:cs="Arial" w:eastAsia="Arial" w:hAnsi="Arial"/>
                <w:sz w:val="16"/>
                <w:szCs w:val="16"/>
                <w:color w:val="auto"/>
              </w:rPr>
              <w:t>118,684</w:t>
            </w: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-153670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-153670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-153670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742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11"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a loss of $4,394 thousand foreign currency translation adjustments.</w:t>
      </w:r>
    </w:p>
    <w:p>
      <w:pPr>
        <w:spacing w:after="0" w:line="47" w:lineRule="exact"/>
        <w:rPr>
          <w:rFonts w:ascii="Arial" w:cs="Arial" w:eastAsia="Arial" w:hAnsi="Arial"/>
          <w:sz w:val="18"/>
          <w:szCs w:val="18"/>
          <w:color w:val="auto"/>
          <w:vertAlign w:val="superscript"/>
        </w:rPr>
      </w:pPr>
    </w:p>
    <w:p>
      <w:pPr>
        <w:ind w:left="160" w:hanging="152"/>
        <w:spacing w:after="0" w:line="211" w:lineRule="auto"/>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a gain of $410 thousand foreign currency translation adjustments.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for the three months ended September 30, 2025 and 2024 was $5.3 million and $3.2 million, respectively.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nine months ended September 30, 2025 and 2024 was $14.7 million and $9.1 million, respectively.</w:t>
      </w:r>
    </w:p>
    <w:p>
      <w:pPr>
        <w:spacing w:after="0" w:line="167" w:lineRule="exact"/>
        <w:rPr>
          <w:sz w:val="20"/>
          <w:szCs w:val="20"/>
          <w:color w:val="auto"/>
        </w:rPr>
      </w:pPr>
    </w:p>
    <w:p>
      <w:pPr>
        <w:ind w:right="760" w:firstLine="509"/>
        <w:spacing w:after="0" w:line="271" w:lineRule="auto"/>
        <w:rPr>
          <w:sz w:val="20"/>
          <w:szCs w:val="20"/>
          <w:color w:val="auto"/>
        </w:rPr>
      </w:pPr>
      <w:r>
        <w:rPr>
          <w:rFonts w:ascii="Arial" w:cs="Arial" w:eastAsia="Arial" w:hAnsi="Arial"/>
          <w:sz w:val="18"/>
          <w:szCs w:val="18"/>
          <w:color w:val="auto"/>
        </w:rPr>
        <w:t>As of September 30, 2025, the estimated annual amortization expense of intangible assets for each of the next five years and thereafter is expected to be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ind w:right="459"/>
              <w:spacing w:after="0"/>
              <w:rPr>
                <w:sz w:val="20"/>
                <w:szCs w:val="20"/>
                <w:color w:val="auto"/>
              </w:rPr>
            </w:pPr>
            <w:r>
              <w:rPr>
                <w:rFonts w:ascii="Arial" w:cs="Arial" w:eastAsia="Arial" w:hAnsi="Arial"/>
                <w:sz w:val="16"/>
                <w:szCs w:val="16"/>
                <w:b w:val="1"/>
                <w:bCs w:val="1"/>
                <w:color w:val="auto"/>
              </w:rPr>
              <w:t>Estimated</w:t>
            </w:r>
          </w:p>
        </w:tc>
      </w:tr>
      <w:tr>
        <w:trPr>
          <w:trHeight w:val="203"/>
        </w:trPr>
        <w:tc>
          <w:tcPr>
            <w:tcW w:w="9440" w:type="dxa"/>
            <w:vAlign w:val="bottom"/>
          </w:tcPr>
          <w:p>
            <w:pPr>
              <w:spacing w:after="0"/>
              <w:rPr>
                <w:sz w:val="17"/>
                <w:szCs w:val="17"/>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Amortization Expense</w:t>
            </w:r>
          </w:p>
        </w:tc>
      </w:tr>
      <w:tr>
        <w:trPr>
          <w:trHeight w:val="183"/>
        </w:trPr>
        <w:tc>
          <w:tcPr>
            <w:tcW w:w="9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Remaining of fiscal year 2025</w:t>
            </w:r>
          </w:p>
        </w:tc>
        <w:tc>
          <w:tcPr>
            <w:tcW w:w="30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5,292</w:t>
            </w:r>
          </w:p>
        </w:tc>
      </w:tr>
      <w:tr>
        <w:trPr>
          <w:trHeight w:val="189"/>
        </w:trPr>
        <w:tc>
          <w:tcPr>
            <w:tcW w:w="9440" w:type="dxa"/>
            <w:vAlign w:val="bottom"/>
          </w:tcPr>
          <w:p>
            <w:pPr>
              <w:spacing w:after="0"/>
              <w:rPr>
                <w:sz w:val="20"/>
                <w:szCs w:val="20"/>
                <w:color w:val="auto"/>
              </w:rPr>
            </w:pPr>
            <w:r>
              <w:rPr>
                <w:rFonts w:ascii="Arial" w:cs="Arial" w:eastAsia="Arial" w:hAnsi="Arial"/>
                <w:sz w:val="16"/>
                <w:szCs w:val="16"/>
                <w:color w:val="auto"/>
              </w:rPr>
              <w:t>2026</w:t>
            </w: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21,455</w:t>
            </w:r>
          </w:p>
        </w:tc>
      </w:tr>
      <w:tr>
        <w:trPr>
          <w:trHeight w:val="189"/>
        </w:trPr>
        <w:tc>
          <w:tcPr>
            <w:tcW w:w="9440" w:type="dxa"/>
            <w:vAlign w:val="bottom"/>
            <w:shd w:val="clear" w:color="auto" w:fill="CFF0FC"/>
          </w:tcPr>
          <w:p>
            <w:pPr>
              <w:spacing w:after="0"/>
              <w:rPr>
                <w:sz w:val="20"/>
                <w:szCs w:val="20"/>
                <w:color w:val="auto"/>
              </w:rPr>
            </w:pPr>
            <w:r>
              <w:rPr>
                <w:rFonts w:ascii="Arial" w:cs="Arial" w:eastAsia="Arial" w:hAnsi="Arial"/>
                <w:sz w:val="16"/>
                <w:szCs w:val="16"/>
                <w:color w:val="auto"/>
              </w:rPr>
              <w:t>2027</w:t>
            </w:r>
          </w:p>
        </w:tc>
        <w:tc>
          <w:tcPr>
            <w:tcW w:w="3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21,478</w:t>
            </w:r>
          </w:p>
        </w:tc>
      </w:tr>
      <w:tr>
        <w:trPr>
          <w:trHeight w:val="189"/>
        </w:trPr>
        <w:tc>
          <w:tcPr>
            <w:tcW w:w="9440" w:type="dxa"/>
            <w:vAlign w:val="bottom"/>
          </w:tcPr>
          <w:p>
            <w:pPr>
              <w:spacing w:after="0"/>
              <w:rPr>
                <w:sz w:val="20"/>
                <w:szCs w:val="20"/>
                <w:color w:val="auto"/>
              </w:rPr>
            </w:pPr>
            <w:r>
              <w:rPr>
                <w:rFonts w:ascii="Arial" w:cs="Arial" w:eastAsia="Arial" w:hAnsi="Arial"/>
                <w:sz w:val="16"/>
                <w:szCs w:val="16"/>
                <w:color w:val="auto"/>
              </w:rPr>
              <w:t>2028</w:t>
            </w: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21,130</w:t>
            </w:r>
          </w:p>
        </w:tc>
      </w:tr>
      <w:tr>
        <w:trPr>
          <w:trHeight w:val="189"/>
        </w:trPr>
        <w:tc>
          <w:tcPr>
            <w:tcW w:w="9440" w:type="dxa"/>
            <w:vAlign w:val="bottom"/>
            <w:shd w:val="clear" w:color="auto" w:fill="CFF0FC"/>
          </w:tcPr>
          <w:p>
            <w:pPr>
              <w:spacing w:after="0"/>
              <w:rPr>
                <w:sz w:val="20"/>
                <w:szCs w:val="20"/>
                <w:color w:val="auto"/>
              </w:rPr>
            </w:pPr>
            <w:r>
              <w:rPr>
                <w:rFonts w:ascii="Arial" w:cs="Arial" w:eastAsia="Arial" w:hAnsi="Arial"/>
                <w:sz w:val="16"/>
                <w:szCs w:val="16"/>
                <w:color w:val="auto"/>
              </w:rPr>
              <w:t>2029</w:t>
            </w:r>
          </w:p>
        </w:tc>
        <w:tc>
          <w:tcPr>
            <w:tcW w:w="3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20,201</w:t>
            </w:r>
          </w:p>
        </w:tc>
      </w:tr>
      <w:tr>
        <w:trPr>
          <w:trHeight w:val="189"/>
        </w:trPr>
        <w:tc>
          <w:tcPr>
            <w:tcW w:w="9440" w:type="dxa"/>
            <w:vAlign w:val="bottom"/>
          </w:tcPr>
          <w:p>
            <w:pPr>
              <w:spacing w:after="0"/>
              <w:rPr>
                <w:sz w:val="20"/>
                <w:szCs w:val="20"/>
                <w:color w:val="auto"/>
              </w:rPr>
            </w:pPr>
            <w:r>
              <w:rPr>
                <w:rFonts w:ascii="Arial" w:cs="Arial" w:eastAsia="Arial" w:hAnsi="Arial"/>
                <w:sz w:val="16"/>
                <w:szCs w:val="16"/>
                <w:color w:val="auto"/>
              </w:rPr>
              <w:t>2030</w:t>
            </w: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18,228</w:t>
            </w:r>
          </w:p>
        </w:tc>
      </w:tr>
      <w:tr>
        <w:trPr>
          <w:trHeight w:val="189"/>
        </w:trPr>
        <w:tc>
          <w:tcPr>
            <w:tcW w:w="9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86,415</w:t>
            </w:r>
          </w:p>
        </w:tc>
      </w:tr>
      <w:tr>
        <w:trPr>
          <w:trHeight w:val="183"/>
        </w:trPr>
        <w:tc>
          <w:tcPr>
            <w:tcW w:w="9440" w:type="dxa"/>
            <w:vAlign w:val="bottom"/>
          </w:tcPr>
          <w:p>
            <w:pPr>
              <w:spacing w:after="0"/>
              <w:rPr>
                <w:sz w:val="15"/>
                <w:szCs w:val="15"/>
                <w:color w:val="auto"/>
              </w:rPr>
            </w:pPr>
          </w:p>
        </w:tc>
        <w:tc>
          <w:tcPr>
            <w:tcW w:w="3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194,199</w:t>
            </w:r>
          </w:p>
        </w:tc>
      </w:tr>
      <w:tr>
        <w:trPr>
          <w:trHeight w:val="20"/>
        </w:trPr>
        <w:tc>
          <w:tcPr>
            <w:tcW w:w="9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tab/>
        <w:t>Debt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Revolving Credit Facility</w:t>
      </w:r>
    </w:p>
    <w:p>
      <w:pPr>
        <w:spacing w:after="0" w:line="18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On February 23, 2024, the Company entered into an Amended and Restated Credit Agreement for a five-year senior secured revolving credit syndication loan (2024 Revolving Credit Facility) with four banks for a total commitment of $125.0 million. The 2024 Revolving Credit Facility provides for an incremental facility in an amount equal to $50.0 million plus 100% of Consolidated Adjusted EBITDA based on the most recent consolidated financial information. In addition, the 2024 Revolving Credit Facility includes a $10.0 million letter of credit sub-facility and a $5.0 million swingline sub-facility, with available borrowings under the 2024 Revolving Credit Facility reduced by the amount of any letters of credit and swingline borrowings outstanding from time to time. The 2024 Revolving Credit Facility is guaranteed by Flywire’s current and future material domestic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25" w:name="page26"/>
    <w:bookmarkEnd w:id="25"/>
    <w:p>
      <w:pPr>
        <w:ind w:right="260" w:firstLine="509"/>
        <w:spacing w:after="0" w:line="253" w:lineRule="auto"/>
        <w:rPr>
          <w:sz w:val="20"/>
          <w:szCs w:val="20"/>
          <w:color w:val="auto"/>
        </w:rPr>
      </w:pPr>
      <w:r>
        <w:rPr>
          <w:rFonts w:ascii="Arial" w:cs="Arial" w:eastAsia="Arial" w:hAnsi="Arial"/>
          <w:sz w:val="18"/>
          <w:szCs w:val="18"/>
          <w:color w:val="auto"/>
        </w:rPr>
        <w:t>The 2024 Revolving Credit Facility replaced the three-year senior secured revolving credit syndication loan of $50.0 million entered into in July 2021, under which $50.0 million was available to Flywire as of December 31, 2023. Three of the lenders under the 2024 Revolving Credit Facility were existing lenders under the 2021 Revolving Credit Facility.</w:t>
      </w:r>
    </w:p>
    <w:p>
      <w:pPr>
        <w:spacing w:after="0" w:line="142"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On August 1, 2025, the Company entered into an amendment (the 2025 Revolving Credit Facility Amendment) to the 2024 Revolving Credit Facility with five banks to increase the total commitments from $125.0 million to $300.0 million and make certain conforming and administrative changes. The 2024 Revolving Credit Facility, as amended by the 2025 Revolving Credit Facility Amendment, is hereinafter referred to as the 2024 Amended Revolving Credit Facility. Four of the lenders under the 2025 Revolving Credit Facility Amendment were existing lenders under the 2024 Revolving Credit Facility.</w:t>
      </w:r>
    </w:p>
    <w:p>
      <w:pPr>
        <w:spacing w:after="0" w:line="136"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In connection with the 2025 Revolving Credit Facility Amendment, the Company incurred debt issuance costs of $0.8 million. Debt issuance costs related to the 2024 Amended Revolving Credit Facility are amortized on a straight-line basis over the contractual term of the agreement and are presented as a component of other assets on the Company's condensed consolidated balance sheets. Debt issuance costs of $0.7 million related to the 2024 Revolving Credit Facility will continue to be amortized on a straight-line basis over the contractual term of the new agreement and are presented as a component of other assets on the Company's condensed consolidated balance sheets. The 2025 Revolving Credit Facility Amendment of the 2024 Revolving Credit Facility from the existing lenders was accounted for as a modification.</w:t>
      </w:r>
    </w:p>
    <w:p>
      <w:pPr>
        <w:spacing w:after="0" w:line="144"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2024 Amended Revolving Credit Facility consists of Alternate Base Rate (ABR) borrowings or Term Secured Overnight Financing Rate (SOFR) borrowings, at the Company’s option.</w:t>
      </w:r>
    </w:p>
    <w:p>
      <w:pPr>
        <w:spacing w:after="0" w:line="12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the Company’s consolidated total net leverage ratio as of the most recent consolidated financial information and ranges from 1.0% to 2.5%. The 2024 Amended Revolving Credit Facility incurs a commitment fee ranging from 0.25% to 0.35% based upon the Company’s consolidated total net leverage ratio as of the most recent consolidated financial information assessed on the average available commitment.</w:t>
      </w:r>
    </w:p>
    <w:p>
      <w:pPr>
        <w:spacing w:after="0" w:line="14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2024 Amended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2024 Amended Revolving Credit Facility becoming immediately due and payable and termination of the commitments. The Company was in compliance with all covenants associated with the 2024 Amended Revolving Credit Facility as of September 30, 2025.</w:t>
      </w:r>
    </w:p>
    <w:p>
      <w:pPr>
        <w:spacing w:after="0" w:line="140"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During the nine months ended September 30, 2025, the Company drew down $125.0 million under the 2024 Amended Revolving Credit Facility in connection with the acquisition of Sertifi. During the nine months ended September 30, 2025, the Company repaid $110.0 million against the 2024 Amended Revolving Credit Facility. The outstanding balance of the 2024 Amended Revolving Credit Facility was $15.0 million as of September 30, 2025, which is due and payable in February 2029 and is classified as long-term debt on the condensed consolidated balance sheet. There was no outstanding balance as of the 2024 Revolving Credit Facility as of December 31, 2024.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Revolving Credit Facility</w:t>
      </w:r>
    </w:p>
    <w:p>
      <w:pPr>
        <w:spacing w:after="0" w:line="169" w:lineRule="exact"/>
        <w:rPr>
          <w:sz w:val="20"/>
          <w:szCs w:val="20"/>
          <w:color w:val="auto"/>
        </w:rPr>
      </w:pPr>
    </w:p>
    <w:p>
      <w:pPr>
        <w:ind w:right="380" w:firstLine="509"/>
        <w:spacing w:after="0" w:line="247" w:lineRule="auto"/>
        <w:rPr>
          <w:sz w:val="20"/>
          <w:szCs w:val="20"/>
          <w:color w:val="auto"/>
        </w:rPr>
      </w:pPr>
      <w:r>
        <w:rPr>
          <w:rFonts w:ascii="Arial" w:cs="Arial" w:eastAsia="Arial" w:hAnsi="Arial"/>
          <w:sz w:val="18"/>
          <w:szCs w:val="18"/>
          <w:color w:val="auto"/>
        </w:rPr>
        <w:t>On July 29, 2021, the Company entered into the 2021 Revolving Credit Facility with three banks for a total commitment of $50.0 million. The 2021 Revolving Credit Facility included a $5.0 million letter of credit sub-facility and a $5.0 million swingline sub-facility, with available borrowings under the 2021 Revolving Credit Facility reduced by the amount of any letters of credit and swingline borrowings outstanding from time to time. The 2021 Revolving Credit Facility was guaranteed by Flywire’s material domestic subsidiaries.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2021 Revolving Credit Facility consisted of ABR loans or Eurodollar Borrowings, at the Company’s option.</w:t>
      </w:r>
    </w:p>
    <w:p>
      <w:pPr>
        <w:spacing w:after="0" w:line="185"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On June 23, 2023, the Company executed the First Amendment to the 2021 Revolving Credit Facility to transition determination of the interest rate from the LIBOR benchmark rate to the SOFR benchmark rate effective June 30, 2023.</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76" w:right="399" w:bottom="1440" w:gutter="0" w:footer="0" w:header="0"/>
        </w:sectPr>
      </w:pPr>
    </w:p>
    <w:bookmarkStart w:id="26" w:name="page27"/>
    <w:bookmarkEnd w:id="26"/>
    <w:p>
      <w:pPr>
        <w:ind w:left="560"/>
        <w:spacing w:after="0"/>
        <w:rPr>
          <w:sz w:val="20"/>
          <w:szCs w:val="20"/>
          <w:color w:val="auto"/>
        </w:rPr>
      </w:pPr>
      <w:r>
        <w:rPr>
          <w:rFonts w:ascii="Arial" w:cs="Arial" w:eastAsia="Arial" w:hAnsi="Arial"/>
          <w:sz w:val="18"/>
          <w:szCs w:val="18"/>
          <w:color w:val="auto"/>
        </w:rPr>
        <w:t>As of September 30, 2025 and December 31, 2024, there was no outstanding indebtedness under the 2021 Revolving Credit Facility.</w:t>
      </w:r>
    </w:p>
    <w:p>
      <w:pPr>
        <w:spacing w:after="0" w:line="185"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Interest expense for the three months ended September 30, 2025 and 2024 was $1.1 million and $0.1 million, respectively. Included in interest expense for the three months ended September 30, 2025 and 2024 was $0.1 million and less than $0.1 million of amortization of debt issuance costs. Interest expense for the nine months ended September 30, 2025 and 2024 was $2.8 million and $0.4 million, respectively. Included in interest expense for both the nine months ended September 30, 2025 and 2024 was $0.2 million of amortization of debt issuance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69" w:lineRule="exact"/>
        <w:rPr>
          <w:sz w:val="20"/>
          <w:szCs w:val="20"/>
          <w:color w:val="auto"/>
        </w:rPr>
      </w:pPr>
    </w:p>
    <w:p>
      <w:pPr>
        <w:ind w:right="460" w:firstLine="509"/>
        <w:spacing w:after="0" w:line="253" w:lineRule="auto"/>
        <w:rPr>
          <w:sz w:val="20"/>
          <w:szCs w:val="20"/>
          <w:color w:val="auto"/>
        </w:rPr>
      </w:pPr>
      <w:r>
        <w:rPr>
          <w:rFonts w:ascii="Arial" w:cs="Arial" w:eastAsia="Arial" w:hAnsi="Arial"/>
          <w:sz w:val="18"/>
          <w:szCs w:val="18"/>
          <w:color w:val="auto"/>
        </w:rPr>
        <w:t>As of September 30, 2025 and December 31, 2024, the Company had outstanding and unused letters of credit in the amount of approximately $6.9 million and $2.5 million, respectively, for the purpose of protecting third-party service providers against defaults. The letters of credit may be terminated at any time by the Company upon notice.</w:t>
      </w:r>
    </w:p>
    <w:p>
      <w:pPr>
        <w:spacing w:after="0" w:line="16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Company’s current amended and restated certificate of incorporation, which was filed on May 28, 2021, authorizes the issuance of 10,000,000 shares of undesignated preferred stock with a par value of $0.0001 per share with rights and preferences, including voting rights, designated from time to time by the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3"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Company’s current amended and restated certificate of incorporation authorizes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p>
    <w:p>
      <w:pPr>
        <w:spacing w:after="0" w:line="13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Holders of the Company's voting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8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On August 6, 2024, the Company announced a share repurchase program of up to $150.0 million of outstanding voting and non-voting common stock for an indefinite period as part of the Company’s capital deployment strategy (Repurchase Program). On July 30, 2025, the Company's board of directors approved an increase in the aggregate amount of voting and non-voting common stock outstanding that may be repurchased under the Repurchase Program by an additional $150.0 million, bringing the total authorized amount under the Repurchase Program to $300.0 million.</w:t>
      </w:r>
    </w:p>
    <w:p>
      <w:pPr>
        <w:spacing w:after="0" w:line="136"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Repurchases under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7" w:name="page28"/>
    <w:bookmarkEnd w:id="27"/>
    <w:p>
      <w:pPr>
        <w:ind w:right="180"/>
        <w:spacing w:after="0" w:line="271" w:lineRule="auto"/>
        <w:rPr>
          <w:sz w:val="20"/>
          <w:szCs w:val="20"/>
          <w:color w:val="auto"/>
        </w:rPr>
      </w:pPr>
      <w:r>
        <w:rPr>
          <w:rFonts w:ascii="Arial" w:cs="Arial" w:eastAsia="Arial" w:hAnsi="Arial"/>
          <w:sz w:val="18"/>
          <w:szCs w:val="18"/>
          <w:color w:val="auto"/>
        </w:rPr>
        <w:t>Company to purchase a specific number of, or any, shares and may be modified, suspended or terminated at any time without notice at the Company’s discretion.</w:t>
      </w:r>
    </w:p>
    <w:p>
      <w:pPr>
        <w:spacing w:after="0" w:line="127"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During the three and nine months ended September 30, 2025, the Company repurchased 762,379 and 4,889,064 shares of its common stock for an aggregate amount, including commissions and accrued excise tax, of $10.0 million and $62.8 million under the Repurchase Program, respectively. The repurchased shares are held as treasury stock on the condensed consolidated balance sheet. As of September 30, 2025, approximately $191.9 million of the $300 million authorized amount under the Repurchase Program remained available for future repurchases.</w:t>
      </w:r>
    </w:p>
    <w:p>
      <w:pPr>
        <w:spacing w:after="0" w:line="136"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All of the Company’s repurchases are subject to a 1% excise tax enacted by the Inflation Reduction Act of 2022 (the IRA). The amount of share repurchases subject to the excise tax are reduced by the fair market value of any shares issued during the taxable year. As of September 30, 2025, the accrued excise tax liability pursuant to the IRA was $0.3 million, which is included in the cost of treasury stock and accrued expenses and other current liabilities on the Company's condensed consolidated balance sheet.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8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may issue treasury stock upon the exercise of stock options and vesting of restricted stock units granted under its equity incentive plans. The Company issued 8,621 and 37,133 treasury shares at average cost of $11.34 and $10.64 per share during the three and nine months ended September 30, 2025, respectively. The Company issued 5,653 and 25,660 treasury shares at an average cost of $0.32 per share during the three and nine months ended September 30, 2024, respectively. The Company intends to issue treasury shares as long as an adequate number of those shares are available.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69"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Comprehensive income (loss) includes all changes in equity during the period and is comprised of net income (loss) and other comprehensive income (loss). Accumulated other comprehensive income (AOCI) reported on the Company's condensed consolidated balance sheets for the period ending September 30, 2025 consists of foreign currency translation adjustment and the unrealized gains and losses, net of applicable taxes, on available-for-sale debt securities.</w:t>
      </w:r>
    </w:p>
    <w:p>
      <w:pPr>
        <w:spacing w:after="0" w:line="147" w:lineRule="exact"/>
        <w:rPr>
          <w:sz w:val="20"/>
          <w:szCs w:val="20"/>
          <w:color w:val="auto"/>
        </w:rPr>
      </w:pPr>
    </w:p>
    <w:p>
      <w:pPr>
        <w:ind w:right="820" w:firstLine="509"/>
        <w:spacing w:after="0" w:line="271" w:lineRule="auto"/>
        <w:rPr>
          <w:sz w:val="20"/>
          <w:szCs w:val="20"/>
          <w:color w:val="auto"/>
        </w:rPr>
      </w:pPr>
      <w:r>
        <w:rPr>
          <w:rFonts w:ascii="Arial" w:cs="Arial" w:eastAsia="Arial" w:hAnsi="Arial"/>
          <w:sz w:val="18"/>
          <w:szCs w:val="18"/>
          <w:color w:val="auto"/>
        </w:rPr>
        <w:t>The following tables summarize the changes in AOCI for the three and nine months ended September 30, 2025 and 2024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7"/>
          </w:tcPr>
          <w:p>
            <w:pPr>
              <w:jc w:val="right"/>
              <w:ind w:right="661"/>
              <w:spacing w:after="0"/>
              <w:rPr>
                <w:sz w:val="20"/>
                <w:szCs w:val="20"/>
                <w:color w:val="auto"/>
              </w:rPr>
            </w:pPr>
            <w:r>
              <w:rPr>
                <w:rFonts w:ascii="Arial" w:cs="Arial" w:eastAsia="Arial" w:hAnsi="Arial"/>
                <w:sz w:val="14"/>
                <w:szCs w:val="14"/>
                <w:b w:val="1"/>
                <w:bCs w:val="1"/>
                <w:color w:val="auto"/>
              </w:rPr>
              <w:t>Three Months Ended September 30, 2025</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7"/>
          </w:tcPr>
          <w:p>
            <w:pPr>
              <w:jc w:val="right"/>
              <w:ind w:right="701"/>
              <w:spacing w:after="0"/>
              <w:rPr>
                <w:sz w:val="20"/>
                <w:szCs w:val="20"/>
                <w:color w:val="auto"/>
              </w:rPr>
            </w:pPr>
            <w:r>
              <w:rPr>
                <w:rFonts w:ascii="Arial" w:cs="Arial" w:eastAsia="Arial" w:hAnsi="Arial"/>
                <w:sz w:val="14"/>
                <w:szCs w:val="14"/>
                <w:b w:val="1"/>
                <w:bCs w:val="1"/>
                <w:color w:val="auto"/>
              </w:rPr>
              <w:t>Three Months Ended September 30, 2024</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right="44"/>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rPr>
              <w:t>Foreign</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right="44"/>
              <w:spacing w:after="0"/>
              <w:rPr>
                <w:sz w:val="20"/>
                <w:szCs w:val="20"/>
                <w:color w:val="auto"/>
              </w:rPr>
            </w:pPr>
            <w:r>
              <w:rPr>
                <w:rFonts w:ascii="Arial" w:cs="Arial" w:eastAsia="Arial" w:hAnsi="Arial"/>
                <w:sz w:val="14"/>
                <w:szCs w:val="14"/>
                <w:b w:val="1"/>
                <w:bCs w:val="1"/>
                <w:color w:val="auto"/>
              </w:rPr>
              <w:t>(Losses) 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rPr>
              <w:t>(Losses) 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ind w:right="44"/>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rPr>
              <w:t>Available-for-Sale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Debt Securities, net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Debt Securities, net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500" w:type="dxa"/>
            <w:vAlign w:val="bottom"/>
            <w:shd w:val="clear" w:color="auto" w:fill="CFF0FC"/>
          </w:tcPr>
          <w:p>
            <w:pPr>
              <w:spacing w:after="0"/>
              <w:rPr>
                <w:sz w:val="20"/>
                <w:szCs w:val="20"/>
                <w:color w:val="auto"/>
              </w:rPr>
            </w:pPr>
            <w:r>
              <w:rPr>
                <w:rFonts w:ascii="Arial" w:cs="Arial" w:eastAsia="Arial" w:hAnsi="Arial"/>
                <w:sz w:val="14"/>
                <w:szCs w:val="14"/>
                <w:color w:val="auto"/>
              </w:rPr>
              <w:t>Beginning balance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w:t>
            </w:r>
          </w:p>
        </w:tc>
        <w:tc>
          <w:tcPr>
            <w:tcW w:w="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7,058</w:t>
            </w:r>
          </w:p>
        </w:tc>
        <w:tc>
          <w:tcPr>
            <w:tcW w:w="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7,101</w:t>
            </w:r>
          </w:p>
        </w:tc>
        <w:tc>
          <w:tcPr>
            <w:tcW w:w="2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w:t>
            </w:r>
          </w:p>
        </w:tc>
        <w:tc>
          <w:tcPr>
            <w:tcW w:w="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152</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53"/>
        </w:trPr>
        <w:tc>
          <w:tcPr>
            <w:tcW w:w="2500" w:type="dxa"/>
            <w:vAlign w:val="bottom"/>
          </w:tcPr>
          <w:p>
            <w:pPr>
              <w:spacing w:after="0" w:line="153" w:lineRule="exact"/>
              <w:rPr>
                <w:sz w:val="20"/>
                <w:szCs w:val="20"/>
                <w:color w:val="auto"/>
              </w:rPr>
            </w:pPr>
            <w:r>
              <w:rPr>
                <w:rFonts w:ascii="Arial" w:cs="Arial" w:eastAsia="Arial" w:hAnsi="Arial"/>
                <w:sz w:val="14"/>
                <w:szCs w:val="14"/>
                <w:color w:val="auto"/>
              </w:rPr>
              <w:t>Other comprehensive (loss) income</w:t>
            </w:r>
          </w:p>
        </w:tc>
        <w:tc>
          <w:tcPr>
            <w:tcW w:w="10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(1,917)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(1,897)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4,904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5,606</w:t>
            </w:r>
          </w:p>
        </w:tc>
        <w:tc>
          <w:tcPr>
            <w:tcW w:w="0" w:type="dxa"/>
            <w:vAlign w:val="bottom"/>
          </w:tcPr>
          <w:p>
            <w:pPr>
              <w:spacing w:after="0"/>
              <w:rPr>
                <w:sz w:val="1"/>
                <w:szCs w:val="1"/>
                <w:color w:val="auto"/>
              </w:rPr>
            </w:pPr>
          </w:p>
        </w:tc>
      </w:tr>
      <w:tr>
        <w:trPr>
          <w:trHeight w:val="115"/>
        </w:trPr>
        <w:tc>
          <w:tcPr>
            <w:tcW w:w="2500" w:type="dxa"/>
            <w:vAlign w:val="bottom"/>
            <w:vMerge w:val="restart"/>
          </w:tcPr>
          <w:p>
            <w:pPr>
              <w:spacing w:after="0"/>
              <w:rPr>
                <w:sz w:val="20"/>
                <w:szCs w:val="20"/>
                <w:color w:val="auto"/>
              </w:rPr>
            </w:pPr>
            <w:r>
              <w:rPr>
                <w:rFonts w:ascii="Arial" w:cs="Arial" w:eastAsia="Arial" w:hAnsi="Arial"/>
                <w:sz w:val="14"/>
                <w:szCs w:val="14"/>
                <w:color w:val="auto"/>
              </w:rPr>
              <w:t>before reclassifications</w:t>
            </w:r>
          </w:p>
        </w:tc>
        <w:tc>
          <w:tcPr>
            <w:tcW w:w="1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500" w:type="dxa"/>
            <w:vAlign w:val="bottom"/>
            <w:tcBorders>
              <w:bottom w:val="single" w:sz="8" w:color="CFF0FC"/>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500" w:type="dxa"/>
            <w:vAlign w:val="bottom"/>
            <w:shd w:val="clear" w:color="auto" w:fill="CFF0FC"/>
          </w:tcPr>
          <w:p>
            <w:pPr>
              <w:spacing w:after="0" w:line="133" w:lineRule="exact"/>
              <w:rPr>
                <w:sz w:val="20"/>
                <w:szCs w:val="20"/>
                <w:color w:val="auto"/>
              </w:rPr>
            </w:pPr>
            <w:r>
              <w:rPr>
                <w:rFonts w:ascii="Arial" w:cs="Arial" w:eastAsia="Arial" w:hAnsi="Arial"/>
                <w:sz w:val="14"/>
                <w:szCs w:val="14"/>
                <w:color w:val="auto"/>
              </w:rPr>
              <w:t>Net current period other</w:t>
            </w:r>
          </w:p>
        </w:tc>
        <w:tc>
          <w:tcPr>
            <w:tcW w:w="100" w:type="dxa"/>
            <w:vAlign w:val="bottom"/>
            <w:shd w:val="clear" w:color="auto" w:fill="CFF0FC"/>
          </w:tcPr>
          <w:p>
            <w:pPr>
              <w:spacing w:after="0"/>
              <w:rPr>
                <w:sz w:val="11"/>
                <w:szCs w:val="11"/>
                <w:color w:val="auto"/>
              </w:rPr>
            </w:pP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(1,917)</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(1,897)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4,904</w:t>
            </w: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5,606</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FF0FC"/>
            </w:tcBorders>
            <w:shd w:val="clear" w:color="auto" w:fill="CFF0FC"/>
          </w:tcPr>
          <w:p>
            <w:pPr>
              <w:spacing w:after="0" w:line="138" w:lineRule="exact"/>
              <w:rPr>
                <w:sz w:val="20"/>
                <w:szCs w:val="20"/>
                <w:color w:val="auto"/>
              </w:rPr>
            </w:pPr>
            <w:r>
              <w:rPr>
                <w:rFonts w:ascii="Arial" w:cs="Arial" w:eastAsia="Arial" w:hAnsi="Arial"/>
                <w:sz w:val="14"/>
                <w:szCs w:val="14"/>
                <w:color w:val="auto"/>
              </w:rPr>
              <w:t>comprehensive (loss) income</w:t>
            </w:r>
          </w:p>
        </w:tc>
        <w:tc>
          <w:tcPr>
            <w:tcW w:w="100" w:type="dxa"/>
            <w:vAlign w:val="bottom"/>
            <w:tcBorders>
              <w:bottom w:val="single" w:sz="8" w:color="CFF0FC"/>
            </w:tcBorders>
            <w:shd w:val="clear" w:color="auto" w:fill="CFF0FC"/>
          </w:tcPr>
          <w:p>
            <w:pPr>
              <w:spacing w:after="0"/>
              <w:rPr>
                <w:sz w:val="11"/>
                <w:szCs w:val="11"/>
                <w:color w:val="auto"/>
              </w:rPr>
            </w:pPr>
          </w:p>
        </w:tc>
        <w:tc>
          <w:tcPr>
            <w:tcW w:w="148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46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CFF0FC"/>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Pr>
          <w:p>
            <w:pPr>
              <w:spacing w:after="0"/>
              <w:rPr>
                <w:sz w:val="20"/>
                <w:szCs w:val="20"/>
                <w:color w:val="auto"/>
              </w:rPr>
            </w:pPr>
            <w:r>
              <w:rPr>
                <w:rFonts w:ascii="Arial" w:cs="Arial" w:eastAsia="Arial" w:hAnsi="Arial"/>
                <w:sz w:val="14"/>
                <w:szCs w:val="14"/>
                <w:color w:val="auto"/>
              </w:rPr>
              <w:t>Ending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line="183" w:lineRule="exact"/>
              <w:rPr>
                <w:sz w:val="20"/>
                <w:szCs w:val="20"/>
                <w:color w:val="auto"/>
              </w:rPr>
            </w:pPr>
            <w:r>
              <w:rPr>
                <w:rFonts w:ascii="Arial" w:cs="Arial" w:eastAsia="Arial" w:hAnsi="Arial"/>
                <w:sz w:val="16"/>
                <w:szCs w:val="16"/>
                <w:color w:val="auto"/>
              </w:rPr>
              <w:t>63</w:t>
            </w:r>
          </w:p>
        </w:tc>
        <w:tc>
          <w:tcPr>
            <w:tcW w:w="12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5,141</w:t>
            </w:r>
          </w:p>
        </w:tc>
        <w:tc>
          <w:tcPr>
            <w:tcW w:w="3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5,204</w:t>
            </w:r>
          </w:p>
        </w:tc>
        <w:tc>
          <w:tcPr>
            <w:tcW w:w="2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649</w:t>
            </w:r>
          </w:p>
        </w:tc>
        <w:tc>
          <w:tcPr>
            <w:tcW w:w="2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5,056</w:t>
            </w:r>
          </w:p>
        </w:tc>
        <w:tc>
          <w:tcPr>
            <w:tcW w:w="4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5,705</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7"/>
          </w:tcPr>
          <w:p>
            <w:pPr>
              <w:jc w:val="right"/>
              <w:ind w:right="701"/>
              <w:spacing w:after="0"/>
              <w:rPr>
                <w:sz w:val="20"/>
                <w:szCs w:val="20"/>
                <w:color w:val="auto"/>
              </w:rPr>
            </w:pPr>
            <w:r>
              <w:rPr>
                <w:rFonts w:ascii="Arial" w:cs="Arial" w:eastAsia="Arial" w:hAnsi="Arial"/>
                <w:sz w:val="14"/>
                <w:szCs w:val="14"/>
                <w:b w:val="1"/>
                <w:bCs w:val="1"/>
                <w:color w:val="auto"/>
              </w:rPr>
              <w:t>Nine Months Ended September 30, 2025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7"/>
          </w:tcPr>
          <w:p>
            <w:pPr>
              <w:jc w:val="right"/>
              <w:ind w:right="741"/>
              <w:spacing w:after="0"/>
              <w:rPr>
                <w:sz w:val="20"/>
                <w:szCs w:val="20"/>
                <w:color w:val="auto"/>
              </w:rPr>
            </w:pPr>
            <w:r>
              <w:rPr>
                <w:rFonts w:ascii="Arial" w:cs="Arial" w:eastAsia="Arial" w:hAnsi="Arial"/>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right="44"/>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rPr>
              <w:t>Foreign</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right="44"/>
              <w:spacing w:after="0"/>
              <w:rPr>
                <w:sz w:val="20"/>
                <w:szCs w:val="20"/>
                <w:color w:val="auto"/>
              </w:rPr>
            </w:pPr>
            <w:r>
              <w:rPr>
                <w:rFonts w:ascii="Arial" w:cs="Arial" w:eastAsia="Arial" w:hAnsi="Arial"/>
                <w:sz w:val="14"/>
                <w:szCs w:val="14"/>
                <w:b w:val="1"/>
                <w:bCs w:val="1"/>
                <w:color w:val="auto"/>
              </w:rPr>
              <w:t>(Losses) 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rPr>
              <w:t>(Losses) 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ind w:right="44"/>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rPr>
              <w:t>Available-for-Sale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Debt Securities, net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Debt Securities, net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500" w:type="dxa"/>
            <w:vAlign w:val="bottom"/>
            <w:shd w:val="clear" w:color="auto" w:fill="CFF0FC"/>
          </w:tcPr>
          <w:p>
            <w:pPr>
              <w:spacing w:after="0"/>
              <w:rPr>
                <w:sz w:val="20"/>
                <w:szCs w:val="20"/>
                <w:color w:val="auto"/>
              </w:rPr>
            </w:pPr>
            <w:r>
              <w:rPr>
                <w:rFonts w:ascii="Arial" w:cs="Arial" w:eastAsia="Arial" w:hAnsi="Arial"/>
                <w:sz w:val="14"/>
                <w:szCs w:val="14"/>
                <w:color w:val="auto"/>
              </w:rPr>
              <w:t>Beginning balance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208</w:t>
            </w:r>
          </w:p>
        </w:tc>
        <w:tc>
          <w:tcPr>
            <w:tcW w:w="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(2,274)</w:t>
            </w:r>
          </w:p>
        </w:tc>
        <w:tc>
          <w:tcPr>
            <w:tcW w:w="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(2,066)</w:t>
            </w:r>
          </w:p>
        </w:tc>
        <w:tc>
          <w:tcPr>
            <w:tcW w:w="2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1,320</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153"/>
        </w:trPr>
        <w:tc>
          <w:tcPr>
            <w:tcW w:w="2500" w:type="dxa"/>
            <w:vAlign w:val="bottom"/>
          </w:tcPr>
          <w:p>
            <w:pPr>
              <w:spacing w:after="0" w:line="153" w:lineRule="exact"/>
              <w:rPr>
                <w:sz w:val="20"/>
                <w:szCs w:val="20"/>
                <w:color w:val="auto"/>
              </w:rPr>
            </w:pPr>
            <w:r>
              <w:rPr>
                <w:rFonts w:ascii="Arial" w:cs="Arial" w:eastAsia="Arial" w:hAnsi="Arial"/>
                <w:sz w:val="14"/>
                <w:szCs w:val="14"/>
                <w:color w:val="auto"/>
              </w:rPr>
              <w:t>Other comprehensive (loss) income</w:t>
            </w:r>
          </w:p>
        </w:tc>
        <w:tc>
          <w:tcPr>
            <w:tcW w:w="10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7,415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7,270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3,736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4,385</w:t>
            </w:r>
          </w:p>
        </w:tc>
        <w:tc>
          <w:tcPr>
            <w:tcW w:w="0" w:type="dxa"/>
            <w:vAlign w:val="bottom"/>
          </w:tcPr>
          <w:p>
            <w:pPr>
              <w:spacing w:after="0"/>
              <w:rPr>
                <w:sz w:val="1"/>
                <w:szCs w:val="1"/>
                <w:color w:val="auto"/>
              </w:rPr>
            </w:pPr>
          </w:p>
        </w:tc>
      </w:tr>
      <w:tr>
        <w:trPr>
          <w:trHeight w:val="115"/>
        </w:trPr>
        <w:tc>
          <w:tcPr>
            <w:tcW w:w="2500" w:type="dxa"/>
            <w:vAlign w:val="bottom"/>
            <w:vMerge w:val="restart"/>
          </w:tcPr>
          <w:p>
            <w:pPr>
              <w:spacing w:after="0"/>
              <w:rPr>
                <w:sz w:val="20"/>
                <w:szCs w:val="20"/>
                <w:color w:val="auto"/>
              </w:rPr>
            </w:pPr>
            <w:r>
              <w:rPr>
                <w:rFonts w:ascii="Arial" w:cs="Arial" w:eastAsia="Arial" w:hAnsi="Arial"/>
                <w:sz w:val="14"/>
                <w:szCs w:val="14"/>
                <w:color w:val="auto"/>
              </w:rPr>
              <w:t>before reclassifications</w:t>
            </w:r>
          </w:p>
        </w:tc>
        <w:tc>
          <w:tcPr>
            <w:tcW w:w="1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500" w:type="dxa"/>
            <w:vAlign w:val="bottom"/>
            <w:tcBorders>
              <w:bottom w:val="single" w:sz="8" w:color="CFF0FC"/>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500" w:type="dxa"/>
            <w:vAlign w:val="bottom"/>
            <w:shd w:val="clear" w:color="auto" w:fill="CFF0FC"/>
          </w:tcPr>
          <w:p>
            <w:pPr>
              <w:spacing w:after="0" w:line="133" w:lineRule="exact"/>
              <w:rPr>
                <w:sz w:val="20"/>
                <w:szCs w:val="20"/>
                <w:color w:val="auto"/>
              </w:rPr>
            </w:pPr>
            <w:r>
              <w:rPr>
                <w:rFonts w:ascii="Arial" w:cs="Arial" w:eastAsia="Arial" w:hAnsi="Arial"/>
                <w:sz w:val="14"/>
                <w:szCs w:val="14"/>
                <w:color w:val="auto"/>
              </w:rPr>
              <w:t>Net current period other</w:t>
            </w:r>
          </w:p>
        </w:tc>
        <w:tc>
          <w:tcPr>
            <w:tcW w:w="100" w:type="dxa"/>
            <w:vAlign w:val="bottom"/>
            <w:shd w:val="clear" w:color="auto" w:fill="CFF0FC"/>
          </w:tcPr>
          <w:p>
            <w:pPr>
              <w:spacing w:after="0"/>
              <w:rPr>
                <w:sz w:val="11"/>
                <w:szCs w:val="11"/>
                <w:color w:val="auto"/>
              </w:rPr>
            </w:pP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7,415</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7,270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3,736</w:t>
            </w: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4,385</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FF0FC"/>
            </w:tcBorders>
            <w:shd w:val="clear" w:color="auto" w:fill="CFF0FC"/>
          </w:tcPr>
          <w:p>
            <w:pPr>
              <w:spacing w:after="0" w:line="138" w:lineRule="exact"/>
              <w:rPr>
                <w:sz w:val="20"/>
                <w:szCs w:val="20"/>
                <w:color w:val="auto"/>
              </w:rPr>
            </w:pPr>
            <w:r>
              <w:rPr>
                <w:rFonts w:ascii="Arial" w:cs="Arial" w:eastAsia="Arial" w:hAnsi="Arial"/>
                <w:sz w:val="14"/>
                <w:szCs w:val="14"/>
                <w:color w:val="auto"/>
              </w:rPr>
              <w:t>comprehensive (loss) income</w:t>
            </w:r>
          </w:p>
        </w:tc>
        <w:tc>
          <w:tcPr>
            <w:tcW w:w="100" w:type="dxa"/>
            <w:vAlign w:val="bottom"/>
            <w:tcBorders>
              <w:bottom w:val="single" w:sz="8" w:color="CFF0FC"/>
            </w:tcBorders>
            <w:shd w:val="clear" w:color="auto" w:fill="CFF0FC"/>
          </w:tcPr>
          <w:p>
            <w:pPr>
              <w:spacing w:after="0"/>
              <w:rPr>
                <w:sz w:val="11"/>
                <w:szCs w:val="11"/>
                <w:color w:val="auto"/>
              </w:rPr>
            </w:pPr>
          </w:p>
        </w:tc>
        <w:tc>
          <w:tcPr>
            <w:tcW w:w="148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46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CFF0FC"/>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Ending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line="183" w:lineRule="exact"/>
              <w:rPr>
                <w:sz w:val="20"/>
                <w:szCs w:val="20"/>
                <w:color w:val="auto"/>
              </w:rPr>
            </w:pPr>
            <w:r>
              <w:rPr>
                <w:rFonts w:ascii="Arial" w:cs="Arial" w:eastAsia="Arial" w:hAnsi="Arial"/>
                <w:sz w:val="16"/>
                <w:szCs w:val="16"/>
                <w:color w:val="auto"/>
              </w:rPr>
              <w:t>63</w:t>
            </w:r>
          </w:p>
        </w:tc>
        <w:tc>
          <w:tcPr>
            <w:tcW w:w="12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5,141</w:t>
            </w:r>
          </w:p>
        </w:tc>
        <w:tc>
          <w:tcPr>
            <w:tcW w:w="3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5,204</w:t>
            </w:r>
          </w:p>
        </w:tc>
        <w:tc>
          <w:tcPr>
            <w:tcW w:w="2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649</w:t>
            </w:r>
          </w:p>
        </w:tc>
        <w:tc>
          <w:tcPr>
            <w:tcW w:w="2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5,056</w:t>
            </w:r>
          </w:p>
        </w:tc>
        <w:tc>
          <w:tcPr>
            <w:tcW w:w="4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5,705</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2581275</wp:posOffset>
            </wp:positionH>
            <wp:positionV relativeFrom="paragraph">
              <wp:posOffset>-1769745</wp:posOffset>
            </wp:positionV>
            <wp:extent cx="102870" cy="2311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231140"/>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-1769745</wp:posOffset>
            </wp:positionV>
            <wp:extent cx="93980" cy="2311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-1769745</wp:posOffset>
            </wp:positionV>
            <wp:extent cx="93980" cy="2311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-1769745</wp:posOffset>
            </wp:positionV>
            <wp:extent cx="93980" cy="2311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-1769745</wp:posOffset>
            </wp:positionV>
            <wp:extent cx="93980" cy="2311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-363220</wp:posOffset>
            </wp:positionV>
            <wp:extent cx="102870" cy="2311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231140"/>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-363220</wp:posOffset>
            </wp:positionV>
            <wp:extent cx="93980" cy="2311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-363220</wp:posOffset>
            </wp:positionV>
            <wp:extent cx="93980" cy="2311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-363220</wp:posOffset>
            </wp:positionV>
            <wp:extent cx="93980" cy="2311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-363220</wp:posOffset>
            </wp:positionV>
            <wp:extent cx="93980" cy="2311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3980" cy="23114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Reserved Shares of Common Stock for Future Issuance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September 30, 2025, the Company had reserved shares of common stock for future issuance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Issued and outstanding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Issued and outstanding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Available for issuance under the 2021 Equity Incentive Plan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Available for issuance under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Available for conversion of non-voting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5,328,396</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11,486,901</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14,761,658</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5,621,482</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1,873,320</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39,071,757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12065</wp:posOffset>
            </wp:positionV>
            <wp:extent cx="9772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-455930</wp:posOffset>
            </wp:positionH>
            <wp:positionV relativeFrom="paragraph">
              <wp:posOffset>29210</wp:posOffset>
            </wp:positionV>
            <wp:extent cx="9772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00" w:space="720"/>
            <w:col w:w="800"/>
          </w:cols>
          <w:pgMar w:left="320" w:top="1378" w:right="359" w:bottom="1440" w:gutter="0" w:footer="0" w:header="0"/>
        </w:sectPr>
      </w:pPr>
    </w:p>
    <w:p>
      <w:pPr>
        <w:spacing w:after="0" w:line="7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Stock-Based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83"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Equity Incentive Plan (the 2021 Plan).</w:t>
      </w:r>
    </w:p>
    <w:p>
      <w:pPr>
        <w:spacing w:after="0" w:line="11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No further awards are being made under the Company’s 2009 Equity Incentive Plan, as amended (the 2009 Plan) or the Company’s 2018 Stock Incentive Plan (the 2018 Plan); however, awards outstanding under each of the 2009 Plan and 2018 Plan will continue to be governed by their existing terms. With the establishment of the 2021 Plan,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spacing w:after="0" w:line="136"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2021 Plan provides for the grant of incentive stock options, non-qualified stock options, stock appreciation rights, restricted stock awards, restricted stock units, performance awards, and other forms of equity compensation (collectively, equity awards). A total of 26,116,754 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common stock will become available for grant under the 2021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Stock options granted under the 2021 Plan generally vest based on continued service over four years and expire within ten years from the date of grant. Any options that are canceled or forfeited before expiration become available for future grants.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grant any options to purchase shares of common stock during the three and nine months ended September 30,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167"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As of September 30, 2025, there was $0.3 million of total unrecognized compensation expense related to unvested stock options, which is expected to be recognized over a weighted-average period of 0.3 years.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Starting in 2021, the Company awarded restricted stock units to employees and certain non-employee board members under the 2021 Plan. During the three and nine months ended September 30, 2025, the Company awarded restricted stock units covering an aggregate of 0.3 million and 8.7 million shares of common stock, respectively. The fair value of each restricted stock unit is estimated based on the fair value of the Company's common stock on the date of the grant. The restricted stock units vest over the requisite service period, which range between one and four years from the date of the grant, subject to the continued employment of the employees and service of the non-employee board members.</w:t>
      </w:r>
    </w:p>
    <w:p>
      <w:pPr>
        <w:spacing w:after="0" w:line="15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As of September 30, 2025, there was $138.5 million of total unrecognized compensation expense related to unvested restricted stock units, which is expected to be recognized over a weighted-average period of 2.8 years.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8" w:right="3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April 2021, the Company’s board of directors adopted, and in May 2021 its stockholders approved, the 2021 Employee Stock Purchase Plan (ESPP), which became effective on May 28, 2021. The ESPP authorizes the issuance of shares of common stock pursuant to purchase rights granted to "eligible employees". A total of 5,621,482 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up to the lesser of 15% of their eligible compensation and the IRS limit. Offering periods are generally six months long.</w:t>
      </w:r>
    </w:p>
    <w:p>
      <w:pPr>
        <w:spacing w:after="0" w:line="144"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As of September 30, 2025, a total of 5,621,482 shares of the Company's common stock were available for future issuance under the ESPP.</w:t>
      </w:r>
    </w:p>
    <w:p>
      <w:pPr>
        <w:spacing w:after="0" w:line="113"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The fair value of the ESPP offering during the three months ended September 30, 2025, was estimated at the start of the offering period using the Black-Scholes option-pricing model with the following assumptions: (i) expected term of 0.5 years, (ii) expected volatility of 80.90%, (iii) risk-free interest rate of 4.29% and (iv) expected dividend yield of 0%.</w:t>
      </w:r>
    </w:p>
    <w:p>
      <w:pPr>
        <w:spacing w:after="0" w:line="142" w:lineRule="exact"/>
        <w:rPr>
          <w:sz w:val="20"/>
          <w:szCs w:val="20"/>
          <w:color w:val="auto"/>
        </w:rPr>
      </w:pPr>
    </w:p>
    <w:p>
      <w:pPr>
        <w:ind w:right="1880" w:firstLine="509"/>
        <w:spacing w:after="0" w:line="438" w:lineRule="auto"/>
        <w:rPr>
          <w:sz w:val="20"/>
          <w:szCs w:val="20"/>
          <w:color w:val="auto"/>
        </w:rPr>
      </w:pPr>
      <w:r>
        <w:rPr>
          <w:rFonts w:ascii="Arial" w:cs="Arial" w:eastAsia="Arial" w:hAnsi="Arial"/>
          <w:sz w:val="18"/>
          <w:szCs w:val="18"/>
          <w:color w:val="auto"/>
        </w:rPr>
        <w:t xml:space="preserve">As of September 30, 2025, there was $0.1 million of unrecognized compensation expense related to the ESPP. </w:t>
      </w:r>
      <w:r>
        <w:rPr>
          <w:rFonts w:ascii="Arial" w:cs="Arial" w:eastAsia="Arial" w:hAnsi="Arial"/>
          <w:sz w:val="18"/>
          <w:szCs w:val="18"/>
          <w:b w:val="1"/>
          <w:bCs w:val="1"/>
          <w:i w:val="1"/>
          <w:iCs w:val="1"/>
          <w:color w:val="auto"/>
        </w:rPr>
        <w:t>Stock-Based Compensation Costs</w:t>
      </w:r>
    </w:p>
    <w:p>
      <w:pPr>
        <w:spacing w:after="0" w:line="1" w:lineRule="exact"/>
        <w:rPr>
          <w:sz w:val="20"/>
          <w:szCs w:val="20"/>
          <w:color w:val="auto"/>
        </w:rPr>
      </w:pPr>
    </w:p>
    <w:p>
      <w:pPr>
        <w:ind w:right="520" w:firstLine="509"/>
        <w:spacing w:after="0" w:line="253" w:lineRule="auto"/>
        <w:rPr>
          <w:sz w:val="20"/>
          <w:szCs w:val="20"/>
          <w:color w:val="auto"/>
        </w:rPr>
      </w:pPr>
      <w:r>
        <w:rPr>
          <w:rFonts w:ascii="Arial" w:cs="Arial" w:eastAsia="Arial" w:hAnsi="Arial"/>
          <w:sz w:val="18"/>
          <w:szCs w:val="18"/>
          <w:color w:val="auto"/>
        </w:rPr>
        <w:t>The following table summarizes the stock-based compensation expense for (i) stock options and restricted stock units granted to employees and non-employee board members and (ii) ESPP shares that were purchased by employees that were recorded in the Company’s condensed consolidated statements of operations and comprehensive income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3280" w:type="dxa"/>
            <w:vAlign w:val="bottom"/>
            <w:tcBorders>
              <w:bottom w:val="single" w:sz="8" w:color="auto"/>
            </w:tcBorders>
            <w:gridSpan w:val="5"/>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r>
      <w:tr>
        <w:trPr>
          <w:trHeight w:val="182"/>
        </w:trPr>
        <w:tc>
          <w:tcPr>
            <w:tcW w:w="462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Technology and development</w:t>
            </w:r>
          </w:p>
        </w:tc>
        <w:tc>
          <w:tcPr>
            <w:tcW w:w="1020" w:type="dxa"/>
            <w:vAlign w:val="bottom"/>
            <w:shd w:val="clear" w:color="auto" w:fill="CFF0FC"/>
          </w:tcPr>
          <w:p>
            <w:pPr>
              <w:jc w:val="right"/>
              <w:ind w:right="839"/>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3,558</w:t>
            </w:r>
          </w:p>
        </w:tc>
        <w:tc>
          <w:tcPr>
            <w:tcW w:w="48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3,146</w:t>
            </w:r>
          </w:p>
        </w:tc>
        <w:tc>
          <w:tcPr>
            <w:tcW w:w="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10,077</w:t>
            </w:r>
          </w:p>
        </w:tc>
        <w:tc>
          <w:tcPr>
            <w:tcW w:w="440" w:type="dxa"/>
            <w:vAlign w:val="bottom"/>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8,569</w:t>
            </w: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Selling and marketing</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14,580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13,295</w:t>
            </w: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8,975</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8,672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26,366</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26,532</w:t>
            </w: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stock-based compensation expense</w:t>
            </w:r>
          </w:p>
        </w:tc>
        <w:tc>
          <w:tcPr>
            <w:tcW w:w="1020" w:type="dxa"/>
            <w:vAlign w:val="bottom"/>
            <w:tcBorders>
              <w:bottom w:val="single" w:sz="8" w:color="auto"/>
            </w:tcBorders>
            <w:shd w:val="clear" w:color="auto" w:fill="CFF0FC"/>
          </w:tcPr>
          <w:p>
            <w:pPr>
              <w:jc w:val="right"/>
              <w:ind w:right="839"/>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17,733</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16,492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53,473</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48,396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During the three months ended September 30, 2025 and 2024, $0.6 million and $0.4 million, respectively, of stock-based compensation was charged to internal-use software, deferred contract costs, and cloud-computing arrangement implementation costs. During the nine months ended September 30, 2025 and 2024, $1.6 million and $1.3 million, respectively, of stock-based compensation was charged to internal-use software, deferred contract costs, and cloud-computing arrangement implementation costs.</w:t>
      </w:r>
    </w:p>
    <w:p>
      <w:pPr>
        <w:spacing w:after="0" w:line="133"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On November 6, 2023, the Company entered into a Transition Agreement with its previous Chief Financial Officer (Prior CFO), pursuant to which the Company modified its Prior CFO's outstanding stock options and restricted stock units. As a result of this modification, the Company recognized no additional compensation expense for the three months ended September 30, 2024, and additional compensation expense of $1.3 million for the nine months ended September 30, 2024. There was no additional compensation expense recognized as a result of this modification during the three and nine months ended September 30, 2025.</w:t>
      </w:r>
    </w:p>
    <w:p>
      <w:pPr>
        <w:spacing w:after="0" w:line="17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Net Income per Share</w:t>
      </w:r>
    </w:p>
    <w:p>
      <w:pPr>
        <w:spacing w:after="0" w:line="185"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30" w:name="page31"/>
    <w:bookmarkEnd w:id="30"/>
    <w:p>
      <w:pPr>
        <w:ind w:right="520"/>
        <w:spacing w:after="0" w:line="271" w:lineRule="auto"/>
        <w:rPr>
          <w:sz w:val="20"/>
          <w:szCs w:val="20"/>
          <w:color w:val="auto"/>
        </w:rPr>
      </w:pPr>
      <w:r>
        <w:rPr>
          <w:rFonts w:ascii="Arial" w:cs="Arial" w:eastAsia="Arial" w:hAnsi="Arial"/>
          <w:sz w:val="18"/>
          <w:szCs w:val="18"/>
          <w:color w:val="auto"/>
        </w:rPr>
        <w:t>including all potentially dilutive common shares, if the effect of such shares is dilutive. The dilutive effect of outstanding equity incentive awards is reflected in diluted net income (loss) per share by application of the treasury stock method.</w:t>
      </w:r>
    </w:p>
    <w:p>
      <w:pPr>
        <w:spacing w:after="0" w:line="127"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12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income (loss) per share attributable to common stockholders are, therefore, the same for both voting and non-voting common stock on both individual and combined basis.</w:t>
      </w:r>
    </w:p>
    <w:p>
      <w:pPr>
        <w:spacing w:after="0" w:line="133"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Basic and diluted net income per share attributable to common stockholders was calculated as follows (in thousands, except share and per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Numerator:</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29,631</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38,896</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18,799</w:t>
            </w:r>
          </w:p>
        </w:tc>
        <w:tc>
          <w:tcPr>
            <w:tcW w:w="0" w:type="dxa"/>
            <w:vAlign w:val="bottom"/>
          </w:tcPr>
          <w:p>
            <w:pPr>
              <w:spacing w:after="0"/>
              <w:rPr>
                <w:sz w:val="1"/>
                <w:szCs w:val="1"/>
                <w:color w:val="auto"/>
              </w:rPr>
            </w:pPr>
          </w:p>
        </w:tc>
      </w:tr>
      <w:tr>
        <w:trPr>
          <w:trHeight w:val="168"/>
        </w:trPr>
        <w:tc>
          <w:tcPr>
            <w:tcW w:w="4620" w:type="dxa"/>
            <w:vAlign w:val="bottom"/>
            <w:shd w:val="clear" w:color="auto" w:fill="CFF0FC"/>
          </w:tcPr>
          <w:p>
            <w:pPr>
              <w:ind w:left="100"/>
              <w:spacing w:after="0" w:line="168" w:lineRule="exact"/>
              <w:rPr>
                <w:sz w:val="20"/>
                <w:szCs w:val="20"/>
                <w:color w:val="auto"/>
              </w:rPr>
            </w:pPr>
            <w:r>
              <w:rPr>
                <w:rFonts w:ascii="Arial" w:cs="Arial" w:eastAsia="Arial" w:hAnsi="Arial"/>
                <w:sz w:val="16"/>
                <w:szCs w:val="16"/>
                <w:color w:val="auto"/>
              </w:rPr>
              <w:t>Net income attributable to common stockholders – basic and</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29,631</w:t>
            </w:r>
          </w:p>
        </w:tc>
        <w:tc>
          <w:tcPr>
            <w:tcW w:w="480" w:type="dxa"/>
            <w:vAlign w:val="bottom"/>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38,896</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13,464</w:t>
            </w:r>
          </w:p>
        </w:tc>
        <w:tc>
          <w:tcPr>
            <w:tcW w:w="440" w:type="dxa"/>
            <w:vAlign w:val="bottom"/>
            <w:gridSpan w:val="2"/>
            <w:vMerge w:val="restart"/>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18,799</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100"/>
              <w:spacing w:after="0" w:line="143" w:lineRule="exact"/>
              <w:rPr>
                <w:sz w:val="20"/>
                <w:szCs w:val="20"/>
                <w:color w:val="auto"/>
              </w:rPr>
            </w:pPr>
            <w:r>
              <w:rPr>
                <w:rFonts w:ascii="Arial" w:cs="Arial" w:eastAsia="Arial" w:hAnsi="Arial"/>
                <w:sz w:val="16"/>
                <w:szCs w:val="16"/>
                <w:color w:val="auto"/>
              </w:rPr>
              <w:t>diluted</w:t>
            </w:r>
          </w:p>
        </w:tc>
        <w:tc>
          <w:tcPr>
            <w:tcW w:w="180" w:type="dxa"/>
            <w:vAlign w:val="bottom"/>
            <w:vMerge w:val="continue"/>
            <w:shd w:val="clear" w:color="auto" w:fill="CFF0FC"/>
          </w:tcPr>
          <w:p>
            <w:pPr>
              <w:spacing w:after="0"/>
              <w:rPr>
                <w:sz w:val="17"/>
                <w:szCs w:val="17"/>
                <w:color w:val="auto"/>
              </w:rPr>
            </w:pPr>
          </w:p>
        </w:tc>
        <w:tc>
          <w:tcPr>
            <w:tcW w:w="1400" w:type="dxa"/>
            <w:vAlign w:val="bottom"/>
            <w:vMerge w:val="continue"/>
            <w:shd w:val="clear" w:color="auto" w:fill="CFF0FC"/>
          </w:tcPr>
          <w:p>
            <w:pPr>
              <w:spacing w:after="0"/>
              <w:rPr>
                <w:sz w:val="17"/>
                <w:szCs w:val="17"/>
                <w:color w:val="auto"/>
              </w:rPr>
            </w:pPr>
          </w:p>
        </w:tc>
        <w:tc>
          <w:tcPr>
            <w:tcW w:w="480" w:type="dxa"/>
            <w:vAlign w:val="bottom"/>
            <w:gridSpan w:val="2"/>
            <w:vMerge w:val="continue"/>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300" w:type="dxa"/>
            <w:vAlign w:val="bottom"/>
            <w:gridSpan w:val="2"/>
            <w:vMerge w:val="continue"/>
            <w:shd w:val="clear" w:color="auto" w:fill="CFF0FC"/>
          </w:tcPr>
          <w:p>
            <w:pPr>
              <w:spacing w:after="0"/>
              <w:rPr>
                <w:sz w:val="17"/>
                <w:szCs w:val="17"/>
                <w:color w:val="auto"/>
              </w:rPr>
            </w:pPr>
          </w:p>
        </w:tc>
        <w:tc>
          <w:tcPr>
            <w:tcW w:w="1380" w:type="dxa"/>
            <w:vAlign w:val="bottom"/>
            <w:vMerge w:val="continue"/>
            <w:shd w:val="clear" w:color="auto" w:fill="CFF0FC"/>
          </w:tcPr>
          <w:p>
            <w:pPr>
              <w:spacing w:after="0"/>
              <w:rPr>
                <w:sz w:val="17"/>
                <w:szCs w:val="17"/>
                <w:color w:val="auto"/>
              </w:rPr>
            </w:pPr>
          </w:p>
        </w:tc>
        <w:tc>
          <w:tcPr>
            <w:tcW w:w="440" w:type="dxa"/>
            <w:vAlign w:val="bottom"/>
            <w:gridSpan w:val="2"/>
            <w:vMerge w:val="continue"/>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62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Denominator:</w:t>
            </w: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Weighted average common shares outstanding – basic</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122,434,615</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124,887,591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122,504,476</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124,204,873</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Effect of potentially dilutive stock options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2,915,403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4,104,795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3,118,924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4,676,879</w:t>
            </w:r>
          </w:p>
        </w:tc>
        <w:tc>
          <w:tcPr>
            <w:tcW w:w="0" w:type="dxa"/>
            <w:vAlign w:val="bottom"/>
          </w:tcPr>
          <w:p>
            <w:pPr>
              <w:spacing w:after="0"/>
              <w:rPr>
                <w:sz w:val="1"/>
                <w:szCs w:val="1"/>
                <w:color w:val="auto"/>
              </w:rPr>
            </w:pPr>
          </w:p>
        </w:tc>
      </w:tr>
      <w:tr>
        <w:trPr>
          <w:trHeight w:val="189"/>
        </w:trPr>
        <w:tc>
          <w:tcPr>
            <w:tcW w:w="46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Effect of potentially dilutive restricted common stock</w:t>
            </w:r>
          </w:p>
        </w:tc>
        <w:tc>
          <w:tcPr>
            <w:tcW w:w="1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2,325,595</w:t>
            </w:r>
          </w:p>
        </w:tc>
        <w:tc>
          <w:tcPr>
            <w:tcW w:w="1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162,624</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1,871,777</w:t>
            </w: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439,786</w:t>
            </w:r>
          </w:p>
        </w:tc>
        <w:tc>
          <w:tcPr>
            <w:tcW w:w="0" w:type="dxa"/>
            <w:vAlign w:val="bottom"/>
          </w:tcPr>
          <w:p>
            <w:pPr>
              <w:spacing w:after="0"/>
              <w:rPr>
                <w:sz w:val="1"/>
                <w:szCs w:val="1"/>
                <w:color w:val="auto"/>
              </w:rPr>
            </w:pPr>
          </w:p>
        </w:tc>
      </w:tr>
      <w:tr>
        <w:trPr>
          <w:trHeight w:val="183"/>
        </w:trPr>
        <w:tc>
          <w:tcPr>
            <w:tcW w:w="4620" w:type="dxa"/>
            <w:vAlign w:val="bottom"/>
          </w:tcPr>
          <w:p>
            <w:pPr>
              <w:ind w:left="100"/>
              <w:spacing w:after="0" w:line="183" w:lineRule="exact"/>
              <w:rPr>
                <w:sz w:val="20"/>
                <w:szCs w:val="20"/>
                <w:color w:val="auto"/>
              </w:rPr>
            </w:pPr>
            <w:r>
              <w:rPr>
                <w:rFonts w:ascii="Arial" w:cs="Arial" w:eastAsia="Arial" w:hAnsi="Arial"/>
                <w:sz w:val="16"/>
                <w:szCs w:val="16"/>
                <w:color w:val="auto"/>
              </w:rPr>
              <w:t>Weighted average common shares outstanding – diluted</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127,675,613</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129,155,010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127,495,177</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129,321,537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-659130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-642620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-659130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-642620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-659130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-642620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-153670</wp:posOffset>
            </wp:positionV>
            <wp:extent cx="768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-153670</wp:posOffset>
            </wp:positionV>
            <wp:extent cx="768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-153670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p>
      <w:pPr>
        <w:spacing w:after="0"/>
        <w:rPr>
          <w:sz w:val="20"/>
          <w:szCs w:val="20"/>
          <w:color w:val="auto"/>
        </w:rPr>
      </w:pPr>
      <w:r>
        <w:rPr>
          <w:rFonts w:ascii="Arial" w:cs="Arial" w:eastAsia="Arial" w:hAnsi="Arial"/>
          <w:sz w:val="16"/>
          <w:szCs w:val="16"/>
          <w:b w:val="1"/>
          <w:bCs w:val="1"/>
          <w:color w:val="auto"/>
        </w:rPr>
        <w:t>Net income per share:</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Net income per share attributable to common stockholders –</w:t>
      </w:r>
    </w:p>
    <w:p>
      <w:pPr>
        <w:spacing w:after="0" w:line="5" w:lineRule="exact"/>
        <w:rPr>
          <w:sz w:val="20"/>
          <w:szCs w:val="20"/>
          <w:color w:val="auto"/>
        </w:rPr>
      </w:pPr>
    </w:p>
    <w:p>
      <w:pPr>
        <w:ind w:left="100"/>
        <w:spacing w:after="0"/>
        <w:tabs>
          <w:tab w:leader="none" w:pos="4600" w:val="left"/>
        </w:tabs>
        <w:rPr>
          <w:sz w:val="20"/>
          <w:szCs w:val="20"/>
          <w:color w:val="auto"/>
        </w:rPr>
      </w:pPr>
      <w:r>
        <w:rPr>
          <w:rFonts w:ascii="Arial" w:cs="Arial" w:eastAsia="Arial" w:hAnsi="Arial"/>
          <w:sz w:val="16"/>
          <w:szCs w:val="16"/>
          <w:color w:val="auto"/>
        </w:rPr>
        <w:t>basic</w:t>
      </w:r>
      <w:r>
        <w:rPr>
          <w:sz w:val="20"/>
          <w:szCs w:val="20"/>
          <w:color w:val="auto"/>
        </w:rPr>
        <w:tab/>
      </w:r>
      <w:r>
        <w:rPr>
          <w:rFonts w:ascii="Arial" w:cs="Arial" w:eastAsia="Arial" w:hAnsi="Arial"/>
          <w:sz w:val="16"/>
          <w:szCs w:val="16"/>
          <w:color w:val="auto"/>
        </w:rPr>
        <w:t>$</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Net income per share attributable to common stockholders –</w:t>
      </w:r>
    </w:p>
    <w:p>
      <w:pPr>
        <w:spacing w:after="0" w:line="5" w:lineRule="exact"/>
        <w:rPr>
          <w:sz w:val="20"/>
          <w:szCs w:val="20"/>
          <w:color w:val="auto"/>
        </w:rPr>
      </w:pPr>
    </w:p>
    <w:p>
      <w:pPr>
        <w:ind w:left="100"/>
        <w:spacing w:after="0"/>
        <w:tabs>
          <w:tab w:leader="none" w:pos="4600" w:val="left"/>
        </w:tabs>
        <w:rPr>
          <w:sz w:val="20"/>
          <w:szCs w:val="20"/>
          <w:color w:val="auto"/>
        </w:rPr>
      </w:pPr>
      <w:r>
        <w:rPr>
          <w:rFonts w:ascii="Arial" w:cs="Arial" w:eastAsia="Arial" w:hAnsi="Arial"/>
          <w:sz w:val="16"/>
          <w:szCs w:val="16"/>
          <w:color w:val="auto"/>
        </w:rPr>
        <w:t>diluted</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9"/>
        </w:trPr>
        <w:tc>
          <w:tcPr>
            <w:tcW w:w="380" w:type="dxa"/>
            <w:vAlign w:val="bottom"/>
          </w:tcPr>
          <w:p>
            <w:pPr>
              <w:jc w:val="right"/>
              <w:spacing w:after="0"/>
              <w:rPr>
                <w:sz w:val="20"/>
                <w:szCs w:val="20"/>
                <w:color w:val="auto"/>
              </w:rPr>
            </w:pPr>
            <w:r>
              <w:rPr>
                <w:rFonts w:ascii="Arial" w:cs="Arial" w:eastAsia="Arial" w:hAnsi="Arial"/>
                <w:sz w:val="16"/>
                <w:szCs w:val="16"/>
                <w:color w:val="auto"/>
                <w:w w:val="96"/>
              </w:rPr>
              <w:t>0.24</w:t>
            </w:r>
          </w:p>
        </w:tc>
        <w:tc>
          <w:tcPr>
            <w:tcW w:w="7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0.31</w:t>
            </w:r>
          </w:p>
        </w:tc>
        <w:tc>
          <w:tcPr>
            <w:tcW w:w="7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0.11</w:t>
            </w:r>
          </w:p>
        </w:tc>
        <w:tc>
          <w:tcPr>
            <w:tcW w:w="7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378"/>
        </w:trPr>
        <w:tc>
          <w:tcPr>
            <w:tcW w:w="380" w:type="dxa"/>
            <w:vAlign w:val="bottom"/>
          </w:tcPr>
          <w:p>
            <w:pPr>
              <w:jc w:val="right"/>
              <w:spacing w:after="0"/>
              <w:rPr>
                <w:sz w:val="20"/>
                <w:szCs w:val="20"/>
                <w:color w:val="auto"/>
              </w:rPr>
            </w:pPr>
            <w:r>
              <w:rPr>
                <w:rFonts w:ascii="Arial" w:cs="Arial" w:eastAsia="Arial" w:hAnsi="Arial"/>
                <w:sz w:val="16"/>
                <w:szCs w:val="16"/>
                <w:color w:val="auto"/>
                <w:w w:val="96"/>
              </w:rPr>
              <w:t>0.23</w:t>
            </w:r>
          </w:p>
        </w:tc>
        <w:tc>
          <w:tcPr>
            <w:tcW w:w="7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0.30</w:t>
            </w:r>
          </w:p>
        </w:tc>
        <w:tc>
          <w:tcPr>
            <w:tcW w:w="7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0.11</w:t>
            </w:r>
          </w:p>
        </w:tc>
        <w:tc>
          <w:tcPr>
            <w:tcW w:w="7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-247015</wp:posOffset>
            </wp:positionV>
            <wp:extent cx="7132320" cy="2400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5160" w:space="720"/>
            <w:col w:w="5360"/>
          </w:cols>
          <w:pgMar w:left="320" w:top="1376" w:right="339" w:bottom="1440" w:gutter="0" w:footer="0" w:header="0"/>
          <w:type w:val="continuous"/>
        </w:sectPr>
      </w:pPr>
    </w:p>
    <w:p>
      <w:pPr>
        <w:ind w:right="80" w:firstLine="509"/>
        <w:spacing w:after="0" w:line="271" w:lineRule="auto"/>
        <w:rPr>
          <w:sz w:val="20"/>
          <w:szCs w:val="20"/>
          <w:color w:val="auto"/>
        </w:rPr>
      </w:pPr>
      <w:r>
        <w:rPr>
          <w:rFonts w:ascii="Arial" w:cs="Arial" w:eastAsia="Arial" w:hAnsi="Arial"/>
          <w:sz w:val="18"/>
          <w:szCs w:val="18"/>
          <w:color w:val="auto"/>
        </w:rPr>
        <w:t>Outstanding potentially dilutive securities, which were excluded from the diluted net income (loss) per share calculations because they would have been antidilutive were as follows as of the dates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328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322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r>
      <w:tr>
        <w:trPr>
          <w:trHeight w:val="183"/>
        </w:trPr>
        <w:tc>
          <w:tcPr>
            <w:tcW w:w="4620" w:type="dxa"/>
            <w:vAlign w:val="bottom"/>
          </w:tcPr>
          <w:p>
            <w:pPr>
              <w:spacing w:after="0"/>
              <w:rPr>
                <w:sz w:val="15"/>
                <w:szCs w:val="15"/>
                <w:color w:val="auto"/>
              </w:rPr>
            </w:pPr>
          </w:p>
        </w:tc>
        <w:tc>
          <w:tcPr>
            <w:tcW w:w="15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Unvested restricted stock units</w:t>
            </w:r>
          </w:p>
        </w:tc>
        <w:tc>
          <w:tcPr>
            <w:tcW w:w="1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1,393,233</w:t>
            </w:r>
          </w:p>
        </w:tc>
        <w:tc>
          <w:tcPr>
            <w:tcW w:w="17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5,751,165</w:t>
            </w:r>
          </w:p>
        </w:tc>
        <w:tc>
          <w:tcPr>
            <w:tcW w:w="16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1,414,188</w:t>
            </w:r>
          </w:p>
        </w:tc>
        <w:tc>
          <w:tcPr>
            <w:tcW w:w="16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4,853,583</w:t>
            </w: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Stock options to purchase common stock</w:t>
            </w:r>
          </w:p>
        </w:tc>
        <w:tc>
          <w:tcPr>
            <w:tcW w:w="1580" w:type="dxa"/>
            <w:vAlign w:val="bottom"/>
          </w:tcPr>
          <w:p>
            <w:pPr>
              <w:jc w:val="right"/>
              <w:spacing w:after="0"/>
              <w:rPr>
                <w:sz w:val="20"/>
                <w:szCs w:val="20"/>
                <w:color w:val="auto"/>
              </w:rPr>
            </w:pPr>
            <w:r>
              <w:rPr>
                <w:rFonts w:ascii="Arial" w:cs="Arial" w:eastAsia="Arial" w:hAnsi="Arial"/>
                <w:sz w:val="16"/>
                <w:szCs w:val="16"/>
                <w:color w:val="auto"/>
              </w:rPr>
              <w:t>3,191,378</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879,642</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3,778,630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849,262</w:t>
            </w:r>
          </w:p>
        </w:tc>
      </w:tr>
      <w:tr>
        <w:trPr>
          <w:trHeight w:val="189"/>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Employee stock purchase plan shares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35,305</w:t>
            </w:r>
          </w:p>
        </w:tc>
        <w:tc>
          <w:tcPr>
            <w:tcW w:w="120" w:type="dxa"/>
            <w:vAlign w:val="bottom"/>
            <w:tcBorders>
              <w:bottom w:val="single" w:sz="8" w:color="CFF0FC"/>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171,130</w:t>
            </w:r>
          </w:p>
        </w:tc>
        <w:tc>
          <w:tcPr>
            <w:tcW w:w="120" w:type="dxa"/>
            <w:vAlign w:val="bottom"/>
            <w:tcBorders>
              <w:bottom w:val="single" w:sz="8" w:color="CFF0FC"/>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35,305</w:t>
            </w:r>
          </w:p>
        </w:tc>
        <w:tc>
          <w:tcPr>
            <w:tcW w:w="100" w:type="dxa"/>
            <w:vAlign w:val="bottom"/>
            <w:tcBorders>
              <w:bottom w:val="single" w:sz="8" w:color="CFF0FC"/>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171,130</w:t>
            </w:r>
          </w:p>
        </w:tc>
      </w:tr>
      <w:tr>
        <w:trPr>
          <w:trHeight w:val="183"/>
        </w:trPr>
        <w:tc>
          <w:tcPr>
            <w:tcW w:w="4620" w:type="dxa"/>
            <w:vAlign w:val="bottom"/>
          </w:tcPr>
          <w:p>
            <w:pPr>
              <w:spacing w:after="0"/>
              <w:rPr>
                <w:sz w:val="15"/>
                <w:szCs w:val="15"/>
                <w:color w:val="auto"/>
              </w:rPr>
            </w:pPr>
          </w:p>
        </w:tc>
        <w:tc>
          <w:tcPr>
            <w:tcW w:w="1580" w:type="dxa"/>
            <w:vAlign w:val="bottom"/>
          </w:tcPr>
          <w:p>
            <w:pPr>
              <w:jc w:val="right"/>
              <w:spacing w:after="0" w:line="183" w:lineRule="exact"/>
              <w:rPr>
                <w:sz w:val="20"/>
                <w:szCs w:val="20"/>
                <w:color w:val="auto"/>
              </w:rPr>
            </w:pPr>
            <w:r>
              <w:rPr>
                <w:rFonts w:ascii="Arial" w:cs="Arial" w:eastAsia="Arial" w:hAnsi="Arial"/>
                <w:sz w:val="16"/>
                <w:szCs w:val="16"/>
                <w:color w:val="auto"/>
              </w:rPr>
              <w:t>4,619,916</w:t>
            </w:r>
          </w:p>
        </w:tc>
        <w:tc>
          <w:tcPr>
            <w:tcW w:w="17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6,801,937</w:t>
            </w:r>
          </w:p>
        </w:tc>
        <w:tc>
          <w:tcPr>
            <w:tcW w:w="16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5,228,123</w:t>
            </w:r>
          </w:p>
        </w:tc>
        <w:tc>
          <w:tcPr>
            <w:tcW w:w="16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5,873,975</w:t>
            </w:r>
          </w:p>
        </w:tc>
      </w:tr>
      <w:tr>
        <w:trPr>
          <w:trHeight w:val="20"/>
        </w:trPr>
        <w:tc>
          <w:tcPr>
            <w:tcW w:w="46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-153670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-153670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-153670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Income Taxes</w:t>
      </w:r>
    </w:p>
    <w:p>
      <w:pPr>
        <w:spacing w:after="0" w:line="18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Company’s provision for (benefit from) income taxes during the interim periods is determined using an estimate of the Company’s annual effective tax rate, which is adjusted for certain discrete tax items during the interim period. The Company recorded an income tax provision of $1.6 million for the three months ended September 30, 2025. The income tax provision for the three months ended September 30, 2025, was primarily attributable to activity in the Company's foreign subsidiaries and U.S. state taxes. The Company recorded an income tax benefit of $8.3 million for the three months ended September 30, 2024. The income tax benefit for the three months ended September 30, 2024, was primarily attributable to a non-recurring benefit of $4.9 million relating to the release of a portion of the valuation allowance in the U.S. This release was due to taxable temporary differences recorded as part of the Invoiced acquisition which were a source of income to realize certain pre-existing federal and state deferred tax assets. The benefit is augmented by income tax benefit primarily attributable to activity in the Company's current U.S. federal taxes partially offset by income tax expense attributable to the Company’s foreign operations and U.S. state taxes.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type w:val="continuous"/>
        </w:sectPr>
      </w:pPr>
    </w:p>
    <w:bookmarkStart w:id="31" w:name="page32"/>
    <w:bookmarkEnd w:id="31"/>
    <w:p>
      <w:pPr>
        <w:ind w:firstLine="559"/>
        <w:spacing w:after="0"/>
        <w:rPr>
          <w:sz w:val="20"/>
          <w:szCs w:val="20"/>
          <w:color w:val="auto"/>
        </w:rPr>
      </w:pPr>
      <w:r>
        <w:rPr>
          <w:rFonts w:ascii="Arial" w:cs="Arial" w:eastAsia="Arial" w:hAnsi="Arial"/>
          <w:sz w:val="18"/>
          <w:szCs w:val="18"/>
          <w:color w:val="auto"/>
        </w:rPr>
        <w:t>The Company recorded an income tax provision of $7.7 million for the nine months ended September 30, 2025. The income tax provision for the nine months ended September 30, 2025, was primarily attributable to activity in the Company's foreign subsidiaries and U.S. state taxes. The Company recorded an income tax benefit of $2.0 million for the nine months ended September 30, 2024. The income tax benefit for the nine months ended September 30, 2024, was primarily attributable to a non-recurring benefit of $4.9 million relating to the release of a portion of the valuation allowance in the U.S. This release was due to taxable temporary differences recorded as part of the Invoiced acquisition which were a source of income to realize certain pre-existing federal and state deferred tax assets and was partially offset by income tax expense attributable to activity in the Company's foreign subsidiaries and current U.S. federal and state taxes.</w:t>
      </w:r>
    </w:p>
    <w:p>
      <w:pPr>
        <w:spacing w:after="0" w:line="158"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For the nine months ended September 30, 2025 and 2024, the Company’s effective tax rate differs from the U.S. federal statutory rate primarily due to the impact of non-deductible executive compensation and the change in valuation allowance in the U.S., and due to the change in valuation allowance in the U.S., respectively.</w:t>
      </w:r>
    </w:p>
    <w:p>
      <w:pPr>
        <w:spacing w:after="0" w:line="128" w:lineRule="exact"/>
        <w:rPr>
          <w:sz w:val="20"/>
          <w:szCs w:val="20"/>
          <w:color w:val="auto"/>
        </w:rPr>
      </w:pPr>
    </w:p>
    <w:p>
      <w:pPr>
        <w:ind w:right="40" w:firstLine="559"/>
        <w:spacing w:after="0" w:line="271" w:lineRule="auto"/>
        <w:rPr>
          <w:sz w:val="20"/>
          <w:szCs w:val="20"/>
          <w:color w:val="auto"/>
        </w:rPr>
      </w:pPr>
      <w:r>
        <w:rPr>
          <w:rFonts w:ascii="Arial" w:cs="Arial" w:eastAsia="Arial" w:hAnsi="Arial"/>
          <w:sz w:val="18"/>
          <w:szCs w:val="18"/>
          <w:color w:val="auto"/>
        </w:rPr>
        <w:t>The Company is open to future tax examinations from 2020 to the present; however, carryforward attributes that were generated prior to 2020 may still be adjusted upon examination by federal, state, or local tax authorities to the extent they will be used in a future period.</w:t>
      </w:r>
    </w:p>
    <w:p>
      <w:pPr>
        <w:spacing w:after="0" w:line="113" w:lineRule="exact"/>
        <w:rPr>
          <w:sz w:val="20"/>
          <w:szCs w:val="20"/>
          <w:color w:val="auto"/>
        </w:rPr>
      </w:pPr>
    </w:p>
    <w:p>
      <w:pPr>
        <w:jc w:val="both"/>
        <w:ind w:right="200" w:firstLine="509"/>
        <w:spacing w:after="0" w:line="247" w:lineRule="auto"/>
        <w:rPr>
          <w:sz w:val="20"/>
          <w:szCs w:val="20"/>
          <w:color w:val="auto"/>
        </w:rPr>
      </w:pPr>
      <w:r>
        <w:rPr>
          <w:rFonts w:ascii="Arial" w:cs="Arial" w:eastAsia="Arial" w:hAnsi="Arial"/>
          <w:sz w:val="18"/>
          <w:szCs w:val="18"/>
          <w:color w:val="auto"/>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September 30, 2025, the Company continues to maintain a full valuation allowance of the U.S. net deferred tax assets.</w:t>
      </w:r>
    </w:p>
    <w:p>
      <w:pPr>
        <w:spacing w:after="0" w:line="14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On July 4, 2025, the U.S. government enacted The One Big Beautiful Bill Act of 2025 ("OBBBA") which includes, among other provisions, changes to the U.S. corporate income tax system including the allowance of immediate expensing of qualifying research and development expenses and permanent extensions of certain provisions within the Tax Cuts and Jobs Act. In accordance with the OBBBA, the Company has included the expected impact of a U.S. tax deduction equal to 50% of its unamortized domestic Section 174 research and experimental expenditures in the income tax provision recorded for the nine months ended September 30, 2025. The Company continues to evaluate the full effects of the legislation on our estimated annual effective tax rate and cash tax position and does not expect the legislation to have a material impact on our financial statements.</w:t>
      </w:r>
    </w:p>
    <w:p>
      <w:pPr>
        <w:spacing w:after="0" w:line="18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Commitments and Contingencies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69"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152"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As of September 30, 2025, other than the pending securities class action claim described below, the Company was not a party to any litigation the outcome of which, the Company believes, if determined adversely to it, would individually or in the aggregate, have a material adverse effect on its financial position, results of operations, or cash flows.</w:t>
      </w:r>
    </w:p>
    <w:p>
      <w:pPr>
        <w:spacing w:after="0" w:line="12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In the course of enhancing its sanctions compliance function, the Company initiated an internal review that identified issues related to the Company’s compliance with sanctions promulgated by the U.S. Treasury Department’s Office of Foreign Assets Control (OFAC), including payments that may have originated from sanctioned jurisdictions or sanctioned persons. Although Flywire continues to evaluate whether these or other transactions constitute potential violations of sanctions (including whether certain of these payments may have been authorized by general licenses or license exemptions under the relevant sanctions regulations), Flywire has made voluntary submissions to OFAC to report the apparent violations and provide supplemental information. Flywire is currently engaging with OFAC to resolve these matters. Based upon the results of the internal investigation completed to date, the Company does not believe that the amount of any loss incurred as a result of this matter would be material to its business, financial condition, results of operations or cash flows.</w:t>
      </w:r>
    </w:p>
    <w:p>
      <w:pPr>
        <w:spacing w:after="0" w:line="140"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 xml:space="preserve">On July 25, 2025, the Company and certain of its current and former officers were named as defendants in a securities class action complaint captioned </w:t>
      </w:r>
      <w:r>
        <w:rPr>
          <w:rFonts w:ascii="Arial" w:cs="Arial" w:eastAsia="Arial" w:hAnsi="Arial"/>
          <w:sz w:val="18"/>
          <w:szCs w:val="18"/>
          <w:i w:val="1"/>
          <w:iCs w:val="1"/>
          <w:color w:val="auto"/>
        </w:rPr>
        <w:t>Hickman v. Flywire Corporation</w:t>
      </w:r>
      <w:r>
        <w:rPr>
          <w:rFonts w:ascii="Arial" w:cs="Arial" w:eastAsia="Arial" w:hAnsi="Arial"/>
          <w:sz w:val="18"/>
          <w:szCs w:val="18"/>
          <w:color w:val="auto"/>
        </w:rPr>
        <w:t xml:space="preserve"> filed in the United States District Court for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32" w:name="page33"/>
    <w:bookmarkEnd w:id="32"/>
    <w:p>
      <w:pPr>
        <w:ind w:right="80"/>
        <w:spacing w:after="0" w:line="244" w:lineRule="auto"/>
        <w:rPr>
          <w:sz w:val="20"/>
          <w:szCs w:val="20"/>
          <w:color w:val="auto"/>
        </w:rPr>
      </w:pPr>
      <w:r>
        <w:rPr>
          <w:rFonts w:ascii="Arial" w:cs="Arial" w:eastAsia="Arial" w:hAnsi="Arial"/>
          <w:sz w:val="18"/>
          <w:szCs w:val="18"/>
          <w:color w:val="auto"/>
        </w:rPr>
        <w:t>Eastern District of New York on behalf of a putative class of investors who purchased Flywire securities from February 28, 2024, through February 25, 2025. Plaintiff alleges that the defendants violated Sections 10(b) and 20(a) of the Exchange Act by purportedly overstating the strength and sustainability of the Company's revenue growth and understating the negative impact of certain government permit and visa related policies on the business. The lawsuit seeks unspecified damages, costs, attorneys’ fees, and other relief. The Company believes to have strong defenses against the asserted claims and intends to vigorously defend itself.</w:t>
      </w:r>
    </w:p>
    <w:p>
      <w:pPr>
        <w:spacing w:after="0" w:line="149" w:lineRule="exact"/>
        <w:rPr>
          <w:sz w:val="20"/>
          <w:szCs w:val="20"/>
          <w:color w:val="auto"/>
        </w:rPr>
      </w:pPr>
    </w:p>
    <w:p>
      <w:pPr>
        <w:jc w:val="both"/>
        <w:ind w:right="260" w:firstLine="509"/>
        <w:spacing w:after="0" w:line="247" w:lineRule="auto"/>
        <w:rPr>
          <w:sz w:val="20"/>
          <w:szCs w:val="20"/>
          <w:color w:val="auto"/>
        </w:rPr>
      </w:pPr>
      <w:r>
        <w:rPr>
          <w:rFonts w:ascii="Arial" w:cs="Arial" w:eastAsia="Arial" w:hAnsi="Arial"/>
          <w:sz w:val="18"/>
          <w:szCs w:val="18"/>
          <w:color w:val="auto"/>
        </w:rPr>
        <w:t>The Company cannot reasonably estimate the maximum potential exposure or the range of possible loss for this matter. Taking into account discussions with the Company's external lawyers, we do not consider the probability of an outflow of resources to be sufficient to recognize a provision at the balance sheet date. In the Company's opinion, these matters constitute contingent liabilities as of the balance sheet date. However, it is currently impractical for the Company to estimate with sufficient reliability the respective contingent liabilities.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condensed consolidated financial statements for the periods ended September 30, 2025 and December 31, 2024.</w:t>
      </w:r>
    </w:p>
    <w:p>
      <w:pPr>
        <w:spacing w:after="0" w:line="18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Revision of Previously Issued Unaudited Quarterly Information and Annual Financial Statements</w:t>
      </w:r>
    </w:p>
    <w:p>
      <w:pPr>
        <w:spacing w:after="0" w:line="18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 xml:space="preserve">The Condensed Consolidated Statements of Cash Flows for the interim periods ended March 31, 2025, June 30, 2025, March 31, 2024, and June 30, 2024 will be revised to correct for prior period errors as discussed in </w:t>
      </w:r>
      <w:r>
        <w:rPr>
          <w:rFonts w:ascii="Arial" w:cs="Arial" w:eastAsia="Arial" w:hAnsi="Arial"/>
          <w:sz w:val="18"/>
          <w:szCs w:val="18"/>
          <w:i w:val="1"/>
          <w:iCs w:val="1"/>
          <w:color w:val="auto"/>
        </w:rPr>
        <w:t>Note 1 - Business Overview and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The effect on the Condensed Consolidated Statement of Cash Flows for each affected period is as follows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gridSpan w:val="7"/>
          </w:tcPr>
          <w:p>
            <w:pPr>
              <w:jc w:val="right"/>
              <w:ind w:right="1119"/>
              <w:spacing w:after="0"/>
              <w:rPr>
                <w:sz w:val="20"/>
                <w:szCs w:val="20"/>
                <w:color w:val="auto"/>
              </w:rPr>
            </w:pPr>
            <w:r>
              <w:rPr>
                <w:rFonts w:ascii="Arial" w:cs="Arial" w:eastAsia="Arial" w:hAnsi="Arial"/>
                <w:sz w:val="16"/>
                <w:szCs w:val="16"/>
                <w:b w:val="1"/>
                <w:bCs w:val="1"/>
                <w:color w:val="auto"/>
              </w:rPr>
              <w:t>Six Months Ended June 30, 2025</w:t>
            </w:r>
          </w:p>
        </w:tc>
      </w:tr>
      <w:tr>
        <w:trPr>
          <w:trHeight w:val="168"/>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As Previously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3"/>
        </w:trPr>
        <w:tc>
          <w:tcPr>
            <w:tcW w:w="6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Reported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 Revised</w:t>
            </w:r>
          </w:p>
        </w:tc>
      </w:tr>
      <w:tr>
        <w:trPr>
          <w:trHeight w:val="183"/>
        </w:trPr>
        <w:tc>
          <w:tcPr>
            <w:tcW w:w="63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89"/>
        </w:trPr>
        <w:tc>
          <w:tcPr>
            <w:tcW w:w="6340" w:type="dxa"/>
            <w:vAlign w:val="bottom"/>
          </w:tcPr>
          <w:p>
            <w:pPr>
              <w:ind w:left="120"/>
              <w:spacing w:after="0"/>
              <w:rPr>
                <w:sz w:val="20"/>
                <w:szCs w:val="20"/>
                <w:color w:val="auto"/>
              </w:rPr>
            </w:pPr>
            <w:r>
              <w:rPr>
                <w:rFonts w:ascii="Arial" w:cs="Arial" w:eastAsia="Arial" w:hAnsi="Arial"/>
                <w:sz w:val="16"/>
                <w:szCs w:val="16"/>
                <w:color w:val="auto"/>
              </w:rPr>
              <w:t>Unrealized (gain) loss on remeasurement of foreign currency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(9,747)</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(9,747)</w:t>
            </w:r>
          </w:p>
        </w:tc>
      </w:tr>
      <w:tr>
        <w:trPr>
          <w:trHeight w:val="189"/>
        </w:trPr>
        <w:tc>
          <w:tcPr>
            <w:tcW w:w="6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Changes in operating assets and liabilities, net of acquisitions:</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r>
      <w:tr>
        <w:trPr>
          <w:trHeight w:val="189"/>
        </w:trPr>
        <w:tc>
          <w:tcPr>
            <w:tcW w:w="634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189"/>
        </w:trPr>
        <w:tc>
          <w:tcPr>
            <w:tcW w:w="6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Unbilled receivables</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(2,233)</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(1,518)</w:t>
            </w:r>
          </w:p>
        </w:tc>
      </w:tr>
      <w:tr>
        <w:trPr>
          <w:trHeight w:val="189"/>
        </w:trPr>
        <w:tc>
          <w:tcPr>
            <w:tcW w:w="6340" w:type="dxa"/>
            <w:vAlign w:val="bottom"/>
          </w:tcPr>
          <w:p>
            <w:pPr>
              <w:ind w:left="240"/>
              <w:spacing w:after="0"/>
              <w:rPr>
                <w:sz w:val="20"/>
                <w:szCs w:val="20"/>
                <w:color w:val="auto"/>
              </w:rPr>
            </w:pPr>
            <w:r>
              <w:rPr>
                <w:rFonts w:ascii="Arial" w:cs="Arial" w:eastAsia="Arial" w:hAnsi="Arial"/>
                <w:sz w:val="16"/>
                <w:szCs w:val="16"/>
                <w:color w:val="auto"/>
              </w:rPr>
              <w:t>Funds receivable from payment partners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2,090</w:t>
            </w:r>
          </w:p>
        </w:tc>
      </w:tr>
      <w:tr>
        <w:trPr>
          <w:trHeight w:val="189"/>
        </w:trPr>
        <w:tc>
          <w:tcPr>
            <w:tcW w:w="6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other current assets and other assets</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(17,868)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1,621</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(16,247)</w:t>
            </w:r>
          </w:p>
        </w:tc>
      </w:tr>
      <w:tr>
        <w:trPr>
          <w:trHeight w:val="189"/>
        </w:trPr>
        <w:tc>
          <w:tcPr>
            <w:tcW w:w="6340" w:type="dxa"/>
            <w:vAlign w:val="bottom"/>
          </w:tcPr>
          <w:p>
            <w:pPr>
              <w:ind w:left="240"/>
              <w:spacing w:after="0"/>
              <w:rPr>
                <w:sz w:val="20"/>
                <w:szCs w:val="20"/>
                <w:color w:val="auto"/>
              </w:rPr>
            </w:pPr>
            <w:r>
              <w:rPr>
                <w:rFonts w:ascii="Arial" w:cs="Arial" w:eastAsia="Arial" w:hAnsi="Arial"/>
                <w:sz w:val="16"/>
                <w:szCs w:val="16"/>
                <w:color w:val="auto"/>
              </w:rPr>
              <w:t>Funds payable to clients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(63,759)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(62,572)</w:t>
            </w:r>
          </w:p>
        </w:tc>
      </w:tr>
      <w:tr>
        <w:trPr>
          <w:trHeight w:val="189"/>
        </w:trPr>
        <w:tc>
          <w:tcPr>
            <w:tcW w:w="6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(2,657)</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(2,138)</w:t>
            </w:r>
          </w:p>
        </w:tc>
      </w:tr>
      <w:tr>
        <w:trPr>
          <w:trHeight w:val="189"/>
        </w:trPr>
        <w:tc>
          <w:tcPr>
            <w:tcW w:w="6340" w:type="dxa"/>
            <w:vAlign w:val="bottom"/>
          </w:tcPr>
          <w:p>
            <w:pPr>
              <w:ind w:left="240"/>
              <w:spacing w:after="0"/>
              <w:rPr>
                <w:sz w:val="20"/>
                <w:szCs w:val="20"/>
                <w:color w:val="auto"/>
              </w:rPr>
            </w:pPr>
            <w:r>
              <w:rPr>
                <w:rFonts w:ascii="Arial" w:cs="Arial" w:eastAsia="Arial" w:hAnsi="Arial"/>
                <w:sz w:val="16"/>
                <w:szCs w:val="16"/>
                <w:color w:val="auto"/>
              </w:rPr>
              <w:t>Other liabilities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189"/>
        </w:trPr>
        <w:tc>
          <w:tcPr>
            <w:tcW w:w="6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(2,640)</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(2,914)</w:t>
            </w:r>
          </w:p>
        </w:tc>
      </w:tr>
      <w:tr>
        <w:trPr>
          <w:trHeight w:val="183"/>
        </w:trPr>
        <w:tc>
          <w:tcPr>
            <w:tcW w:w="6340" w:type="dxa"/>
            <w:vAlign w:val="bottom"/>
          </w:tcPr>
          <w:p>
            <w:pPr>
              <w:ind w:left="120"/>
              <w:spacing w:after="0" w:line="183" w:lineRule="exact"/>
              <w:rPr>
                <w:sz w:val="20"/>
                <w:szCs w:val="20"/>
                <w:color w:val="auto"/>
              </w:rPr>
            </w:pPr>
            <w:r>
              <w:rPr>
                <w:rFonts w:ascii="Arial" w:cs="Arial" w:eastAsia="Arial" w:hAnsi="Arial"/>
                <w:sz w:val="16"/>
                <w:szCs w:val="16"/>
                <w:color w:val="auto"/>
              </w:rPr>
              <w:t>Net cash provided by (used by) operating activities</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(54,811)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(6,068)</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(60,879)</w:t>
            </w:r>
          </w:p>
        </w:tc>
      </w:tr>
      <w:tr>
        <w:trPr>
          <w:trHeight w:val="183"/>
        </w:trPr>
        <w:tc>
          <w:tcPr>
            <w:tcW w:w="6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spacing w:after="0"/>
              <w:rPr>
                <w:sz w:val="15"/>
                <w:szCs w:val="15"/>
                <w:color w:val="auto"/>
              </w:rPr>
            </w:pPr>
          </w:p>
        </w:tc>
      </w:tr>
      <w:tr>
        <w:trPr>
          <w:trHeight w:val="183"/>
        </w:trPr>
        <w:tc>
          <w:tcPr>
            <w:tcW w:w="6340" w:type="dxa"/>
            <w:vAlign w:val="bottom"/>
          </w:tcPr>
          <w:p>
            <w:pPr>
              <w:spacing w:after="0" w:line="183" w:lineRule="exact"/>
              <w:rPr>
                <w:sz w:val="20"/>
                <w:szCs w:val="20"/>
                <w:color w:val="auto"/>
              </w:rPr>
            </w:pPr>
            <w:r>
              <w:rPr>
                <w:rFonts w:ascii="Arial" w:cs="Arial" w:eastAsia="Arial" w:hAnsi="Arial"/>
                <w:sz w:val="16"/>
                <w:szCs w:val="16"/>
                <w:color w:val="auto"/>
              </w:rPr>
              <w:t>Effect of exchange rates changes on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2,067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6,068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-393700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-393700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-136525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-136525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gridSpan w:val="7"/>
          </w:tcPr>
          <w:p>
            <w:pPr>
              <w:jc w:val="right"/>
              <w:ind w:right="979"/>
              <w:spacing w:after="0"/>
              <w:rPr>
                <w:sz w:val="20"/>
                <w:szCs w:val="20"/>
                <w:color w:val="auto"/>
              </w:rPr>
            </w:pPr>
            <w:r>
              <w:rPr>
                <w:rFonts w:ascii="Arial" w:cs="Arial" w:eastAsia="Arial" w:hAnsi="Arial"/>
                <w:sz w:val="16"/>
                <w:szCs w:val="16"/>
                <w:b w:val="1"/>
                <w:bCs w:val="1"/>
                <w:color w:val="auto"/>
              </w:rPr>
              <w:t>Three Months Ended March 31, 2025</w:t>
            </w:r>
          </w:p>
        </w:tc>
      </w:tr>
      <w:tr>
        <w:trPr>
          <w:trHeight w:val="168"/>
        </w:trPr>
        <w:tc>
          <w:tcPr>
            <w:tcW w:w="5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As Previously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3"/>
        </w:trPr>
        <w:tc>
          <w:tcPr>
            <w:tcW w:w="5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Reported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 Revised</w:t>
            </w: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89"/>
        </w:trPr>
        <w:tc>
          <w:tcPr>
            <w:tcW w:w="5820" w:type="dxa"/>
            <w:vAlign w:val="bottom"/>
          </w:tcPr>
          <w:p>
            <w:pPr>
              <w:ind w:left="120"/>
              <w:spacing w:after="0"/>
              <w:rPr>
                <w:sz w:val="20"/>
                <w:szCs w:val="20"/>
                <w:color w:val="auto"/>
              </w:rPr>
            </w:pPr>
            <w:r>
              <w:rPr>
                <w:rFonts w:ascii="Arial" w:cs="Arial" w:eastAsia="Arial" w:hAnsi="Arial"/>
                <w:sz w:val="16"/>
                <w:szCs w:val="16"/>
                <w:color w:val="auto"/>
              </w:rPr>
              <w:t>Unrealized (gain) loss on remeasurement of foreign currency</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(4,712)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(4,712)</w:t>
            </w:r>
          </w:p>
        </w:tc>
      </w:tr>
      <w:tr>
        <w:trPr>
          <w:trHeight w:val="189"/>
        </w:trPr>
        <w:tc>
          <w:tcPr>
            <w:tcW w:w="5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accretion of discounts and amortization of premiums on investments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w:t>
            </w:r>
          </w:p>
        </w:tc>
      </w:tr>
      <w:tr>
        <w:trPr>
          <w:trHeight w:val="189"/>
        </w:trPr>
        <w:tc>
          <w:tcPr>
            <w:tcW w:w="5820" w:type="dxa"/>
            <w:vAlign w:val="bottom"/>
          </w:tcPr>
          <w:p>
            <w:pPr>
              <w:ind w:left="120"/>
              <w:spacing w:after="0"/>
              <w:rPr>
                <w:sz w:val="20"/>
                <w:szCs w:val="20"/>
                <w:color w:val="auto"/>
              </w:rPr>
            </w:pPr>
            <w:r>
              <w:rPr>
                <w:rFonts w:ascii="Arial" w:cs="Arial" w:eastAsia="Arial" w:hAnsi="Arial"/>
                <w:sz w:val="16"/>
                <w:szCs w:val="16"/>
                <w:color w:val="auto"/>
              </w:rPr>
              <w:t>Change in operating assets and liabilities, net of acquisition:</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(3,623)</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Unbilled receivables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4,221</w:t>
            </w: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Funds receivable from payment partners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25,873</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26,452</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Prepaid expenses, other current assets and other assets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(8,577)</w:t>
            </w: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Funds payable to clients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(111,175)</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2,183</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(108,992)</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Accounts payable, accrued expenses and other current liabilities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(5,135)</w:t>
            </w: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liabilities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r>
      <w:tr>
        <w:trPr>
          <w:trHeight w:val="183"/>
        </w:trPr>
        <w:tc>
          <w:tcPr>
            <w:tcW w:w="582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Net cash provided by (used by) operating activities</w:t>
            </w:r>
          </w:p>
        </w:tc>
        <w:tc>
          <w:tcPr>
            <w:tcW w:w="5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(78,890)</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(1,904)</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(80,794)</w:t>
            </w:r>
          </w:p>
        </w:tc>
      </w:tr>
      <w:tr>
        <w:trPr>
          <w:trHeight w:val="183"/>
        </w:trPr>
        <w:tc>
          <w:tcPr>
            <w:tcW w:w="5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9"/>
        </w:trPr>
        <w:tc>
          <w:tcPr>
            <w:tcW w:w="5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r>
      <w:tr>
        <w:trPr>
          <w:trHeight w:val="189"/>
        </w:trPr>
        <w:tc>
          <w:tcPr>
            <w:tcW w:w="5820" w:type="dxa"/>
            <w:vAlign w:val="bottom"/>
          </w:tcPr>
          <w:p>
            <w:pPr>
              <w:spacing w:after="0"/>
              <w:rPr>
                <w:sz w:val="20"/>
                <w:szCs w:val="20"/>
                <w:color w:val="auto"/>
              </w:rPr>
            </w:pPr>
            <w:r>
              <w:rPr>
                <w:rFonts w:ascii="Arial" w:cs="Arial" w:eastAsia="Arial" w:hAnsi="Arial"/>
                <w:sz w:val="16"/>
                <w:szCs w:val="16"/>
                <w:color w:val="auto"/>
              </w:rPr>
              <w:t>Purchase of short-term and long-term investments</w:t>
            </w: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(14,795)</w:t>
            </w:r>
          </w:p>
        </w:tc>
      </w:tr>
      <w:tr>
        <w:trPr>
          <w:trHeight w:val="183"/>
        </w:trPr>
        <w:tc>
          <w:tcPr>
            <w:tcW w:w="582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Net cash used in investing activities</w:t>
            </w:r>
          </w:p>
        </w:tc>
        <w:tc>
          <w:tcPr>
            <w:tcW w:w="5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(237,872)</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457</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(237,415)</w:t>
            </w:r>
          </w:p>
        </w:tc>
      </w:tr>
      <w:tr>
        <w:trPr>
          <w:trHeight w:val="183"/>
        </w:trPr>
        <w:tc>
          <w:tcPr>
            <w:tcW w:w="5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Effect of exchange rates changes on cash and cash equivalents</w:t>
            </w:r>
          </w:p>
        </w:tc>
        <w:tc>
          <w:tcPr>
            <w:tcW w:w="6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388</w:t>
            </w:r>
          </w:p>
        </w:tc>
        <w:tc>
          <w:tcPr>
            <w:tcW w:w="3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1,447</w:t>
            </w:r>
          </w:p>
        </w:tc>
        <w:tc>
          <w:tcPr>
            <w:tcW w:w="3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1,835</w:t>
            </w:r>
          </w:p>
        </w:tc>
      </w:tr>
      <w:tr>
        <w:trPr>
          <w:trHeight w:val="20"/>
        </w:trPr>
        <w:tc>
          <w:tcPr>
            <w:tcW w:w="582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-762635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-762635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-264795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-264795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gridSpan w:val="7"/>
          </w:tcPr>
          <w:p>
            <w:pPr>
              <w:jc w:val="right"/>
              <w:ind w:right="1119"/>
              <w:spacing w:after="0"/>
              <w:rPr>
                <w:sz w:val="20"/>
                <w:szCs w:val="20"/>
                <w:color w:val="auto"/>
              </w:rPr>
            </w:pPr>
            <w:r>
              <w:rPr>
                <w:rFonts w:ascii="Arial" w:cs="Arial" w:eastAsia="Arial" w:hAnsi="Arial"/>
                <w:sz w:val="16"/>
                <w:szCs w:val="16"/>
                <w:b w:val="1"/>
                <w:bCs w:val="1"/>
                <w:color w:val="auto"/>
              </w:rPr>
              <w:t>Six Months Ended June 30, 2024</w:t>
            </w:r>
          </w:p>
        </w:tc>
      </w:tr>
      <w:tr>
        <w:trPr>
          <w:trHeight w:val="168"/>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As Previously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3"/>
        </w:trPr>
        <w:tc>
          <w:tcPr>
            <w:tcW w:w="6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Reported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 Revised</w:t>
            </w:r>
          </w:p>
        </w:tc>
      </w:tr>
      <w:tr>
        <w:trPr>
          <w:trHeight w:val="183"/>
        </w:trPr>
        <w:tc>
          <w:tcPr>
            <w:tcW w:w="63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89"/>
        </w:trPr>
        <w:tc>
          <w:tcPr>
            <w:tcW w:w="6340" w:type="dxa"/>
            <w:vAlign w:val="bottom"/>
          </w:tcPr>
          <w:p>
            <w:pPr>
              <w:ind w:left="120"/>
              <w:spacing w:after="0"/>
              <w:rPr>
                <w:sz w:val="20"/>
                <w:szCs w:val="20"/>
                <w:color w:val="auto"/>
              </w:rPr>
            </w:pPr>
            <w:r>
              <w:rPr>
                <w:rFonts w:ascii="Arial" w:cs="Arial" w:eastAsia="Arial" w:hAnsi="Arial"/>
                <w:sz w:val="16"/>
                <w:szCs w:val="16"/>
                <w:color w:val="auto"/>
              </w:rPr>
              <w:t>Unrealized (gain) loss on remeasurement of foreign currency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2,578</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2,578</w:t>
            </w:r>
          </w:p>
        </w:tc>
      </w:tr>
      <w:tr>
        <w:trPr>
          <w:trHeight w:val="189"/>
        </w:trPr>
        <w:tc>
          <w:tcPr>
            <w:tcW w:w="6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Change in operating assets and liabilities, net of acquisition:</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r>
      <w:tr>
        <w:trPr>
          <w:trHeight w:val="189"/>
        </w:trPr>
        <w:tc>
          <w:tcPr>
            <w:tcW w:w="634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(2,181)</w:t>
            </w:r>
          </w:p>
        </w:tc>
      </w:tr>
      <w:tr>
        <w:trPr>
          <w:trHeight w:val="189"/>
        </w:trPr>
        <w:tc>
          <w:tcPr>
            <w:tcW w:w="6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Unbilled receivables</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(2,363)</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(2,399)</w:t>
            </w:r>
          </w:p>
        </w:tc>
      </w:tr>
      <w:tr>
        <w:trPr>
          <w:trHeight w:val="189"/>
        </w:trPr>
        <w:tc>
          <w:tcPr>
            <w:tcW w:w="6340" w:type="dxa"/>
            <w:vAlign w:val="bottom"/>
          </w:tcPr>
          <w:p>
            <w:pPr>
              <w:ind w:left="240"/>
              <w:spacing w:after="0"/>
              <w:rPr>
                <w:sz w:val="20"/>
                <w:szCs w:val="20"/>
                <w:color w:val="auto"/>
              </w:rPr>
            </w:pPr>
            <w:r>
              <w:rPr>
                <w:rFonts w:ascii="Arial" w:cs="Arial" w:eastAsia="Arial" w:hAnsi="Arial"/>
                <w:sz w:val="16"/>
                <w:szCs w:val="16"/>
                <w:color w:val="auto"/>
              </w:rPr>
              <w:t>Funds receivable from payment partners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28,971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29,004</w:t>
            </w:r>
          </w:p>
        </w:tc>
      </w:tr>
      <w:tr>
        <w:trPr>
          <w:trHeight w:val="189"/>
        </w:trPr>
        <w:tc>
          <w:tcPr>
            <w:tcW w:w="6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other current assets and other assets</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(4,421)</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(4,575)</w:t>
            </w:r>
          </w:p>
        </w:tc>
      </w:tr>
      <w:tr>
        <w:trPr>
          <w:trHeight w:val="189"/>
        </w:trPr>
        <w:tc>
          <w:tcPr>
            <w:tcW w:w="6340" w:type="dxa"/>
            <w:vAlign w:val="bottom"/>
          </w:tcPr>
          <w:p>
            <w:pPr>
              <w:ind w:left="240"/>
              <w:spacing w:after="0"/>
              <w:rPr>
                <w:sz w:val="20"/>
                <w:szCs w:val="20"/>
                <w:color w:val="auto"/>
              </w:rPr>
            </w:pPr>
            <w:r>
              <w:rPr>
                <w:rFonts w:ascii="Arial" w:cs="Arial" w:eastAsia="Arial" w:hAnsi="Arial"/>
                <w:sz w:val="16"/>
                <w:szCs w:val="16"/>
                <w:color w:val="auto"/>
              </w:rPr>
              <w:t>Funds payable to clients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(94,730)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(94,223)</w:t>
            </w:r>
          </w:p>
        </w:tc>
      </w:tr>
      <w:tr>
        <w:trPr>
          <w:trHeight w:val="189"/>
        </w:trPr>
        <w:tc>
          <w:tcPr>
            <w:tcW w:w="6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1,807</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1,598</w:t>
            </w:r>
          </w:p>
        </w:tc>
      </w:tr>
      <w:tr>
        <w:trPr>
          <w:trHeight w:val="189"/>
        </w:trPr>
        <w:tc>
          <w:tcPr>
            <w:tcW w:w="6340" w:type="dxa"/>
            <w:vAlign w:val="bottom"/>
          </w:tcPr>
          <w:p>
            <w:pPr>
              <w:ind w:left="240"/>
              <w:spacing w:after="0"/>
              <w:rPr>
                <w:sz w:val="20"/>
                <w:szCs w:val="20"/>
                <w:color w:val="auto"/>
              </w:rPr>
            </w:pPr>
            <w:r>
              <w:rPr>
                <w:rFonts w:ascii="Arial" w:cs="Arial" w:eastAsia="Arial" w:hAnsi="Arial"/>
                <w:sz w:val="16"/>
                <w:szCs w:val="16"/>
                <w:color w:val="auto"/>
              </w:rPr>
              <w:t>Other liabilities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189"/>
        </w:trPr>
        <w:tc>
          <w:tcPr>
            <w:tcW w:w="6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(2,785)</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(2,719)</w:t>
            </w:r>
          </w:p>
        </w:tc>
      </w:tr>
      <w:tr>
        <w:trPr>
          <w:trHeight w:val="183"/>
        </w:trPr>
        <w:tc>
          <w:tcPr>
            <w:tcW w:w="6340" w:type="dxa"/>
            <w:vAlign w:val="bottom"/>
          </w:tcPr>
          <w:p>
            <w:pPr>
              <w:ind w:left="120"/>
              <w:spacing w:after="0" w:line="183" w:lineRule="exact"/>
              <w:rPr>
                <w:sz w:val="20"/>
                <w:szCs w:val="20"/>
                <w:color w:val="auto"/>
              </w:rPr>
            </w:pPr>
            <w:r>
              <w:rPr>
                <w:rFonts w:ascii="Arial" w:cs="Arial" w:eastAsia="Arial" w:hAnsi="Arial"/>
                <w:sz w:val="16"/>
                <w:szCs w:val="16"/>
                <w:color w:val="auto"/>
              </w:rPr>
              <w:t>Net cash provided by (used by) operating activities</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(57,414)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3,081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(54,333)</w:t>
            </w:r>
          </w:p>
        </w:tc>
      </w:tr>
      <w:tr>
        <w:trPr>
          <w:trHeight w:val="182"/>
        </w:trPr>
        <w:tc>
          <w:tcPr>
            <w:tcW w:w="6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spacing w:after="0"/>
              <w:rPr>
                <w:sz w:val="15"/>
                <w:szCs w:val="15"/>
                <w:color w:val="auto"/>
              </w:rPr>
            </w:pPr>
          </w:p>
        </w:tc>
      </w:tr>
      <w:tr>
        <w:trPr>
          <w:trHeight w:val="183"/>
        </w:trPr>
        <w:tc>
          <w:tcPr>
            <w:tcW w:w="6340" w:type="dxa"/>
            <w:vAlign w:val="bottom"/>
          </w:tcPr>
          <w:p>
            <w:pPr>
              <w:spacing w:after="0" w:line="183" w:lineRule="exact"/>
              <w:rPr>
                <w:sz w:val="20"/>
                <w:szCs w:val="20"/>
                <w:color w:val="auto"/>
              </w:rPr>
            </w:pPr>
            <w:r>
              <w:rPr>
                <w:rFonts w:ascii="Arial" w:cs="Arial" w:eastAsia="Arial" w:hAnsi="Arial"/>
                <w:sz w:val="16"/>
                <w:szCs w:val="16"/>
                <w:color w:val="auto"/>
              </w:rPr>
              <w:t>Effect of exchange rates changes on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(3,081)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-393700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-393700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-136525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-136525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gridSpan w:val="7"/>
          </w:tcPr>
          <w:p>
            <w:pPr>
              <w:jc w:val="right"/>
              <w:ind w:right="979"/>
              <w:spacing w:after="0"/>
              <w:rPr>
                <w:sz w:val="20"/>
                <w:szCs w:val="20"/>
                <w:color w:val="auto"/>
              </w:rPr>
            </w:pPr>
            <w:r>
              <w:rPr>
                <w:rFonts w:ascii="Arial" w:cs="Arial" w:eastAsia="Arial" w:hAnsi="Arial"/>
                <w:sz w:val="16"/>
                <w:szCs w:val="16"/>
                <w:b w:val="1"/>
                <w:bCs w:val="1"/>
                <w:color w:val="auto"/>
              </w:rPr>
              <w:t>Three Months Ended March 31, 2024</w:t>
            </w:r>
          </w:p>
        </w:tc>
      </w:tr>
      <w:tr>
        <w:trPr>
          <w:trHeight w:val="168"/>
        </w:trPr>
        <w:tc>
          <w:tcPr>
            <w:tcW w:w="5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As Previously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3"/>
        </w:trPr>
        <w:tc>
          <w:tcPr>
            <w:tcW w:w="5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Reported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 Revised</w:t>
            </w:r>
          </w:p>
        </w:tc>
      </w:tr>
      <w:tr>
        <w:trPr>
          <w:trHeight w:val="183"/>
        </w:trPr>
        <w:tc>
          <w:tcPr>
            <w:tcW w:w="52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89"/>
        </w:trPr>
        <w:tc>
          <w:tcPr>
            <w:tcW w:w="5200" w:type="dxa"/>
            <w:vAlign w:val="bottom"/>
          </w:tcPr>
          <w:p>
            <w:pPr>
              <w:ind w:left="120"/>
              <w:spacing w:after="0"/>
              <w:rPr>
                <w:sz w:val="20"/>
                <w:szCs w:val="20"/>
                <w:color w:val="auto"/>
              </w:rPr>
            </w:pPr>
            <w:r>
              <w:rPr>
                <w:rFonts w:ascii="Arial" w:cs="Arial" w:eastAsia="Arial" w:hAnsi="Arial"/>
                <w:sz w:val="16"/>
                <w:szCs w:val="16"/>
                <w:color w:val="auto"/>
              </w:rPr>
              <w:t>Unrealized (gain) loss on remeasurement of foreign currency</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4,007</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4,007</w:t>
            </w:r>
          </w:p>
        </w:tc>
      </w:tr>
      <w:tr>
        <w:trPr>
          <w:trHeight w:val="189"/>
        </w:trPr>
        <w:tc>
          <w:tcPr>
            <w:tcW w:w="52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Change in operating assets and liabilities, net of acquisition:</w:t>
            </w: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r>
      <w:tr>
        <w:trPr>
          <w:trHeight w:val="189"/>
        </w:trPr>
        <w:tc>
          <w:tcPr>
            <w:tcW w:w="520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(1,607)</w:t>
            </w:r>
          </w:p>
        </w:tc>
      </w:tr>
      <w:tr>
        <w:trPr>
          <w:trHeight w:val="189"/>
        </w:trPr>
        <w:tc>
          <w:tcPr>
            <w:tcW w:w="52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Unbilled receivables</w:t>
            </w: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2,694</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2,653</w:t>
            </w:r>
          </w:p>
        </w:tc>
      </w:tr>
      <w:tr>
        <w:trPr>
          <w:trHeight w:val="189"/>
        </w:trPr>
        <w:tc>
          <w:tcPr>
            <w:tcW w:w="5200" w:type="dxa"/>
            <w:vAlign w:val="bottom"/>
          </w:tcPr>
          <w:p>
            <w:pPr>
              <w:ind w:left="240"/>
              <w:spacing w:after="0"/>
              <w:rPr>
                <w:sz w:val="20"/>
                <w:szCs w:val="20"/>
                <w:color w:val="auto"/>
              </w:rPr>
            </w:pPr>
            <w:r>
              <w:rPr>
                <w:rFonts w:ascii="Arial" w:cs="Arial" w:eastAsia="Arial" w:hAnsi="Arial"/>
                <w:sz w:val="16"/>
                <w:szCs w:val="16"/>
                <w:color w:val="auto"/>
              </w:rPr>
              <w:t>Funds receivable from payment partners</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37,714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38,190</w:t>
            </w:r>
          </w:p>
        </w:tc>
      </w:tr>
      <w:tr>
        <w:trPr>
          <w:trHeight w:val="189"/>
        </w:trPr>
        <w:tc>
          <w:tcPr>
            <w:tcW w:w="52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and other assets</w:t>
            </w: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1,863</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1,704</w:t>
            </w:r>
          </w:p>
        </w:tc>
      </w:tr>
      <w:tr>
        <w:trPr>
          <w:trHeight w:val="189"/>
        </w:trPr>
        <w:tc>
          <w:tcPr>
            <w:tcW w:w="5200" w:type="dxa"/>
            <w:vAlign w:val="bottom"/>
          </w:tcPr>
          <w:p>
            <w:pPr>
              <w:ind w:left="240"/>
              <w:spacing w:after="0"/>
              <w:rPr>
                <w:sz w:val="20"/>
                <w:szCs w:val="20"/>
                <w:color w:val="auto"/>
              </w:rPr>
            </w:pPr>
            <w:r>
              <w:rPr>
                <w:rFonts w:ascii="Arial" w:cs="Arial" w:eastAsia="Arial" w:hAnsi="Arial"/>
                <w:sz w:val="16"/>
                <w:szCs w:val="16"/>
                <w:color w:val="auto"/>
              </w:rPr>
              <w:t>Funds payable to customers</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(86,810)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(85,085)</w:t>
            </w:r>
          </w:p>
        </w:tc>
      </w:tr>
      <w:tr>
        <w:trPr>
          <w:trHeight w:val="189"/>
        </w:trPr>
        <w:tc>
          <w:tcPr>
            <w:tcW w:w="52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 accrued expenses and other current liabilities</w:t>
            </w: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(2,489)</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(3,929)</w:t>
            </w:r>
          </w:p>
        </w:tc>
      </w:tr>
      <w:tr>
        <w:trPr>
          <w:trHeight w:val="189"/>
        </w:trPr>
        <w:tc>
          <w:tcPr>
            <w:tcW w:w="5200" w:type="dxa"/>
            <w:vAlign w:val="bottom"/>
          </w:tcPr>
          <w:p>
            <w:pPr>
              <w:ind w:left="240"/>
              <w:spacing w:after="0"/>
              <w:rPr>
                <w:sz w:val="20"/>
                <w:szCs w:val="20"/>
                <w:color w:val="auto"/>
              </w:rPr>
            </w:pPr>
            <w:r>
              <w:rPr>
                <w:rFonts w:ascii="Arial" w:cs="Arial" w:eastAsia="Arial" w:hAnsi="Arial"/>
                <w:sz w:val="16"/>
                <w:szCs w:val="16"/>
                <w:color w:val="auto"/>
              </w:rPr>
              <w:t>Other liabilities</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(444)</w:t>
            </w:r>
          </w:p>
        </w:tc>
      </w:tr>
      <w:tr>
        <w:trPr>
          <w:trHeight w:val="189"/>
        </w:trPr>
        <w:tc>
          <w:tcPr>
            <w:tcW w:w="5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1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(1,349)</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(1,227)</w:t>
            </w:r>
          </w:p>
        </w:tc>
      </w:tr>
      <w:tr>
        <w:trPr>
          <w:trHeight w:val="183"/>
        </w:trPr>
        <w:tc>
          <w:tcPr>
            <w:tcW w:w="5200" w:type="dxa"/>
            <w:vAlign w:val="bottom"/>
          </w:tcPr>
          <w:p>
            <w:pPr>
              <w:ind w:left="120"/>
              <w:spacing w:after="0" w:line="183" w:lineRule="exact"/>
              <w:rPr>
                <w:sz w:val="20"/>
                <w:szCs w:val="20"/>
                <w:color w:val="auto"/>
              </w:rPr>
            </w:pPr>
            <w:r>
              <w:rPr>
                <w:rFonts w:ascii="Arial" w:cs="Arial" w:eastAsia="Arial" w:hAnsi="Arial"/>
                <w:sz w:val="16"/>
                <w:szCs w:val="16"/>
                <w:color w:val="auto"/>
              </w:rPr>
              <w:t>Net cash provided by (used by) operating activities</w:t>
            </w:r>
          </w:p>
        </w:tc>
        <w:tc>
          <w:tcPr>
            <w:tcW w:w="1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(38,093)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4,436</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(33,657)</w:t>
            </w:r>
          </w:p>
        </w:tc>
      </w:tr>
      <w:tr>
        <w:trPr>
          <w:trHeight w:val="183"/>
        </w:trPr>
        <w:tc>
          <w:tcPr>
            <w:tcW w:w="520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spacing w:after="0"/>
              <w:rPr>
                <w:sz w:val="15"/>
                <w:szCs w:val="15"/>
                <w:color w:val="auto"/>
              </w:rPr>
            </w:pPr>
          </w:p>
        </w:tc>
      </w:tr>
      <w:tr>
        <w:trPr>
          <w:trHeight w:val="183"/>
        </w:trPr>
        <w:tc>
          <w:tcPr>
            <w:tcW w:w="5200" w:type="dxa"/>
            <w:vAlign w:val="bottom"/>
          </w:tcPr>
          <w:p>
            <w:pPr>
              <w:spacing w:after="0" w:line="183" w:lineRule="exact"/>
              <w:rPr>
                <w:sz w:val="20"/>
                <w:szCs w:val="20"/>
                <w:color w:val="auto"/>
              </w:rPr>
            </w:pPr>
            <w:r>
              <w:rPr>
                <w:rFonts w:ascii="Arial" w:cs="Arial" w:eastAsia="Arial" w:hAnsi="Arial"/>
                <w:sz w:val="16"/>
                <w:szCs w:val="16"/>
                <w:color w:val="auto"/>
              </w:rPr>
              <w:t>Effect of exchange rates changes on cash and cash equivalents</w:t>
            </w:r>
          </w:p>
        </w:tc>
        <w:tc>
          <w:tcPr>
            <w:tcW w:w="12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1,764</w:t>
            </w:r>
          </w:p>
        </w:tc>
        <w:tc>
          <w:tcPr>
            <w:tcW w:w="30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(4,436)</w:t>
            </w:r>
          </w:p>
        </w:tc>
        <w:tc>
          <w:tcPr>
            <w:tcW w:w="32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83" w:lineRule="exact"/>
              <w:rPr>
                <w:sz w:val="20"/>
                <w:szCs w:val="20"/>
                <w:color w:val="auto"/>
              </w:rPr>
            </w:pPr>
            <w:r>
              <w:rPr>
                <w:rFonts w:ascii="Arial" w:cs="Arial" w:eastAsia="Arial" w:hAnsi="Arial"/>
                <w:sz w:val="16"/>
                <w:szCs w:val="16"/>
                <w:color w:val="auto"/>
              </w:rPr>
              <w:t>(2,672)</w:t>
            </w:r>
          </w:p>
        </w:tc>
      </w:tr>
      <w:tr>
        <w:trPr>
          <w:trHeight w:val="429"/>
        </w:trPr>
        <w:tc>
          <w:tcPr>
            <w:tcW w:w="5200" w:type="dxa"/>
            <w:vAlign w:val="bottom"/>
          </w:tcPr>
          <w:p>
            <w:pPr>
              <w:spacing w:after="0"/>
              <w:rPr>
                <w:sz w:val="24"/>
                <w:szCs w:val="24"/>
                <w:color w:val="auto"/>
              </w:rPr>
            </w:pPr>
          </w:p>
        </w:tc>
        <w:tc>
          <w:tcPr>
            <w:tcW w:w="1140" w:type="dxa"/>
            <w:vAlign w:val="bottom"/>
          </w:tcPr>
          <w:p>
            <w:pPr>
              <w:jc w:val="right"/>
              <w:ind w:right="536"/>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745"/>
        </w:trPr>
        <w:tc>
          <w:tcPr>
            <w:tcW w:w="5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-1156335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-1156335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-899160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-899160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4" w:name="page35"/>
    <w:bookmarkEnd w:id="34"/>
    <w:p>
      <w:pPr>
        <w:ind w:right="340" w:firstLine="509"/>
        <w:spacing w:after="0" w:line="253" w:lineRule="auto"/>
        <w:rPr>
          <w:sz w:val="20"/>
          <w:szCs w:val="20"/>
          <w:color w:val="auto"/>
        </w:rPr>
      </w:pPr>
      <w:r>
        <w:rPr>
          <w:rFonts w:ascii="Arial" w:cs="Arial" w:eastAsia="Arial" w:hAnsi="Arial"/>
          <w:sz w:val="18"/>
          <w:szCs w:val="18"/>
          <w:color w:val="auto"/>
        </w:rPr>
        <w:t xml:space="preserve">The Consolidated Statements of Cash Flows for the years ended December 31, 2024, 2023, and 2022 will be revised to correct for prior period errors as discussed in </w:t>
      </w:r>
      <w:r>
        <w:rPr>
          <w:rFonts w:ascii="Arial" w:cs="Arial" w:eastAsia="Arial" w:hAnsi="Arial"/>
          <w:sz w:val="18"/>
          <w:szCs w:val="18"/>
          <w:i w:val="1"/>
          <w:iCs w:val="1"/>
          <w:color w:val="auto"/>
        </w:rPr>
        <w:t>Note 1 - Business Overview and Summary of Significant Accounting Policies</w:t>
      </w:r>
      <w:r>
        <w:rPr>
          <w:rFonts w:ascii="Arial" w:cs="Arial" w:eastAsia="Arial" w:hAnsi="Arial"/>
          <w:sz w:val="18"/>
          <w:szCs w:val="18"/>
          <w:color w:val="auto"/>
        </w:rPr>
        <w:t>. The effect on the Consolidated Statement of Cash Flows for each affected period is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 2024</w:t>
            </w:r>
          </w:p>
        </w:tc>
        <w:tc>
          <w:tcPr>
            <w:tcW w:w="1260" w:type="dxa"/>
            <w:vAlign w:val="bottom"/>
            <w:tcBorders>
              <w:bottom w:val="single" w:sz="8" w:color="auto"/>
            </w:tcBorders>
          </w:tcPr>
          <w:p>
            <w:pPr>
              <w:spacing w:after="0"/>
              <w:rPr>
                <w:sz w:val="17"/>
                <w:szCs w:val="17"/>
                <w:color w:val="auto"/>
              </w:rPr>
            </w:pPr>
          </w:p>
        </w:tc>
      </w:tr>
      <w:tr>
        <w:trPr>
          <w:trHeight w:val="168"/>
        </w:trPr>
        <w:tc>
          <w:tcPr>
            <w:tcW w:w="5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As Previously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3"/>
        </w:trPr>
        <w:tc>
          <w:tcPr>
            <w:tcW w:w="5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Reported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9"/>
              </w:rPr>
              <w:t>As Revised</w:t>
            </w: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r>
      <w:tr>
        <w:trPr>
          <w:trHeight w:val="189"/>
        </w:trPr>
        <w:tc>
          <w:tcPr>
            <w:tcW w:w="5820" w:type="dxa"/>
            <w:vAlign w:val="bottom"/>
          </w:tcPr>
          <w:p>
            <w:pPr>
              <w:ind w:left="120"/>
              <w:spacing w:after="0"/>
              <w:rPr>
                <w:sz w:val="20"/>
                <w:szCs w:val="20"/>
                <w:color w:val="auto"/>
              </w:rPr>
            </w:pPr>
            <w:r>
              <w:rPr>
                <w:rFonts w:ascii="Arial" w:cs="Arial" w:eastAsia="Arial" w:hAnsi="Arial"/>
                <w:sz w:val="16"/>
                <w:szCs w:val="16"/>
                <w:color w:val="auto"/>
              </w:rPr>
              <w:t>Unrealized (gain) loss on remeasurement of foreign currency</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11,573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11,573</w:t>
            </w:r>
          </w:p>
        </w:tc>
      </w:tr>
      <w:tr>
        <w:trPr>
          <w:trHeight w:val="189"/>
        </w:trPr>
        <w:tc>
          <w:tcPr>
            <w:tcW w:w="5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accretion of discounts and amortization of premiums on investments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(1,807)</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(1,807)</w:t>
            </w:r>
          </w:p>
        </w:tc>
      </w:tr>
      <w:tr>
        <w:trPr>
          <w:trHeight w:val="189"/>
        </w:trPr>
        <w:tc>
          <w:tcPr>
            <w:tcW w:w="5820" w:type="dxa"/>
            <w:vAlign w:val="bottom"/>
          </w:tcPr>
          <w:p>
            <w:pPr>
              <w:ind w:left="120"/>
              <w:spacing w:after="0"/>
              <w:rPr>
                <w:sz w:val="20"/>
                <w:szCs w:val="20"/>
                <w:color w:val="auto"/>
              </w:rPr>
            </w:pPr>
            <w:r>
              <w:rPr>
                <w:rFonts w:ascii="Arial" w:cs="Arial" w:eastAsia="Arial" w:hAnsi="Arial"/>
                <w:sz w:val="16"/>
                <w:szCs w:val="16"/>
                <w:color w:val="auto"/>
              </w:rPr>
              <w:t>Change in operating assets and liabilities, net of acquisition:</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(5,226)</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Unbilled receivables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(4,841)</w:t>
            </w: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Funds receivable from payment partners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23,835</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23,335</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Prepaid expenses, other current assets and other assets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(5,071)</w:t>
            </w: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Funds payable to clients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6,867</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7,361</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Accounts payable, accrued expenses and other current liabilities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(3,134)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liabilities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(1,447)</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r>
      <w:tr>
        <w:trPr>
          <w:trHeight w:val="183"/>
        </w:trPr>
        <w:tc>
          <w:tcPr>
            <w:tcW w:w="582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Net cash provided by (used by) operating activities</w:t>
            </w:r>
          </w:p>
        </w:tc>
        <w:tc>
          <w:tcPr>
            <w:tcW w:w="5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91,468</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7,201</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98,669</w:t>
            </w:r>
          </w:p>
        </w:tc>
      </w:tr>
      <w:tr>
        <w:trPr>
          <w:trHeight w:val="182"/>
        </w:trPr>
        <w:tc>
          <w:tcPr>
            <w:tcW w:w="5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9"/>
        </w:trPr>
        <w:tc>
          <w:tcPr>
            <w:tcW w:w="5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189"/>
        </w:trPr>
        <w:tc>
          <w:tcPr>
            <w:tcW w:w="5820" w:type="dxa"/>
            <w:vAlign w:val="bottom"/>
          </w:tcPr>
          <w:p>
            <w:pPr>
              <w:spacing w:after="0"/>
              <w:rPr>
                <w:sz w:val="20"/>
                <w:szCs w:val="20"/>
                <w:color w:val="auto"/>
              </w:rPr>
            </w:pPr>
            <w:r>
              <w:rPr>
                <w:rFonts w:ascii="Arial" w:cs="Arial" w:eastAsia="Arial" w:hAnsi="Arial"/>
                <w:sz w:val="16"/>
                <w:szCs w:val="16"/>
                <w:color w:val="auto"/>
              </w:rPr>
              <w:t>Purchase of short-term and long-term investments</w:t>
            </w: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(193,927)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(192,120)</w:t>
            </w:r>
          </w:p>
        </w:tc>
      </w:tr>
      <w:tr>
        <w:trPr>
          <w:trHeight w:val="183"/>
        </w:trPr>
        <w:tc>
          <w:tcPr>
            <w:tcW w:w="582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Net cash used in investing activities</w:t>
            </w:r>
          </w:p>
        </w:tc>
        <w:tc>
          <w:tcPr>
            <w:tcW w:w="5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(215,800)</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1,807</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(213,993)</w:t>
            </w:r>
          </w:p>
        </w:tc>
      </w:tr>
      <w:tr>
        <w:trPr>
          <w:trHeight w:val="183"/>
        </w:trPr>
        <w:tc>
          <w:tcPr>
            <w:tcW w:w="5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Effect of exchange rates changes on cash and cash equivalents</w:t>
            </w:r>
          </w:p>
        </w:tc>
        <w:tc>
          <w:tcPr>
            <w:tcW w:w="6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2,597</w:t>
            </w:r>
          </w:p>
        </w:tc>
        <w:tc>
          <w:tcPr>
            <w:tcW w:w="3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(9,008)</w:t>
            </w: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(6,411)</w:t>
            </w:r>
          </w:p>
        </w:tc>
      </w:tr>
      <w:tr>
        <w:trPr>
          <w:trHeight w:val="20"/>
        </w:trPr>
        <w:tc>
          <w:tcPr>
            <w:tcW w:w="582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-762000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-762000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-264795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-264795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 2023</w:t>
            </w:r>
          </w:p>
        </w:tc>
        <w:tc>
          <w:tcPr>
            <w:tcW w:w="1260" w:type="dxa"/>
            <w:vAlign w:val="bottom"/>
            <w:tcBorders>
              <w:bottom w:val="single" w:sz="8" w:color="auto"/>
            </w:tcBorders>
          </w:tcPr>
          <w:p>
            <w:pPr>
              <w:spacing w:after="0"/>
              <w:rPr>
                <w:sz w:val="17"/>
                <w:szCs w:val="17"/>
                <w:color w:val="auto"/>
              </w:rPr>
            </w:pPr>
          </w:p>
        </w:tc>
      </w:tr>
      <w:tr>
        <w:trPr>
          <w:trHeight w:val="168"/>
        </w:trPr>
        <w:tc>
          <w:tcPr>
            <w:tcW w:w="5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As Previously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3"/>
        </w:trPr>
        <w:tc>
          <w:tcPr>
            <w:tcW w:w="5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Reported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9"/>
              </w:rPr>
              <w:t>As Revised</w:t>
            </w:r>
          </w:p>
        </w:tc>
      </w:tr>
      <w:tr>
        <w:trPr>
          <w:trHeight w:val="183"/>
        </w:trPr>
        <w:tc>
          <w:tcPr>
            <w:tcW w:w="52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r>
      <w:tr>
        <w:trPr>
          <w:trHeight w:val="189"/>
        </w:trPr>
        <w:tc>
          <w:tcPr>
            <w:tcW w:w="5200" w:type="dxa"/>
            <w:vAlign w:val="bottom"/>
          </w:tcPr>
          <w:p>
            <w:pPr>
              <w:ind w:left="120"/>
              <w:spacing w:after="0"/>
              <w:rPr>
                <w:sz w:val="20"/>
                <w:szCs w:val="20"/>
                <w:color w:val="auto"/>
              </w:rPr>
            </w:pPr>
            <w:r>
              <w:rPr>
                <w:rFonts w:ascii="Arial" w:cs="Arial" w:eastAsia="Arial" w:hAnsi="Arial"/>
                <w:sz w:val="16"/>
                <w:szCs w:val="16"/>
                <w:color w:val="auto"/>
              </w:rPr>
              <w:t>Unrealized (gain) loss on remeasurement of foreign currency</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2,320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2,320</w:t>
            </w:r>
          </w:p>
        </w:tc>
      </w:tr>
      <w:tr>
        <w:trPr>
          <w:trHeight w:val="189"/>
        </w:trPr>
        <w:tc>
          <w:tcPr>
            <w:tcW w:w="52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Change in operating assets and liabilities, net of acquisition:</w:t>
            </w: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189"/>
        </w:trPr>
        <w:tc>
          <w:tcPr>
            <w:tcW w:w="520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(1,805)</w:t>
            </w:r>
          </w:p>
        </w:tc>
      </w:tr>
      <w:tr>
        <w:trPr>
          <w:trHeight w:val="189"/>
        </w:trPr>
        <w:tc>
          <w:tcPr>
            <w:tcW w:w="52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Unbilled receivables</w:t>
            </w: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(5,394)</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(5,228)</w:t>
            </w:r>
          </w:p>
        </w:tc>
      </w:tr>
      <w:tr>
        <w:trPr>
          <w:trHeight w:val="189"/>
        </w:trPr>
        <w:tc>
          <w:tcPr>
            <w:tcW w:w="5200" w:type="dxa"/>
            <w:vAlign w:val="bottom"/>
          </w:tcPr>
          <w:p>
            <w:pPr>
              <w:ind w:left="240"/>
              <w:spacing w:after="0"/>
              <w:rPr>
                <w:sz w:val="20"/>
                <w:szCs w:val="20"/>
                <w:color w:val="auto"/>
              </w:rPr>
            </w:pPr>
            <w:r>
              <w:rPr>
                <w:rFonts w:ascii="Arial" w:cs="Arial" w:eastAsia="Arial" w:hAnsi="Arial"/>
                <w:sz w:val="16"/>
                <w:szCs w:val="16"/>
                <w:color w:val="auto"/>
              </w:rPr>
              <w:t>Funds receivable from payment partners</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(50,975)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(53,151)</w:t>
            </w:r>
          </w:p>
        </w:tc>
      </w:tr>
      <w:tr>
        <w:trPr>
          <w:trHeight w:val="189"/>
        </w:trPr>
        <w:tc>
          <w:tcPr>
            <w:tcW w:w="52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other current assets and other assets</w:t>
            </w: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(4,279)</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(5,124)</w:t>
            </w:r>
          </w:p>
        </w:tc>
      </w:tr>
      <w:tr>
        <w:trPr>
          <w:trHeight w:val="189"/>
        </w:trPr>
        <w:tc>
          <w:tcPr>
            <w:tcW w:w="5200" w:type="dxa"/>
            <w:vAlign w:val="bottom"/>
          </w:tcPr>
          <w:p>
            <w:pPr>
              <w:ind w:left="240"/>
              <w:spacing w:after="0"/>
              <w:rPr>
                <w:sz w:val="20"/>
                <w:szCs w:val="20"/>
                <w:color w:val="auto"/>
              </w:rPr>
            </w:pPr>
            <w:r>
              <w:rPr>
                <w:rFonts w:ascii="Arial" w:cs="Arial" w:eastAsia="Arial" w:hAnsi="Arial"/>
                <w:sz w:val="16"/>
                <w:szCs w:val="16"/>
                <w:color w:val="auto"/>
              </w:rPr>
              <w:t>Funds payable to clients</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86,616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82,301</w:t>
            </w:r>
          </w:p>
        </w:tc>
      </w:tr>
      <w:tr>
        <w:trPr>
          <w:trHeight w:val="189"/>
        </w:trPr>
        <w:tc>
          <w:tcPr>
            <w:tcW w:w="52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 accrued expenses and other current liabilities</w:t>
            </w: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4,721</w:t>
            </w:r>
          </w:p>
        </w:tc>
      </w:tr>
      <w:tr>
        <w:trPr>
          <w:trHeight w:val="189"/>
        </w:trPr>
        <w:tc>
          <w:tcPr>
            <w:tcW w:w="5200" w:type="dxa"/>
            <w:vAlign w:val="bottom"/>
          </w:tcPr>
          <w:p>
            <w:pPr>
              <w:ind w:left="240"/>
              <w:spacing w:after="0"/>
              <w:rPr>
                <w:sz w:val="20"/>
                <w:szCs w:val="20"/>
                <w:color w:val="auto"/>
              </w:rPr>
            </w:pPr>
            <w:r>
              <w:rPr>
                <w:rFonts w:ascii="Arial" w:cs="Arial" w:eastAsia="Arial" w:hAnsi="Arial"/>
                <w:sz w:val="16"/>
                <w:szCs w:val="16"/>
                <w:color w:val="auto"/>
              </w:rPr>
              <w:t>Other liabilities</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189"/>
        </w:trPr>
        <w:tc>
          <w:tcPr>
            <w:tcW w:w="5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1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(1,180)</w:t>
            </w:r>
          </w:p>
        </w:tc>
      </w:tr>
      <w:tr>
        <w:trPr>
          <w:trHeight w:val="183"/>
        </w:trPr>
        <w:tc>
          <w:tcPr>
            <w:tcW w:w="5200" w:type="dxa"/>
            <w:vAlign w:val="bottom"/>
          </w:tcPr>
          <w:p>
            <w:pPr>
              <w:ind w:left="120"/>
              <w:spacing w:after="0" w:line="183" w:lineRule="exact"/>
              <w:rPr>
                <w:sz w:val="20"/>
                <w:szCs w:val="20"/>
                <w:color w:val="auto"/>
              </w:rPr>
            </w:pPr>
            <w:r>
              <w:rPr>
                <w:rFonts w:ascii="Arial" w:cs="Arial" w:eastAsia="Arial" w:hAnsi="Arial"/>
                <w:sz w:val="16"/>
                <w:szCs w:val="16"/>
                <w:color w:val="auto"/>
              </w:rPr>
              <w:t>Net cash provided by (used by) operating activities</w:t>
            </w:r>
          </w:p>
        </w:tc>
        <w:tc>
          <w:tcPr>
            <w:tcW w:w="1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80,625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(4,279)</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76,346</w:t>
            </w:r>
          </w:p>
        </w:tc>
      </w:tr>
      <w:tr>
        <w:trPr>
          <w:trHeight w:val="183"/>
        </w:trPr>
        <w:tc>
          <w:tcPr>
            <w:tcW w:w="520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spacing w:after="0"/>
              <w:rPr>
                <w:sz w:val="15"/>
                <w:szCs w:val="15"/>
                <w:color w:val="auto"/>
              </w:rPr>
            </w:pPr>
          </w:p>
        </w:tc>
      </w:tr>
      <w:tr>
        <w:trPr>
          <w:trHeight w:val="183"/>
        </w:trPr>
        <w:tc>
          <w:tcPr>
            <w:tcW w:w="5200" w:type="dxa"/>
            <w:vAlign w:val="bottom"/>
          </w:tcPr>
          <w:p>
            <w:pPr>
              <w:spacing w:after="0" w:line="183" w:lineRule="exact"/>
              <w:rPr>
                <w:sz w:val="20"/>
                <w:szCs w:val="20"/>
                <w:color w:val="auto"/>
              </w:rPr>
            </w:pPr>
            <w:r>
              <w:rPr>
                <w:rFonts w:ascii="Arial" w:cs="Arial" w:eastAsia="Arial" w:hAnsi="Arial"/>
                <w:sz w:val="16"/>
                <w:szCs w:val="16"/>
                <w:color w:val="auto"/>
              </w:rPr>
              <w:t>Effect of exchange rates changes on cash and cash equivalents</w:t>
            </w:r>
          </w:p>
        </w:tc>
        <w:tc>
          <w:tcPr>
            <w:tcW w:w="12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(1,835)</w:t>
            </w:r>
          </w:p>
        </w:tc>
        <w:tc>
          <w:tcPr>
            <w:tcW w:w="30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4,279</w:t>
            </w:r>
          </w:p>
        </w:tc>
        <w:tc>
          <w:tcPr>
            <w:tcW w:w="46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2,444</w:t>
            </w:r>
          </w:p>
        </w:tc>
      </w:tr>
      <w:tr>
        <w:trPr>
          <w:trHeight w:val="430"/>
        </w:trPr>
        <w:tc>
          <w:tcPr>
            <w:tcW w:w="5200" w:type="dxa"/>
            <w:vAlign w:val="bottom"/>
          </w:tcPr>
          <w:p>
            <w:pPr>
              <w:spacing w:after="0"/>
              <w:rPr>
                <w:sz w:val="24"/>
                <w:szCs w:val="24"/>
                <w:color w:val="auto"/>
              </w:rPr>
            </w:pPr>
          </w:p>
        </w:tc>
        <w:tc>
          <w:tcPr>
            <w:tcW w:w="1140" w:type="dxa"/>
            <w:vAlign w:val="bottom"/>
          </w:tcPr>
          <w:p>
            <w:pPr>
              <w:jc w:val="right"/>
              <w:ind w:right="536"/>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745"/>
        </w:trPr>
        <w:tc>
          <w:tcPr>
            <w:tcW w:w="5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-1156970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-1156970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-899795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-899795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 2022</w:t>
            </w:r>
          </w:p>
        </w:tc>
        <w:tc>
          <w:tcPr>
            <w:tcW w:w="1260" w:type="dxa"/>
            <w:vAlign w:val="bottom"/>
            <w:tcBorders>
              <w:bottom w:val="single" w:sz="8" w:color="auto"/>
            </w:tcBorders>
          </w:tcPr>
          <w:p>
            <w:pPr>
              <w:spacing w:after="0"/>
              <w:rPr>
                <w:sz w:val="17"/>
                <w:szCs w:val="17"/>
                <w:color w:val="auto"/>
              </w:rPr>
            </w:pPr>
          </w:p>
        </w:tc>
      </w:tr>
      <w:tr>
        <w:trPr>
          <w:trHeight w:val="168"/>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As Previously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3"/>
        </w:trPr>
        <w:tc>
          <w:tcPr>
            <w:tcW w:w="6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Reported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9"/>
              </w:rPr>
              <w:t>As Revised</w:t>
            </w:r>
          </w:p>
        </w:tc>
      </w:tr>
      <w:tr>
        <w:trPr>
          <w:trHeight w:val="183"/>
        </w:trPr>
        <w:tc>
          <w:tcPr>
            <w:tcW w:w="63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r>
      <w:tr>
        <w:trPr>
          <w:trHeight w:val="189"/>
        </w:trPr>
        <w:tc>
          <w:tcPr>
            <w:tcW w:w="6340" w:type="dxa"/>
            <w:vAlign w:val="bottom"/>
          </w:tcPr>
          <w:p>
            <w:pPr>
              <w:ind w:left="120"/>
              <w:spacing w:after="0"/>
              <w:rPr>
                <w:sz w:val="20"/>
                <w:szCs w:val="20"/>
                <w:color w:val="auto"/>
              </w:rPr>
            </w:pPr>
            <w:r>
              <w:rPr>
                <w:rFonts w:ascii="Arial" w:cs="Arial" w:eastAsia="Arial" w:hAnsi="Arial"/>
                <w:sz w:val="16"/>
                <w:szCs w:val="16"/>
                <w:color w:val="auto"/>
              </w:rPr>
              <w:t>Unrealized (gain) loss on remeasurement of foreign currency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881</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881</w:t>
            </w:r>
          </w:p>
        </w:tc>
      </w:tr>
      <w:tr>
        <w:trPr>
          <w:trHeight w:val="189"/>
        </w:trPr>
        <w:tc>
          <w:tcPr>
            <w:tcW w:w="6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Change in operating assets and liabilities, net of acquisition:</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189"/>
        </w:trPr>
        <w:tc>
          <w:tcPr>
            <w:tcW w:w="634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189"/>
        </w:trPr>
        <w:tc>
          <w:tcPr>
            <w:tcW w:w="6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Unbilled receivables</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(1,988)</w:t>
            </w:r>
          </w:p>
        </w:tc>
      </w:tr>
      <w:tr>
        <w:trPr>
          <w:trHeight w:val="189"/>
        </w:trPr>
        <w:tc>
          <w:tcPr>
            <w:tcW w:w="6340" w:type="dxa"/>
            <w:vAlign w:val="bottom"/>
          </w:tcPr>
          <w:p>
            <w:pPr>
              <w:ind w:left="240"/>
              <w:spacing w:after="0"/>
              <w:rPr>
                <w:sz w:val="20"/>
                <w:szCs w:val="20"/>
                <w:color w:val="auto"/>
              </w:rPr>
            </w:pPr>
            <w:r>
              <w:rPr>
                <w:rFonts w:ascii="Arial" w:cs="Arial" w:eastAsia="Arial" w:hAnsi="Arial"/>
                <w:sz w:val="16"/>
                <w:szCs w:val="16"/>
                <w:color w:val="auto"/>
              </w:rPr>
              <w:t>Funds receivable from payment partners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(30,917)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(28,186)</w:t>
            </w:r>
          </w:p>
        </w:tc>
      </w:tr>
      <w:tr>
        <w:trPr>
          <w:trHeight w:val="189"/>
        </w:trPr>
        <w:tc>
          <w:tcPr>
            <w:tcW w:w="6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other current assets and other assets</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(11,318)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(11,418)</w:t>
            </w:r>
          </w:p>
        </w:tc>
      </w:tr>
      <w:tr>
        <w:trPr>
          <w:trHeight w:val="189"/>
        </w:trPr>
        <w:tc>
          <w:tcPr>
            <w:tcW w:w="6340" w:type="dxa"/>
            <w:vAlign w:val="bottom"/>
          </w:tcPr>
          <w:p>
            <w:pPr>
              <w:ind w:left="240"/>
              <w:spacing w:after="0"/>
              <w:rPr>
                <w:sz w:val="20"/>
                <w:szCs w:val="20"/>
                <w:color w:val="auto"/>
              </w:rPr>
            </w:pPr>
            <w:r>
              <w:rPr>
                <w:rFonts w:ascii="Arial" w:cs="Arial" w:eastAsia="Arial" w:hAnsi="Arial"/>
                <w:sz w:val="16"/>
                <w:szCs w:val="16"/>
                <w:color w:val="auto"/>
              </w:rPr>
              <w:t>Funds payable to clients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48,932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53,768</w:t>
            </w:r>
          </w:p>
        </w:tc>
      </w:tr>
      <w:tr>
        <w:trPr>
          <w:trHeight w:val="189"/>
        </w:trPr>
        <w:tc>
          <w:tcPr>
            <w:tcW w:w="6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6,761</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7,161</w:t>
            </w:r>
          </w:p>
        </w:tc>
      </w:tr>
      <w:tr>
        <w:trPr>
          <w:trHeight w:val="189"/>
        </w:trPr>
        <w:tc>
          <w:tcPr>
            <w:tcW w:w="6340" w:type="dxa"/>
            <w:vAlign w:val="bottom"/>
          </w:tcPr>
          <w:p>
            <w:pPr>
              <w:ind w:left="240"/>
              <w:spacing w:after="0"/>
              <w:rPr>
                <w:sz w:val="20"/>
                <w:szCs w:val="20"/>
                <w:color w:val="auto"/>
              </w:rPr>
            </w:pPr>
            <w:r>
              <w:rPr>
                <w:rFonts w:ascii="Arial" w:cs="Arial" w:eastAsia="Arial" w:hAnsi="Arial"/>
                <w:sz w:val="16"/>
                <w:szCs w:val="16"/>
                <w:color w:val="auto"/>
              </w:rPr>
              <w:t>Other liabilities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(1,879)</w:t>
            </w:r>
          </w:p>
        </w:tc>
      </w:tr>
      <w:tr>
        <w:trPr>
          <w:trHeight w:val="189"/>
        </w:trPr>
        <w:tc>
          <w:tcPr>
            <w:tcW w:w="6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w:t>
            </w:r>
          </w:p>
        </w:tc>
      </w:tr>
      <w:tr>
        <w:trPr>
          <w:trHeight w:val="183"/>
        </w:trPr>
        <w:tc>
          <w:tcPr>
            <w:tcW w:w="6340" w:type="dxa"/>
            <w:vAlign w:val="bottom"/>
          </w:tcPr>
          <w:p>
            <w:pPr>
              <w:ind w:left="120"/>
              <w:spacing w:after="0" w:line="183" w:lineRule="exact"/>
              <w:rPr>
                <w:sz w:val="20"/>
                <w:szCs w:val="20"/>
                <w:color w:val="auto"/>
              </w:rPr>
            </w:pPr>
            <w:r>
              <w:rPr>
                <w:rFonts w:ascii="Arial" w:cs="Arial" w:eastAsia="Arial" w:hAnsi="Arial"/>
                <w:sz w:val="16"/>
                <w:szCs w:val="16"/>
                <w:color w:val="auto"/>
              </w:rPr>
              <w:t>Net cash provided by (used by) operating activities</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5,427</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14,250</w:t>
            </w:r>
          </w:p>
        </w:tc>
      </w:tr>
      <w:tr>
        <w:trPr>
          <w:trHeight w:val="183"/>
        </w:trPr>
        <w:tc>
          <w:tcPr>
            <w:tcW w:w="6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spacing w:after="0"/>
              <w:rPr>
                <w:sz w:val="15"/>
                <w:szCs w:val="15"/>
                <w:color w:val="auto"/>
              </w:rPr>
            </w:pPr>
          </w:p>
        </w:tc>
      </w:tr>
      <w:tr>
        <w:trPr>
          <w:trHeight w:val="183"/>
        </w:trPr>
        <w:tc>
          <w:tcPr>
            <w:tcW w:w="6340" w:type="dxa"/>
            <w:vAlign w:val="bottom"/>
          </w:tcPr>
          <w:p>
            <w:pPr>
              <w:spacing w:after="0" w:line="183" w:lineRule="exact"/>
              <w:rPr>
                <w:sz w:val="20"/>
                <w:szCs w:val="20"/>
                <w:color w:val="auto"/>
              </w:rPr>
            </w:pPr>
            <w:r>
              <w:rPr>
                <w:rFonts w:ascii="Arial" w:cs="Arial" w:eastAsia="Arial" w:hAnsi="Arial"/>
                <w:sz w:val="16"/>
                <w:szCs w:val="16"/>
                <w:color w:val="auto"/>
              </w:rPr>
              <w:t>Effect of exchange rates changes on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5,023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(8,823)</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-393700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-393700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-136525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-136525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40" w:firstLine="509"/>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Quarterly Report on Form 10-Q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5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i w:val="1"/>
          <w:iCs w:val="1"/>
          <w:color w:val="auto"/>
        </w:rPr>
        <w:t>As discussed in Note 1 - Business Overview and Summary of Significant Accounting Policies to the Condensed Consolidated Financial Statements included in Part I, Item 1 of this Form 10-Q, the Company has revised its financial statements for the nine months ended September 30, 2024 to correct certain statement of cash flow classification errors. The amounts included in this Item 2 have been similarly revised.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38"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8"/>
          <w:szCs w:val="18"/>
          <w:i w:val="1"/>
          <w:iCs w:val="1"/>
          <w:color w:val="auto"/>
        </w:rPr>
        <w:t>Flywire Advantage</w:t>
      </w:r>
      <w:r>
        <w:rPr>
          <w:rFonts w:ascii="Arial" w:cs="Arial" w:eastAsia="Arial" w:hAnsi="Arial"/>
          <w:sz w:val="18"/>
          <w:szCs w:val="18"/>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52"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1125220</wp:posOffset>
            </wp:positionH>
            <wp:positionV relativeFrom="page">
              <wp:posOffset>885825</wp:posOffset>
            </wp:positionV>
            <wp:extent cx="5623560" cy="37033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562356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71"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p>
    <w:p>
      <w:pPr>
        <w:spacing w:after="0" w:line="1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26.4% period-over-period from $11.0 billion during the three months ended September 30, 2024 to $13.9 billion during the three months ended September 30, 2025. We have grown our total payment volume by approximately 23.6% period-over-period from $22.8 billion during the nine months ended September 30, 2024 to $28.2 billion during the nine months ended September 30, 2025.</w:t>
      </w:r>
    </w:p>
    <w:p>
      <w:pPr>
        <w:spacing w:after="0" w:line="139" w:lineRule="exact"/>
        <w:rPr>
          <w:rFonts w:ascii="Times New Roman" w:cs="Times New Roman" w:eastAsia="Times New Roman" w:hAnsi="Times New Roman"/>
          <w:sz w:val="18"/>
          <w:szCs w:val="18"/>
          <w:color w:val="auto"/>
        </w:rPr>
      </w:pPr>
    </w:p>
    <w:p>
      <w:pPr>
        <w:jc w:val="both"/>
        <w:ind w:left="1020" w:right="60" w:hanging="503"/>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to add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over 240 countries and territories and more than 140 currencies.</w:t>
      </w:r>
    </w:p>
    <w:p>
      <w:pPr>
        <w:spacing w:after="0" w:line="143" w:lineRule="exact"/>
        <w:rPr>
          <w:rFonts w:ascii="Times New Roman" w:cs="Times New Roman" w:eastAsia="Times New Roman" w:hAnsi="Times New Roman"/>
          <w:sz w:val="18"/>
          <w:szCs w:val="18"/>
          <w:color w:val="auto"/>
        </w:rPr>
      </w:pPr>
    </w:p>
    <w:p>
      <w:pPr>
        <w:ind w:left="1020" w:hanging="503"/>
        <w:spacing w:after="0" w:line="24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2024, our annual net dollar-based retention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114%.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37"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As of September 30, 2025, we serve over 4,900 clients around the world, excluding clients acquired from the Sertifi and Invoiced acquisitions. In education, we serve more than 3,100 institutions. In healthcare, we power more than 100 healthcare systems, including four of the top 10 healthcare systems in the United States ranked by hospital size as of December 31, 2024. In our travel and B2B verticals, we have a growing portfolio of approximately 1,500 clients as of September 30, 2025.</w:t>
      </w:r>
    </w:p>
    <w:p>
      <w:pPr>
        <w:spacing w:after="0" w:line="133"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 achieve significant scale. We enabled approximately $29.7 billion, $28.2 billion, and $22.8 billion in total payment volume during the year ended December 31, 2024 and nine months ended September 30, 2025 and 2024, respectively. We generated revenue of $492.1 million and $403.1 million for the years ended December 31, 2024 and</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8" w:name="page39"/>
    <w:bookmarkEnd w:id="38"/>
    <w:p>
      <w:pPr>
        <w:ind w:right="200"/>
        <w:spacing w:after="0" w:line="253" w:lineRule="auto"/>
        <w:rPr>
          <w:sz w:val="20"/>
          <w:szCs w:val="20"/>
          <w:color w:val="auto"/>
        </w:rPr>
      </w:pPr>
      <w:r>
        <w:rPr>
          <w:rFonts w:ascii="Arial" w:cs="Arial" w:eastAsia="Arial" w:hAnsi="Arial"/>
          <w:sz w:val="18"/>
          <w:szCs w:val="18"/>
          <w:color w:val="auto"/>
        </w:rPr>
        <w:t>2023, respectively, and had net income of $2.9 million and net loss of $8.6 million, respectively, for the same years. We generated revenue of $465.5 million and $374.6 million for the nine months ended September 30, 2025 and 2024, respectively, and had net income of $13.5 million and $18.8 million, respectively, for the same periods.</w:t>
      </w:r>
    </w:p>
    <w:p>
      <w:pPr>
        <w:spacing w:after="0" w:line="14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believe that the growth of our business and our operating results will be dependent upon many factors, including our ability to add new clients, expand the usage of our solutions by our existing clients and their customers, integrate the businesses and technology platforms that we acquire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3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While we have experienced significant growth and increased demand for our solutions over recent periods, we may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IT and financial infrastructure, our operating and administrative systems and controls, and our ability to manage headcount, capital, and processes in an efficient manner. Additionally, we face intense competition in our markets,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fluctuations in exchange rates. If we are unable to successfully address these challenges, our business, operating results, and prospects could be adversely affected.</w:t>
      </w:r>
    </w:p>
    <w:p>
      <w:pPr>
        <w:spacing w:after="0" w:line="145"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We had approximately 1,382 full-time FlyMates as of September 30, 2025, compared to approximately 1,314 full-time FlyMates as of September 30, 2024, an increase of 5.2%.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185"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In February 2025, we entered into a Purchase and Sale Agreement (the Agreement) to acquire the business of Sertifi LLC (Sertifi) for upfront cash consideration of $330.0 million, subject to certain post-closing adjustments set forth in the Agreement, and contingent consideration of up to $10.0 million upon the completion or satisfaction of certain technical and commercial milestones by Sertifi. Sertifi is a vertical software and payments platform digitizing hospitality-specific workflows and associated payments. We paid the upfront cash consideration through a combination of cash on hand and borrowings from our existing 2024 Revolving Credit Facility. The acquisition of Sertifi was intended to accelerate the Company’s travel business and expand its offerings to support over 20,000 hotel locations globally. Sertifi contributed $7.8 million and $18.4 million in platform revenue during the three and nine months ended September 30, 2025, respectively, and $5.1 million and $11.5 million in transactional revenue during the three and nine months ended September 30, 2025, respectively.</w:t>
      </w:r>
    </w:p>
    <w:p>
      <w:pPr>
        <w:spacing w:after="0" w:line="143"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In August 2024, we acquired all of the issued and outstanding shares of Invoiced for an estimated total aggregate purchase price of approximately $51.7 million, consisting of approximately $47.2 million in cash consideration, net of cash acquired and up to $7.5 million of contingent consideration. The contingent consideration represents additional payments that we may be required to make in the future dependent on the successful achievement of revenue, cross-selling, product and security and IT milestones. Invoiced is a U.S.-based SaaS B2B company that provides accounts receivable software that automates all aspects of billing, collections, payments, reporting and forecasting within a single online platform. The acquisition of Invoiced was intended to accelerate our global expansion in our B2B vertical.</w:t>
      </w:r>
    </w:p>
    <w:p>
      <w:pPr>
        <w:spacing w:after="0" w:line="138"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10 - Business Combinations</w:t>
      </w:r>
      <w:r>
        <w:rPr>
          <w:rFonts w:ascii="Arial" w:cs="Arial" w:eastAsia="Arial" w:hAnsi="Arial"/>
          <w:sz w:val="18"/>
          <w:szCs w:val="18"/>
          <w:color w:val="auto"/>
        </w:rPr>
        <w:t xml:space="preserve"> to our unaudited condensed consolidated financial statements appearing elsewhere in this Quarterly Report on Form 10-Q for additional details related to these acquisitions.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85"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In February 2025, we announced a restructuring plan that was designed to improve operational efficiencies, reduce operating costs and better align our workforce with current business needs, top strategic priorities, and key growth opportunities (collectively, the Restructuring Plan). In connection with the Restructuring Plan, we incurred restructuring and restructuring-related charges of $8.7 million during the nine months ended September 30, 2025, recorded within restructuring expenses on the condensed consolidated statements of operations and comprehensive income. Restructuring costs during the nine months ended September 30, 2025, primarily consists of cash expenditures for severance payments and related expenses of $6.3 million and non-cash expenditures related to acceleration of vesting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9" w:name="page40"/>
    <w:bookmarkEnd w:id="39"/>
    <w:p>
      <w:pPr>
        <w:ind w:right="280"/>
        <w:spacing w:after="0" w:line="253" w:lineRule="auto"/>
        <w:rPr>
          <w:sz w:val="20"/>
          <w:szCs w:val="20"/>
          <w:color w:val="auto"/>
        </w:rPr>
      </w:pPr>
      <w:r>
        <w:rPr>
          <w:rFonts w:ascii="Arial" w:cs="Arial" w:eastAsia="Arial" w:hAnsi="Arial"/>
          <w:sz w:val="18"/>
          <w:szCs w:val="18"/>
          <w:color w:val="auto"/>
        </w:rPr>
        <w:t>share-based awards of $2.4 million. As of September 30, 2025, the accrued restructuring liability was $0.7 million, which is included within accrued expenses and other current liabilities in the condensed consolidated balance sheets. Total costs incurred in connection with the Restructuring Plan were complete as of June 30,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from platform and other fees as described below.</w:t>
      </w:r>
    </w:p>
    <w:p>
      <w:pPr>
        <w:spacing w:after="0" w:line="171"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includes fees earned from payment processing services provided to our clients, which is comprised of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and cross-border transactions. The fee is generally earned on each transaction through a rate applied to the total payment value of the transaction, which can vary based on the payment method, currency pairs being converted and the geographic region in which our clients and their customers reside. Payment processing services also include fixed fees per transaction, which generally relate to domestic payments processed. It also includes marketing fees from credit card service providers for marketing arrangements in which we perform certain marketing activities to increase the awareness of the credit card provider and promote certain methods of payments, which we consider to be ancillary to the payment processing solutions we provide to our clients.</w:t>
      </w:r>
    </w:p>
    <w:p>
      <w:pPr>
        <w:spacing w:after="0" w:line="14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i w:val="1"/>
          <w:iCs w:val="1"/>
          <w:color w:val="auto"/>
        </w:rPr>
        <w:t xml:space="preserve">Platform and other revenues </w:t>
      </w:r>
      <w:r>
        <w:rPr>
          <w:rFonts w:ascii="Arial" w:cs="Arial" w:eastAsia="Arial" w:hAnsi="Arial"/>
          <w:sz w:val="18"/>
          <w:szCs w:val="18"/>
          <w:color w:val="auto"/>
        </w:rPr>
        <w:t>primarily include (i) fees earned for the utilization of our platforms to optimize cash collections and student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processing, which include revenue earned from software subscription fees and usage based fees, (ii) fees for the establishment of payment plans on our payment platform, (iii) fees related to printing, mailing, and other services which we consider to be ancillary to the solutions we provide to our clients, (iv) commissions from insurance providers when an end-user purchases an insurance policy, and (v) revenue from interest earned on funds held for customers in interest-bearing accounts. Platform and other revenues has been referred to as platform and usage based fee revenue in prior filings.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169"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platforms in a given period.</w:t>
      </w:r>
    </w:p>
    <w:p>
      <w:pPr>
        <w:spacing w:after="0" w:line="136" w:lineRule="exact"/>
        <w:rPr>
          <w:sz w:val="20"/>
          <w:szCs w:val="20"/>
          <w:color w:val="auto"/>
        </w:rPr>
      </w:pPr>
    </w:p>
    <w:p>
      <w:pPr>
        <w:jc w:val="both"/>
        <w:ind w:right="220" w:firstLine="509"/>
        <w:spacing w:after="0" w:line="253" w:lineRule="auto"/>
        <w:rPr>
          <w:sz w:val="20"/>
          <w:szCs w:val="20"/>
          <w:color w:val="auto"/>
        </w:rPr>
      </w:pPr>
      <w:r>
        <w:rPr>
          <w:rFonts w:ascii="Arial" w:cs="Arial" w:eastAsia="Arial" w:hAnsi="Arial"/>
          <w:sz w:val="18"/>
          <w:szCs w:val="18"/>
          <w:color w:val="auto"/>
        </w:rPr>
        <w:t>Total payment volume is comprised of transaction payment volume and platform and other revenues payment volume. The following tables set forth the increase in our total payment volume, and the payment volume mix between transaction payment volume and platform and other revenues payment volume.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Transaction payment volume</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11,484.6</w:t>
            </w:r>
          </w:p>
        </w:tc>
        <w:tc>
          <w:tcPr>
            <w:tcW w:w="48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8,776.1</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2,708.5</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Platform and other revenues payment volume</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2,431.6</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2,234.7</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payment volume</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13,916.2</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11,010.8</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2,905.4</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-25400</wp:posOffset>
            </wp:positionV>
            <wp:extent cx="768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768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2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September 30,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Transaction payment volume</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22,897.8</w:t>
            </w:r>
          </w:p>
        </w:tc>
        <w:tc>
          <w:tcPr>
            <w:tcW w:w="48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17,688.6</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5,209.2</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Platform and other revenues payment volume</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5,320.9</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5,139.6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payment volume</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28,218.7</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22,828.2</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5,390.5</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768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69" w:lineRule="exact"/>
        <w:rPr>
          <w:sz w:val="20"/>
          <w:szCs w:val="20"/>
          <w:color w:val="auto"/>
        </w:rPr>
      </w:pPr>
    </w:p>
    <w:p>
      <w:pPr>
        <w:jc w:val="both"/>
        <w:ind w:right="360" w:firstLine="509"/>
        <w:spacing w:after="0" w:line="247"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0" w:name="page41"/>
    <w:bookmarkEnd w:id="40"/>
    <w:p>
      <w:pPr>
        <w:ind w:right="100"/>
        <w:spacing w:after="0" w:line="271" w:lineRule="auto"/>
        <w:rPr>
          <w:sz w:val="20"/>
          <w:szCs w:val="20"/>
          <w:color w:val="auto"/>
        </w:rPr>
      </w:pPr>
      <w:r>
        <w:rPr>
          <w:rFonts w:ascii="Arial" w:cs="Arial" w:eastAsia="Arial" w:hAnsi="Arial"/>
          <w:sz w:val="18"/>
          <w:szCs w:val="18"/>
          <w:color w:val="auto"/>
        </w:rPr>
        <w:t>platform also increases our revenue. Our ability to influence clients to process more transactions on our platform will have a direct impact on our revenue.</w:t>
      </w:r>
    </w:p>
    <w:p>
      <w:pPr>
        <w:spacing w:after="0" w:line="127"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6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compared to domestic payments, which may increase or decrease depending on the industry in which our clients operate. In addition, the mix of payment methods utilized by our clients’ customers may have an impact on our margins given that our costs associated with certain payment methods, such as credit cards, are higher than other payment methods accepted by our solutions, such as bank transfers. During the nine months ended September 30, 2025, our business mix continued to exert downward pressure on our margins, driven by growing share of domestic transactions and credit card usage in travel and B2B, partially offset by ongoing optimization of payment costs. We may experience shifts in the type of revenue we earn (transaction revenue or platform and other revenues) depending on the nature of the activity of our clients and our clients’ customers on our platform.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16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At the same time, we are optimizing our systems and tools, consolidating our vendor footprint and automating processes. While we expect our expenses related to technology and development to increase, we believe these investments will contribute to long-term growth and profitability.</w:t>
      </w:r>
    </w:p>
    <w:p>
      <w:pPr>
        <w:spacing w:after="0" w:line="136"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and vertical. For instance, our revenue has historically been largest in the third quarter driven by our education peak season. Some variability results from seasonal events including the timing of when our education clients’ customers make their tuition payments on our payment platform and the number of business days in a month or quarter. For example, due to the overlap of China’s National Day and Mid-Autumn Festival in early October 2025, certain payments from our client’s Chinese customers that would typically be settled in the fourth quarter were accelerated into the third quarter prior to the start of the holidays. As a result, revenue that would ordinarily be recognized in the fourth quarter was instead recognized in the third quarter, distorting period-over-period comparisons and contributing to elevated third-quarter results. Management does not expect this temporary shift in payment timing to have a material effect on overall annual results, but it may impact comparisons between affected quarters. We also experience volatility in certain other metrics, such as transactions processed, total payment volume and payment mix.</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83"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inflation or fluctuations in foreign exchange rates, could affect the amounts of volumes processed on our platform, thus resulting in fluctuations to our revenue streams.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Impacts Resulting From Government Changes to International Student and H-1B Visa Policies</w:t>
      </w:r>
    </w:p>
    <w:p>
      <w:pPr>
        <w:spacing w:after="0" w:line="183"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Revenue from our education clients, which primarily includes clients in the United States, Canada, U.K., Europe, and Asia Pacific/Australia, is affected by several factors, including policies enacted by government organizations around the world that cap the issuance of international student visas. In January 2024, the Canadian government announced what at 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When first instituted by the IRCC, the cap initially excluded students enrolled in master’s and PhD programs, but the IRCC more recently included master’s and doctoral students within the cap. Additionally, in November 2024, Canada ended its Student Direct Stream (SDS) program for expedited international student visa processing, and international students applying to study in Canada no longer need to prepay tuition to apply for a study permit. These limitations have resulted in a corresponding reduction in payment flows, which had an adverse effect on our business in the nine months ended September 30, 2025 and which we anticipate will continue to impact our Canada revenues and revenue growth in 2025.</w:t>
      </w:r>
    </w:p>
    <w:p>
      <w:pPr>
        <w:spacing w:after="0" w:line="14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Similarly, since late 2023, the Australian government has taken similar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In August 2025, the Australian government announced the setting of a national planning level to apply a ceiling of 295,000 international students for 2026. These new Australian government policies, including university quotas, slower visa processing, higher fees, and stricter financial and language requirements, has had an adverse impact on our business in the nine months ended September 30, 2025 and we anticipate will continue to impact our Australian revenues in 2025.</w:t>
      </w:r>
    </w:p>
    <w:p>
      <w:pPr>
        <w:spacing w:after="0" w:line="14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Other governments where our client institutions are located, including in the U.S., may introduce measures from time to time to manage the growth of the international student population in their respective countries, which may have adverse effects on our business. For example, the U.S. government’s recent announcement to impose a $100,000 filing fee per new H-1B visa could adversely impact demand for international students to attend our client institutions in the U.S. Our U.S. market saw slower growth in the nine months ended September 30, 2025 due to shifting visa trends. In addition, in 2025 U.S. policy shifts have prompted dramatic action to rescind student visas (including deportation of students), plan additional cutbacks to the volume of international student visa issuances and more closely scrutinize applications for international student visas, and to cut government support for higher education, adding to uncertainty around the number of students coming to the U.S. to study in the near future. Delays in issuances of visas or visa denials – which could be exacerbated by the recent U.S. government shutdown – may discourage prospective international students from choosing U.S. institutions as places for study. Recent proposals in Congress to tighten visa stay rules and to implement the “OPT Fair Tax Act” could further dampen demand among international students to study in the U.S.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 We expect these changes to U.S. immigration policy and heightened trade tensions from the threat or imposition of tariffs will continue to dampen demands for international study and adversely impact our revenue growth in the U.S. in 2025.</w:t>
      </w:r>
    </w:p>
    <w:p>
      <w:pPr>
        <w:spacing w:after="0" w:line="161" w:lineRule="exact"/>
        <w:rPr>
          <w:sz w:val="20"/>
          <w:szCs w:val="20"/>
          <w:color w:val="auto"/>
        </w:rPr>
      </w:pPr>
    </w:p>
    <w:p>
      <w:pPr>
        <w:ind w:right="20" w:firstLine="374"/>
        <w:spacing w:after="0" w:line="244" w:lineRule="auto"/>
        <w:rPr>
          <w:sz w:val="20"/>
          <w:szCs w:val="20"/>
          <w:color w:val="auto"/>
        </w:rPr>
      </w:pPr>
      <w:r>
        <w:rPr>
          <w:rFonts w:ascii="Arial" w:cs="Arial" w:eastAsia="Arial" w:hAnsi="Arial"/>
          <w:sz w:val="18"/>
          <w:szCs w:val="18"/>
          <w:color w:val="auto"/>
        </w:rPr>
        <w:t>After a period during which interviews and applications for student visas to study in the U.S. were temporarily suspended, in June 2025 the U.S. Department of State (DOS) resumed scheduling visa interview appointments for international students and exchange visitors while it considered new social media vetting measures. New student and exchange visitor visa policies, including the temporary pause and expanded vetting, could impact the amount of international students successfully enrolling as students in the U.S., which may adversely affect our revenue and results of operations. Some of these expected impacts include:</w:t>
      </w:r>
    </w:p>
    <w:p>
      <w:pPr>
        <w:spacing w:after="0" w:line="68" w:lineRule="exact"/>
        <w:rPr>
          <w:sz w:val="20"/>
          <w:szCs w:val="20"/>
          <w:color w:val="auto"/>
        </w:rPr>
      </w:pPr>
    </w:p>
    <w:p>
      <w:pPr>
        <w:ind w:left="5520" w:right="1600" w:hanging="5003"/>
        <w:spacing w:after="0" w:line="286" w:lineRule="auto"/>
        <w:tabs>
          <w:tab w:leader="none" w:pos="1022"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Requests for deferred admissions, increased student inquiries/concerns, and delays in expected enrollment;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8" w:right="359" w:bottom="1440" w:gutter="0" w:footer="0" w:header="0"/>
        </w:sectPr>
      </w:pPr>
    </w:p>
    <w:bookmarkStart w:id="42" w:name="page43"/>
    <w:bookmarkEnd w:id="42"/>
    <w:p>
      <w:pPr>
        <w:ind w:left="1020" w:right="8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Visa appointment cancellations, unavailability or delays in scheduling interviews as well as higher visa rejection rates - especially as to potential students from the countries that send the most students to the United States; and</w:t>
      </w:r>
    </w:p>
    <w:p>
      <w:pPr>
        <w:spacing w:after="0" w:line="46" w:lineRule="exact"/>
        <w:rPr>
          <w:rFonts w:ascii="Times New Roman" w:cs="Times New Roman" w:eastAsia="Times New Roman" w:hAnsi="Times New Roman"/>
          <w:sz w:val="18"/>
          <w:szCs w:val="18"/>
          <w:color w:val="auto"/>
        </w:rPr>
      </w:pPr>
    </w:p>
    <w:p>
      <w:pPr>
        <w:ind w:left="1020" w:right="440" w:hanging="503"/>
        <w:spacing w:after="0" w:line="243"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Students pivoting away from study and research in the United States. According to some studies, the top five countries that international students and scholars have indicated they are turning to instead of the United States are: United Kingdom, Australia, Canada, China, and Germany. These European and Asian study destinations that are gaining in market share of student interest often carry lower tuition and related costs of living relative to the United States, which may result in lower volume of payments processed within our education vertical.</w:t>
      </w:r>
    </w:p>
    <w:p>
      <w:pPr>
        <w:spacing w:after="0" w:line="139" w:lineRule="exact"/>
        <w:rPr>
          <w:sz w:val="20"/>
          <w:szCs w:val="20"/>
          <w:color w:val="auto"/>
        </w:rPr>
      </w:pPr>
    </w:p>
    <w:p>
      <w:pPr>
        <w:ind w:right="200" w:firstLine="374"/>
        <w:spacing w:after="0"/>
        <w:rPr>
          <w:sz w:val="20"/>
          <w:szCs w:val="20"/>
          <w:color w:val="auto"/>
        </w:rPr>
      </w:pPr>
      <w:r>
        <w:rPr>
          <w:rFonts w:ascii="Arial" w:cs="Arial" w:eastAsia="Arial" w:hAnsi="Arial"/>
          <w:sz w:val="18"/>
          <w:szCs w:val="18"/>
          <w:color w:val="auto"/>
        </w:rPr>
        <w:t>The expanded social media screening process to be applied by the DOS to student visa applicants establishes that, of those students seeking expedited appointments, priority should be given to those attending universities with lower international enrollment (15% or less). This change potentially disadvantages those seeking to study at more internationally diverse institutions and marks a significant departure from previous DOS guidance that prioritized students based on the start of their academic studies. Administrative processing issues, a new requirement that applicants provide DOS access to social media accounts, and the resource-intensive nature of the new screening requirements is expected to create longer wait times and processing delays. All of these factors – and other related uncertainties that will surface as the new standards are implemented – can contribute to a decline in international enrollment in U.S. academic institutions, which could adversely affect our business.</w:t>
      </w:r>
    </w:p>
    <w:p>
      <w:pPr>
        <w:spacing w:after="0" w:line="15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There is still a degree of uncertainty in terms of the impact the changes to international student visa policy and international trade policies will have on our U.S., Canadian and Australian education markets. We continue to see growth in new customers in our U.S., Canada and Australia education markets, providing a lever to offset some of the expected decline in new incoming international student growth resulting from these government changes to international student visa policies and international trade policies. We believe our business continues to remain strong amid these visa-related policy shifts, benefiting from our increasingly global and diversified footprint across verticals, sub-sectors, countries, currencies and clients.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H-1B Visa Fee Requirement</w:t>
      </w:r>
    </w:p>
    <w:p>
      <w:pPr>
        <w:spacing w:after="0" w:line="21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 xml:space="preserve">See discussion above under </w:t>
      </w:r>
      <w:r>
        <w:rPr>
          <w:rFonts w:ascii="Arial" w:cs="Arial" w:eastAsia="Arial" w:hAnsi="Arial"/>
          <w:sz w:val="18"/>
          <w:szCs w:val="18"/>
          <w:i w:val="1"/>
          <w:iCs w:val="1"/>
          <w:color w:val="auto"/>
        </w:rPr>
        <w:t>Impacts Resulting From Government Changes to International Student and H-1B Visa Policies</w:t>
      </w:r>
      <w:r>
        <w:rPr>
          <w:rFonts w:ascii="Arial" w:cs="Arial" w:eastAsia="Arial" w:hAnsi="Arial"/>
          <w:sz w:val="18"/>
          <w:szCs w:val="18"/>
          <w:color w:val="auto"/>
        </w:rPr>
        <w:t xml:space="preserve"> regarding the U.S. government's announced plans to require employers to pay a $100,000 filing fee per H-1B visa petition to bring new H-1B workers into the U.S. This new requirement materially increases the cost of employing new foreign nationals in the U.S. The fee is not expected to apply to petitions filed before the effective date or to renewals. Flywire currently employs a number of specialized personnel under H-1B visas — primarily software engineers and product managers — whose skills are essential to maintaining and expanding our global payments platform.</w:t>
      </w:r>
    </w:p>
    <w:p>
      <w:pPr>
        <w:spacing w:after="0" w:line="138" w:lineRule="exact"/>
        <w:rPr>
          <w:sz w:val="20"/>
          <w:szCs w:val="20"/>
          <w:color w:val="auto"/>
        </w:rPr>
      </w:pPr>
    </w:p>
    <w:p>
      <w:pPr>
        <w:jc w:val="both"/>
        <w:ind w:right="80" w:firstLine="509"/>
        <w:spacing w:after="0" w:line="253" w:lineRule="auto"/>
        <w:rPr>
          <w:sz w:val="20"/>
          <w:szCs w:val="20"/>
          <w:color w:val="auto"/>
        </w:rPr>
      </w:pPr>
      <w:r>
        <w:rPr>
          <w:rFonts w:ascii="Arial" w:cs="Arial" w:eastAsia="Arial" w:hAnsi="Arial"/>
          <w:sz w:val="18"/>
          <w:szCs w:val="18"/>
          <w:color w:val="auto"/>
        </w:rPr>
        <w:t>The new regulation could potentially increase our annual personnel costs as existing H-1B holders become eligible for renewal and as we recruit new employees in technical and operational roles. While the overall financial impact is not yet determinable, the incremental costs could be significant if the rule remains in effect or expands to other visa categories.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To mitigate these potential cost increases, we are evaluating a combination of strategies, including:</w:t>
      </w:r>
    </w:p>
    <w:p>
      <w:pPr>
        <w:spacing w:after="0" w:line="21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Reallocating hiring and development activities to lower-cost jurisdictions where we already operate;</w:t>
      </w:r>
    </w:p>
    <w:p>
      <w:pPr>
        <w:spacing w:after="0" w:line="116" w:lineRule="exact"/>
        <w:rPr>
          <w:rFonts w:ascii="Times New Roman" w:cs="Times New Roman" w:eastAsia="Times New Roman" w:hAnsi="Times New Roman"/>
          <w:sz w:val="18"/>
          <w:szCs w:val="18"/>
          <w:color w:val="auto"/>
        </w:rPr>
      </w:pPr>
    </w:p>
    <w:p>
      <w:pPr>
        <w:ind w:left="1020" w:right="28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Investing in automation, AI-based solutions and process efficiency to reduce reliance on incremental headcount growth in the U.S.; and</w:t>
      </w:r>
    </w:p>
    <w:p>
      <w:pPr>
        <w:spacing w:after="0" w:line="4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Enhancing our domestic talent pipeline through university partnerships, internships, and remote-work arrangements to expand access to U.S.-based workers not requiring sponsorship.</w:t>
      </w:r>
    </w:p>
    <w:p>
      <w:pPr>
        <w:spacing w:after="0" w:line="11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are also engaging through industry associations to monitor legal challenges and regulatory developments related to this rule and to advocate for more balanced immigration policies that support innovation and growth in the U.S. technology and fintech sectors.</w:t>
      </w:r>
    </w:p>
    <w:p>
      <w:pPr>
        <w:spacing w:after="0" w:line="113"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Although these mitigation efforts may partially offset the impact, increased visa-related costs or restrictions could reduce our flexibility in hiring and allocating talent, increase our operating expenses, and slow the pace of product innovation - all of which could adversely affect our financial condition and results of operations.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Impacts Resulting From U.S. Government Policy Towards Higher Education</w:t>
      </w:r>
    </w:p>
    <w:p>
      <w:pPr>
        <w:spacing w:after="0" w:line="1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the U.S., the recently enacted “One Big Beautiful Bill” contains a number of provisions with the potential to significantly change the landscape for financing undergraduate and graduate study and which could adversely affect the demand for higher education in the U.S. The One Big Beautiful Bill limits Pell Grant awards (which provide gift aid to low-income students), eliminates the Grad PLUS program, and sets new limits for graduate and professional students for Direct Unsubsidized Loans. The new bill also caps parent loans to finance undergraduate education, and changes student loan repayment options, among other modifications. Although most of these changes will not go into effect until July 1, 2026, so U.S. students entering or returning to college in the fall of 2025 were unaffected, the longer-term impacts of the bill may impact U.S. student enrollment in undergraduate and postgraduate programs and could materially and adversely affect our revenue and results of operations.</w:t>
      </w:r>
    </w:p>
    <w:p>
      <w:pPr>
        <w:spacing w:after="0" w:line="140"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In addition, in October 2025 the current administration introduced a proposed policy initiative known as the “Compact for Academic Excellence in Higher Education”, which would condition certain federal funding and grant eligibility for U.S. universities on compliance with a new set of policy standards. These standards reportedly include tuition caps, modifications to international student enrollment, changes to admissions criteria, and governance-related certifications. While the proposal remains under review and subject to public comment, its adoption - whether in its current or modified form - could materially affect the operating environment for higher-education institutions in the United States.</w:t>
      </w:r>
    </w:p>
    <w:p>
      <w:pPr>
        <w:spacing w:after="0" w:line="138"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Many of our U.S. universities and colleges rely on federal funding for research, student aid, and institutional support. If the proposed compact is implemented, universities may adjust enrollment levels, particularly of international students, or redirect administrative resources to compliance efforts. Such developments could reduce cross-border tuition payment volumes, delay new client implementations, or lead institutions to reevaluate third-party vendor relationships. These effects could, in turn, moderate revenue growth and increase client concentration risk within our education vertical.</w:t>
      </w:r>
    </w:p>
    <w:p>
      <w:pPr>
        <w:spacing w:after="0" w:line="149"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At this stage, the potential financial impact of the compact cannot be quantified, as the proposal has not yet been finalized or enacted. Management continues to monitor the policy’s development and is engaging with industry associations and higher-education partners to assess potential outcomes. To mitigate exposure, Flywire is taking several proactive steps, including:</w:t>
      </w:r>
    </w:p>
    <w:p>
      <w:pPr>
        <w:spacing w:after="0" w:line="12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Diversifying our education client base internationally to reduce reliance on U.S. higher-education volumes;</w:t>
      </w:r>
    </w:p>
    <w:p>
      <w:pPr>
        <w:spacing w:after="0" w:line="116"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Expanding into adjacent services (e.g., housing payments, student refunds, and education-related B2B flows) to offset potential domestic revenue headwinds;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flexibility in pricing and support structures to accommodate clients undergoing funding or enrollment adjustments.</w:t>
      </w:r>
    </w:p>
    <w:p>
      <w:pPr>
        <w:spacing w:after="0" w:line="184"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While the proposed compact may not be implemented in its current form and was rejected in its initial form by most of the approached universities, uncertainty surrounding federal higher-education policy in the U.S. may influence the timing of new client contracts and the pace of adoption of our technology platform.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69"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Inflation did not have a material effect on our cash flows and results of operations during the three and nine months ended September 30, 2025.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183"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We have a wide range of clients across our education, healthcare, travel and B2B verticals. Volumes and revenue from clients in education, our largest vertical, rely on international enrollments and student school preferences, which can fluctuate over time.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69"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We initiated a series of refinements to our technology and personalization engine to optimize our clients’ ability to offer payment plans and communicate effectively and digitally with their customers.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8" w:right="359" w:bottom="1440" w:gutter="0" w:footer="0" w:header="0"/>
        </w:sectPr>
      </w:pPr>
    </w:p>
    <w:bookmarkStart w:id="44" w:name="page45"/>
    <w:bookmarkEnd w:id="44"/>
    <w:p>
      <w:pPr>
        <w:ind w:right="140"/>
        <w:spacing w:after="0" w:line="446" w:lineRule="auto"/>
        <w:rPr>
          <w:sz w:val="20"/>
          <w:szCs w:val="20"/>
          <w:color w:val="auto"/>
        </w:rPr>
      </w:pPr>
      <w:r>
        <w:rPr>
          <w:rFonts w:ascii="Arial" w:cs="Arial" w:eastAsia="Arial" w:hAnsi="Arial"/>
          <w:sz w:val="18"/>
          <w:szCs w:val="18"/>
          <w:color w:val="auto"/>
        </w:rPr>
        <w:t xml:space="preserve">increase payment affordability has become more critical to our clients as the lack of affordability drives the need for more financial flexibility. </w:t>
      </w:r>
      <w:r>
        <w:rPr>
          <w:rFonts w:ascii="Arial" w:cs="Arial" w:eastAsia="Arial" w:hAnsi="Arial"/>
          <w:sz w:val="18"/>
          <w:szCs w:val="18"/>
          <w:b w:val="1"/>
          <w:bCs w:val="1"/>
          <w:i w:val="1"/>
          <w:iCs w:val="1"/>
          <w:color w:val="auto"/>
        </w:rPr>
        <w:t>Business Continuity</w:t>
      </w:r>
    </w:p>
    <w:p>
      <w:pPr>
        <w:ind w:firstLine="509"/>
        <w:spacing w:after="0" w:line="236" w:lineRule="auto"/>
        <w:rPr>
          <w:sz w:val="20"/>
          <w:szCs w:val="20"/>
          <w:color w:val="auto"/>
        </w:rPr>
      </w:pPr>
      <w:r>
        <w:rPr>
          <w:rFonts w:ascii="Arial" w:cs="Arial" w:eastAsia="Arial" w:hAnsi="Arial"/>
          <w:sz w:val="18"/>
          <w:szCs w:val="18"/>
          <w:color w:val="auto"/>
        </w:rPr>
        <w:t>We have a history of operating losses and while we have experienced significant revenue growth in recent years and achieved profitability on a GAAP basis in the year ended December 31, 2024,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strategically invest in headcount and technologies and systems to improve operating efficiencies, to further develop and enhance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We are addressing operating losses by making continued improvements designed to create operating efficiencies and a focus on cost discipline, including investing in automation and product development to further enhance our offerings with a focus on scale and productivity across all areas. Beginning in the first quarter of 2025 and continuing into the second quarter of 2025, we implemented a restructuring plan designed to improve operational efficiencies, reduce operating costs and better align the Company’s workforce with current business needs, top strategic priorities and key growth opportunities. We believe these improvements, our strong product portfolio, client retention and established product market fit along with strong gross margins and cash flows from operations will help us achieve our goal of maintaining positive annual GAAP net income in the future. While we expect that our clients’ business and our business will continue to be adversely impacted, directly or indirectly, by the ongoing macroeconomic and geopolitical issues, as of the date of this report. However, the extent of the ongoing impact of these macroeconomic events on our and our clients’ business, our markets and on global economic activity however, is uncertain and the related financial impact cannot be reasonably estimated with any certainty at this time.</w:t>
      </w:r>
    </w:p>
    <w:p>
      <w:pPr>
        <w:spacing w:after="0" w:line="153" w:lineRule="exact"/>
        <w:rPr>
          <w:sz w:val="20"/>
          <w:szCs w:val="20"/>
          <w:color w:val="auto"/>
        </w:rPr>
      </w:pPr>
    </w:p>
    <w:p>
      <w:pPr>
        <w:jc w:val="both"/>
        <w:ind w:right="200" w:firstLine="509"/>
        <w:spacing w:after="0" w:line="253" w:lineRule="auto"/>
        <w:rPr>
          <w:sz w:val="20"/>
          <w:szCs w:val="20"/>
          <w:color w:val="auto"/>
        </w:rPr>
      </w:pPr>
      <w:r>
        <w:rPr>
          <w:rFonts w:ascii="Arial" w:cs="Arial" w:eastAsia="Arial" w:hAnsi="Arial"/>
          <w:sz w:val="18"/>
          <w:szCs w:val="18"/>
          <w:color w:val="auto"/>
        </w:rPr>
        <w:t>If the recent cessation of hostilities involving Israel and Hamas is permanent, workforce planning for our Israeli FlyMates may again normalize after a period of active workforce planning to implement safety measures for FlyMates in Israel and support the business without interruption.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from platform and other fees as described under “Our Revenue Model”.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83"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69"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45" w:name="page46"/>
    <w:bookmarkEnd w:id="45"/>
    <w:p>
      <w:pPr>
        <w:ind w:right="60" w:firstLine="509"/>
        <w:spacing w:after="0" w:line="244"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69"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spacing w:after="0" w:line="111"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IT and other administrative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83"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In February 2025, we announced the Restructuring Plan that is designed to improve operational efficiencies, reduce operating costs and better align our workforce with current business needs, top strategic priorities and key growth opportunities. Restructuring expenses included restructuring and restructuring related expenses incurred as part of the Restructuring Plan announced in February 2025, related to employee transition, notice period, severance, employee benefits and facilitation costs.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February 23, 2024, we entered into an Amended and Restated Credit Agreement for a five-year senior secured revolving credit syndication loan (2024 Revolving Credit Facility) with four banks for a total commitment of $125.0 million. On August 1, 2025, we entered into an amendment (the 2025 Revolving Credit Facility Amendment) to the 2024 Revolving Credit Facility to increase the total commitments from $125.0 million to $300.0 million and make certain conforming and administrative changes. The 2024 Revolving Credit Facility, as amended by the 2025 Revolving Credit Facility Amendment, is hereinafter referred to as the 2024 Amended Revolving Credit Facility. Interest expense consists of interest, amortization of debt issuance costs and unused commitment fees on our 2024 Amended Revolving Credit Facility and 2021 Revolving Credit Facility.</w:t>
      </w:r>
    </w:p>
    <w:p>
      <w:pPr>
        <w:spacing w:after="0" w:line="158"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As of September 30, 2025 there was $15.0 million outstanding under the 2024 Amended Revolving Credit Facility. As of December 31, 2024 there was no outstanding indebtedness under the 2024 Revolving Credit Facility.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3" w:lineRule="exact"/>
        <w:rPr>
          <w:sz w:val="20"/>
          <w:szCs w:val="20"/>
          <w:color w:val="auto"/>
        </w:rPr>
      </w:pPr>
    </w:p>
    <w:p>
      <w:pPr>
        <w:ind w:right="940" w:firstLine="509"/>
        <w:spacing w:after="0" w:line="271" w:lineRule="auto"/>
        <w:rPr>
          <w:sz w:val="20"/>
          <w:szCs w:val="20"/>
          <w:color w:val="auto"/>
        </w:rPr>
      </w:pPr>
      <w:r>
        <w:rPr>
          <w:rFonts w:ascii="Arial" w:cs="Arial" w:eastAsia="Arial" w:hAnsi="Arial"/>
          <w:sz w:val="18"/>
          <w:szCs w:val="18"/>
          <w:color w:val="auto"/>
        </w:rPr>
        <w:t>Interest income consists of interest on cash held in interest bearing operating accounts, including money market funds, and investments in available-for-sale debt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from Remeasurement of Foreign Currency</w:t>
      </w:r>
    </w:p>
    <w:p>
      <w:pPr>
        <w:spacing w:after="0" w:line="169" w:lineRule="exact"/>
        <w:rPr>
          <w:sz w:val="20"/>
          <w:szCs w:val="20"/>
          <w:color w:val="auto"/>
        </w:rPr>
      </w:pPr>
    </w:p>
    <w:p>
      <w:pPr>
        <w:jc w:val="both"/>
        <w:ind w:right="640" w:firstLine="509"/>
        <w:spacing w:after="0" w:line="253" w:lineRule="auto"/>
        <w:rPr>
          <w:sz w:val="20"/>
          <w:szCs w:val="20"/>
          <w:color w:val="auto"/>
        </w:rPr>
      </w:pPr>
      <w:r>
        <w:rPr>
          <w:rFonts w:ascii="Arial" w:cs="Arial" w:eastAsia="Arial" w:hAnsi="Arial"/>
          <w:sz w:val="18"/>
          <w:szCs w:val="18"/>
          <w:color w:val="auto"/>
        </w:rPr>
        <w:t>(Loss) gains from remeasurement of foreign currency consists of gains and losses from the remeasurement of foreign currency transactions into its functional currency, partially offset by foreign currency exchange forward contracts to hedge our foreign currency exposure.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69"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Provision for (benefit from) income taxes consists primarily of foreign and state income taxes. We have historically generated net operating losses (NOL) carryforwards for U.S. federal and state tax purposes as we expand the scale of our business activities. Changes in the U.S. and foreign tax law may impact our overall provision for income taxes in the future.</w:t>
      </w:r>
    </w:p>
    <w:p>
      <w:pPr>
        <w:spacing w:after="0" w:line="128"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have a valuation allowance on our net U.S. deferred tax assets, including federal and state NOLs. We expect to maintain these valuation allowances until it becomes more likely than not that the benefit of our deferred tax assets is realized through future taxable income generated in these jurisdictions.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September 30, 2025 and 2024</w:t>
      </w:r>
    </w:p>
    <w:p>
      <w:pPr>
        <w:spacing w:after="0" w:line="169"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All dollar amounts in the tables below are rounded and as a result, certain amounts may not recalculate using the rounded amounts provided.</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Revenue</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200.1</w:t>
            </w: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156.8</w:t>
            </w:r>
          </w:p>
        </w:tc>
        <w:tc>
          <w:tcPr>
            <w:tcW w:w="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43.3</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Payment processing services costs</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Technology and development</w:t>
            </w: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Selling and marketing</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83"/>
        </w:trPr>
        <w:tc>
          <w:tcPr>
            <w:tcW w:w="4620" w:type="dxa"/>
            <w:vAlign w:val="bottom"/>
          </w:tcPr>
          <w:p>
            <w:pPr>
              <w:ind w:left="180"/>
              <w:spacing w:after="0" w:line="183" w:lineRule="exact"/>
              <w:rPr>
                <w:sz w:val="20"/>
                <w:szCs w:val="20"/>
                <w:color w:val="auto"/>
              </w:rPr>
            </w:pPr>
            <w:r>
              <w:rPr>
                <w:rFonts w:ascii="Arial" w:cs="Arial" w:eastAsia="Arial" w:hAnsi="Arial"/>
                <w:sz w:val="16"/>
                <w:szCs w:val="16"/>
                <w:color w:val="auto"/>
              </w:rPr>
              <w:t>Total costs and operating expenses</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167.9</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136.5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Income (loss) from operations</w:t>
            </w: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32.3</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20.3</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12.0</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(1100.0)%</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189"/>
        </w:trPr>
        <w:tc>
          <w:tcPr>
            <w:tcW w:w="462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(Loss) gain from remeasurement of foreign currency</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FF0FC"/>
            </w:tcBorders>
          </w:tcPr>
          <w:p>
            <w:pPr>
              <w:spacing w:after="0"/>
              <w:rPr>
                <w:sz w:val="16"/>
                <w:szCs w:val="16"/>
                <w:color w:val="auto"/>
              </w:rPr>
            </w:pPr>
          </w:p>
        </w:tc>
        <w:tc>
          <w:tcPr>
            <w:tcW w:w="380" w:type="dxa"/>
            <w:vAlign w:val="bottom"/>
            <w:tcBorders>
              <w:bottom w:val="single" w:sz="8" w:color="CFF0FC"/>
            </w:tcBorders>
          </w:tcPr>
          <w:p>
            <w:pPr>
              <w:spacing w:after="0"/>
              <w:rPr>
                <w:sz w:val="16"/>
                <w:szCs w:val="16"/>
                <w:color w:val="auto"/>
              </w:rPr>
            </w:pP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shd w:val="clear" w:color="auto" w:fill="CFF0FC"/>
          </w:tcPr>
          <w:p>
            <w:pPr>
              <w:ind w:left="180"/>
              <w:spacing w:after="0" w:line="183" w:lineRule="exact"/>
              <w:rPr>
                <w:sz w:val="20"/>
                <w:szCs w:val="20"/>
                <w:color w:val="auto"/>
              </w:rPr>
            </w:pPr>
            <w:r>
              <w:rPr>
                <w:rFonts w:ascii="Arial" w:cs="Arial" w:eastAsia="Arial" w:hAnsi="Arial"/>
                <w:sz w:val="16"/>
                <w:szCs w:val="16"/>
                <w:color w:val="auto"/>
              </w:rPr>
              <w:t>Total other (expense) income, net</w:t>
            </w:r>
          </w:p>
        </w:tc>
        <w:tc>
          <w:tcPr>
            <w:tcW w:w="16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w:t>
            </w:r>
          </w:p>
        </w:tc>
        <w:tc>
          <w:tcPr>
            <w:tcW w:w="1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10.3</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(11.4)</w:t>
            </w: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color w:val="auto"/>
              </w:rPr>
              <w:t>Income before income taxes</w:t>
            </w:r>
          </w:p>
        </w:tc>
        <w:tc>
          <w:tcPr>
            <w:tcW w:w="16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31.2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30.6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0.6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(benefit from) income taxes</w:t>
            </w:r>
          </w:p>
        </w:tc>
        <w:tc>
          <w:tcPr>
            <w:tcW w:w="16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b w:val="1"/>
                <w:bCs w:val="1"/>
                <w:color w:val="auto"/>
              </w:rPr>
              <w:t>Net income</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29.6</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38.9</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20" w:type="dxa"/>
            <w:vAlign w:val="bottom"/>
            <w:shd w:val="clear" w:color="auto" w:fill="CFF0FC"/>
          </w:tcPr>
          <w:p>
            <w:pPr>
              <w:ind w:left="100"/>
              <w:spacing w:after="0" w:line="170" w:lineRule="exact"/>
              <w:rPr>
                <w:sz w:val="20"/>
                <w:szCs w:val="20"/>
                <w:color w:val="auto"/>
              </w:rPr>
            </w:pPr>
            <w:r>
              <w:rPr>
                <w:rFonts w:ascii="Arial" w:cs="Arial" w:eastAsia="Arial" w:hAnsi="Arial"/>
                <w:sz w:val="16"/>
                <w:szCs w:val="16"/>
                <w:color w:val="auto"/>
              </w:rPr>
              <w:t>Foreign currency translation adjustment</w:t>
            </w: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4.9</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(6.8)</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175"/>
        </w:trPr>
        <w:tc>
          <w:tcPr>
            <w:tcW w:w="4620" w:type="dxa"/>
            <w:vAlign w:val="bottom"/>
          </w:tcPr>
          <w:p>
            <w:pPr>
              <w:ind w:left="100"/>
              <w:spacing w:after="0" w:line="175" w:lineRule="exact"/>
              <w:rPr>
                <w:sz w:val="20"/>
                <w:szCs w:val="20"/>
                <w:color w:val="auto"/>
              </w:rPr>
            </w:pPr>
            <w:r>
              <w:rPr>
                <w:rFonts w:ascii="Arial" w:cs="Arial" w:eastAsia="Arial" w:hAnsi="Arial"/>
                <w:sz w:val="16"/>
                <w:szCs w:val="16"/>
                <w:color w:val="auto"/>
              </w:rPr>
              <w:t>Unrealized gains (losses) on available-for-sale debt securities,</w:t>
            </w: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20"/>
        </w:trPr>
        <w:tc>
          <w:tcPr>
            <w:tcW w:w="4620" w:type="dxa"/>
            <w:vAlign w:val="bottom"/>
            <w:vMerge w:val="restart"/>
          </w:tcPr>
          <w:p>
            <w:pPr>
              <w:ind w:left="100"/>
              <w:spacing w:after="0"/>
              <w:rPr>
                <w:sz w:val="20"/>
                <w:szCs w:val="20"/>
                <w:color w:val="auto"/>
              </w:rPr>
            </w:pPr>
            <w:r>
              <w:rPr>
                <w:rFonts w:ascii="Arial" w:cs="Arial" w:eastAsia="Arial" w:hAnsi="Arial"/>
                <w:sz w:val="16"/>
                <w:szCs w:val="16"/>
                <w:color w:val="auto"/>
              </w:rPr>
              <w:t>net of taxes</w:t>
            </w:r>
          </w:p>
        </w:tc>
        <w:tc>
          <w:tcPr>
            <w:tcW w:w="1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620" w:type="dxa"/>
            <w:vAlign w:val="bottom"/>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Comprehensive income</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27.7</w:t>
            </w: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44.5</w:t>
            </w:r>
          </w:p>
        </w:tc>
        <w:tc>
          <w:tcPr>
            <w:tcW w:w="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(16.8)</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-1666240</wp:posOffset>
            </wp:positionV>
            <wp:extent cx="102870" cy="162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-1666240</wp:posOffset>
            </wp:positionV>
            <wp:extent cx="102870" cy="162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-1666240</wp:posOffset>
            </wp:positionV>
            <wp:extent cx="93980" cy="162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-1049020</wp:posOffset>
            </wp:positionV>
            <wp:extent cx="102870" cy="1625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-1049020</wp:posOffset>
            </wp:positionV>
            <wp:extent cx="102870" cy="162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-1049020</wp:posOffset>
            </wp:positionV>
            <wp:extent cx="93980" cy="162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-659130</wp:posOffset>
            </wp:positionV>
            <wp:extent cx="774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-659130</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-659130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774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774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774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774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Revenue</w:t>
      </w:r>
    </w:p>
    <w:p>
      <w:pPr>
        <w:spacing w:after="0" w:line="183"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Revenue was $200.1 million for the three months ended September 30, 2025, compared to $156.8 million for the same period of 2024, an increase of $43.3 million or 27.6%. Revenue is comprised of transaction revenue and platform and other revenues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Transaction revenue</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167.2</w:t>
            </w:r>
          </w:p>
        </w:tc>
        <w:tc>
          <w:tcPr>
            <w:tcW w:w="48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134.4</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32.7</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Platform and other revenues</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200.1</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156.8</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43.3</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-25400</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768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Transaction revenue was $167.2 million for the three months ended September 30, 2025, compared to $134.4 million for the three months ended September 30, 2024, an increase of $32.7 million or 24.4%. The increase in transaction revenue was primarily driven by growth in transaction payment volume inclusive of the Sertifi acquisition for the three months ended September 30, 2025 from both our existing clients and new clients added during the three months ended September 30, 2025 compared to three months ended September 30, 2024. Our transaction payment volume outpaced our revenue growth during the three months ended September 30, 2025, primarily due to the increase in domestic transactions that have a lower average monetization rate. We experienced growth in transaction payment volume across most regions and verticals during the period, excluding Canada, which decreased primarily due to Canada’s international student permit applications cap introduced earlier in 2024. Transaction payment volume increased approximately 30.9% during the three months ended September 30, 2025 to $11.5 billion compared to $8.8 billion during the three months ended September 30, 2024. Sertifi contributed $5.1 million in transactional revenue during the three months ended September 30, 2025.</w:t>
      </w:r>
    </w:p>
    <w:p>
      <w:pPr>
        <w:spacing w:after="0" w:line="153"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Platform and other revenues were $ 33.0 million for the three months ended September 30, 2025, compared to $22.4 million for the three months ended September 30, 2024, an increase of $10.6 million or 47.3%. The increase in platform and other revenues was driven by the Sertifi and Invoiced acquisitions and an increase in healthcare platform products. Sertifi contributed $7.8 million in platform and other revenues during the three months ended September 30, 2025.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6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Payment processing services costs were $ 72.3 million for the three months ended September 30, 2025, compared to $54.6 million for the three months ended September 30, 2024, an increase of $17.7 million or 32.4%. The increase in payment processing services costs is correlated with an increase in transaction payment volume of 30.9% over the same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6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Technology and development expenses were $17.7 million for the three months ended September 30, 2025, compared to $16.7 million for the three months ended September 30, 2024, an increase of $1.0 million or 6.0%. The increase in technology and development cost was primarily driven by increases in stock-based compensation expense, depreciation and amortization, and personnel costs. Stock-based compensation expense was $ 3.6 million for the three months ended September 30, 2025, compared to $3.1 million for the three months ended September 30, 2024, an increase of $0.4 million or 13.1%. The increase in stock-based compensation expense was attributable to equity grants awarded to existing and new FlyMates, including our new FlyMates from our recent acquisition of Sertifi. Depreciation and amortization were $1.7 million for the three months ended September 30, 2025, compared to $1.4 million for the three months ended September 30, 2024, an increase of $0.3 million or 24.6%. The increase in depreciation and amortization was primarily due to our software solutions. Personnel costs were $10.8 million for the three months ended September 30, 2025 compared to $10.6 million for the three months ended September 30, 2024, an increase of $0.3 million or 2.8%. The increase in personnel costs was primarily driven by higher headcount resulting from our recent acquisition of Sertifi.</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83"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Selling and marketing expenses were $41.9 million for the three months ended September 30, 2025, compared to $34.2 million for the three months ended September 30, 2024, an increase of $7.7 million or 22.5%. The increase in selling and marketing expenses was primarily driven by increases in professional fees, personnel costs, and depreciation and amortization expense. Professional fees were $9.5 million for the three months ended September 30, 2025, compared to $6.6 million for the three months ended September 30, 2024, an increase of $2.9 million or 43.6%. The increase in professional fees was primarily due to increases in third party commissions. Personnel costs were $18.2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48" w:name="page49"/>
    <w:bookmarkEnd w:id="48"/>
    <w:p>
      <w:pPr>
        <w:ind w:right="20"/>
        <w:spacing w:after="0" w:line="244" w:lineRule="auto"/>
        <w:rPr>
          <w:sz w:val="20"/>
          <w:szCs w:val="20"/>
          <w:color w:val="auto"/>
        </w:rPr>
      </w:pPr>
      <w:r>
        <w:rPr>
          <w:rFonts w:ascii="Arial" w:cs="Arial" w:eastAsia="Arial" w:hAnsi="Arial"/>
          <w:sz w:val="18"/>
          <w:szCs w:val="18"/>
          <w:color w:val="auto"/>
        </w:rPr>
        <w:t>million for the three months ended September 30, 2025, compared to $ 16.1 million for the three months ended September 30, 2024, an increase of $2.2 million or 13.6%. The increase in personnel costs was primarily driven by higher head count resulting from our recent acquisition of Sertifi. Depreciation and amortization was $4.3 million for the three months ended September 30, 2025, compared to $2.1 million for the three months ended September 30, 2024, an increase of $2.1 million or 102.0%. The increase in depreciation and amortization expense was primarily due to acquired intangible assets related to the Sertifi and Invoiced acquisitions.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General and administrative expenses were $36.0 million for the three months ended September 30, 2025, compared to $31.1 million for the three months ended September 30, 2024, an increase of $ 4.9 million or 15.8%. The increase in general and administrative expenses was primarily driven by increases in personnel costs, engineering tools, chargebacks, and hedging losses. Personnel costs were $13.4 million for the three months ended September 30, 2025, compared to $ 11.7 million for the three months ended September 30, 2024, an increase of $ 1.7 million or 14.8%. The increase in personnel costs was primarily driven by an increase in the 2025 annual bonus performance metrics expected payout and higher headcount from new FlyMates, including our new FlyMates from our recent acquisition of Sertifi. Engineering tools were $3.6 million for the three months ended September 30, 2025, compared to $2.4 million for the three months ended September 30, 2024, an increase of $ 1.2 million or 47.4%. The increase in engineering tools was primarily driven by increasing hosting fees. Chargebacks were $0.8 million for the three months ended September 30, 2025, compared to $0.2 million for the three months ended September 30, 2024, an increase of $0.6 million or 230.5%. Hedging losses were $1.0 million for the three months ended September 30, 2025, compared to $0.5 million for the three months ended September 30, 2024, an increase of $0.5 million or 111.2%. The increase in hedging losses were driven by foreign exchange rate movements.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3" w:lineRule="exact"/>
        <w:rPr>
          <w:sz w:val="20"/>
          <w:szCs w:val="20"/>
          <w:color w:val="auto"/>
        </w:rPr>
      </w:pPr>
    </w:p>
    <w:p>
      <w:pPr>
        <w:ind w:right="460" w:firstLine="509"/>
        <w:spacing w:after="0" w:line="247" w:lineRule="auto"/>
        <w:rPr>
          <w:sz w:val="20"/>
          <w:szCs w:val="20"/>
          <w:color w:val="auto"/>
        </w:rPr>
      </w:pPr>
      <w:r>
        <w:rPr>
          <w:rFonts w:ascii="Arial" w:cs="Arial" w:eastAsia="Arial" w:hAnsi="Arial"/>
          <w:sz w:val="18"/>
          <w:szCs w:val="18"/>
          <w:color w:val="auto"/>
        </w:rPr>
        <w:t>Interest expense was $1.2 million for the three months ended September 30, 2025, compared to $0.1 million for the three months ended September 30, 2024. As of September 30, 2025, there was $15.0 million outstanding indebtedness under the 2024 Amended Revolving Credit Facility. Interest expense consists primarily of interest expense, amortization of debt issuance costs, and unused commitment fees related to our 2024 Amended Revolving Credit Facility.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6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Interest income was $0.8 million for the three months ended September 30, 2025, compared to $5.0 million for the three months ended September 30, 2024, a decrease of $4.2 million or 84.0%. The decrease in interest income was primarily attributable to the decrease in our cash balance as a result of spending cash on the Share Repurchase Program and recent acquisitions.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from Remeasurement of Foreign Currency</w:t>
      </w:r>
    </w:p>
    <w:p>
      <w:pPr>
        <w:spacing w:after="0" w:line="169" w:lineRule="exact"/>
        <w:rPr>
          <w:sz w:val="20"/>
          <w:szCs w:val="20"/>
          <w:color w:val="auto"/>
        </w:rPr>
      </w:pPr>
    </w:p>
    <w:p>
      <w:pPr>
        <w:ind w:right="220" w:firstLine="509"/>
        <w:spacing w:after="0" w:line="245" w:lineRule="auto"/>
        <w:rPr>
          <w:sz w:val="20"/>
          <w:szCs w:val="20"/>
          <w:color w:val="auto"/>
        </w:rPr>
      </w:pPr>
      <w:r>
        <w:rPr>
          <w:rFonts w:ascii="Arial" w:cs="Arial" w:eastAsia="Arial" w:hAnsi="Arial"/>
          <w:sz w:val="18"/>
          <w:szCs w:val="18"/>
          <w:color w:val="auto"/>
        </w:rPr>
        <w:t>Loss from remeasurement of foreign currency was $ 0.6 million for the three months ended September 30, 2025, compared to a gain from remeasurement of foreign currency of $5.5 million for the three months ended September 30, 2024, a decrease of $6.1 million or</w:t>
      </w:r>
    </w:p>
    <w:p>
      <w:pPr>
        <w:ind w:right="340"/>
        <w:spacing w:after="0" w:line="250" w:lineRule="auto"/>
        <w:rPr>
          <w:sz w:val="20"/>
          <w:szCs w:val="20"/>
          <w:color w:val="auto"/>
        </w:rPr>
      </w:pPr>
      <w:r>
        <w:rPr>
          <w:rFonts w:ascii="Arial" w:cs="Arial" w:eastAsia="Arial" w:hAnsi="Arial"/>
          <w:sz w:val="18"/>
          <w:szCs w:val="18"/>
          <w:color w:val="auto"/>
        </w:rPr>
        <w:t>110.9%. The decrease was impacted by fluctuations in exchange rates during respective remeasurement periods including intercompany loans, which was partially offset by hedging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8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Provision for income taxes was $1.6 million during the three months ended September 30, 2025, compared to a benefit from income taxes of $8.3 million during the three months ended September 30, 2024, an increase of $9.9 million or 119.3%. The income tax provision for the three months ended September 30, 2025 was primarily attributable to activity in the Company's foreign subsidiaries and U.S. state taxes. The income tax benefit for the three months ended September 30, 2024, was primarily attributable to a non-recurring benefit of $4.9 million relating to the release of a portion of the valuation allowance in the U.S. Our effective tax rate was 5.0% for the three months ended September 30, 2025 compared to (27.3)% for the three months ended September 30, 2024.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nine months ended September 30, 2025 and 2024</w:t>
      </w:r>
    </w:p>
    <w:p>
      <w:pPr>
        <w:spacing w:after="0" w:line="169"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All dollar amounts in the tables below are rounded and as a result, certain amounts may not recalculate using the rounded amounts provided.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9" w:name="page50"/>
    <w:bookmarkEnd w:id="49"/>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2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September 30,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6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Revenue</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465.5</w:t>
            </w:r>
          </w:p>
        </w:tc>
        <w:tc>
          <w:tcPr>
            <w:tcW w:w="48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374.6</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90.9</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Payment processing services costs</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176.8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Technology and development</w:t>
            </w: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Selling and marketing</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116.9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Restructuring</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shd w:val="clear" w:color="auto" w:fill="CFF0FC"/>
          </w:tcPr>
          <w:p>
            <w:pPr>
              <w:ind w:left="180"/>
              <w:spacing w:after="0" w:line="183" w:lineRule="exact"/>
              <w:rPr>
                <w:sz w:val="20"/>
                <w:szCs w:val="20"/>
                <w:color w:val="auto"/>
              </w:rPr>
            </w:pPr>
            <w:r>
              <w:rPr>
                <w:rFonts w:ascii="Arial" w:cs="Arial" w:eastAsia="Arial" w:hAnsi="Arial"/>
                <w:sz w:val="16"/>
                <w:szCs w:val="16"/>
                <w:color w:val="auto"/>
              </w:rPr>
              <w:t>Total costs and operating expenses</w:t>
            </w: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453.2</w:t>
            </w: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376.1</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77.1</w:t>
            </w: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b w:val="1"/>
                <w:bCs w:val="1"/>
                <w:color w:val="auto"/>
              </w:rPr>
              <w:t>Income (loss) from operations</w:t>
            </w:r>
          </w:p>
        </w:tc>
        <w:tc>
          <w:tcPr>
            <w:tcW w:w="20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12.3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(1.5)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13.8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920.0%</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(Loss) gain from remeasurement of foreign currency</w:t>
            </w: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Gain on available-for-sale debt securities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shd w:val="clear" w:color="auto" w:fill="CFF0FC"/>
          </w:tcPr>
          <w:p>
            <w:pPr>
              <w:ind w:left="180"/>
              <w:spacing w:after="0" w:line="183" w:lineRule="exact"/>
              <w:rPr>
                <w:sz w:val="20"/>
                <w:szCs w:val="20"/>
                <w:color w:val="auto"/>
              </w:rPr>
            </w:pPr>
            <w:r>
              <w:rPr>
                <w:rFonts w:ascii="Arial" w:cs="Arial" w:eastAsia="Arial" w:hAnsi="Arial"/>
                <w:sz w:val="16"/>
                <w:szCs w:val="16"/>
                <w:color w:val="auto"/>
              </w:rPr>
              <w:t>Total other (expense) income, net</w:t>
            </w: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8.9</w:t>
            </w: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18.2</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(9.3)</w:t>
            </w: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color w:val="auto"/>
              </w:rPr>
              <w:t>Income before income taxes</w:t>
            </w:r>
          </w:p>
        </w:tc>
        <w:tc>
          <w:tcPr>
            <w:tcW w:w="20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21.1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16.8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4.3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189"/>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(benefit from) income taxes</w:t>
            </w:r>
          </w:p>
        </w:tc>
        <w:tc>
          <w:tcPr>
            <w:tcW w:w="2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485.0%</w:t>
            </w:r>
          </w:p>
        </w:tc>
        <w:tc>
          <w:tcPr>
            <w:tcW w:w="0" w:type="dxa"/>
            <w:vAlign w:val="bottom"/>
          </w:tcPr>
          <w:p>
            <w:pPr>
              <w:spacing w:after="0"/>
              <w:rPr>
                <w:sz w:val="1"/>
                <w:szCs w:val="1"/>
                <w:color w:val="auto"/>
              </w:rPr>
            </w:pP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b w:val="1"/>
                <w:bCs w:val="1"/>
                <w:color w:val="auto"/>
              </w:rPr>
              <w:t>Net income</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18.8</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-1139825</wp:posOffset>
            </wp:positionV>
            <wp:extent cx="768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-1139825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-1139825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-402590</wp:posOffset>
            </wp:positionV>
            <wp:extent cx="768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-402590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-402590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-153670</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-153670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-153670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tbl>
      <w:tblPr>
        <w:tblLayout w:type="fixed"/>
        <w:tblInd w:w="0" w:type="dxa"/>
        <w:tblCellMar>
          <w:top w:w="0" w:type="dxa"/>
          <w:left w:w="0" w:type="dxa"/>
          <w:bottom w:w="0" w:type="dxa"/>
          <w:right w:w="0" w:type="dxa"/>
        </w:tblCellMar>
      </w:tblPr>
      <w:tr>
        <w:trPr>
          <w:trHeight w:val="175"/>
        </w:trPr>
        <w:tc>
          <w:tcPr>
            <w:tcW w:w="4580" w:type="dxa"/>
            <w:vAlign w:val="bottom"/>
          </w:tcPr>
          <w:p>
            <w:pPr>
              <w:ind w:left="100"/>
              <w:spacing w:after="0" w:line="175" w:lineRule="exact"/>
              <w:rPr>
                <w:sz w:val="20"/>
                <w:szCs w:val="20"/>
                <w:color w:val="auto"/>
              </w:rPr>
            </w:pPr>
            <w:r>
              <w:rPr>
                <w:rFonts w:ascii="Arial" w:cs="Arial" w:eastAsia="Arial" w:hAnsi="Arial"/>
                <w:sz w:val="16"/>
                <w:szCs w:val="16"/>
                <w:color w:val="auto"/>
              </w:rPr>
              <w:t>Foreign currency translation adjustment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100"/>
              <w:spacing w:after="0"/>
              <w:rPr>
                <w:sz w:val="20"/>
                <w:szCs w:val="20"/>
                <w:color w:val="auto"/>
              </w:rPr>
            </w:pPr>
            <w:r>
              <w:rPr>
                <w:rFonts w:ascii="Arial" w:cs="Arial" w:eastAsia="Arial" w:hAnsi="Arial"/>
                <w:sz w:val="16"/>
                <w:szCs w:val="16"/>
                <w:color w:val="auto"/>
              </w:rPr>
              <w:t>Unrealized gains (losses) on available-for-sale debt securities,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Arial" w:cs="Arial" w:eastAsia="Arial" w:hAnsi="Arial"/>
                <w:sz w:val="16"/>
                <w:szCs w:val="16"/>
                <w:color w:val="auto"/>
              </w:rPr>
              <w:t>net of taxes</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6"/>
                <w:szCs w:val="16"/>
                <w:b w:val="1"/>
                <w:bCs w:val="1"/>
                <w:color w:val="auto"/>
              </w:rPr>
              <w:t>Comprehensive income</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c>
          <w:tcPr>
            <w:tcW w:w="166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69"/>
        </w:trPr>
        <w:tc>
          <w:tcPr>
            <w:tcW w:w="460" w:type="dxa"/>
            <w:vAlign w:val="bottom"/>
          </w:tcPr>
          <w:p>
            <w:pPr>
              <w:jc w:val="right"/>
              <w:ind w:right="39"/>
              <w:spacing w:after="0"/>
              <w:rPr>
                <w:sz w:val="20"/>
                <w:szCs w:val="20"/>
                <w:color w:val="auto"/>
              </w:rPr>
            </w:pPr>
            <w:r>
              <w:rPr>
                <w:rFonts w:ascii="Arial" w:cs="Arial" w:eastAsia="Arial" w:hAnsi="Arial"/>
                <w:sz w:val="16"/>
                <w:szCs w:val="16"/>
                <w:color w:val="auto"/>
                <w:w w:val="97"/>
              </w:rPr>
              <w:t>(0.1)</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c>
          <w:tcPr>
            <w:tcW w:w="1660" w:type="dxa"/>
            <w:vAlign w:val="bottom"/>
          </w:tcPr>
          <w:p>
            <w:pPr>
              <w:jc w:val="right"/>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70"/>
        </w:trPr>
        <w:tc>
          <w:tcPr>
            <w:tcW w:w="460" w:type="dxa"/>
            <w:vAlign w:val="bottom"/>
            <w:vMerge w:val="restart"/>
          </w:tcPr>
          <w:p>
            <w:pPr>
              <w:jc w:val="right"/>
              <w:ind w:right="39"/>
              <w:spacing w:after="0"/>
              <w:rPr>
                <w:sz w:val="20"/>
                <w:szCs w:val="20"/>
                <w:color w:val="auto"/>
              </w:rPr>
            </w:pPr>
            <w:r>
              <w:rPr>
                <w:rFonts w:ascii="Arial" w:cs="Arial" w:eastAsia="Arial" w:hAnsi="Arial"/>
                <w:sz w:val="16"/>
                <w:szCs w:val="16"/>
                <w:color w:val="auto"/>
              </w:rPr>
              <w:t>20.7</w:t>
            </w: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vMerge w:val="restart"/>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83"/>
        </w:trPr>
        <w:tc>
          <w:tcPr>
            <w:tcW w:w="460" w:type="dxa"/>
            <w:vAlign w:val="bottom"/>
            <w:vMerge w:val="continue"/>
          </w:tcPr>
          <w:p>
            <w:pPr>
              <w:spacing w:after="0"/>
              <w:rPr>
                <w:sz w:val="15"/>
                <w:szCs w:val="15"/>
                <w:color w:val="auto"/>
              </w:rPr>
            </w:pPr>
          </w:p>
        </w:tc>
        <w:tc>
          <w:tcPr>
            <w:tcW w:w="68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23.2</w:t>
            </w:r>
          </w:p>
        </w:tc>
        <w:tc>
          <w:tcPr>
            <w:tcW w:w="120" w:type="dxa"/>
            <w:vAlign w:val="bottom"/>
            <w:vMerge w:val="continue"/>
          </w:tcPr>
          <w:p>
            <w:pPr>
              <w:spacing w:after="0"/>
              <w:rPr>
                <w:sz w:val="15"/>
                <w:szCs w:val="15"/>
                <w:color w:val="auto"/>
              </w:rPr>
            </w:pPr>
          </w:p>
        </w:tc>
        <w:tc>
          <w:tcPr>
            <w:tcW w:w="6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-153670</wp:posOffset>
            </wp:positionV>
            <wp:extent cx="7132320" cy="154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5140" w:space="720"/>
            <w:col w:w="5380"/>
          </w:cols>
          <w:pgMar w:left="320" w:top="1376"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Revenue was $465.5 million for the nine months ended September 30, 2025, compared to $374.6 million for the nine months ended September 30, 2024, an increase of $90.9 million or 24.3%. Revenue is comprised of transaction revenue and platform and other revenues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2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September 30,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Transaction revenue</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376.2</w:t>
            </w:r>
          </w:p>
        </w:tc>
        <w:tc>
          <w:tcPr>
            <w:tcW w:w="48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314.9</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61.3</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Platform and other revenues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465.5</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374.6</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90.9</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Transaction revenue was $376.2 million for the nine months ended September 30, 2025, compared to $314.9 million for the nine months ended September 30, 2024, an increase of $61.3 million or 19.5%. The increase in transaction revenue was primarily driven by growth in transaction payment volumes for the nine months ended September 30, 2025 from both our existing clients and new clients added during the nine months ended September 30, 2025 compared to nine months ended September 30, 2024. Our transaction payment volume outpaced our revenue growth during the nine months ended September 30, 2025, primarily due to the increase in domestic transactions that have a lower average monetization rate. We experienced growth in transaction payment volume across most regions and verticals during the period, excluding Canada, which decreased primarily due to Canada’s international student permit applications cap introduced earlier in 2024. Transaction payment volume increased approximately 29.4% during the nine months ended September 30, 2025, to $22.9 billion compared to $17.7 billion during the nine months ended September 30, 2024.</w:t>
      </w:r>
    </w:p>
    <w:p>
      <w:pPr>
        <w:spacing w:after="0" w:line="143"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Platform and other revenues were $89.2 million for the nine months ended September 30, 2025, compared to $59.6 million for the nine months ended September 30, 2024, an increase of $29.6 million or 49.6%. The increase in platform and other revenues was driven by the Sertifi and Invoiced acquisitions, an increase in healthcare platform products, revenue from interest earned on funds held for customers in interest-bearing accounts.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69"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Payment processing services costs were $176.8 million for the nine months ended September 30, 2025, compared to $136.1 million for the nine months ended September 30, 2024, an increase of $40.7 million or 29.9%. The increase in payment processing services costs is correlated with the increase in transaction payment volume of 29.4% over the same period.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Technology and Development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Technology and development expenses were $51.7 million for the nine months ended September 30, 2025, compared to $49.3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2024, an increase of $2.4 million or 4.9%. The increase in technology and development cost was</w:t>
      </w:r>
    </w:p>
    <w:p>
      <w:pPr>
        <w:spacing w:after="0" w:line="234" w:lineRule="auto"/>
        <w:rPr>
          <w:sz w:val="20"/>
          <w:szCs w:val="20"/>
          <w:color w:val="auto"/>
        </w:rPr>
      </w:pPr>
      <w:r>
        <w:rPr>
          <w:rFonts w:ascii="Arial" w:cs="Arial" w:eastAsia="Arial" w:hAnsi="Arial"/>
          <w:sz w:val="18"/>
          <w:szCs w:val="18"/>
          <w:color w:val="auto"/>
        </w:rPr>
        <w:t>primarily driven by an increase in personnel costs and stock-based compensation expense, offset by a decrease in software tools. Personnel</w:t>
      </w:r>
    </w:p>
    <w:p>
      <w:pPr>
        <w:spacing w:after="0" w:line="235" w:lineRule="auto"/>
        <w:rPr>
          <w:sz w:val="20"/>
          <w:szCs w:val="20"/>
          <w:color w:val="auto"/>
        </w:rPr>
      </w:pPr>
      <w:r>
        <w:rPr>
          <w:rFonts w:ascii="Arial" w:cs="Arial" w:eastAsia="Arial" w:hAnsi="Arial"/>
          <w:sz w:val="18"/>
          <w:szCs w:val="18"/>
          <w:color w:val="auto"/>
        </w:rPr>
        <w:t>costs were $32.4 million for the nine months ended September 30, 2025 compared to $30.9 million for the nine months ended September 30,</w:t>
      </w:r>
    </w:p>
    <w:p>
      <w:pPr>
        <w:spacing w:after="0" w:line="235" w:lineRule="auto"/>
        <w:rPr>
          <w:sz w:val="20"/>
          <w:szCs w:val="20"/>
          <w:color w:val="auto"/>
        </w:rPr>
      </w:pPr>
      <w:r>
        <w:rPr>
          <w:rFonts w:ascii="Arial" w:cs="Arial" w:eastAsia="Arial" w:hAnsi="Arial"/>
          <w:sz w:val="18"/>
          <w:szCs w:val="18"/>
          <w:color w:val="auto"/>
        </w:rPr>
        <w:t>2024, an increase of $1.5 million or 5.0%. The increase in personnel costs was primarily driven by higher headcount resulting from our recent</w:t>
      </w:r>
    </w:p>
    <w:p>
      <w:pPr>
        <w:spacing w:after="0" w:line="235" w:lineRule="auto"/>
        <w:rPr>
          <w:sz w:val="20"/>
          <w:szCs w:val="20"/>
          <w:color w:val="auto"/>
        </w:rPr>
      </w:pPr>
      <w:r>
        <w:rPr>
          <w:rFonts w:ascii="Arial" w:cs="Arial" w:eastAsia="Arial" w:hAnsi="Arial"/>
          <w:sz w:val="18"/>
          <w:szCs w:val="18"/>
          <w:color w:val="auto"/>
        </w:rPr>
        <w:t>acquisition of Sertifi. Stock-based compensation expense was $10.1 million for the nine months ended September 30, 2025, compared to</w:t>
      </w:r>
    </w:p>
    <w:p>
      <w:pPr>
        <w:spacing w:after="0" w:line="235" w:lineRule="auto"/>
        <w:rPr>
          <w:sz w:val="20"/>
          <w:szCs w:val="20"/>
          <w:color w:val="auto"/>
        </w:rPr>
      </w:pPr>
      <w:r>
        <w:rPr>
          <w:rFonts w:ascii="Arial" w:cs="Arial" w:eastAsia="Arial" w:hAnsi="Arial"/>
          <w:sz w:val="18"/>
          <w:szCs w:val="18"/>
          <w:color w:val="auto"/>
        </w:rPr>
        <w:t>$8.6 million for the nine months ended September 30, 2024, an increase of $1.5 million or 17.6%. The increase in stock-based compensation</w:t>
      </w:r>
    </w:p>
    <w:p>
      <w:pPr>
        <w:spacing w:after="0" w:line="234" w:lineRule="auto"/>
        <w:rPr>
          <w:sz w:val="20"/>
          <w:szCs w:val="20"/>
          <w:color w:val="auto"/>
        </w:rPr>
      </w:pPr>
      <w:r>
        <w:rPr>
          <w:rFonts w:ascii="Arial" w:cs="Arial" w:eastAsia="Arial" w:hAnsi="Arial"/>
          <w:sz w:val="18"/>
          <w:szCs w:val="18"/>
          <w:color w:val="auto"/>
        </w:rPr>
        <w:t>is attributable to equity grants awarded to existing and new FlyMates, including our new FlyMates from our recent acquisition of Sertifi.</w:t>
      </w:r>
    </w:p>
    <w:p>
      <w:pPr>
        <w:spacing w:after="0" w:line="235" w:lineRule="auto"/>
        <w:rPr>
          <w:sz w:val="20"/>
          <w:szCs w:val="20"/>
          <w:color w:val="auto"/>
        </w:rPr>
      </w:pPr>
      <w:r>
        <w:rPr>
          <w:rFonts w:ascii="Arial" w:cs="Arial" w:eastAsia="Arial" w:hAnsi="Arial"/>
          <w:sz w:val="18"/>
          <w:szCs w:val="18"/>
          <w:color w:val="auto"/>
        </w:rPr>
        <w:t>Software tools were $3.6 million for the nine months ended September 30, 2025, compared to $4.3 million for the nine months ended</w:t>
      </w:r>
    </w:p>
    <w:p>
      <w:pPr>
        <w:spacing w:after="0" w:line="235" w:lineRule="auto"/>
        <w:rPr>
          <w:sz w:val="20"/>
          <w:szCs w:val="20"/>
          <w:color w:val="auto"/>
        </w:rPr>
      </w:pPr>
      <w:r>
        <w:rPr>
          <w:rFonts w:ascii="Arial" w:cs="Arial" w:eastAsia="Arial" w:hAnsi="Arial"/>
          <w:sz w:val="18"/>
          <w:szCs w:val="18"/>
          <w:color w:val="auto"/>
        </w:rPr>
        <w:t>September 30, 2024, a decrease of $0.6 million or 15.0%. The decrease in software tools was primarily due to optimization of our technology</w:t>
      </w:r>
    </w:p>
    <w:p>
      <w:pPr>
        <w:spacing w:after="0"/>
        <w:rPr>
          <w:sz w:val="20"/>
          <w:szCs w:val="20"/>
          <w:color w:val="auto"/>
        </w:rPr>
      </w:pPr>
      <w:r>
        <w:rPr>
          <w:rFonts w:ascii="Arial" w:cs="Arial" w:eastAsia="Arial" w:hAnsi="Arial"/>
          <w:sz w:val="18"/>
          <w:szCs w:val="18"/>
          <w:color w:val="auto"/>
        </w:rPr>
        <w:t>infrastructure.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6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Selling and marketing expenses were $116.9 million for the nine months ended September 30, 2025, compared to $96.1 million for the nine months ended September 30, 2024, an increase of $20.8 million or 21.6%. The increase in selling and marketing expenses was primarily driven by increases in professional fees, depreciation and amortization expense, and personnel costs. Professional fees were $21.4 million for the nine months ended September 30, 2025, compared to $15.5 million for the nine months ended September 30, 2024, an increase of $5.9 million or 37.7%. The increase in professional fees was primarily due to increases in third party commissions from growth in payment volume. Depreciation and amortization was $11.6 million for the nine months ended September 30, 2025, compared to $5.9 million for the nine months ended September 30, 2024, an increase of $5.6 million or 95.0%. The increase in depreciation and amortization expense was primarily due to amortization of acquired intangible assets related to the Sertifi and Invoiced acquisitions. Personnel costs were $54.3 million for the nine months ended September 30, 2025, compared to $48.8 million for the nine months ended September 30, 2024, an increase of $5.5 million or 11.2%. The increase in personnel costs was primarily driven by higher headcount resulting from our recent acquisition of Sertifi.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General and administrative expenses were $99.2 million for the nine months ended September 30, 2025, compared to $94.6 million for the nine months ended September 30, 2024, an increase of $ 4.6 million or 4.9%. The increase in general and administrative expenses was primarily driven by increases in acquisition costs, engineering tools, and chargebacks, partially offset by a decrease in professional fees. Acquisition costs were $2.6 million for the nine months ended September 30, 2025, compared to $0.6 million for the nine months ended September 30, 2024, an increase of $2.0 million or 331.4%. The increase in acquisition costs were attributable to the Sertifi acquisition during the nine months ended September 30, 2025. Engineering tools were $8.9 million for the nine months ended September 30, 2025, compared to $7.0 million for the nine months ended September 30, 2024, an increase of $2.0 million or 28.1%. The increase in engineering tools was primarily driven by increasing hosting fees. Chargebacks were $1.6 million for the nine months ended September 30, 2025, compared to $0.4 million for the nine months ended September 30, 2024, an increase of $1.3 million or 349.1%. Professional fees were $9.8 million for the nine months ended September 30, 2025, compared to $11.5 million for the nine months ended September 30, 2024, a decrease of $1.7 million or 14.5%. The decrease in the professional fees was primarily driven by the capitalization of consultant fees related to software implementation initiatives and a decrease in external legal fees.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83" w:lineRule="exact"/>
        <w:rPr>
          <w:sz w:val="20"/>
          <w:szCs w:val="20"/>
          <w:color w:val="auto"/>
        </w:rPr>
      </w:pPr>
    </w:p>
    <w:p>
      <w:pPr>
        <w:ind w:right="360" w:firstLine="509"/>
        <w:spacing w:after="0" w:line="243" w:lineRule="auto"/>
        <w:rPr>
          <w:sz w:val="20"/>
          <w:szCs w:val="20"/>
          <w:color w:val="auto"/>
        </w:rPr>
      </w:pPr>
      <w:r>
        <w:rPr>
          <w:rFonts w:ascii="Arial" w:cs="Arial" w:eastAsia="Arial" w:hAnsi="Arial"/>
          <w:sz w:val="18"/>
          <w:szCs w:val="18"/>
          <w:color w:val="auto"/>
        </w:rPr>
        <w:t>Restructuring expenses were $8.7 million for the nine months ended September 30, 2025. There were no restructuring expenses during the nine months ended September 30, 2024. Restructuring expenses included restructuring and restructuring-related expenses incurred as part of the Restructuring Plan announced in February 2025, related primarily to severance payments, employee benefits, and facilitation costs of $6.3 million and $2.4 million of expense related to the acceleration of stock-based compensation for terminated employees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69"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Interest expense was $3.0 million for the nine months ended September 30, 2025, compared to $0.4 million for the nine months ended September 30, 2024, an increase of $ 2.6 million or 650.0%. During the nine months ended September 30, 2025, we drew down $125.0 million and repaid $110.0 million from our 2024 Amended Revolving Credit Facility. As 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51" w:name="page52"/>
    <w:bookmarkEnd w:id="51"/>
    <w:p>
      <w:pPr>
        <w:ind w:right="60"/>
        <w:spacing w:after="0" w:line="253" w:lineRule="auto"/>
        <w:rPr>
          <w:sz w:val="20"/>
          <w:szCs w:val="20"/>
          <w:color w:val="auto"/>
        </w:rPr>
      </w:pPr>
      <w:r>
        <w:rPr>
          <w:rFonts w:ascii="Arial" w:cs="Arial" w:eastAsia="Arial" w:hAnsi="Arial"/>
          <w:sz w:val="18"/>
          <w:szCs w:val="18"/>
          <w:color w:val="auto"/>
        </w:rPr>
        <w:t>September 30, 2025, there was $15.0 million outstanding indebtedness under the 2024 Amended Revolving Credit Facility. Interest expense consists primarily of interest expense, amortization of debt issuance costs and unused commitment fees related to our 2024 Amended Revolving Credit Facility and our former 2021 Revolving Credit Facility.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69"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Interest income was $4.8 million for the nine months ended September 30, 2025, compared to $16.6 million for the nine months ended September 30, 2024, a decrease of $11.8 million or 71.1%. The decrease in interest income was primarily attributable to the decrease in our cash balance as a result of spending cash on the Repurchase Program and the acquisition of Sertifi.</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from Remeasurement of Foreign Currency</w:t>
      </w:r>
    </w:p>
    <w:p>
      <w:pPr>
        <w:spacing w:after="0" w:line="183"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Gain from remeasurement of foreign currency was $ 6.9 million for the nine months ended September 30, 2025, compared to $2.1 million for the nine months ended September 30, 2024, an increase of $4.8 million or 228.6%. The increase was primarily the result of the remeasurement of foreign currency intercompany loans and related hedging instruments and the impact of fluctuations in exchange rates during respective remeasurement periods.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Available-for-Sale Debt Securities</w:t>
      </w:r>
    </w:p>
    <w:p>
      <w:pPr>
        <w:spacing w:after="0" w:line="169"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Gain from sale of available-for-sale debt securities was $0.2 million for the nine months ended September 30, 2025 compared to no gain, as there were no sales of available-for-sale debt security investments during the nine months ended September 30, 2024.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69" w:lineRule="exact"/>
        <w:rPr>
          <w:sz w:val="20"/>
          <w:szCs w:val="20"/>
          <w:color w:val="auto"/>
        </w:rPr>
      </w:pPr>
    </w:p>
    <w:p>
      <w:pPr>
        <w:ind w:right="260" w:firstLine="509"/>
        <w:spacing w:after="0" w:line="242" w:lineRule="auto"/>
        <w:rPr>
          <w:sz w:val="20"/>
          <w:szCs w:val="20"/>
          <w:color w:val="auto"/>
        </w:rPr>
      </w:pPr>
      <w:r>
        <w:rPr>
          <w:rFonts w:ascii="Arial" w:cs="Arial" w:eastAsia="Arial" w:hAnsi="Arial"/>
          <w:sz w:val="18"/>
          <w:szCs w:val="18"/>
          <w:color w:val="auto"/>
        </w:rPr>
        <w:t>Provision for income taxes was $7.7 million during the nine months ended September 30, 2025, compared to a benefit from income taxes of $2.0 million during the nine months ended September 30, 2024, an increase of $9.7 million or 485.0%. The provision for income taxes for the nine months ended September 30, 2025, was primarily attributable to activity in our foreign subsidiaries and U.S. federal and state taxes. The income tax benefit for the nine months ended September 30, 2024, was primarily attributable to a non-recurring benefit of $4.9 million relating to the release of a portion of the valuation allowance in the U.S. Our effective tax rate was 36.3% for the nine months ended September 30, 2025, compared to (12.3)% for the nine months ended September 30, 2024.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71"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To supplement our condensed consolidated financial statements, which are prepared in accordance with generally accepted accounting principles in the United States (GAAP), we use certain non-GAAP financial measures. The following table sets forth our key operating metrics and non-GAAP measures for the periods presented. All dollar amounts are rounded and as a result, certain amounts may not recalculate using the rounded amounts provided.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Payment Volume</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13,916.2</w:t>
            </w:r>
          </w:p>
        </w:tc>
        <w:tc>
          <w:tcPr>
            <w:tcW w:w="48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11,010.8</w:t>
            </w:r>
          </w:p>
        </w:tc>
        <w:tc>
          <w:tcPr>
            <w:tcW w:w="3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28,218.7</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22,828.2</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200.1</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156.8</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465.5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374.6</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Revenue Less Ancillary Services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194.1</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151.4</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450.3</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361.5</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124.7</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100.3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280.4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232.7</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Adjusted Gross Profit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127.5</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287.9</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237.3</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Gross Margin</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Adjusted Gross Margin</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29.6</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38.9</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Adjusted EBITDA</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6"/>
                <w:szCs w:val="16"/>
                <w:color w:val="auto"/>
              </w:rPr>
              <w:t>Adjusted EBITDA Margin</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For the three months ended September 30, 2025, transaction revenue and platform and other revenues represented 83.5% and 16.5% of our revenue, respectively. For the three months ended September 30, 2025, transaction revenue and platform and other revenues represented 85.4% and 14.6% of our total revenue less ancillary services, respectively. For the three months ended September 30, 2024, transaction revenue and platform and other revenues represented 85.7% and 14.3% of our revenue, respectively. For the three months ended September 30, 2024, transaction revenue and platform and other revenues represented 88.0% and 12.0% of our total revenue less ancillary services,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2" w:name="page53"/>
    <w:bookmarkEnd w:id="52"/>
    <w:p>
      <w:pPr>
        <w:ind w:firstLine="509"/>
        <w:spacing w:after="0" w:line="242" w:lineRule="auto"/>
        <w:rPr>
          <w:sz w:val="20"/>
          <w:szCs w:val="20"/>
          <w:color w:val="auto"/>
        </w:rPr>
      </w:pPr>
      <w:r>
        <w:rPr>
          <w:rFonts w:ascii="Arial" w:cs="Arial" w:eastAsia="Arial" w:hAnsi="Arial"/>
          <w:sz w:val="18"/>
          <w:szCs w:val="18"/>
          <w:color w:val="auto"/>
        </w:rPr>
        <w:t>For the nine months ended September 30, 2025, transaction revenue and platform and other revenues represented 80.8% and 19.2% of our revenue, respectively. For the nine months ended September 30, 2025, transaction revenue and platform and other revenues represented 83.1% and 16.9% of our total revenue less ancillary services, respectively. For the nine months ended September 30, 2024, transaction revenue and platform and other revenues represented 84.1% and 15.9% of our revenue, respectively. For the nine months ended September 30, 2024, transaction revenue and platform and other revenues represented 86.7% and 13.3% of our total revenue less ancillary services, respectively.</w:t>
      </w:r>
    </w:p>
    <w:p>
      <w:pPr>
        <w:spacing w:after="0" w:line="152" w:lineRule="exact"/>
        <w:rPr>
          <w:sz w:val="20"/>
          <w:szCs w:val="20"/>
          <w:color w:val="auto"/>
        </w:rPr>
      </w:pPr>
    </w:p>
    <w:p>
      <w:pPr>
        <w:ind w:right="140" w:firstLine="559"/>
        <w:spacing w:after="0" w:line="244" w:lineRule="auto"/>
        <w:rPr>
          <w:sz w:val="20"/>
          <w:szCs w:val="20"/>
          <w:color w:val="auto"/>
        </w:rPr>
      </w:pPr>
      <w:r>
        <w:rPr>
          <w:rFonts w:ascii="Arial" w:cs="Arial" w:eastAsia="Arial" w:hAnsi="Arial"/>
          <w:sz w:val="18"/>
          <w:szCs w:val="18"/>
          <w:color w:val="auto"/>
        </w:rPr>
        <w:t>For the three months ended September 30, 2025, our total payment volume was approximately $13.9 billion, consisting of $11.5 billion of total payment volume from transactions included in transaction revenue, and $2.4 billion of total payment volume from transactions included in platform and other revenues. For the three months ended September 30, 2024, our total payment volume was approximately $11.0 billion, consisting of $8.8 billion of total payment volume from transactions included in transaction revenue, and $2.2 billion of total payment volume from transactions included in platform and other revenues.</w:t>
      </w:r>
    </w:p>
    <w:p>
      <w:pPr>
        <w:spacing w:after="0" w:line="136" w:lineRule="exact"/>
        <w:rPr>
          <w:sz w:val="20"/>
          <w:szCs w:val="20"/>
          <w:color w:val="auto"/>
        </w:rPr>
      </w:pPr>
    </w:p>
    <w:p>
      <w:pPr>
        <w:ind w:right="60" w:firstLine="559"/>
        <w:spacing w:after="0" w:line="244" w:lineRule="auto"/>
        <w:rPr>
          <w:sz w:val="20"/>
          <w:szCs w:val="20"/>
          <w:color w:val="auto"/>
        </w:rPr>
      </w:pPr>
      <w:r>
        <w:rPr>
          <w:rFonts w:ascii="Arial" w:cs="Arial" w:eastAsia="Arial" w:hAnsi="Arial"/>
          <w:sz w:val="18"/>
          <w:szCs w:val="18"/>
          <w:color w:val="auto"/>
        </w:rPr>
        <w:t>For the nine months ended September 30, 2025, our total payment volume was approximately $28.2 billion, consisting of $22.9 billion of total payment volume from transactions included in transaction revenue, and $5.3 billion of total payment volume from transactions included in platform and other revenues. For the nine months ended September 30, 2024, our total payment volume was approximately $22.8 billion, consisting of $17.7 billion of total payment volume from transactions included in transaction revenue, and $5.1 billion of total payment volume from transactions included in platform and other revenues.</w:t>
      </w:r>
    </w:p>
    <w:p>
      <w:pPr>
        <w:spacing w:after="0" w:line="138"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Revenue Less Ancillary Services, FX Neutral Revenue Less Ancillary Services, Adjusted Gross Profit, Adjusted Gross Margin, EBITDA, Adjusted EBITDA, Adjusted EBITDA Margin and Non-GAAP Operating Expenses</w:t>
      </w:r>
    </w:p>
    <w:p>
      <w:pPr>
        <w:spacing w:after="0" w:line="11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period-to-period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43"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61" w:lineRule="exact"/>
        <w:rPr>
          <w:sz w:val="20"/>
          <w:szCs w:val="20"/>
          <w:color w:val="auto"/>
        </w:rPr>
      </w:pPr>
    </w:p>
    <w:p>
      <w:pPr>
        <w:ind w:left="900" w:hanging="263"/>
        <w:spacing w:after="0" w:line="252"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color w:val="auto"/>
        </w:rPr>
        <w:t>- represents our consolidated revenue in accordance with GAAP less (i) pass-through cost for</w:t>
      </w:r>
      <w:r>
        <w:rPr>
          <w:rFonts w:ascii="Arial" w:cs="Arial" w:eastAsia="Arial" w:hAnsi="Arial"/>
          <w:sz w:val="18"/>
          <w:szCs w:val="18"/>
          <w:i w:val="1"/>
          <w:iCs w:val="1"/>
          <w:color w:val="auto"/>
        </w:rPr>
        <w:t xml:space="preserve"> </w:t>
      </w:r>
      <w:r>
        <w:rPr>
          <w:rFonts w:ascii="Arial" w:cs="Arial" w:eastAsia="Arial" w:hAnsi="Arial"/>
          <w:sz w:val="18"/>
          <w:szCs w:val="18"/>
          <w:color w:val="auto"/>
        </w:rPr>
        <w:t>printing and mailing services and (ii) marketing fees. We exclude these amounts to arrive at this supplemental non-GAAP financial measure as we view these services as ancillary to the primary services we provide to our clients.</w:t>
      </w:r>
    </w:p>
    <w:p>
      <w:pPr>
        <w:spacing w:after="0" w:line="62" w:lineRule="exact"/>
        <w:rPr>
          <w:rFonts w:ascii="Times New Roman" w:cs="Times New Roman" w:eastAsia="Times New Roman" w:hAnsi="Times New Roman"/>
          <w:sz w:val="18"/>
          <w:szCs w:val="18"/>
          <w:color w:val="auto"/>
        </w:rPr>
      </w:pPr>
    </w:p>
    <w:p>
      <w:pPr>
        <w:ind w:left="900" w:right="20" w:hanging="263"/>
        <w:spacing w:after="0" w:line="246"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FX Neutral Revenue Less Ancillary Services </w:t>
      </w:r>
      <w:r>
        <w:rPr>
          <w:rFonts w:ascii="Arial" w:cs="Arial" w:eastAsia="Arial" w:hAnsi="Arial"/>
          <w:sz w:val="18"/>
          <w:szCs w:val="18"/>
          <w:color w:val="auto"/>
        </w:rPr>
        <w:t>- represents Revenue Less Ancillary Services adjusted to show presentation on a FX</w:t>
      </w:r>
      <w:r>
        <w:rPr>
          <w:rFonts w:ascii="Arial" w:cs="Arial" w:eastAsia="Arial" w:hAnsi="Arial"/>
          <w:sz w:val="18"/>
          <w:szCs w:val="18"/>
          <w:i w:val="1"/>
          <w:iCs w:val="1"/>
          <w:color w:val="auto"/>
        </w:rPr>
        <w:t xml:space="preserve"> </w:t>
      </w:r>
      <w:r>
        <w:rPr>
          <w:rFonts w:ascii="Arial" w:cs="Arial" w:eastAsia="Arial" w:hAnsi="Arial"/>
          <w:sz w:val="18"/>
          <w:szCs w:val="18"/>
          <w:color w:val="auto"/>
        </w:rPr>
        <w:t>Neutral basis. The constant currency information presented is calculated by translating current period results using prior period weighted average foreign currency exchange rates. We analyze FX Neutral Revenue Less Ancillary Services to provide a comparable framework for assessing how the business performed excluding the effect of foreign currency fluctuations.</w:t>
      </w:r>
    </w:p>
    <w:p>
      <w:pPr>
        <w:spacing w:after="0" w:line="68" w:lineRule="exact"/>
        <w:rPr>
          <w:rFonts w:ascii="Times New Roman" w:cs="Times New Roman" w:eastAsia="Times New Roman" w:hAnsi="Times New Roman"/>
          <w:sz w:val="18"/>
          <w:szCs w:val="18"/>
          <w:color w:val="auto"/>
        </w:rPr>
      </w:pPr>
    </w:p>
    <w:p>
      <w:pPr>
        <w:ind w:left="900" w:right="60" w:hanging="263"/>
        <w:spacing w:after="0" w:line="243"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Gross Profit </w:t>
      </w:r>
      <w:r>
        <w:rPr>
          <w:rFonts w:ascii="Arial" w:cs="Arial" w:eastAsia="Arial" w:hAnsi="Arial"/>
          <w:sz w:val="18"/>
          <w:szCs w:val="18"/>
          <w:color w:val="auto"/>
        </w:rPr>
        <w:t>- represents Revenue Less Ancillary Services, less cost of revenue adjusted to (i) exclude pass-through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cost for printing services, (ii) offset marketing fees against costs incurred and (iii) exclude depreciation and amortization, including accelerated amortization on the impairment of customer set-up costs tied to technology integration, if applicable. Management believes this presentation supplements the GAAP presentation of gross profit with a useful measure of the gross profit of our payment processing-related services, which are the primary services we provide to our clients.</w:t>
      </w:r>
    </w:p>
    <w:p>
      <w:pPr>
        <w:spacing w:after="0" w:line="71"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Gross Margin </w:t>
      </w:r>
      <w:r>
        <w:rPr>
          <w:rFonts w:ascii="Arial" w:cs="Arial" w:eastAsia="Arial" w:hAnsi="Arial"/>
          <w:sz w:val="18"/>
          <w:szCs w:val="18"/>
          <w:color w:val="auto"/>
        </w:rPr>
        <w:t>- represents Adjusted Gross Profit divided by Revenue Less Ancillary Services. Management believes this</w:t>
      </w:r>
    </w:p>
    <w:p>
      <w:pPr>
        <w:spacing w:after="0" w:line="13" w:lineRule="exact"/>
        <w:rPr>
          <w:sz w:val="20"/>
          <w:szCs w:val="20"/>
          <w:color w:val="auto"/>
        </w:rPr>
      </w:pPr>
    </w:p>
    <w:p>
      <w:pPr>
        <w:ind w:left="900" w:right="400"/>
        <w:spacing w:after="0" w:line="234" w:lineRule="auto"/>
        <w:rPr>
          <w:sz w:val="20"/>
          <w:szCs w:val="20"/>
          <w:color w:val="auto"/>
        </w:rPr>
      </w:pPr>
      <w:r>
        <w:rPr>
          <w:rFonts w:ascii="Arial" w:cs="Arial" w:eastAsia="Arial" w:hAnsi="Arial"/>
          <w:sz w:val="18"/>
          <w:szCs w:val="18"/>
          <w:color w:val="auto"/>
        </w:rPr>
        <w:t>presentation supplements the GAAP presentation of gross margin with a useful measure of the gross margin of our payment-related services, which are the primary services we provide to our clients.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3" w:name="page54"/>
    <w:bookmarkEnd w:id="53"/>
    <w:p>
      <w:pPr>
        <w:ind w:left="900" w:right="380" w:hanging="263"/>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 represents our consolidated net income (loss) in accordance with GAAP adjusted to include (i) interest expense, (ii)</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(iii) provision for income taxes and (iv) depreciation and amortization.</w:t>
      </w:r>
    </w:p>
    <w:p>
      <w:pPr>
        <w:spacing w:after="0" w:line="46" w:lineRule="exact"/>
        <w:rPr>
          <w:rFonts w:ascii="Times New Roman" w:cs="Times New Roman" w:eastAsia="Times New Roman" w:hAnsi="Times New Roman"/>
          <w:sz w:val="18"/>
          <w:szCs w:val="18"/>
          <w:color w:val="auto"/>
        </w:rPr>
      </w:pPr>
    </w:p>
    <w:p>
      <w:pPr>
        <w:ind w:left="900" w:hanging="263"/>
        <w:spacing w:after="0" w:line="242"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 represents EBITDA further adjusted by excluding (i) stock-based compensation expense and related payroll</w:t>
      </w:r>
      <w:r>
        <w:rPr>
          <w:rFonts w:ascii="Arial" w:cs="Arial" w:eastAsia="Arial" w:hAnsi="Arial"/>
          <w:sz w:val="18"/>
          <w:szCs w:val="18"/>
          <w:i w:val="1"/>
          <w:iCs w:val="1"/>
          <w:color w:val="auto"/>
        </w:rPr>
        <w:t xml:space="preserve"> </w:t>
      </w:r>
      <w:r>
        <w:rPr>
          <w:rFonts w:ascii="Arial" w:cs="Arial" w:eastAsia="Arial" w:hAnsi="Arial"/>
          <w:sz w:val="18"/>
          <w:szCs w:val="18"/>
          <w:color w:val="auto"/>
        </w:rPr>
        <w:t>taxes, (ii) the impact from the change in fair value measurement for contingent consideration associated with acquisitions, (iii) gain (loss) from the remeasurement of foreign currency, (iv) indirect taxes related to intercompany activity, (v) acquisition related transaction costs, (vi) employee retention costs, such as incentive compensation associated with acquisition activities, (vii) restructuring and (viii) gain (loss) from investments. Management believes that the exclusion of these amounts to calculate Adjusted EBITDA provides useful measures for period-to-period comparisons of our business.</w:t>
      </w:r>
    </w:p>
    <w:p>
      <w:pPr>
        <w:spacing w:after="0" w:line="69" w:lineRule="exact"/>
        <w:rPr>
          <w:rFonts w:ascii="Times New Roman" w:cs="Times New Roman" w:eastAsia="Times New Roman" w:hAnsi="Times New Roman"/>
          <w:sz w:val="18"/>
          <w:szCs w:val="18"/>
          <w:color w:val="auto"/>
        </w:rPr>
      </w:pPr>
    </w:p>
    <w:p>
      <w:pPr>
        <w:ind w:left="900" w:right="160" w:hanging="263"/>
        <w:spacing w:after="0" w:line="252"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 represents Adjusted EBITDA divided by Revenue Less Ancillary Services. Management believes this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supplements the GAAP presentation of gross margin with a useful measure of the gross margin of our payment-related services, which are the primary services we provide to our clients.</w:t>
      </w:r>
    </w:p>
    <w:p>
      <w:pPr>
        <w:spacing w:after="0" w:line="62" w:lineRule="exact"/>
        <w:rPr>
          <w:rFonts w:ascii="Times New Roman" w:cs="Times New Roman" w:eastAsia="Times New Roman" w:hAnsi="Times New Roman"/>
          <w:sz w:val="18"/>
          <w:szCs w:val="18"/>
          <w:color w:val="auto"/>
        </w:rPr>
      </w:pPr>
    </w:p>
    <w:p>
      <w:pPr>
        <w:ind w:left="900" w:right="100" w:hanging="263"/>
        <w:spacing w:after="0" w:line="246"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Non-GAAP Operating Expenses </w:t>
      </w:r>
      <w:r>
        <w:rPr>
          <w:rFonts w:ascii="Arial" w:cs="Arial" w:eastAsia="Arial" w:hAnsi="Arial"/>
          <w:sz w:val="18"/>
          <w:szCs w:val="18"/>
          <w:color w:val="auto"/>
        </w:rPr>
        <w:t>- represents GAAP Operating Expenses adjusted by excluding (i)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related payroll taxes, (ii) depreciation and amortization, (iii) acquisition related transaction costs, (iv) employee retention costs, such as incentive compensation associated with acquisition activities, (v) the impact from the change in fair value measurement for contingent consideration associated with acquisitions and (vi) restructuring.</w:t>
      </w:r>
    </w:p>
    <w:p>
      <w:pPr>
        <w:spacing w:after="0" w:line="13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income (loss) prepared in accordance with GAAP and should be read only in conjunction with financial information presented on a GAAP basis. Reconciliations of Revenue Less Ancillary Services, Adjusted Gross Profit, Adjusted Gross Margin, FX Neutral Revenue Less Ancillary Services, EBITDA, Adjusted EBITDA, Adjusted EBITDA Margin and Non-GAAP Operating Expenses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69"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The tables below provide reconciliations of Revenue Less Ancillary Services, Adjusted Gross Profit, Adjusted Gross Margin, FX Neutral Revenue Less Ancillary Services, EBITDA, Adjusted EBITDA, Adjusted EBITDA Margin and Non-GAAP Operating Expenses to the most comparable GAAP figure on a consolidated basis for the periods presented. All dollar amounts are rounded and as a result, certain amounts may not recalculate using the rounded amounts provided.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Less Ancillary Services, Adjusted Gross Profit and Adjusted Gross Margin*: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200.1</w:t>
            </w:r>
          </w:p>
        </w:tc>
        <w:tc>
          <w:tcPr>
            <w:tcW w:w="48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156.8</w:t>
            </w:r>
          </w:p>
        </w:tc>
        <w:tc>
          <w:tcPr>
            <w:tcW w:w="3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465.5</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374.6</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Adjusted to exclude gross up for:</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Pass-through cost for printing and mailing</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Marketing fees</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2"/>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 Less Ancillary Services</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194.1</w:t>
            </w:r>
          </w:p>
        </w:tc>
        <w:tc>
          <w:tcPr>
            <w:tcW w:w="48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151.4</w:t>
            </w:r>
          </w:p>
        </w:tc>
        <w:tc>
          <w:tcPr>
            <w:tcW w:w="3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450.3</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361.5</w:t>
            </w:r>
          </w:p>
        </w:tc>
        <w:tc>
          <w:tcPr>
            <w:tcW w:w="0" w:type="dxa"/>
            <w:vAlign w:val="bottom"/>
          </w:tcPr>
          <w:p>
            <w:pPr>
              <w:spacing w:after="0"/>
              <w:rPr>
                <w:sz w:val="1"/>
                <w:szCs w:val="1"/>
                <w:color w:val="auto"/>
              </w:rPr>
            </w:pPr>
          </w:p>
        </w:tc>
      </w:tr>
      <w:tr>
        <w:trPr>
          <w:trHeight w:val="170"/>
        </w:trPr>
        <w:tc>
          <w:tcPr>
            <w:tcW w:w="462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Payment processing services costs</w:t>
            </w: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72.3</w:t>
            </w:r>
          </w:p>
        </w:tc>
        <w:tc>
          <w:tcPr>
            <w:tcW w:w="12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54.6</w:t>
            </w: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176.8</w:t>
            </w:r>
          </w:p>
        </w:tc>
        <w:tc>
          <w:tcPr>
            <w:tcW w:w="10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Hosting and amortization costs within technology and</w:t>
            </w:r>
          </w:p>
        </w:tc>
        <w:tc>
          <w:tcPr>
            <w:tcW w:w="180" w:type="dxa"/>
            <w:vAlign w:val="bottom"/>
            <w:shd w:val="clear" w:color="auto" w:fill="CFF0FC"/>
          </w:tcPr>
          <w:p>
            <w:pPr>
              <w:spacing w:after="0"/>
              <w:rPr>
                <w:sz w:val="15"/>
                <w:szCs w:val="15"/>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07"/>
        </w:trPr>
        <w:tc>
          <w:tcPr>
            <w:tcW w:w="46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development expenses</w:t>
            </w:r>
          </w:p>
        </w:tc>
        <w:tc>
          <w:tcPr>
            <w:tcW w:w="180" w:type="dxa"/>
            <w:vAlign w:val="bottom"/>
            <w:shd w:val="clear" w:color="auto" w:fill="CFF0FC"/>
          </w:tcPr>
          <w:p>
            <w:pPr>
              <w:spacing w:after="0"/>
              <w:rPr>
                <w:sz w:val="9"/>
                <w:szCs w:val="9"/>
                <w:color w:val="auto"/>
              </w:rPr>
            </w:pPr>
          </w:p>
        </w:tc>
        <w:tc>
          <w:tcPr>
            <w:tcW w:w="14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3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2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4620" w:type="dxa"/>
            <w:vAlign w:val="bottom"/>
            <w:tcBorders>
              <w:bottom w:val="single" w:sz="8" w:color="CFF0FC"/>
            </w:tcBorders>
            <w:vMerge w:val="continue"/>
            <w:shd w:val="clear" w:color="auto" w:fill="CFF0FC"/>
          </w:tcPr>
          <w:p>
            <w:pPr>
              <w:spacing w:after="0"/>
              <w:rPr>
                <w:sz w:val="7"/>
                <w:szCs w:val="7"/>
                <w:color w:val="auto"/>
              </w:rPr>
            </w:pPr>
          </w:p>
        </w:tc>
        <w:tc>
          <w:tcPr>
            <w:tcW w:w="180" w:type="dxa"/>
            <w:vAlign w:val="bottom"/>
            <w:tcBorders>
              <w:bottom w:val="single" w:sz="8" w:color="auto"/>
            </w:tcBorders>
            <w:shd w:val="clear" w:color="auto" w:fill="CFF0FC"/>
          </w:tcPr>
          <w:p>
            <w:pPr>
              <w:spacing w:after="0"/>
              <w:rPr>
                <w:sz w:val="7"/>
                <w:szCs w:val="7"/>
                <w:color w:val="auto"/>
              </w:rPr>
            </w:pPr>
          </w:p>
        </w:tc>
        <w:tc>
          <w:tcPr>
            <w:tcW w:w="1400" w:type="dxa"/>
            <w:vAlign w:val="bottom"/>
            <w:tcBorders>
              <w:bottom w:val="single" w:sz="8" w:color="auto"/>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360" w:type="dxa"/>
            <w:vAlign w:val="bottom"/>
            <w:tcBorders>
              <w:bottom w:val="single" w:sz="8" w:color="auto"/>
            </w:tcBorders>
            <w:shd w:val="clear" w:color="auto" w:fill="CFF0FC"/>
          </w:tcPr>
          <w:p>
            <w:pPr>
              <w:spacing w:after="0"/>
              <w:rPr>
                <w:sz w:val="7"/>
                <w:szCs w:val="7"/>
                <w:color w:val="auto"/>
              </w:rPr>
            </w:pPr>
          </w:p>
        </w:tc>
        <w:tc>
          <w:tcPr>
            <w:tcW w:w="1220" w:type="dxa"/>
            <w:vAlign w:val="bottom"/>
            <w:tcBorders>
              <w:bottom w:val="single" w:sz="8" w:color="auto"/>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180" w:type="dxa"/>
            <w:vAlign w:val="bottom"/>
            <w:tcBorders>
              <w:bottom w:val="single" w:sz="8" w:color="auto"/>
            </w:tcBorders>
            <w:shd w:val="clear" w:color="auto" w:fill="CFF0FC"/>
          </w:tcPr>
          <w:p>
            <w:pPr>
              <w:spacing w:after="0"/>
              <w:rPr>
                <w:sz w:val="7"/>
                <w:szCs w:val="7"/>
                <w:color w:val="auto"/>
              </w:rPr>
            </w:pPr>
          </w:p>
        </w:tc>
        <w:tc>
          <w:tcPr>
            <w:tcW w:w="1380" w:type="dxa"/>
            <w:vAlign w:val="bottom"/>
            <w:tcBorders>
              <w:bottom w:val="single" w:sz="8" w:color="auto"/>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340" w:type="dxa"/>
            <w:vAlign w:val="bottom"/>
            <w:tcBorders>
              <w:bottom w:val="single" w:sz="8" w:color="auto"/>
            </w:tcBorders>
            <w:shd w:val="clear" w:color="auto" w:fill="CFF0FC"/>
          </w:tcPr>
          <w:p>
            <w:pPr>
              <w:spacing w:after="0"/>
              <w:rPr>
                <w:sz w:val="7"/>
                <w:szCs w:val="7"/>
                <w:color w:val="auto"/>
              </w:rPr>
            </w:pPr>
          </w:p>
        </w:tc>
        <w:tc>
          <w:tcPr>
            <w:tcW w:w="1220" w:type="dxa"/>
            <w:vAlign w:val="bottom"/>
            <w:tcBorders>
              <w:bottom w:val="single" w:sz="8" w:color="auto"/>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color w:val="auto"/>
              </w:rPr>
              <w:t>Cost of Revenue</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line="183" w:lineRule="exact"/>
              <w:rPr>
                <w:sz w:val="20"/>
                <w:szCs w:val="20"/>
                <w:color w:val="auto"/>
              </w:rPr>
            </w:pPr>
            <w:r>
              <w:rPr>
                <w:rFonts w:ascii="Arial" w:cs="Arial" w:eastAsia="Arial" w:hAnsi="Arial"/>
                <w:sz w:val="16"/>
                <w:szCs w:val="16"/>
                <w:color w:val="auto"/>
              </w:rPr>
              <w:t>75.4</w:t>
            </w:r>
          </w:p>
        </w:tc>
        <w:tc>
          <w:tcPr>
            <w:tcW w:w="48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56.5</w:t>
            </w:r>
          </w:p>
        </w:tc>
        <w:tc>
          <w:tcPr>
            <w:tcW w:w="3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185.1</w:t>
            </w:r>
          </w:p>
        </w:tc>
        <w:tc>
          <w:tcPr>
            <w:tcW w:w="44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2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Adjusted to:</w:t>
            </w: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Exclude printing and mailing costs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Offset marketing fees against related costs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Exclude depreciation and amortization</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Adjusted Cost of Revenue</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66.6</w:t>
            </w:r>
          </w:p>
        </w:tc>
        <w:tc>
          <w:tcPr>
            <w:tcW w:w="48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49.5</w:t>
            </w:r>
          </w:p>
        </w:tc>
        <w:tc>
          <w:tcPr>
            <w:tcW w:w="3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162.4</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124.7</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100.3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280.4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232.7</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Gross Margin</w:t>
            </w: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62.3%</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169"/>
        </w:trPr>
        <w:tc>
          <w:tcPr>
            <w:tcW w:w="4620" w:type="dxa"/>
            <w:vAlign w:val="bottom"/>
          </w:tcPr>
          <w:p>
            <w:pPr>
              <w:spacing w:after="0" w:line="170" w:lineRule="exact"/>
              <w:rPr>
                <w:sz w:val="20"/>
                <w:szCs w:val="20"/>
                <w:color w:val="auto"/>
              </w:rPr>
            </w:pPr>
            <w:r>
              <w:rPr>
                <w:rFonts w:ascii="Arial" w:cs="Arial" w:eastAsia="Arial" w:hAnsi="Arial"/>
                <w:sz w:val="16"/>
                <w:szCs w:val="16"/>
                <w:color w:val="auto"/>
              </w:rPr>
              <w:t>Adjusted Gross Profit</w:t>
            </w:r>
          </w:p>
        </w:tc>
        <w:tc>
          <w:tcPr>
            <w:tcW w:w="180" w:type="dxa"/>
            <w:vAlign w:val="bottom"/>
          </w:tcPr>
          <w:p>
            <w:pPr>
              <w:jc w:val="right"/>
              <w:spacing w:after="0" w:line="170" w:lineRule="exact"/>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line="170" w:lineRule="exact"/>
              <w:rPr>
                <w:sz w:val="20"/>
                <w:szCs w:val="20"/>
                <w:color w:val="auto"/>
              </w:rPr>
            </w:pPr>
            <w:r>
              <w:rPr>
                <w:rFonts w:ascii="Arial" w:cs="Arial" w:eastAsia="Arial" w:hAnsi="Arial"/>
                <w:sz w:val="16"/>
                <w:szCs w:val="16"/>
                <w:color w:val="auto"/>
              </w:rPr>
              <w:t>127.5</w:t>
            </w:r>
          </w:p>
        </w:tc>
        <w:tc>
          <w:tcPr>
            <w:tcW w:w="480" w:type="dxa"/>
            <w:vAlign w:val="bottom"/>
            <w:gridSpan w:val="2"/>
          </w:tcPr>
          <w:p>
            <w:pPr>
              <w:jc w:val="right"/>
              <w:ind w:right="260"/>
              <w:spacing w:after="0" w:line="170"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70" w:lineRule="exact"/>
              <w:rPr>
                <w:sz w:val="20"/>
                <w:szCs w:val="20"/>
                <w:color w:val="auto"/>
              </w:rPr>
            </w:pPr>
            <w:r>
              <w:rPr>
                <w:rFonts w:ascii="Arial" w:cs="Arial" w:eastAsia="Arial" w:hAnsi="Arial"/>
                <w:sz w:val="16"/>
                <w:szCs w:val="16"/>
                <w:color w:val="auto"/>
              </w:rPr>
              <w:t>101.9</w:t>
            </w:r>
          </w:p>
        </w:tc>
        <w:tc>
          <w:tcPr>
            <w:tcW w:w="300" w:type="dxa"/>
            <w:vAlign w:val="bottom"/>
            <w:gridSpan w:val="2"/>
          </w:tcPr>
          <w:p>
            <w:pPr>
              <w:jc w:val="right"/>
              <w:ind w:right="80"/>
              <w:spacing w:after="0" w:line="170"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70" w:lineRule="exact"/>
              <w:rPr>
                <w:sz w:val="20"/>
                <w:szCs w:val="20"/>
                <w:color w:val="auto"/>
              </w:rPr>
            </w:pPr>
            <w:r>
              <w:rPr>
                <w:rFonts w:ascii="Arial" w:cs="Arial" w:eastAsia="Arial" w:hAnsi="Arial"/>
                <w:sz w:val="16"/>
                <w:szCs w:val="16"/>
                <w:color w:val="auto"/>
              </w:rPr>
              <w:t>287.9</w:t>
            </w:r>
          </w:p>
        </w:tc>
        <w:tc>
          <w:tcPr>
            <w:tcW w:w="440" w:type="dxa"/>
            <w:vAlign w:val="bottom"/>
            <w:gridSpan w:val="2"/>
          </w:tcPr>
          <w:p>
            <w:pPr>
              <w:jc w:val="right"/>
              <w:ind w:right="240"/>
              <w:spacing w:after="0" w:line="170"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70" w:lineRule="exact"/>
              <w:rPr>
                <w:sz w:val="20"/>
                <w:szCs w:val="20"/>
                <w:color w:val="auto"/>
              </w:rPr>
            </w:pPr>
            <w:r>
              <w:rPr>
                <w:rFonts w:ascii="Arial" w:cs="Arial" w:eastAsia="Arial" w:hAnsi="Arial"/>
                <w:sz w:val="16"/>
                <w:szCs w:val="16"/>
                <w:color w:val="auto"/>
              </w:rPr>
              <w:t>237.3</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Adjusted Gross Margin</w:t>
            </w: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65.7%</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67.3%</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-1671320</wp:posOffset>
            </wp:positionV>
            <wp:extent cx="768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-1653540</wp:posOffset>
            </wp:positionV>
            <wp:extent cx="768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-1671320</wp:posOffset>
            </wp:positionV>
            <wp:extent cx="768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-1653540</wp:posOffset>
            </wp:positionV>
            <wp:extent cx="768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-1671320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-1653540</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-1293495</wp:posOffset>
            </wp:positionV>
            <wp:extent cx="768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-1293495</wp:posOffset>
            </wp:positionV>
            <wp:extent cx="768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-1293495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-290830</wp:posOffset>
            </wp:positionV>
            <wp:extent cx="768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-273685</wp:posOffset>
            </wp:positionV>
            <wp:extent cx="768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-290830</wp:posOffset>
            </wp:positionV>
            <wp:extent cx="768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-273685</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-290830</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-273685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768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768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768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237426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ind w:left="260" w:hanging="252"/>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1D1C1D"/>
        </w:rPr>
        <w:t>Figures in the table may not total or recalculate due to rounding. Totals and percentage changes are calculated based on unrounded numbers</w:t>
      </w:r>
      <w:r>
        <w:rPr>
          <w:rFonts w:ascii="Arial" w:cs="Arial" w:eastAsia="Arial" w:hAnsi="Arial"/>
          <w:sz w:val="14"/>
          <w:szCs w:val="14"/>
          <w:color w:val="000000"/>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gridSpan w:val="7"/>
          </w:tcPr>
          <w:p>
            <w:pPr>
              <w:jc w:val="right"/>
              <w:ind w:right="559"/>
              <w:spacing w:after="0"/>
              <w:rPr>
                <w:sz w:val="20"/>
                <w:szCs w:val="20"/>
                <w:color w:val="auto"/>
              </w:rPr>
            </w:pPr>
            <w:r>
              <w:rPr>
                <w:rFonts w:ascii="Arial" w:cs="Arial" w:eastAsia="Arial" w:hAnsi="Arial"/>
                <w:sz w:val="16"/>
                <w:szCs w:val="16"/>
                <w:b w:val="1"/>
                <w:bCs w:val="1"/>
                <w:color w:val="auto"/>
              </w:rPr>
              <w:t>Three Months Ended September 30, 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gridSpan w:val="7"/>
          </w:tcPr>
          <w:p>
            <w:pPr>
              <w:jc w:val="right"/>
              <w:ind w:right="459"/>
              <w:spacing w:after="0"/>
              <w:rPr>
                <w:sz w:val="20"/>
                <w:szCs w:val="20"/>
                <w:color w:val="auto"/>
              </w:rPr>
            </w:pPr>
            <w:r>
              <w:rPr>
                <w:rFonts w:ascii="Arial" w:cs="Arial" w:eastAsia="Arial" w:hAnsi="Arial"/>
                <w:sz w:val="16"/>
                <w:szCs w:val="16"/>
                <w:b w:val="1"/>
                <w:bCs w:val="1"/>
                <w:color w:val="auto"/>
              </w:rPr>
              <w:t>Three Months Ended September 30, 2024</w:t>
            </w:r>
          </w:p>
        </w:tc>
        <w:tc>
          <w:tcPr>
            <w:tcW w:w="0" w:type="dxa"/>
            <w:vAlign w:val="bottom"/>
          </w:tcPr>
          <w:p>
            <w:pPr>
              <w:spacing w:after="0"/>
              <w:rPr>
                <w:sz w:val="1"/>
                <w:szCs w:val="1"/>
                <w:color w:val="auto"/>
              </w:rPr>
            </w:pPr>
          </w:p>
        </w:tc>
      </w:tr>
      <w:tr>
        <w:trPr>
          <w:trHeight w:val="168"/>
        </w:trPr>
        <w:tc>
          <w:tcPr>
            <w:tcW w:w="224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Transaction</w:t>
            </w:r>
          </w:p>
        </w:tc>
        <w:tc>
          <w:tcPr>
            <w:tcW w:w="1580" w:type="dxa"/>
            <w:vAlign w:val="bottom"/>
            <w:gridSpan w:val="3"/>
          </w:tcPr>
          <w:p>
            <w:pPr>
              <w:ind w:left="120"/>
              <w:spacing w:after="0" w:line="168" w:lineRule="exact"/>
              <w:rPr>
                <w:sz w:val="20"/>
                <w:szCs w:val="20"/>
                <w:color w:val="auto"/>
              </w:rPr>
            </w:pPr>
            <w:r>
              <w:rPr>
                <w:rFonts w:ascii="Arial" w:cs="Arial" w:eastAsia="Arial" w:hAnsi="Arial"/>
                <w:sz w:val="16"/>
                <w:szCs w:val="16"/>
                <w:b w:val="1"/>
                <w:bCs w:val="1"/>
                <w:color w:val="auto"/>
              </w:rPr>
              <w:t>Platform and other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Transaction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auto"/>
              </w:rPr>
              <w:t>Platform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128"/>
        </w:trPr>
        <w:tc>
          <w:tcPr>
            <w:tcW w:w="22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other revenues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167.2</w:t>
            </w:r>
          </w:p>
        </w:tc>
        <w:tc>
          <w:tcPr>
            <w:tcW w:w="34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33.0</w:t>
            </w:r>
          </w:p>
        </w:tc>
        <w:tc>
          <w:tcPr>
            <w:tcW w:w="3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200.1</w:t>
            </w:r>
          </w:p>
        </w:tc>
        <w:tc>
          <w:tcPr>
            <w:tcW w:w="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134.4</w:t>
            </w:r>
          </w:p>
        </w:tc>
        <w:tc>
          <w:tcPr>
            <w:tcW w:w="2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22.4</w:t>
            </w:r>
          </w:p>
        </w:tc>
        <w:tc>
          <w:tcPr>
            <w:tcW w:w="3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175"/>
        </w:trPr>
        <w:tc>
          <w:tcPr>
            <w:tcW w:w="2240" w:type="dxa"/>
            <w:vAlign w:val="bottom"/>
          </w:tcPr>
          <w:p>
            <w:pPr>
              <w:spacing w:after="0" w:line="175" w:lineRule="exact"/>
              <w:rPr>
                <w:sz w:val="20"/>
                <w:szCs w:val="20"/>
                <w:color w:val="auto"/>
              </w:rPr>
            </w:pPr>
            <w:r>
              <w:rPr>
                <w:rFonts w:ascii="Arial" w:cs="Arial" w:eastAsia="Arial" w:hAnsi="Arial"/>
                <w:sz w:val="16"/>
                <w:szCs w:val="16"/>
                <w:color w:val="auto"/>
              </w:rPr>
              <w:t>Adjusted to exclude gross up</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for:</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Pass-through cost for printing</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20"/>
        </w:trPr>
        <w:tc>
          <w:tcPr>
            <w:tcW w:w="22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and mailing</w:t>
            </w: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20"/>
                <w:szCs w:val="20"/>
                <w:color w:val="auto"/>
              </w:rPr>
            </w:pPr>
            <w:r>
              <w:rPr>
                <w:rFonts w:ascii="Arial" w:cs="Arial" w:eastAsia="Arial" w:hAnsi="Arial"/>
                <w:sz w:val="16"/>
                <w:szCs w:val="16"/>
                <w:color w:val="auto"/>
              </w:rPr>
              <w:t>Marketing fees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8"/>
        </w:trPr>
        <w:tc>
          <w:tcPr>
            <w:tcW w:w="224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Revenue Less Ancillary</w:t>
            </w:r>
          </w:p>
        </w:tc>
        <w:tc>
          <w:tcPr>
            <w:tcW w:w="2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165.7</w:t>
            </w:r>
          </w:p>
        </w:tc>
        <w:tc>
          <w:tcPr>
            <w:tcW w:w="340" w:type="dxa"/>
            <w:vAlign w:val="bottom"/>
            <w:gridSpan w:val="2"/>
            <w:vMerge w:val="restart"/>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3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194.1</w:t>
            </w:r>
          </w:p>
        </w:tc>
        <w:tc>
          <w:tcPr>
            <w:tcW w:w="2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133.2</w:t>
            </w:r>
          </w:p>
        </w:tc>
        <w:tc>
          <w:tcPr>
            <w:tcW w:w="2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3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spacing w:after="0" w:line="143" w:lineRule="exact"/>
              <w:rPr>
                <w:sz w:val="20"/>
                <w:szCs w:val="20"/>
                <w:color w:val="auto"/>
              </w:rPr>
            </w:pPr>
            <w:r>
              <w:rPr>
                <w:rFonts w:ascii="Arial" w:cs="Arial" w:eastAsia="Arial" w:hAnsi="Arial"/>
                <w:sz w:val="16"/>
                <w:szCs w:val="16"/>
                <w:color w:val="auto"/>
              </w:rPr>
              <w:t>Services</w:t>
            </w:r>
          </w:p>
        </w:tc>
        <w:tc>
          <w:tcPr>
            <w:tcW w:w="280" w:type="dxa"/>
            <w:vAlign w:val="bottom"/>
            <w:gridSpan w:val="2"/>
            <w:vMerge w:val="continue"/>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340" w:type="dxa"/>
            <w:vAlign w:val="bottom"/>
            <w:gridSpan w:val="2"/>
            <w:vMerge w:val="continue"/>
            <w:shd w:val="clear" w:color="auto" w:fill="CFF0FC"/>
          </w:tcPr>
          <w:p>
            <w:pPr>
              <w:spacing w:after="0"/>
              <w:rPr>
                <w:sz w:val="17"/>
                <w:szCs w:val="17"/>
                <w:color w:val="auto"/>
              </w:rPr>
            </w:pPr>
          </w:p>
        </w:tc>
        <w:tc>
          <w:tcPr>
            <w:tcW w:w="1240" w:type="dxa"/>
            <w:vAlign w:val="bottom"/>
            <w:vMerge w:val="continue"/>
            <w:shd w:val="clear" w:color="auto" w:fill="CFF0FC"/>
          </w:tcPr>
          <w:p>
            <w:pPr>
              <w:spacing w:after="0"/>
              <w:rPr>
                <w:sz w:val="17"/>
                <w:szCs w:val="17"/>
                <w:color w:val="auto"/>
              </w:rPr>
            </w:pPr>
          </w:p>
        </w:tc>
        <w:tc>
          <w:tcPr>
            <w:tcW w:w="340" w:type="dxa"/>
            <w:vAlign w:val="bottom"/>
            <w:gridSpan w:val="2"/>
            <w:vMerge w:val="continue"/>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260" w:type="dxa"/>
            <w:vAlign w:val="bottom"/>
            <w:gridSpan w:val="2"/>
            <w:vMerge w:val="continue"/>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220" w:type="dxa"/>
            <w:vAlign w:val="bottom"/>
            <w:gridSpan w:val="2"/>
            <w:vMerge w:val="continue"/>
            <w:shd w:val="clear" w:color="auto" w:fill="CFF0FC"/>
          </w:tcPr>
          <w:p>
            <w:pPr>
              <w:spacing w:after="0"/>
              <w:rPr>
                <w:sz w:val="17"/>
                <w:szCs w:val="17"/>
                <w:color w:val="auto"/>
              </w:rPr>
            </w:pPr>
          </w:p>
        </w:tc>
        <w:tc>
          <w:tcPr>
            <w:tcW w:w="1340" w:type="dxa"/>
            <w:vAlign w:val="bottom"/>
            <w:vMerge w:val="continue"/>
            <w:shd w:val="clear" w:color="auto" w:fill="CFF0FC"/>
          </w:tcPr>
          <w:p>
            <w:pPr>
              <w:spacing w:after="0"/>
              <w:rPr>
                <w:sz w:val="17"/>
                <w:szCs w:val="17"/>
                <w:color w:val="auto"/>
              </w:rPr>
            </w:pPr>
          </w:p>
        </w:tc>
        <w:tc>
          <w:tcPr>
            <w:tcW w:w="320" w:type="dxa"/>
            <w:vAlign w:val="bottom"/>
            <w:gridSpan w:val="2"/>
            <w:vMerge w:val="continue"/>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24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Percentage of Revenue</w:t>
            </w:r>
          </w:p>
        </w:tc>
        <w:tc>
          <w:tcPr>
            <w:tcW w:w="1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83.5%</w:t>
            </w: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16.5%</w:t>
            </w: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100.0%</w:t>
            </w: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85.7%</w:t>
            </w: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14.3%</w:t>
            </w:r>
          </w:p>
        </w:tc>
        <w:tc>
          <w:tcPr>
            <w:tcW w:w="1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75"/>
        </w:trPr>
        <w:tc>
          <w:tcPr>
            <w:tcW w:w="22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Percentage of Revenue Less</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85.4%</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88.0%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20"/>
        </w:trPr>
        <w:tc>
          <w:tcPr>
            <w:tcW w:w="22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Ancillary Services</w:t>
            </w: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-385445</wp:posOffset>
            </wp:positionV>
            <wp:extent cx="76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-368300</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-385445</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-368300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-385445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-368300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-385445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-368300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-385445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-368300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7426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1D1C1D"/>
        </w:rPr>
        <w:t>Figures in the table may not total or recalculate due to rounding. Totals and percentage changes are calculated based on unrounded numbers</w:t>
      </w:r>
      <w:r>
        <w:rPr>
          <w:rFonts w:ascii="Arial" w:cs="Arial" w:eastAsia="Arial" w:hAnsi="Arial"/>
          <w:sz w:val="14"/>
          <w:szCs w:val="14"/>
          <w:color w:val="000000"/>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gridSpan w:val="7"/>
          </w:tcPr>
          <w:p>
            <w:pPr>
              <w:jc w:val="right"/>
              <w:ind w:right="599"/>
              <w:spacing w:after="0"/>
              <w:rPr>
                <w:sz w:val="20"/>
                <w:szCs w:val="20"/>
                <w:color w:val="auto"/>
              </w:rPr>
            </w:pPr>
            <w:r>
              <w:rPr>
                <w:rFonts w:ascii="Arial" w:cs="Arial" w:eastAsia="Arial" w:hAnsi="Arial"/>
                <w:sz w:val="16"/>
                <w:szCs w:val="16"/>
                <w:b w:val="1"/>
                <w:bCs w:val="1"/>
                <w:color w:val="auto"/>
              </w:rPr>
              <w:t>Nine Months Ended September 30, 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6"/>
                <w:szCs w:val="16"/>
                <w:b w:val="1"/>
                <w:bCs w:val="1"/>
                <w:color w:val="auto"/>
              </w:rPr>
              <w:t>Nine Months Ended September 30, 2024</w:t>
            </w:r>
          </w:p>
        </w:tc>
        <w:tc>
          <w:tcPr>
            <w:tcW w:w="0" w:type="dxa"/>
            <w:vAlign w:val="bottom"/>
          </w:tcPr>
          <w:p>
            <w:pPr>
              <w:spacing w:after="0"/>
              <w:rPr>
                <w:sz w:val="1"/>
                <w:szCs w:val="1"/>
                <w:color w:val="auto"/>
              </w:rPr>
            </w:pPr>
          </w:p>
        </w:tc>
      </w:tr>
      <w:tr>
        <w:trPr>
          <w:trHeight w:val="168"/>
        </w:trPr>
        <w:tc>
          <w:tcPr>
            <w:tcW w:w="224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Transaction</w:t>
            </w:r>
          </w:p>
        </w:tc>
        <w:tc>
          <w:tcPr>
            <w:tcW w:w="1580" w:type="dxa"/>
            <w:vAlign w:val="bottom"/>
            <w:gridSpan w:val="3"/>
          </w:tcPr>
          <w:p>
            <w:pPr>
              <w:ind w:left="120"/>
              <w:spacing w:after="0" w:line="168" w:lineRule="exact"/>
              <w:rPr>
                <w:sz w:val="20"/>
                <w:szCs w:val="20"/>
                <w:color w:val="auto"/>
              </w:rPr>
            </w:pPr>
            <w:r>
              <w:rPr>
                <w:rFonts w:ascii="Arial" w:cs="Arial" w:eastAsia="Arial" w:hAnsi="Arial"/>
                <w:sz w:val="16"/>
                <w:szCs w:val="16"/>
                <w:b w:val="1"/>
                <w:bCs w:val="1"/>
                <w:color w:val="auto"/>
              </w:rPr>
              <w:t>Platform and other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Transaction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99"/>
              <w:spacing w:after="0" w:line="168" w:lineRule="exact"/>
              <w:rPr>
                <w:sz w:val="20"/>
                <w:szCs w:val="20"/>
                <w:color w:val="auto"/>
              </w:rPr>
            </w:pPr>
            <w:r>
              <w:rPr>
                <w:rFonts w:ascii="Arial" w:cs="Arial" w:eastAsia="Arial" w:hAnsi="Arial"/>
                <w:sz w:val="16"/>
                <w:szCs w:val="16"/>
                <w:b w:val="1"/>
                <w:bCs w:val="1"/>
                <w:color w:val="auto"/>
              </w:rPr>
              <w:t>Platform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128"/>
        </w:trPr>
        <w:tc>
          <w:tcPr>
            <w:tcW w:w="22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other revenues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376.2</w:t>
            </w:r>
          </w:p>
        </w:tc>
        <w:tc>
          <w:tcPr>
            <w:tcW w:w="34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89.2</w:t>
            </w:r>
          </w:p>
        </w:tc>
        <w:tc>
          <w:tcPr>
            <w:tcW w:w="3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465.5</w:t>
            </w:r>
          </w:p>
        </w:tc>
        <w:tc>
          <w:tcPr>
            <w:tcW w:w="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314.9</w:t>
            </w:r>
          </w:p>
        </w:tc>
        <w:tc>
          <w:tcPr>
            <w:tcW w:w="2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59.6</w:t>
            </w:r>
          </w:p>
        </w:tc>
        <w:tc>
          <w:tcPr>
            <w:tcW w:w="3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374.6</w:t>
            </w:r>
          </w:p>
        </w:tc>
        <w:tc>
          <w:tcPr>
            <w:tcW w:w="0" w:type="dxa"/>
            <w:vAlign w:val="bottom"/>
          </w:tcPr>
          <w:p>
            <w:pPr>
              <w:spacing w:after="0"/>
              <w:rPr>
                <w:sz w:val="1"/>
                <w:szCs w:val="1"/>
                <w:color w:val="auto"/>
              </w:rPr>
            </w:pPr>
          </w:p>
        </w:tc>
      </w:tr>
      <w:tr>
        <w:trPr>
          <w:trHeight w:val="175"/>
        </w:trPr>
        <w:tc>
          <w:tcPr>
            <w:tcW w:w="2240" w:type="dxa"/>
            <w:vAlign w:val="bottom"/>
          </w:tcPr>
          <w:p>
            <w:pPr>
              <w:spacing w:after="0" w:line="175" w:lineRule="exact"/>
              <w:rPr>
                <w:sz w:val="20"/>
                <w:szCs w:val="20"/>
                <w:color w:val="auto"/>
              </w:rPr>
            </w:pPr>
            <w:r>
              <w:rPr>
                <w:rFonts w:ascii="Arial" w:cs="Arial" w:eastAsia="Arial" w:hAnsi="Arial"/>
                <w:sz w:val="16"/>
                <w:szCs w:val="16"/>
                <w:color w:val="auto"/>
              </w:rPr>
              <w:t>Adjusted to exclude gross up</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for:</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Pass-through cost for printing</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20"/>
        </w:trPr>
        <w:tc>
          <w:tcPr>
            <w:tcW w:w="22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and mailing</w:t>
            </w: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20"/>
                <w:szCs w:val="20"/>
                <w:color w:val="auto"/>
              </w:rPr>
            </w:pPr>
            <w:r>
              <w:rPr>
                <w:rFonts w:ascii="Arial" w:cs="Arial" w:eastAsia="Arial" w:hAnsi="Arial"/>
                <w:sz w:val="16"/>
                <w:szCs w:val="16"/>
                <w:color w:val="auto"/>
              </w:rPr>
              <w:t>Marketing fees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8"/>
        </w:trPr>
        <w:tc>
          <w:tcPr>
            <w:tcW w:w="224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Revenue Less Ancillary</w:t>
            </w:r>
          </w:p>
        </w:tc>
        <w:tc>
          <w:tcPr>
            <w:tcW w:w="2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374.3</w:t>
            </w:r>
          </w:p>
        </w:tc>
        <w:tc>
          <w:tcPr>
            <w:tcW w:w="340" w:type="dxa"/>
            <w:vAlign w:val="bottom"/>
            <w:gridSpan w:val="2"/>
            <w:vMerge w:val="restart"/>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76.0</w:t>
            </w:r>
          </w:p>
        </w:tc>
        <w:tc>
          <w:tcPr>
            <w:tcW w:w="3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450.3</w:t>
            </w:r>
          </w:p>
        </w:tc>
        <w:tc>
          <w:tcPr>
            <w:tcW w:w="2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313.2</w:t>
            </w:r>
          </w:p>
        </w:tc>
        <w:tc>
          <w:tcPr>
            <w:tcW w:w="2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48.2</w:t>
            </w:r>
          </w:p>
        </w:tc>
        <w:tc>
          <w:tcPr>
            <w:tcW w:w="3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361.5</w:t>
            </w: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spacing w:after="0" w:line="143" w:lineRule="exact"/>
              <w:rPr>
                <w:sz w:val="20"/>
                <w:szCs w:val="20"/>
                <w:color w:val="auto"/>
              </w:rPr>
            </w:pPr>
            <w:r>
              <w:rPr>
                <w:rFonts w:ascii="Arial" w:cs="Arial" w:eastAsia="Arial" w:hAnsi="Arial"/>
                <w:sz w:val="16"/>
                <w:szCs w:val="16"/>
                <w:color w:val="auto"/>
              </w:rPr>
              <w:t>Services</w:t>
            </w:r>
          </w:p>
        </w:tc>
        <w:tc>
          <w:tcPr>
            <w:tcW w:w="280" w:type="dxa"/>
            <w:vAlign w:val="bottom"/>
            <w:gridSpan w:val="2"/>
            <w:vMerge w:val="continue"/>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340" w:type="dxa"/>
            <w:vAlign w:val="bottom"/>
            <w:gridSpan w:val="2"/>
            <w:vMerge w:val="continue"/>
            <w:shd w:val="clear" w:color="auto" w:fill="CFF0FC"/>
          </w:tcPr>
          <w:p>
            <w:pPr>
              <w:spacing w:after="0"/>
              <w:rPr>
                <w:sz w:val="17"/>
                <w:szCs w:val="17"/>
                <w:color w:val="auto"/>
              </w:rPr>
            </w:pPr>
          </w:p>
        </w:tc>
        <w:tc>
          <w:tcPr>
            <w:tcW w:w="1240" w:type="dxa"/>
            <w:vAlign w:val="bottom"/>
            <w:vMerge w:val="continue"/>
            <w:shd w:val="clear" w:color="auto" w:fill="CFF0FC"/>
          </w:tcPr>
          <w:p>
            <w:pPr>
              <w:spacing w:after="0"/>
              <w:rPr>
                <w:sz w:val="17"/>
                <w:szCs w:val="17"/>
                <w:color w:val="auto"/>
              </w:rPr>
            </w:pPr>
          </w:p>
        </w:tc>
        <w:tc>
          <w:tcPr>
            <w:tcW w:w="340" w:type="dxa"/>
            <w:vAlign w:val="bottom"/>
            <w:gridSpan w:val="2"/>
            <w:vMerge w:val="continue"/>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260" w:type="dxa"/>
            <w:vAlign w:val="bottom"/>
            <w:gridSpan w:val="2"/>
            <w:vMerge w:val="continue"/>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220" w:type="dxa"/>
            <w:vAlign w:val="bottom"/>
            <w:gridSpan w:val="2"/>
            <w:vMerge w:val="continue"/>
            <w:shd w:val="clear" w:color="auto" w:fill="CFF0FC"/>
          </w:tcPr>
          <w:p>
            <w:pPr>
              <w:spacing w:after="0"/>
              <w:rPr>
                <w:sz w:val="17"/>
                <w:szCs w:val="17"/>
                <w:color w:val="auto"/>
              </w:rPr>
            </w:pPr>
          </w:p>
        </w:tc>
        <w:tc>
          <w:tcPr>
            <w:tcW w:w="1340" w:type="dxa"/>
            <w:vAlign w:val="bottom"/>
            <w:vMerge w:val="continue"/>
            <w:shd w:val="clear" w:color="auto" w:fill="CFF0FC"/>
          </w:tcPr>
          <w:p>
            <w:pPr>
              <w:spacing w:after="0"/>
              <w:rPr>
                <w:sz w:val="17"/>
                <w:szCs w:val="17"/>
                <w:color w:val="auto"/>
              </w:rPr>
            </w:pPr>
          </w:p>
        </w:tc>
        <w:tc>
          <w:tcPr>
            <w:tcW w:w="320" w:type="dxa"/>
            <w:vAlign w:val="bottom"/>
            <w:gridSpan w:val="2"/>
            <w:vMerge w:val="continue"/>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24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Percentage of Revenue</w:t>
            </w:r>
          </w:p>
        </w:tc>
        <w:tc>
          <w:tcPr>
            <w:tcW w:w="1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80.8%</w:t>
            </w: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19.2%</w:t>
            </w: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100.0%</w:t>
            </w: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84.1%</w:t>
            </w: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15.9%</w:t>
            </w:r>
          </w:p>
        </w:tc>
        <w:tc>
          <w:tcPr>
            <w:tcW w:w="1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75"/>
        </w:trPr>
        <w:tc>
          <w:tcPr>
            <w:tcW w:w="22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Percentage of Revenue Less</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83.1%</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86.7%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20"/>
        </w:trPr>
        <w:tc>
          <w:tcPr>
            <w:tcW w:w="22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Ancillary Services</w:t>
            </w: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-385445</wp:posOffset>
            </wp:positionV>
            <wp:extent cx="768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-367665</wp:posOffset>
            </wp:positionV>
            <wp:extent cx="768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-385445</wp:posOffset>
            </wp:positionV>
            <wp:extent cx="768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-367665</wp:posOffset>
            </wp:positionV>
            <wp:extent cx="7683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-385445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-367665</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-385445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-367665</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-385445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-367665</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7426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1D1C1D"/>
        </w:rPr>
        <w:t>Figures in the table may not total or recalculate due to rounding. Totals and percentage changes are calculated based on unrounded numbers</w:t>
      </w:r>
      <w:r>
        <w:rPr>
          <w:rFonts w:ascii="Arial" w:cs="Arial" w:eastAsia="Arial" w:hAnsi="Arial"/>
          <w:sz w:val="14"/>
          <w:szCs w:val="14"/>
          <w:color w:val="000000"/>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FX Neutral Revenue Less Ancillary Services*: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September 30,</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23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(dollars in millions)</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83"/>
        </w:trPr>
        <w:tc>
          <w:tcPr>
            <w:tcW w:w="2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200.1</w:t>
            </w:r>
          </w:p>
        </w:tc>
        <w:tc>
          <w:tcPr>
            <w:tcW w:w="48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156.8</w:t>
            </w:r>
          </w:p>
        </w:tc>
        <w:tc>
          <w:tcPr>
            <w:tcW w:w="11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28%</w:t>
            </w:r>
          </w:p>
        </w:tc>
        <w:tc>
          <w:tcPr>
            <w:tcW w:w="3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465.5</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374.6</w:t>
            </w:r>
          </w:p>
        </w:tc>
        <w:tc>
          <w:tcPr>
            <w:tcW w:w="11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6"/>
                <w:szCs w:val="16"/>
                <w:color w:val="auto"/>
              </w:rPr>
              <w:t>Ancillary services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30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Revenue Less Ancillary</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194.1</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151.4</w:t>
            </w:r>
          </w:p>
        </w:tc>
        <w:tc>
          <w:tcPr>
            <w:tcW w:w="11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450.3</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361.5</w:t>
            </w:r>
          </w:p>
        </w:tc>
        <w:tc>
          <w:tcPr>
            <w:tcW w:w="11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93"/>
        </w:trPr>
        <w:tc>
          <w:tcPr>
            <w:tcW w:w="2300" w:type="dxa"/>
            <w:vAlign w:val="bottom"/>
            <w:vMerge w:val="restart"/>
            <w:shd w:val="clear" w:color="auto" w:fill="CFF0FC"/>
          </w:tcPr>
          <w:p>
            <w:pPr>
              <w:spacing w:after="0" w:line="143" w:lineRule="exact"/>
              <w:rPr>
                <w:sz w:val="20"/>
                <w:szCs w:val="20"/>
                <w:color w:val="auto"/>
              </w:rPr>
            </w:pPr>
            <w:r>
              <w:rPr>
                <w:rFonts w:ascii="Arial" w:cs="Arial" w:eastAsia="Arial" w:hAnsi="Arial"/>
                <w:sz w:val="16"/>
                <w:szCs w:val="16"/>
                <w:color w:val="auto"/>
              </w:rPr>
              <w:t>Services</w:t>
            </w: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400" w:type="dxa"/>
            <w:vAlign w:val="bottom"/>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40" w:type="dxa"/>
            <w:vAlign w:val="bottom"/>
            <w:vMerge w:val="continue"/>
            <w:shd w:val="clear" w:color="auto" w:fill="CFF0FC"/>
          </w:tcPr>
          <w:p>
            <w:pPr>
              <w:spacing w:after="0"/>
              <w:rPr>
                <w:sz w:val="8"/>
                <w:szCs w:val="8"/>
                <w:color w:val="auto"/>
              </w:rPr>
            </w:pPr>
          </w:p>
        </w:tc>
        <w:tc>
          <w:tcPr>
            <w:tcW w:w="112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40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20" w:type="dxa"/>
            <w:vAlign w:val="bottom"/>
            <w:vMerge w:val="continue"/>
            <w:shd w:val="clear" w:color="auto" w:fill="CFF0FC"/>
          </w:tcPr>
          <w:p>
            <w:pPr>
              <w:spacing w:after="0"/>
              <w:rPr>
                <w:sz w:val="8"/>
                <w:szCs w:val="8"/>
                <w:color w:val="auto"/>
              </w:rPr>
            </w:pPr>
          </w:p>
        </w:tc>
        <w:tc>
          <w:tcPr>
            <w:tcW w:w="110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300" w:type="dxa"/>
            <w:vAlign w:val="bottom"/>
            <w:tcBorders>
              <w:bottom w:val="single" w:sz="8" w:color="CFF0FC"/>
            </w:tcBorders>
            <w:vMerge w:val="continue"/>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1400" w:type="dxa"/>
            <w:vAlign w:val="bottom"/>
            <w:tcBorders>
              <w:bottom w:val="single" w:sz="8" w:color="auto"/>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340" w:type="dxa"/>
            <w:vAlign w:val="bottom"/>
            <w:tcBorders>
              <w:bottom w:val="single" w:sz="8" w:color="auto"/>
            </w:tcBorders>
            <w:shd w:val="clear" w:color="auto" w:fill="CFF0FC"/>
          </w:tcPr>
          <w:p>
            <w:pPr>
              <w:spacing w:after="0"/>
              <w:rPr>
                <w:sz w:val="9"/>
                <w:szCs w:val="9"/>
                <w:color w:val="auto"/>
              </w:rPr>
            </w:pPr>
          </w:p>
        </w:tc>
        <w:tc>
          <w:tcPr>
            <w:tcW w:w="1240" w:type="dxa"/>
            <w:vAlign w:val="bottom"/>
            <w:tcBorders>
              <w:bottom w:val="single" w:sz="8" w:color="auto"/>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140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340" w:type="dxa"/>
            <w:vAlign w:val="bottom"/>
            <w:tcBorders>
              <w:bottom w:val="single" w:sz="8" w:color="auto"/>
            </w:tcBorders>
            <w:shd w:val="clear" w:color="auto" w:fill="CFF0FC"/>
          </w:tcPr>
          <w:p>
            <w:pPr>
              <w:spacing w:after="0"/>
              <w:rPr>
                <w:sz w:val="9"/>
                <w:szCs w:val="9"/>
                <w:color w:val="auto"/>
              </w:rPr>
            </w:pPr>
          </w:p>
        </w:tc>
        <w:tc>
          <w:tcPr>
            <w:tcW w:w="122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6"/>
                <w:szCs w:val="16"/>
                <w:color w:val="auto"/>
              </w:rPr>
              <w:t>Effects of foreign currency rate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300" w:type="dxa"/>
            <w:vAlign w:val="bottom"/>
            <w:vMerge w:val="restart"/>
          </w:tcPr>
          <w:p>
            <w:pPr>
              <w:spacing w:after="0"/>
              <w:rPr>
                <w:sz w:val="20"/>
                <w:szCs w:val="20"/>
                <w:color w:val="auto"/>
              </w:rPr>
            </w:pPr>
            <w:r>
              <w:rPr>
                <w:rFonts w:ascii="Arial" w:cs="Arial" w:eastAsia="Arial" w:hAnsi="Arial"/>
                <w:sz w:val="16"/>
                <w:szCs w:val="16"/>
                <w:color w:val="auto"/>
              </w:rPr>
              <w:t>fluctuations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3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30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FX Neutral Revenue Less</w:t>
            </w:r>
          </w:p>
        </w:tc>
        <w:tc>
          <w:tcPr>
            <w:tcW w:w="2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191.2</w:t>
            </w:r>
          </w:p>
        </w:tc>
        <w:tc>
          <w:tcPr>
            <w:tcW w:w="4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151.4</w:t>
            </w:r>
          </w:p>
        </w:tc>
        <w:tc>
          <w:tcPr>
            <w:tcW w:w="11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3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446.8</w:t>
            </w:r>
          </w:p>
        </w:tc>
        <w:tc>
          <w:tcPr>
            <w:tcW w:w="4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361.5</w:t>
            </w:r>
          </w:p>
        </w:tc>
        <w:tc>
          <w:tcPr>
            <w:tcW w:w="11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3"/>
        </w:trPr>
        <w:tc>
          <w:tcPr>
            <w:tcW w:w="2300" w:type="dxa"/>
            <w:vAlign w:val="bottom"/>
            <w:shd w:val="clear" w:color="auto" w:fill="CFF0FC"/>
          </w:tcPr>
          <w:p>
            <w:pPr>
              <w:spacing w:after="0" w:line="143" w:lineRule="exact"/>
              <w:rPr>
                <w:sz w:val="20"/>
                <w:szCs w:val="20"/>
                <w:color w:val="auto"/>
              </w:rPr>
            </w:pPr>
            <w:r>
              <w:rPr>
                <w:rFonts w:ascii="Arial" w:cs="Arial" w:eastAsia="Arial" w:hAnsi="Arial"/>
                <w:sz w:val="16"/>
                <w:szCs w:val="16"/>
                <w:color w:val="auto"/>
              </w:rPr>
              <w:t>Ancillary Services</w:t>
            </w:r>
          </w:p>
        </w:tc>
        <w:tc>
          <w:tcPr>
            <w:tcW w:w="240" w:type="dxa"/>
            <w:vAlign w:val="bottom"/>
            <w:gridSpan w:val="2"/>
            <w:vMerge w:val="continue"/>
            <w:shd w:val="clear" w:color="auto" w:fill="CFF0FC"/>
          </w:tcPr>
          <w:p>
            <w:pPr>
              <w:spacing w:after="0"/>
              <w:rPr>
                <w:sz w:val="15"/>
                <w:szCs w:val="15"/>
                <w:color w:val="auto"/>
              </w:rPr>
            </w:pPr>
          </w:p>
        </w:tc>
        <w:tc>
          <w:tcPr>
            <w:tcW w:w="1400" w:type="dxa"/>
            <w:vAlign w:val="bottom"/>
            <w:vMerge w:val="continue"/>
            <w:shd w:val="clear" w:color="auto" w:fill="CFF0FC"/>
          </w:tcPr>
          <w:p>
            <w:pPr>
              <w:spacing w:after="0"/>
              <w:rPr>
                <w:sz w:val="15"/>
                <w:szCs w:val="15"/>
                <w:color w:val="auto"/>
              </w:rPr>
            </w:pPr>
          </w:p>
        </w:tc>
        <w:tc>
          <w:tcPr>
            <w:tcW w:w="480" w:type="dxa"/>
            <w:vAlign w:val="bottom"/>
            <w:gridSpan w:val="2"/>
            <w:vMerge w:val="continue"/>
            <w:shd w:val="clear" w:color="auto" w:fill="CFF0FC"/>
          </w:tcPr>
          <w:p>
            <w:pPr>
              <w:spacing w:after="0"/>
              <w:rPr>
                <w:sz w:val="15"/>
                <w:szCs w:val="15"/>
                <w:color w:val="auto"/>
              </w:rPr>
            </w:pPr>
          </w:p>
        </w:tc>
        <w:tc>
          <w:tcPr>
            <w:tcW w:w="1240" w:type="dxa"/>
            <w:vAlign w:val="bottom"/>
            <w:vMerge w:val="continue"/>
            <w:shd w:val="clear" w:color="auto" w:fill="CFF0FC"/>
          </w:tcPr>
          <w:p>
            <w:pPr>
              <w:spacing w:after="0"/>
              <w:rPr>
                <w:sz w:val="15"/>
                <w:szCs w:val="15"/>
                <w:color w:val="auto"/>
              </w:rPr>
            </w:pPr>
          </w:p>
        </w:tc>
        <w:tc>
          <w:tcPr>
            <w:tcW w:w="1120" w:type="dxa"/>
            <w:vAlign w:val="bottom"/>
            <w:gridSpan w:val="2"/>
            <w:vMerge w:val="continue"/>
            <w:shd w:val="clear" w:color="auto" w:fill="CFF0FC"/>
          </w:tcPr>
          <w:p>
            <w:pPr>
              <w:spacing w:after="0"/>
              <w:rPr>
                <w:sz w:val="15"/>
                <w:szCs w:val="15"/>
                <w:color w:val="auto"/>
              </w:rPr>
            </w:pPr>
          </w:p>
        </w:tc>
        <w:tc>
          <w:tcPr>
            <w:tcW w:w="300" w:type="dxa"/>
            <w:vAlign w:val="bottom"/>
            <w:gridSpan w:val="2"/>
            <w:vMerge w:val="continue"/>
            <w:shd w:val="clear" w:color="auto" w:fill="CFF0FC"/>
          </w:tcPr>
          <w:p>
            <w:pPr>
              <w:spacing w:after="0"/>
              <w:rPr>
                <w:sz w:val="15"/>
                <w:szCs w:val="15"/>
                <w:color w:val="auto"/>
              </w:rPr>
            </w:pPr>
          </w:p>
        </w:tc>
        <w:tc>
          <w:tcPr>
            <w:tcW w:w="1400" w:type="dxa"/>
            <w:vAlign w:val="bottom"/>
            <w:vMerge w:val="continue"/>
            <w:shd w:val="clear" w:color="auto" w:fill="CFF0FC"/>
          </w:tcPr>
          <w:p>
            <w:pPr>
              <w:spacing w:after="0"/>
              <w:rPr>
                <w:sz w:val="15"/>
                <w:szCs w:val="15"/>
                <w:color w:val="auto"/>
              </w:rPr>
            </w:pPr>
          </w:p>
        </w:tc>
        <w:tc>
          <w:tcPr>
            <w:tcW w:w="440" w:type="dxa"/>
            <w:vAlign w:val="bottom"/>
            <w:gridSpan w:val="2"/>
            <w:vMerge w:val="continue"/>
            <w:shd w:val="clear" w:color="auto" w:fill="CFF0FC"/>
          </w:tcPr>
          <w:p>
            <w:pPr>
              <w:spacing w:after="0"/>
              <w:rPr>
                <w:sz w:val="15"/>
                <w:szCs w:val="15"/>
                <w:color w:val="auto"/>
              </w:rPr>
            </w:pPr>
          </w:p>
        </w:tc>
        <w:tc>
          <w:tcPr>
            <w:tcW w:w="1220" w:type="dxa"/>
            <w:vAlign w:val="bottom"/>
            <w:vMerge w:val="continue"/>
            <w:shd w:val="clear" w:color="auto" w:fill="CFF0FC"/>
          </w:tcPr>
          <w:p>
            <w:pPr>
              <w:spacing w:after="0"/>
              <w:rPr>
                <w:sz w:val="15"/>
                <w:szCs w:val="15"/>
                <w:color w:val="auto"/>
              </w:rPr>
            </w:pPr>
          </w:p>
        </w:tc>
        <w:tc>
          <w:tcPr>
            <w:tcW w:w="110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-504825</wp:posOffset>
            </wp:positionV>
            <wp:extent cx="774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-487680</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-504825</wp:posOffset>
            </wp:positionV>
            <wp:extent cx="774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-487680</wp:posOffset>
            </wp:positionV>
            <wp:extent cx="774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-504825</wp:posOffset>
            </wp:positionV>
            <wp:extent cx="768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-487680</wp:posOffset>
            </wp:positionV>
            <wp:extent cx="768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-504825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-487680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-504825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-487680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-24765</wp:posOffset>
            </wp:positionV>
            <wp:extent cx="774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-7620</wp:posOffset>
            </wp:positionV>
            <wp:extent cx="774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774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774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76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237426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1D1C1D"/>
        </w:rPr>
        <w:t>Figures in the table may not total or recalculate due to rounding. Totals and percentage changes are calculated based on unrounded numbers</w:t>
      </w:r>
      <w:r>
        <w:rPr>
          <w:rFonts w:ascii="Arial" w:cs="Arial" w:eastAsia="Arial" w:hAnsi="Arial"/>
          <w:sz w:val="14"/>
          <w:szCs w:val="14"/>
          <w:color w:val="000000"/>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EBITDA, Adjusted EBITDA and Adjusted EBITDA Margin*: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7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4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29.6</w:t>
            </w: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38.9</w:t>
            </w:r>
          </w:p>
        </w:tc>
        <w:tc>
          <w:tcPr>
            <w:tcW w:w="28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13.5</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Provision for (benefit from) income taxes</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Depreciation and amortization expense</w:t>
            </w:r>
          </w:p>
        </w:tc>
        <w:tc>
          <w:tcPr>
            <w:tcW w:w="16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83"/>
        </w:trPr>
        <w:tc>
          <w:tcPr>
            <w:tcW w:w="4700" w:type="dxa"/>
            <w:vAlign w:val="bottom"/>
          </w:tcPr>
          <w:p>
            <w:pPr>
              <w:spacing w:after="0" w:line="183" w:lineRule="exact"/>
              <w:rPr>
                <w:sz w:val="20"/>
                <w:szCs w:val="20"/>
                <w:color w:val="auto"/>
              </w:rPr>
            </w:pPr>
            <w:r>
              <w:rPr>
                <w:rFonts w:ascii="Arial" w:cs="Arial" w:eastAsia="Arial" w:hAnsi="Arial"/>
                <w:sz w:val="16"/>
                <w:szCs w:val="16"/>
                <w:color w:val="auto"/>
              </w:rPr>
              <w:t>EBITDA</w:t>
            </w:r>
          </w:p>
        </w:tc>
        <w:tc>
          <w:tcPr>
            <w:tcW w:w="16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38.8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30.3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39.5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 and related taxes</w:t>
            </w: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Change in fair value of contingent consideration</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Loss (gain) from remeasurement of foreign currency</w:t>
            </w: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Gain on available-for-sale debt securities</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Indirect taxes related to intercompany activity</w:t>
            </w: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9"/>
        </w:trPr>
        <w:tc>
          <w:tcPr>
            <w:tcW w:w="4700" w:type="dxa"/>
            <w:vAlign w:val="bottom"/>
          </w:tcPr>
          <w:p>
            <w:pPr>
              <w:spacing w:after="0" w:line="189" w:lineRule="exact"/>
              <w:rPr>
                <w:sz w:val="20"/>
                <w:szCs w:val="20"/>
                <w:color w:val="auto"/>
              </w:rPr>
            </w:pPr>
            <w:r>
              <w:rPr>
                <w:rFonts w:ascii="Arial" w:cs="Arial" w:eastAsia="Arial" w:hAnsi="Arial"/>
                <w:sz w:val="16"/>
                <w:szCs w:val="16"/>
                <w:color w:val="auto"/>
              </w:rPr>
              <w:t xml:space="preserve">Acquisition related transaction costs </w:t>
            </w:r>
            <w:r>
              <w:rPr>
                <w:rFonts w:ascii="Arial" w:cs="Arial" w:eastAsia="Arial" w:hAnsi="Arial"/>
                <w:sz w:val="21"/>
                <w:szCs w:val="21"/>
                <w:color w:val="auto"/>
                <w:vertAlign w:val="superscript"/>
              </w:rPr>
              <w:t>(a)</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Restructuring</w:t>
            </w: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00" w:type="dxa"/>
            <w:vAlign w:val="bottom"/>
          </w:tcPr>
          <w:p>
            <w:pPr>
              <w:spacing w:after="0" w:line="189" w:lineRule="exact"/>
              <w:rPr>
                <w:sz w:val="20"/>
                <w:szCs w:val="20"/>
                <w:color w:val="auto"/>
              </w:rPr>
            </w:pPr>
            <w:r>
              <w:rPr>
                <w:rFonts w:ascii="Arial" w:cs="Arial" w:eastAsia="Arial" w:hAnsi="Arial"/>
                <w:sz w:val="16"/>
                <w:szCs w:val="16"/>
                <w:color w:val="auto"/>
              </w:rPr>
              <w:t xml:space="preserve">Acquisition related employee retention costs </w:t>
            </w:r>
            <w:r>
              <w:rPr>
                <w:rFonts w:ascii="Arial" w:cs="Arial" w:eastAsia="Arial" w:hAnsi="Arial"/>
                <w:sz w:val="21"/>
                <w:szCs w:val="21"/>
                <w:color w:val="auto"/>
                <w:vertAlign w:val="superscript"/>
              </w:rPr>
              <w:t>(b)</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Adjusted EBITDA</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57.1</w:t>
            </w: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42.2</w:t>
            </w:r>
          </w:p>
        </w:tc>
        <w:tc>
          <w:tcPr>
            <w:tcW w:w="28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95.1</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195"/>
        </w:trPr>
        <w:tc>
          <w:tcPr>
            <w:tcW w:w="470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Adjusted EBITDA margin</w:t>
            </w: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-1378585</wp:posOffset>
            </wp:positionV>
            <wp:extent cx="774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-1378585</wp:posOffset>
            </wp:positionV>
            <wp:extent cx="774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-1378585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-161290</wp:posOffset>
            </wp:positionV>
            <wp:extent cx="774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-144145</wp:posOffset>
            </wp:positionV>
            <wp:extent cx="7747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-161290</wp:posOffset>
            </wp:positionV>
            <wp:extent cx="774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-144145</wp:posOffset>
            </wp:positionV>
            <wp:extent cx="7747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-161290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-144145</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237426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75"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1D1C1D"/>
        </w:rPr>
        <w:t>Figures in the table may not total or recalculate due to rounding. Totals and percentage changes are calculated based on unrounded numbers</w:t>
      </w:r>
      <w:r>
        <w:rPr>
          <w:rFonts w:ascii="Arial" w:cs="Arial" w:eastAsia="Arial" w:hAnsi="Arial"/>
          <w:sz w:val="14"/>
          <w:szCs w:val="14"/>
          <w:color w:val="000000"/>
        </w:rPr>
        <w:t>.</w:t>
      </w:r>
    </w:p>
    <w:p>
      <w:pPr>
        <w:spacing w:after="0" w:line="5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9"/>
          <w:szCs w:val="19"/>
          <w:color w:val="auto"/>
          <w:vertAlign w:val="superscript"/>
        </w:rPr>
        <w:t>(a)</w:t>
      </w:r>
      <w:r>
        <w:rPr>
          <w:rFonts w:ascii="Arial" w:cs="Arial" w:eastAsia="Arial" w:hAnsi="Arial"/>
          <w:sz w:val="14"/>
          <w:szCs w:val="14"/>
          <w:color w:val="auto"/>
        </w:rPr>
        <w:t xml:space="preserve"> Acquisition-related transaction costs consisted of legal and advisory fees incurred in connection with the Sertifi acquisition.</w:t>
      </w:r>
    </w:p>
    <w:p>
      <w:pPr>
        <w:spacing w:after="0" w:line="3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9"/>
          <w:szCs w:val="19"/>
          <w:color w:val="auto"/>
          <w:vertAlign w:val="superscript"/>
        </w:rPr>
        <w:t>(b)</w:t>
      </w:r>
      <w:r>
        <w:rPr>
          <w:rFonts w:ascii="Arial" w:cs="Arial" w:eastAsia="Arial" w:hAnsi="Arial"/>
          <w:sz w:val="14"/>
          <w:szCs w:val="14"/>
          <w:color w:val="auto"/>
        </w:rPr>
        <w:t xml:space="preserve"> Acquisition-related employee retention costs consisted of costs incurred to retain and compensate Invoiced.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Margin, EBITDA Margin, Adjusted EBITDA Margin and Adjusted EBITDA Margin*: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 (A)</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200.1</w:t>
            </w:r>
          </w:p>
        </w:tc>
        <w:tc>
          <w:tcPr>
            <w:tcW w:w="48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156.8</w:t>
            </w:r>
          </w:p>
        </w:tc>
        <w:tc>
          <w:tcPr>
            <w:tcW w:w="3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465.5</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374.6</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Revenue less ancillary services (B)</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194.1</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151.4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450.3</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361.5</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Net income (C)</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EBITDA (D)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38.8</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39.5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Adjusted EBITDA (E)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Net margin (C/A)</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Net margin using RLAS (C/B)</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EBITDA Margin (D/A)</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Adjusted EBITDA Margin (E/A)</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EBITDA Margin using RLAS (D/B)</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Adjusted EBITDA Margin using RLAS (E/B)</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37426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1D1C1D"/>
        </w:rPr>
        <w:t>Figures in the table may not total or recalculate due to rounding. Totals and percentage changes are calculated based on unrounded numbers</w:t>
      </w:r>
      <w:r>
        <w:rPr>
          <w:rFonts w:ascii="Arial" w:cs="Arial" w:eastAsia="Arial" w:hAnsi="Arial"/>
          <w:sz w:val="14"/>
          <w:szCs w:val="14"/>
          <w:color w:val="000000"/>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Reconciliation of GAAP Operating Expenses to Non-GAAP Operating 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GAAP Technology and development</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17.7</w:t>
            </w:r>
          </w:p>
        </w:tc>
        <w:tc>
          <w:tcPr>
            <w:tcW w:w="48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16.7</w:t>
            </w:r>
          </w:p>
        </w:tc>
        <w:tc>
          <w:tcPr>
            <w:tcW w:w="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51.7</w:t>
            </w:r>
          </w:p>
        </w:tc>
        <w:tc>
          <w:tcPr>
            <w:tcW w:w="440" w:type="dxa"/>
            <w:vAlign w:val="bottom"/>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 Stock-based compensation expense and related taxes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 Depreciation and amortization</w:t>
            </w:r>
          </w:p>
        </w:tc>
        <w:tc>
          <w:tcPr>
            <w:tcW w:w="1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color w:val="auto"/>
              </w:rPr>
              <w:t>Non-GAAP Technology and development</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12.5</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11.9</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GAAP Selling and marketing</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41.9</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34.2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116.9</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 Stock-based compensation expense and related taxes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 Depreciation and amortization</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 Acquisition related employee retention costs</w:t>
            </w:r>
          </w:p>
        </w:tc>
        <w:tc>
          <w:tcPr>
            <w:tcW w:w="1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color w:val="auto"/>
              </w:rPr>
              <w:t>Non-GAAP Selling and marketing</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32.3</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27.0</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GAAP General and administrative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36.0</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99.2</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 Stock-based compensation expense and related taxes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 Depreciation and amortization</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 Acquisition related transaction costs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89"/>
        </w:trPr>
        <w:tc>
          <w:tcPr>
            <w:tcW w:w="4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 Change in fair value of contingent consideration</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Non-GAAP General and administrative</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27.0</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21.3</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69.1</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-25400</wp:posOffset>
            </wp:positionV>
            <wp:extent cx="76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768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-153670</wp:posOffset>
            </wp:positionV>
            <wp:extent cx="768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768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7683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-153670</wp:posOffset>
            </wp:positionV>
            <wp:extent cx="768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-153670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7426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1D1C1D"/>
        </w:rPr>
        <w:t>Figures in the table may not total or recalculate due to rounding. Totals and percentage changes are calculated based on unrounded numbers</w:t>
      </w:r>
      <w:r>
        <w:rPr>
          <w:rFonts w:ascii="Arial" w:cs="Arial" w:eastAsia="Arial" w:hAnsi="Arial"/>
          <w:sz w:val="14"/>
          <w:szCs w:val="14"/>
          <w:color w:val="000000"/>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As of September 30, 2025, our principal source of liquidity is cash and cash equivalents of $354.9 million, short-term available-for-sale debt securities of $22.4 million, and the available balance under our 2024 Amended Revolving Credit Facility of $285.0 million. Cash equivalents is comprised primarily of money market funds and bank deposits. Our short-term available-for-sale debt securities are comprised of corporate bonds, U.S. Government obligations and asset backed securities.</w:t>
      </w:r>
    </w:p>
    <w:p>
      <w:pPr>
        <w:spacing w:after="0" w:line="13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 xml:space="preserve">On August 6, 2024, we announced the Repurchase Program. On July 30, 2025, our board of directors approved an increase in the aggregate amount of voting and non-voting common stock outstanding that may be repurchased under the Repurchase Program by an additional $150.0 million, bringing the total authorized amount under the Repurchase Program to $300.0 million. For additional information on our Repurchase Program, see </w:t>
      </w:r>
      <w:r>
        <w:rPr>
          <w:rFonts w:ascii="Arial" w:cs="Arial" w:eastAsia="Arial" w:hAnsi="Arial"/>
          <w:sz w:val="18"/>
          <w:szCs w:val="18"/>
          <w:i w:val="1"/>
          <w:iCs w:val="1"/>
          <w:color w:val="auto"/>
        </w:rPr>
        <w:t>Note 13 - Stockholders’ Equity</w:t>
      </w:r>
      <w:r>
        <w:rPr>
          <w:rFonts w:ascii="Arial" w:cs="Arial" w:eastAsia="Arial" w:hAnsi="Arial"/>
          <w:sz w:val="18"/>
          <w:szCs w:val="18"/>
          <w:color w:val="auto"/>
        </w:rPr>
        <w:t xml:space="preserve"> in our condensed consolidated financial statements included elsewhere in this Quarterly Report on Form 10-Q. During the nine months ended September 30, 2025, the Company repurchased 4,889,064 shares of its common stock for an aggregate amount, including commissions and accrued excise tax, of $62.8 million under the Repurchase Program. The repurchased shares are held as treasury stock. As of September 30, 2025, approximately $191.9 million of the authorized $300 million amount under the Repurchase Program remained available for future repurchases.</w:t>
      </w:r>
    </w:p>
    <w:p>
      <w:pPr>
        <w:spacing w:after="0" w:line="153"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On February 23, 2024, we entered into our 2024 Revolving Credit Facility for a total commitment of $125.0 million, which replaced the 2021 Revolving Credit Facility of $50.0 million that was in effect as of December 31, 2023. On August 1, 2025, we entered into an amendment to the 2024 Revolving Credit Facility (2025 Revolving Credit Facility Amendment) with five banks to increase the total commitments from $125.0 million to $300.0 million and make certain conforming and administrative changes. The 2024 Revolving Credit Facility, as amended by the 2025 Revolving Credit Facility Amendment, is hereinafter referred to as, the 2024 Amended Revolving Credit Facility. Four of the lenders under the 2025 Revolving Credit Facility Amendment were existing lenders under the 2024 Revolving Credit Facility.</w:t>
      </w:r>
    </w:p>
    <w:p>
      <w:pPr>
        <w:spacing w:after="0" w:line="144"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During the nine months ended September 30, 2025, we drew down $125.0 million under the 2024 Amended Revolving Credit Facility in connection with the acquisition of Sertifi. During the nine months ended September 30, 2025, we repaid $110.0 million against the 2024 Amended Revolving Credit Facility. The outstanding balance of the 2024 Amended Revolving Credit Facility was $15.0 million at September 30, 2025. There was no outstanding balance of the 2024 Revolving Credit Facility at December 31, 2024.</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57" w:name="page58"/>
    <w:bookmarkEnd w:id="57"/>
    <w:p>
      <w:pPr>
        <w:ind w:right="20" w:firstLine="509"/>
        <w:spacing w:after="0" w:line="238" w:lineRule="auto"/>
        <w:rPr>
          <w:sz w:val="20"/>
          <w:szCs w:val="20"/>
          <w:color w:val="auto"/>
        </w:rPr>
      </w:pPr>
      <w:r>
        <w:rPr>
          <w:rFonts w:ascii="Arial" w:cs="Arial" w:eastAsia="Arial" w:hAnsi="Arial"/>
          <w:sz w:val="18"/>
          <w:szCs w:val="18"/>
          <w:color w:val="auto"/>
        </w:rPr>
        <w:t>We believe that our existing cash will be sufficient to support our expected working capital needs and material cash requirements for at least the next 12 months from the issuance of these condensed consolidated financial statements.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In addition, we have, and may in the future, repurchase shares of our voting and non-voting common stock from time to time under our Repurchase Program.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3"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following table sets forth a summary of our cash flow information for the periods presented. All dollar amounts in the table below are rounded and as a result, certain amounts may not recalculate using the rounded amounts provided.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6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Nine Months Ended September 30,</w:t>
            </w:r>
          </w:p>
        </w:tc>
      </w:tr>
      <w:tr>
        <w:trPr>
          <w:trHeight w:val="183"/>
        </w:trPr>
        <w:tc>
          <w:tcPr>
            <w:tcW w:w="6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62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2720" w:type="dxa"/>
            <w:vAlign w:val="bottom"/>
            <w:gridSpan w:val="2"/>
            <w:shd w:val="clear" w:color="auto" w:fill="CFF0FC"/>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95.3</w:t>
            </w:r>
          </w:p>
        </w:tc>
        <w:tc>
          <w:tcPr>
            <w:tcW w:w="460" w:type="dxa"/>
            <w:vAlign w:val="bottom"/>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127.2</w:t>
            </w:r>
          </w:p>
        </w:tc>
      </w:tr>
      <w:tr>
        <w:trPr>
          <w:trHeight w:val="189"/>
        </w:trPr>
        <w:tc>
          <w:tcPr>
            <w:tcW w:w="62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(204.6)</w:t>
            </w:r>
          </w:p>
        </w:tc>
      </w:tr>
      <w:tr>
        <w:trPr>
          <w:trHeight w:val="189"/>
        </w:trPr>
        <w:tc>
          <w:tcPr>
            <w:tcW w:w="628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financing activities</w:t>
            </w:r>
          </w:p>
        </w:tc>
        <w:tc>
          <w:tcPr>
            <w:tcW w:w="17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r>
      <w:tr>
        <w:trPr>
          <w:trHeight w:val="189"/>
        </w:trPr>
        <w:tc>
          <w:tcPr>
            <w:tcW w:w="6280" w:type="dxa"/>
            <w:vAlign w:val="bottom"/>
          </w:tcPr>
          <w:p>
            <w:pPr>
              <w:spacing w:after="0"/>
              <w:rPr>
                <w:sz w:val="20"/>
                <w:szCs w:val="20"/>
                <w:color w:val="auto"/>
              </w:rPr>
            </w:pPr>
            <w:r>
              <w:rPr>
                <w:rFonts w:ascii="Arial" w:cs="Arial" w:eastAsia="Arial" w:hAnsi="Arial"/>
                <w:sz w:val="16"/>
                <w:szCs w:val="16"/>
                <w:color w:val="auto"/>
              </w:rPr>
              <w:t>Effect of exchange rates changes on cash and cash equivalents</w:t>
            </w:r>
          </w:p>
        </w:tc>
        <w:tc>
          <w:tcPr>
            <w:tcW w:w="1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23"/>
        </w:trPr>
        <w:tc>
          <w:tcPr>
            <w:tcW w:w="62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decrease in cash and cash equivalents</w:t>
            </w:r>
          </w:p>
        </w:tc>
        <w:tc>
          <w:tcPr>
            <w:tcW w:w="17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9"/>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(140.3)</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-24765</wp:posOffset>
            </wp:positionV>
            <wp:extent cx="768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768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3"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Net cash provided by operating activities consists of net income adjusted for certain non-cash items and changes in operating assets and liabilities.</w:t>
      </w:r>
    </w:p>
    <w:p>
      <w:pPr>
        <w:spacing w:after="0" w:line="113"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During the nine months ended September 30, 2025, net cash provided by operating activities of $95.3 million was primarily the result of net income of $13.5 million, adjusted for non-cash expenses of $62.7 million, which primarily included stock-based compensation expenses of $53.5 million and depreciation and amortization of $19.0 million, and the benefit of changes in operating assets and liabilities, net of acquisitions of $19.1 million.</w:t>
      </w:r>
    </w:p>
    <w:p>
      <w:pPr>
        <w:spacing w:after="0" w:line="133"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During the nine months ended September 30, 2024, net cash provided by operating activities of $127.2 million was primarily the result of net income of $18.8 million adjusted for non-cash expenses of $ 52.4 million, which primarily include stock-based compensation expenses of $48.4 million and depreciation and amortization of $12.7 million, and the benefit of changes in operating assets and liabilities, net of acquisitions of $56.0 million.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cash provided by operating activities was $95.3 million during the nine months ended September 30, 2025, compared to $127.2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during the nine months ended September 30, 2024. The decrease of $31.9 million in our net cash provided by operating activities was</w:t>
      </w:r>
    </w:p>
    <w:p>
      <w:pPr>
        <w:spacing w:after="0" w:line="234" w:lineRule="auto"/>
        <w:rPr>
          <w:sz w:val="20"/>
          <w:szCs w:val="20"/>
          <w:color w:val="auto"/>
        </w:rPr>
      </w:pPr>
      <w:r>
        <w:rPr>
          <w:rFonts w:ascii="Arial" w:cs="Arial" w:eastAsia="Arial" w:hAnsi="Arial"/>
          <w:sz w:val="18"/>
          <w:szCs w:val="18"/>
          <w:color w:val="auto"/>
        </w:rPr>
        <w:t>primarily related to a net increase in our operating assets and liabilities, net of acquisitions of $19.1 million during the nine months ended</w:t>
      </w:r>
    </w:p>
    <w:p>
      <w:pPr>
        <w:spacing w:after="0" w:line="235" w:lineRule="auto"/>
        <w:rPr>
          <w:sz w:val="20"/>
          <w:szCs w:val="20"/>
          <w:color w:val="auto"/>
        </w:rPr>
      </w:pPr>
      <w:r>
        <w:rPr>
          <w:rFonts w:ascii="Arial" w:cs="Arial" w:eastAsia="Arial" w:hAnsi="Arial"/>
          <w:sz w:val="18"/>
          <w:szCs w:val="18"/>
          <w:color w:val="auto"/>
        </w:rPr>
        <w:t>September 30, 2025, compared to a net increase of $56.0 million during the nine months ended September 30, 2024. This decrease was</w:t>
      </w:r>
    </w:p>
    <w:p>
      <w:pPr>
        <w:spacing w:after="0" w:line="235" w:lineRule="auto"/>
        <w:rPr>
          <w:sz w:val="20"/>
          <w:szCs w:val="20"/>
          <w:color w:val="auto"/>
        </w:rPr>
      </w:pPr>
      <w:r>
        <w:rPr>
          <w:rFonts w:ascii="Arial" w:cs="Arial" w:eastAsia="Arial" w:hAnsi="Arial"/>
          <w:sz w:val="18"/>
          <w:szCs w:val="18"/>
          <w:color w:val="auto"/>
        </w:rPr>
        <w:t>driven by a change in funds receivable from payment partners of $26.3 million compared to the prior period, as a result of the timing of</w:t>
      </w:r>
    </w:p>
    <w:p>
      <w:pPr>
        <w:spacing w:after="0" w:line="235" w:lineRule="auto"/>
        <w:rPr>
          <w:sz w:val="20"/>
          <w:szCs w:val="20"/>
          <w:color w:val="auto"/>
        </w:rPr>
      </w:pPr>
      <w:r>
        <w:rPr>
          <w:rFonts w:ascii="Arial" w:cs="Arial" w:eastAsia="Arial" w:hAnsi="Arial"/>
          <w:sz w:val="18"/>
          <w:szCs w:val="18"/>
          <w:color w:val="auto"/>
        </w:rPr>
        <w:t>collections from our partners in the applicable period, and a decrease in prepaid expenses, other current assets and other assets of $13.4</w:t>
      </w:r>
    </w:p>
    <w:p>
      <w:pPr>
        <w:spacing w:after="0" w:line="235" w:lineRule="auto"/>
        <w:rPr>
          <w:sz w:val="20"/>
          <w:szCs w:val="20"/>
          <w:color w:val="auto"/>
        </w:rPr>
      </w:pPr>
      <w:r>
        <w:rPr>
          <w:rFonts w:ascii="Arial" w:cs="Arial" w:eastAsia="Arial" w:hAnsi="Arial"/>
          <w:sz w:val="18"/>
          <w:szCs w:val="18"/>
          <w:color w:val="auto"/>
        </w:rPr>
        <w:t>million, as a result of the timing of payments for certain prepaid subscriptions and other receivables. The timing of collections from our</w:t>
      </w:r>
    </w:p>
    <w:p>
      <w:pPr>
        <w:spacing w:after="0" w:line="234" w:lineRule="auto"/>
        <w:rPr>
          <w:sz w:val="20"/>
          <w:szCs w:val="20"/>
          <w:color w:val="auto"/>
        </w:rPr>
      </w:pPr>
      <w:r>
        <w:rPr>
          <w:rFonts w:ascii="Arial" w:cs="Arial" w:eastAsia="Arial" w:hAnsi="Arial"/>
          <w:sz w:val="18"/>
          <w:szCs w:val="18"/>
          <w:color w:val="auto"/>
        </w:rPr>
        <w:t>partners will vary from period to period based on when our clients’ customer payment for a particular transaction is made, as well as the</w:t>
      </w:r>
    </w:p>
    <w:p>
      <w:pPr>
        <w:spacing w:after="0" w:line="235" w:lineRule="auto"/>
        <w:rPr>
          <w:sz w:val="20"/>
          <w:szCs w:val="20"/>
          <w:color w:val="auto"/>
        </w:rPr>
      </w:pPr>
      <w:r>
        <w:rPr>
          <w:rFonts w:ascii="Arial" w:cs="Arial" w:eastAsia="Arial" w:hAnsi="Arial"/>
          <w:sz w:val="18"/>
          <w:szCs w:val="18"/>
          <w:color w:val="auto"/>
        </w:rPr>
        <w:t>customer’s payment method which impacts the timing of settlement of the payment. This net decrease in cash provided by operating</w:t>
      </w:r>
    </w:p>
    <w:p>
      <w:pPr>
        <w:spacing w:after="0" w:line="235" w:lineRule="auto"/>
        <w:rPr>
          <w:sz w:val="20"/>
          <w:szCs w:val="20"/>
          <w:color w:val="auto"/>
        </w:rPr>
      </w:pPr>
      <w:r>
        <w:rPr>
          <w:rFonts w:ascii="Arial" w:cs="Arial" w:eastAsia="Arial" w:hAnsi="Arial"/>
          <w:sz w:val="18"/>
          <w:szCs w:val="18"/>
          <w:color w:val="auto"/>
        </w:rPr>
        <w:t>activities was also impacted by our operating cash flows from our net income (after adjustments for an increase in non-cash expenses of</w:t>
      </w:r>
    </w:p>
    <w:p>
      <w:pPr>
        <w:spacing w:after="0" w:line="235" w:lineRule="auto"/>
        <w:rPr>
          <w:sz w:val="20"/>
          <w:szCs w:val="20"/>
          <w:color w:val="auto"/>
        </w:rPr>
      </w:pPr>
      <w:r>
        <w:rPr>
          <w:rFonts w:ascii="Arial" w:cs="Arial" w:eastAsia="Arial" w:hAnsi="Arial"/>
          <w:sz w:val="18"/>
          <w:szCs w:val="18"/>
          <w:color w:val="auto"/>
        </w:rPr>
        <w:t>$10.3 million) which decreased by $5.0 million for the nine months ended September 30, 2025, compared to the prior period. This decrease</w:t>
      </w:r>
    </w:p>
    <w:p>
      <w:pPr>
        <w:spacing w:after="0" w:line="235" w:lineRule="auto"/>
        <w:rPr>
          <w:sz w:val="20"/>
          <w:szCs w:val="20"/>
          <w:color w:val="auto"/>
        </w:rPr>
      </w:pPr>
      <w:r>
        <w:rPr>
          <w:rFonts w:ascii="Arial" w:cs="Arial" w:eastAsia="Arial" w:hAnsi="Arial"/>
          <w:sz w:val="18"/>
          <w:szCs w:val="18"/>
          <w:color w:val="auto"/>
        </w:rPr>
        <w:t>is reflective of lower interest income as a result of our lower cash balances due to the acquisition of Sertifi and Share Repurchase Program,</w:t>
      </w:r>
    </w:p>
    <w:p>
      <w:pPr>
        <w:spacing w:after="0" w:line="234" w:lineRule="auto"/>
        <w:rPr>
          <w:sz w:val="20"/>
          <w:szCs w:val="20"/>
          <w:color w:val="auto"/>
        </w:rPr>
      </w:pPr>
      <w:r>
        <w:rPr>
          <w:rFonts w:ascii="Arial" w:cs="Arial" w:eastAsia="Arial" w:hAnsi="Arial"/>
          <w:sz w:val="18"/>
          <w:szCs w:val="18"/>
          <w:color w:val="auto"/>
        </w:rPr>
        <w:t>higher interest expense as a result of our outstanding debt, and higher income taxes as a result of a non-recurring benefit relating to the</w:t>
      </w:r>
    </w:p>
    <w:p>
      <w:pPr>
        <w:spacing w:after="0" w:line="235" w:lineRule="auto"/>
        <w:rPr>
          <w:sz w:val="20"/>
          <w:szCs w:val="20"/>
          <w:color w:val="auto"/>
        </w:rPr>
      </w:pPr>
      <w:r>
        <w:rPr>
          <w:rFonts w:ascii="Arial" w:cs="Arial" w:eastAsia="Arial" w:hAnsi="Arial"/>
          <w:sz w:val="18"/>
          <w:szCs w:val="18"/>
          <w:color w:val="auto"/>
        </w:rPr>
        <w:t>release of a portion of the valuation allowance in the U.S. in the nine months ending September 30, 2024. This was offset by income from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 reflecting the growth in transaction payment volumes, from both our existing clients and new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8" w:name="page59"/>
    <w:bookmarkEnd w:id="58"/>
    <w:p>
      <w:pPr>
        <w:ind w:right="1500"/>
        <w:spacing w:after="0" w:line="446" w:lineRule="auto"/>
        <w:rPr>
          <w:sz w:val="20"/>
          <w:szCs w:val="20"/>
          <w:color w:val="auto"/>
        </w:rPr>
      </w:pPr>
      <w:r>
        <w:rPr>
          <w:rFonts w:ascii="Arial" w:cs="Arial" w:eastAsia="Arial" w:hAnsi="Arial"/>
          <w:sz w:val="18"/>
          <w:szCs w:val="18"/>
          <w:color w:val="auto"/>
        </w:rPr>
        <w:t xml:space="preserve">clients, net of the increase in payment processing costs, and gains in foreign currency remeasurement of foreign currency. </w:t>
      </w:r>
      <w:r>
        <w:rPr>
          <w:rFonts w:ascii="Arial" w:cs="Arial" w:eastAsia="Arial" w:hAnsi="Arial"/>
          <w:sz w:val="18"/>
          <w:szCs w:val="18"/>
          <w:i w:val="1"/>
          <w:iCs w:val="1"/>
          <w:color w:val="auto"/>
        </w:rPr>
        <w:t>Investing Activities</w:t>
      </w:r>
    </w:p>
    <w:p>
      <w:pPr>
        <w:ind w:right="240" w:firstLine="509"/>
        <w:spacing w:after="0" w:line="253" w:lineRule="auto"/>
        <w:rPr>
          <w:sz w:val="20"/>
          <w:szCs w:val="20"/>
          <w:color w:val="auto"/>
        </w:rPr>
      </w:pPr>
      <w:r>
        <w:rPr>
          <w:rFonts w:ascii="Arial" w:cs="Arial" w:eastAsia="Arial" w:hAnsi="Arial"/>
          <w:sz w:val="18"/>
          <w:szCs w:val="18"/>
          <w:color w:val="auto"/>
        </w:rPr>
        <w:t>During the nine months ended September 30, 2025, cash used in investing activities of $191.2 million was primarily the result of our acquisition of Sertifi for cash purchase consideration of $324.9 million, net of cash acquired and purchase of short-term and long-term investments for $14.2 million, offset by the proceeds from the maturity and sale of short-term and long-term investments of $154.7 million.</w:t>
      </w:r>
    </w:p>
    <w:p>
      <w:pPr>
        <w:spacing w:after="0" w:line="128"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During the nine months ended September 30, 2024, cash used in investing activities of $204.6 million was the result of $159.6 million of purchase of short-term and long-term investments and $45.4 million for our acquisition of Invoiced for cash purchase consideration paid, partially offset by $5.9 million of proceeds from the maturity and sale of short-term and long-term investments.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6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During the nine months ended September 30, 2025, cash used in financing activities of $53.9 million was primarily the result of the repayment of $110.0 million on our 2024 Amended Revolving Credit Facility and common stock repurchased under our Repurchase Program of $64.3 million, offset by the drawdown of our 2024 Amended Revolving Credit Facility of $125.0 million.</w:t>
      </w:r>
    </w:p>
    <w:p>
      <w:pPr>
        <w:spacing w:after="0" w:line="128" w:lineRule="exact"/>
        <w:rPr>
          <w:sz w:val="20"/>
          <w:szCs w:val="20"/>
          <w:color w:val="auto"/>
        </w:rPr>
      </w:pPr>
    </w:p>
    <w:p>
      <w:pPr>
        <w:jc w:val="both"/>
        <w:ind w:right="80" w:firstLine="509"/>
        <w:spacing w:after="0" w:line="253" w:lineRule="auto"/>
        <w:rPr>
          <w:sz w:val="20"/>
          <w:szCs w:val="20"/>
          <w:color w:val="auto"/>
        </w:rPr>
      </w:pPr>
      <w:r>
        <w:rPr>
          <w:rFonts w:ascii="Arial" w:cs="Arial" w:eastAsia="Arial" w:hAnsi="Arial"/>
          <w:sz w:val="18"/>
          <w:szCs w:val="18"/>
          <w:color w:val="auto"/>
        </w:rPr>
        <w:t>During the nine months ended September 30, 2024, cash used in financing activities of $ 16.6 million was the result of common stock repurchased under our Repurchase Program of $22.9 million, offset by proceeds from exercise of stock options of $4.0 million and proceeds from issuance of stock under the ESPP of $3.1 million.</w:t>
      </w:r>
    </w:p>
    <w:p>
      <w:pPr>
        <w:spacing w:after="0" w:line="14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As of September 30, 2025 there was $15.0 million outstanding under the 2024 Amended Revolving Credit Facility. As of December 31, 2024 there was no outstanding indebtedness under the 2024 Revolving Credit Facility.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our condensed consolidated financial statements requires management to make estimates and assumptions that affect the reported amounts of assets and liabilities and the disclosure of contingent assets and liabilities at the date of the condensed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0"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 xml:space="preserve">There have been no material changes to our critical accounting policies as compared to the critical accounting policies and estimates described in the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section of our Annual Report on Form 10-K for the year ended December 31,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5"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 xml:space="preserve">We have reviewed all recently issued standards and have determined that, other than as disclosed in </w:t>
      </w:r>
      <w:r>
        <w:rPr>
          <w:rFonts w:ascii="Arial" w:cs="Arial" w:eastAsia="Arial" w:hAnsi="Arial"/>
          <w:sz w:val="18"/>
          <w:szCs w:val="18"/>
          <w:i w:val="1"/>
          <w:iCs w:val="1"/>
          <w:color w:val="auto"/>
        </w:rPr>
        <w:t>Note 1 - Business Overview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to our unaudited condensed consolidated financial statements appearing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Report on Form 10-Q, such standards are not expected to have a material impact on our consolidated financial statements or do not otherwise apply to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Interest Rate Risk</w:t>
      </w:r>
    </w:p>
    <w:p>
      <w:pPr>
        <w:spacing w:after="0" w:line="18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are exposed to interest rate risk relating to our cash and cash equivalents and available-for-sale debt securities. We hold cash in both non-interest and interest-bearing bank accounts. Our corporate investment portfolio consists primarily of money market funds, which are AAA-rated and comprised of liquid, high quality debt securities issued by the U.S. government, and investments in available-for-sale corporate bonds, U.S. government obligations, treasury bill, foreign agency securities, commercial paper, agency bond and asset-backed debt securities. An immediate 10% increase or decrease in interest rates would not have a material effect on our financial position, results of operations or cash flows.</w:t>
      </w:r>
    </w:p>
    <w:p>
      <w:pPr>
        <w:spacing w:after="0" w:line="138"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We are also exposed to interest rate risk related to our 2024 Amended Revolving Credit Facility. Our 2024 Amended Revolving Credit Facility consists of ABR borrowings or Term SOFR borrowings, at our option.</w:t>
      </w:r>
    </w:p>
    <w:p>
      <w:pPr>
        <w:spacing w:after="0" w:line="11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our consolidated total net leverage ratio as of the most recent consolidated financial information and ranges from 1.0% to 2.5%. The 2024 Amended Revolving Credit Facility incurs a commitment fee ranging from 0.25% to 0.35% based upon our consolidated total net leverage ratio as of the most recent consolidated financial information assessed on the average available commitment.</w:t>
      </w:r>
    </w:p>
    <w:p>
      <w:pPr>
        <w:spacing w:after="0" w:line="15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As of September 30, 2025, there was $15.0 million outstanding indebtedness under the 2024 Amended Revolving Credit Facility. As of December 31, 2024, there was no outstanding indebtedness under the 2024 Revolving Credit Facility. An immediate 10% increase or decrease in interest rates would not have a material effect on our financial position, results of operations or cash flows.</w:t>
      </w:r>
    </w:p>
    <w:p>
      <w:pPr>
        <w:spacing w:after="0" w:line="128" w:lineRule="exact"/>
        <w:rPr>
          <w:sz w:val="20"/>
          <w:szCs w:val="20"/>
          <w:color w:val="auto"/>
        </w:rPr>
      </w:pPr>
    </w:p>
    <w:p>
      <w:pPr>
        <w:ind w:right="560" w:firstLine="509"/>
        <w:spacing w:after="0" w:line="271" w:lineRule="auto"/>
        <w:rPr>
          <w:sz w:val="20"/>
          <w:szCs w:val="20"/>
          <w:color w:val="auto"/>
        </w:rPr>
      </w:pPr>
      <w:r>
        <w:rPr>
          <w:rFonts w:ascii="Arial" w:cs="Arial" w:eastAsia="Arial" w:hAnsi="Arial"/>
          <w:sz w:val="18"/>
          <w:szCs w:val="18"/>
          <w:color w:val="auto"/>
        </w:rPr>
        <w:t>Information provided by the sensitivity analysis is not a prediction of future events and does not necessarily represent the actual changes that would occur.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 —that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help mitigate the volatility related to fluctuations in the foreign exchange rates. In addition, to mitigate the impact of foreign currency fluctuations on our net income (loss), beginning in July 2025, we entered into foreign currency forward contracts to economically hedge the variability in exchange rates associated with certain intercompany loans.</w:t>
      </w:r>
    </w:p>
    <w:p>
      <w:pPr>
        <w:spacing w:after="0" w:line="14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For example, as the U.S. Dollar weakened against several currencies, including the British Pound, relative to the prior year, these foreign exchange impacts increased our reported revenue in U.S. Dollars by approximately $2.9 million compared to the prior year on a FX Neutral basis.</w:t>
      </w:r>
    </w:p>
    <w:p>
      <w:pPr>
        <w:spacing w:after="0" w:line="136"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Fluctuations in foreign currency exchange rates may also impact the value of assets and liabilities denominated in currencies other than the functional currencies of our entities. Our reporting currency and the functional currency of our 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60" w:name="page61"/>
    <w:bookmarkEnd w:id="60"/>
    <w:p>
      <w:pPr>
        <w:ind w:right="20"/>
        <w:spacing w:after="0" w:line="242" w:lineRule="auto"/>
        <w:rPr>
          <w:sz w:val="20"/>
          <w:szCs w:val="20"/>
          <w:color w:val="auto"/>
        </w:rPr>
      </w:pPr>
      <w:r>
        <w:rPr>
          <w:rFonts w:ascii="Arial" w:cs="Arial" w:eastAsia="Arial" w:hAnsi="Arial"/>
          <w:sz w:val="18"/>
          <w:szCs w:val="18"/>
          <w:color w:val="auto"/>
        </w:rPr>
        <w:t>balance sheet date for assets and liabilities, and average exchange rates in effect during the period for revenue and expenses. Resulting translation adjustments are included as a component of accumulated other comprehensive (loss) income in our consolidated balance sheets. Gains and losses from the remeasurement of foreign currencies into functional currencies are recognized in the condensed consolidated statements of operations and comprehensive income. A potential change in foreign exchange rates of 10% from such remeasurement would have impacted income (loss) before income taxes by approximately $26.4 million and $24.7 million as of September 30, 2025 and December 31, 2024,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71"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Inflation did not have a material effect on our cash flows and results of operations during the nine months ended September 30, 2025. If our costs were to become subject to significant inflationary pressures, we may not be able to fully offset such higher costs through increase in prices of our product offerings.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September 30, 2025. The term “disclosure controls and procedures,” as defined in Rules 13a 15(e) and 15d-15(e) of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September 30, 2025, our disclosure controls and procedures were effective at the reasonable assurance level.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September 30, 2025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1"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condensed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spacing w:after="0" w:line="14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the course of enhancing our sanctions compliance function, we initiated an internal review that identified issues related to our compliance with sanctions, including payments that may have originated from sanctioned jurisdictions or sanctioned persons. Although Flywire continues to evaluate whether these or other transactions constitute potential violations of OFAC sanctions (including whether certain of these payments may have been authorized by general licenses or license exemptions under the relevant sanctions regulations), Flywire has made voluntary submissions to OFAC to report apparent violations and provide supplemental information. Flywire is currently engaging with OFAC to resolve these matters. Based upon the results of the internal investigation completed to date, we do not believe that the amount of any loss incurred as a result of this matter would be material to our business, financial condition, results of operations or cash flows.</w:t>
      </w:r>
    </w:p>
    <w:p>
      <w:pPr>
        <w:spacing w:after="0" w:line="140"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On July 25, 2025, we and certain of our current and former officers were named as defendants in a securities class action complaint captioned Hickman v. Flywire Corporation filed in the United States District Court for the Eastern District of New York on behalf of a putative class of investors who purchased Flywire securities from February 28, 2024, through February 25, 2025. Plaintiff alleges that the defendants violated Sections 10(b) and 20(a) of the Exchange Act by purportedly overstating the strength and sustainability of our revenue growth and understating the negative impact of certain government permit and visa related policies on our business. The lawsuit seeks unspecified damages, costs, attorneys’ fees, and other relief. We believe we have strong defenses against the asserted claims and intend to vigorously defend ourselves.</w:t>
      </w:r>
    </w:p>
    <w:p>
      <w:pPr>
        <w:spacing w:after="0" w:line="15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cannot reasonably estimate the maximum potential exposure or the range of possible loss for this matter.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deciding whether to invest in shares of our common stock, you should consider carefully the risks and uncertainties described below, together with all of the other information in this Quarterly Report on Form 10-Q, including “Management’s Discussion and Analysis of Financial Condition and Results of Operations” and our condensed consolidated financial statements and the accompanying notes included elsewhere in this Quarterly Report on Form 10-Q.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85"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The summary of risks below is intended to provide an overview of the risks we face and should not be considered a substitute for the more fulsome risk factors discussed immediately following this summary.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02" w:lineRule="exact"/>
        <w:rPr>
          <w:sz w:val="20"/>
          <w:szCs w:val="20"/>
          <w:color w:val="auto"/>
        </w:rPr>
      </w:pPr>
    </w:p>
    <w:p>
      <w:pPr>
        <w:ind w:left="5520" w:right="3080" w:hanging="5138"/>
        <w:spacing w:after="0" w:line="286" w:lineRule="auto"/>
        <w:tabs>
          <w:tab w:leader="none" w:pos="633"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operating losses and may not achieve or sustain profitability in the future.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2" w:name="page63"/>
    <w:bookmarkEnd w:id="62"/>
    <w:p>
      <w:pPr>
        <w:ind w:left="640" w:hanging="258"/>
        <w:spacing w:after="0"/>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quarterly fluctuations in operating results.</w:t>
      </w:r>
    </w:p>
    <w:p>
      <w:pPr>
        <w:spacing w:after="0" w:line="116" w:lineRule="exact"/>
        <w:rPr>
          <w:rFonts w:ascii="Times New Roman" w:cs="Times New Roman" w:eastAsia="Times New Roman" w:hAnsi="Times New Roman"/>
          <w:sz w:val="18"/>
          <w:szCs w:val="18"/>
          <w:color w:val="auto"/>
        </w:rPr>
      </w:pPr>
    </w:p>
    <w:p>
      <w:pPr>
        <w:ind w:left="640" w:right="220" w:hanging="258"/>
        <w:spacing w:after="0" w:line="270" w:lineRule="auto"/>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operational and business portfolio reviews may not result in improvements to our financial performance, strategy, or operations.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expand our direct and channel sales capabilities, grow our marketing reach and increase sales productivity.</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our revenue mix to vary over time, which could affect our gross profit, gross margin and results of operations.</w:t>
      </w:r>
    </w:p>
    <w:p>
      <w:pPr>
        <w:spacing w:after="0" w:line="116" w:lineRule="exact"/>
        <w:rPr>
          <w:rFonts w:ascii="Times New Roman" w:cs="Times New Roman" w:eastAsia="Times New Roman" w:hAnsi="Times New Roman"/>
          <w:sz w:val="18"/>
          <w:szCs w:val="18"/>
          <w:color w:val="auto"/>
        </w:rPr>
      </w:pPr>
    </w:p>
    <w:p>
      <w:pPr>
        <w:ind w:left="640" w:right="180" w:hanging="258"/>
        <w:spacing w:after="0" w:line="252" w:lineRule="auto"/>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 or our ability to meet service levels to allow for timely payment processing due to system downtime or other factors.</w:t>
      </w:r>
    </w:p>
    <w:p>
      <w:pPr>
        <w:spacing w:after="0" w:line="62"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and operating results are subject to seasonality and cyclicality.</w:t>
      </w:r>
    </w:p>
    <w:p>
      <w:pPr>
        <w:spacing w:after="0" w:line="116" w:lineRule="exact"/>
        <w:rPr>
          <w:rFonts w:ascii="Times New Roman" w:cs="Times New Roman" w:eastAsia="Times New Roman" w:hAnsi="Times New Roman"/>
          <w:sz w:val="18"/>
          <w:szCs w:val="18"/>
          <w:color w:val="auto"/>
        </w:rPr>
      </w:pPr>
    </w:p>
    <w:p>
      <w:pPr>
        <w:ind w:left="640" w:right="380" w:hanging="258"/>
        <w:spacing w:after="0" w:line="270" w:lineRule="auto"/>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are exposed to fluctuations in foreign currency exchange rates that could materially and adversely affect our cash flows and results of operations.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116" w:lineRule="exact"/>
        <w:rPr>
          <w:rFonts w:ascii="Times New Roman" w:cs="Times New Roman" w:eastAsia="Times New Roman" w:hAnsi="Times New Roman"/>
          <w:sz w:val="18"/>
          <w:szCs w:val="18"/>
          <w:color w:val="auto"/>
        </w:rPr>
      </w:pPr>
    </w:p>
    <w:p>
      <w:pPr>
        <w:ind w:left="640" w:right="80" w:hanging="258"/>
        <w:spacing w:after="0" w:line="270" w:lineRule="auto"/>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markets are highly competitive.</w:t>
      </w:r>
    </w:p>
    <w:p>
      <w:pPr>
        <w:spacing w:after="0" w:line="116" w:lineRule="exact"/>
        <w:rPr>
          <w:rFonts w:ascii="Times New Roman" w:cs="Times New Roman" w:eastAsia="Times New Roman" w:hAnsi="Times New Roman"/>
          <w:sz w:val="18"/>
          <w:szCs w:val="18"/>
          <w:color w:val="auto"/>
        </w:rPr>
      </w:pPr>
    </w:p>
    <w:p>
      <w:pPr>
        <w:ind w:left="640" w:right="820" w:hanging="258"/>
        <w:spacing w:after="0" w:line="270" w:lineRule="auto"/>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46" w:lineRule="exact"/>
        <w:rPr>
          <w:rFonts w:ascii="Times New Roman" w:cs="Times New Roman" w:eastAsia="Times New Roman" w:hAnsi="Times New Roman"/>
          <w:sz w:val="18"/>
          <w:szCs w:val="18"/>
          <w:color w:val="auto"/>
        </w:rPr>
      </w:pPr>
    </w:p>
    <w:p>
      <w:pPr>
        <w:ind w:left="640" w:hanging="258"/>
        <w:spacing w:after="0" w:line="270" w:lineRule="auto"/>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education business may be adversely affected by decreases in enrollment or tuition, cutbacks in governmental financial support, limitations or other restrictions on student visas to international students or increased operating expenses for our clients.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healthcare industry is rapidly evolving.</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enter or expand into new verticals or sub-verticals, including our B2B vertical.</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There could be consolidation in the payment processing or enablement industry.</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adversely impacted by worldwide global economic and political instability.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02" w:lineRule="exact"/>
        <w:rPr>
          <w:sz w:val="20"/>
          <w:szCs w:val="20"/>
          <w:color w:val="auto"/>
        </w:rPr>
      </w:pPr>
    </w:p>
    <w:p>
      <w:pPr>
        <w:ind w:left="640" w:hanging="258"/>
        <w:spacing w:after="0"/>
        <w:tabs>
          <w:tab w:leader="none" w:pos="6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116" w:lineRule="exact"/>
        <w:rPr>
          <w:rFonts w:ascii="Times New Roman" w:cs="Times New Roman" w:eastAsia="Times New Roman" w:hAnsi="Times New Roman"/>
          <w:sz w:val="18"/>
          <w:szCs w:val="18"/>
          <w:color w:val="auto"/>
        </w:rPr>
      </w:pPr>
    </w:p>
    <w:p>
      <w:pPr>
        <w:ind w:left="640" w:right="260" w:hanging="258"/>
        <w:spacing w:after="0" w:line="270" w:lineRule="auto"/>
        <w:tabs>
          <w:tab w:leader="none" w:pos="6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Volatility in the banking and financial services sectors may impact our bank partnerships and relationships, which could adversely affect our operations and liquidity.</w:t>
      </w:r>
    </w:p>
    <w:p>
      <w:pPr>
        <w:spacing w:after="0" w:line="46" w:lineRule="exact"/>
        <w:rPr>
          <w:rFonts w:ascii="Times New Roman" w:cs="Times New Roman" w:eastAsia="Times New Roman" w:hAnsi="Times New Roman"/>
          <w:sz w:val="18"/>
          <w:szCs w:val="18"/>
          <w:color w:val="auto"/>
        </w:rPr>
      </w:pPr>
    </w:p>
    <w:p>
      <w:pPr>
        <w:ind w:left="640" w:right="360" w:hanging="258"/>
        <w:spacing w:after="0" w:line="270" w:lineRule="auto"/>
        <w:tabs>
          <w:tab w:leader="none" w:pos="6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management of our operating funds and those of our clients may be reliant on a limited number of our banking partners and other financial institutions.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116" w:lineRule="exact"/>
        <w:rPr>
          <w:rFonts w:ascii="Times New Roman" w:cs="Times New Roman" w:eastAsia="Times New Roman" w:hAnsi="Times New Roman"/>
          <w:sz w:val="18"/>
          <w:szCs w:val="18"/>
          <w:color w:val="auto"/>
        </w:rPr>
      </w:pPr>
    </w:p>
    <w:p>
      <w:pPr>
        <w:ind w:left="640" w:right="60" w:hanging="258"/>
        <w:spacing w:after="0" w:line="270" w:lineRule="auto"/>
        <w:tabs>
          <w:tab w:leader="none" w:pos="6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payment card networks fees or rules could harm our business.</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63" w:name="page64"/>
    <w:bookmarkEnd w:id="63"/>
    <w:p>
      <w:pPr>
        <w:ind w:left="640" w:right="180" w:hanging="258"/>
        <w:spacing w:after="0" w:line="270" w:lineRule="auto"/>
        <w:tabs>
          <w:tab w:leader="none" w:pos="64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members of our management team or are unable to attract and retain executives and employees we need to support our operations and growth, our business may be harmed.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102" w:lineRule="exact"/>
        <w:rPr>
          <w:sz w:val="20"/>
          <w:szCs w:val="20"/>
          <w:color w:val="auto"/>
        </w:rPr>
      </w:pPr>
    </w:p>
    <w:p>
      <w:pPr>
        <w:ind w:left="640" w:hanging="258"/>
        <w:spacing w:after="0"/>
        <w:tabs>
          <w:tab w:leader="none" w:pos="64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Payments and other financial services-related regulations and oversight are material to our business.</w:t>
      </w:r>
    </w:p>
    <w:p>
      <w:pPr>
        <w:spacing w:after="0" w:line="116" w:lineRule="exact"/>
        <w:rPr>
          <w:rFonts w:ascii="Times New Roman" w:cs="Times New Roman" w:eastAsia="Times New Roman" w:hAnsi="Times New Roman"/>
          <w:sz w:val="18"/>
          <w:szCs w:val="18"/>
          <w:color w:val="auto"/>
        </w:rPr>
      </w:pPr>
    </w:p>
    <w:p>
      <w:pPr>
        <w:ind w:left="640" w:right="120" w:hanging="258"/>
        <w:spacing w:after="0" w:line="270" w:lineRule="auto"/>
        <w:tabs>
          <w:tab w:leader="none" w:pos="64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laws and requirements regarding economic and trade sanctions, AML, CFT and those applicable to a MSB.</w:t>
      </w:r>
    </w:p>
    <w:p>
      <w:pPr>
        <w:spacing w:after="0" w:line="46" w:lineRule="exact"/>
        <w:rPr>
          <w:rFonts w:ascii="Times New Roman" w:cs="Times New Roman" w:eastAsia="Times New Roman" w:hAnsi="Times New Roman"/>
          <w:sz w:val="18"/>
          <w:szCs w:val="18"/>
          <w:color w:val="auto"/>
        </w:rPr>
      </w:pPr>
    </w:p>
    <w:p>
      <w:pPr>
        <w:ind w:left="640" w:right="840" w:hanging="258"/>
        <w:spacing w:after="0" w:line="270" w:lineRule="auto"/>
        <w:tabs>
          <w:tab w:leader="none" w:pos="64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102" w:lineRule="exact"/>
        <w:rPr>
          <w:sz w:val="20"/>
          <w:szCs w:val="20"/>
          <w:color w:val="auto"/>
        </w:rPr>
      </w:pPr>
    </w:p>
    <w:p>
      <w:pPr>
        <w:ind w:left="640" w:hanging="258"/>
        <w:spacing w:after="0"/>
        <w:tabs>
          <w:tab w:leader="none" w:pos="64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continue to maintain proper effective internal control over financial reporting.</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incur increased costs as a public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02" w:lineRule="exact"/>
        <w:rPr>
          <w:sz w:val="20"/>
          <w:szCs w:val="20"/>
          <w:color w:val="auto"/>
        </w:rPr>
      </w:pPr>
    </w:p>
    <w:p>
      <w:pPr>
        <w:ind w:left="640" w:right="160" w:hanging="258"/>
        <w:spacing w:after="0" w:line="270" w:lineRule="auto"/>
        <w:tabs>
          <w:tab w:leader="none" w:pos="64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Our Repurchase Program may not achieve our goals or meet expectations.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6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were incorporated in 2009 and although we have generated net income for the year ended December 31, 2024, we have incurred net losses in the past, and may continue to incur net losses in the future. We generated net income of $2.9 million for the year ended December 31, 2024, and generated net losses of $8.6 million and $39.3 million for the years ended December 31, 2023 and 2022, respectively, and net income of $13.5 million during the nine months ended September 30, 2025. In addition, as of September 30, 2025, we had an accumulated deficit of $ 157.4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strategically and selectively invest in headcount, to further develop our solutions, including introducing new functionality, and to expand our marketing programs and sales teams to drive new client adoption, expand strategic partner integrations, and support international and product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 and other regional considerations may affect our operating results.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54" w:lineRule="exact"/>
        <w:rPr>
          <w:sz w:val="20"/>
          <w:szCs w:val="20"/>
          <w:color w:val="auto"/>
        </w:rPr>
      </w:pPr>
    </w:p>
    <w:p>
      <w:pPr>
        <w:jc w:val="both"/>
        <w:ind w:right="260" w:firstLine="509"/>
        <w:spacing w:after="0" w:line="247"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financial results from any prior quarterly or annual periods should not be relied upon as an indication of our future revenue or growth in revenue, gross profit or volume of payments processed.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4" w:name="page65"/>
    <w:bookmarkEnd w:id="64"/>
    <w:p>
      <w:pPr>
        <w:ind w:left="52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104" w:lineRule="exact"/>
        <w:rPr>
          <w:sz w:val="20"/>
          <w:szCs w:val="20"/>
          <w:color w:val="auto"/>
        </w:rPr>
      </w:pPr>
    </w:p>
    <w:p>
      <w:pPr>
        <w:ind w:left="640" w:right="440" w:hanging="258"/>
        <w:spacing w:after="0" w:line="270" w:lineRule="auto"/>
        <w:tabs>
          <w:tab w:leader="none" w:pos="6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sales, marketing, relationship management and client support, including an expansion of our sales organization, and new client support and payer retention initiatives;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6" w:lineRule="exact"/>
        <w:rPr>
          <w:rFonts w:ascii="Times New Roman" w:cs="Times New Roman" w:eastAsia="Times New Roman" w:hAnsi="Times New Roman"/>
          <w:sz w:val="18"/>
          <w:szCs w:val="18"/>
          <w:color w:val="auto"/>
        </w:rPr>
      </w:pPr>
    </w:p>
    <w:p>
      <w:pPr>
        <w:ind w:left="640" w:right="80" w:hanging="258"/>
        <w:spacing w:after="0" w:line="270" w:lineRule="auto"/>
        <w:tabs>
          <w:tab w:leader="none" w:pos="6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expanding into more international markets;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retaining existing clients, attracting new clients and increasing the number of our clients’ customers that use our solutions;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or strategic investments;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compliance and risk management; and</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general administration, including increased insurance, legal and accounting expenses associated with being a public company.</w:t>
      </w:r>
    </w:p>
    <w:p>
      <w:pPr>
        <w:spacing w:after="0" w:line="197"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30"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and significantly evolving industry and, as a result, our past results may not be indicative of future operating performance.</w:t>
      </w:r>
    </w:p>
    <w:p>
      <w:pPr>
        <w:spacing w:after="0" w:line="9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have a short history operating at our current scale in a rapidly and significantly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04" w:lineRule="exact"/>
        <w:rPr>
          <w:sz w:val="20"/>
          <w:szCs w:val="20"/>
          <w:color w:val="auto"/>
        </w:rPr>
      </w:pPr>
    </w:p>
    <w:p>
      <w:pPr>
        <w:ind w:left="640" w:right="140" w:hanging="258"/>
        <w:spacing w:after="0" w:line="270" w:lineRule="auto"/>
        <w:tabs>
          <w:tab w:leader="none" w:pos="6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cost-effectively acquire new clients, retain existing clients, increase the number of our clients’ customers that use our solutions and sell additional functionality to our clients;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maintain and increase our market share;</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avoid pricing pressure on our solutions which would compress our margins;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market our solutions;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enhance our existing solutions and develop new solutions;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increase awareness of our brand and maintain our reputation;</w:t>
      </w:r>
    </w:p>
    <w:p>
      <w:pPr>
        <w:spacing w:after="0" w:line="116" w:lineRule="exact"/>
        <w:rPr>
          <w:rFonts w:ascii="Times New Roman" w:cs="Times New Roman" w:eastAsia="Times New Roman" w:hAnsi="Times New Roman"/>
          <w:sz w:val="18"/>
          <w:szCs w:val="18"/>
          <w:color w:val="auto"/>
        </w:rPr>
      </w:pPr>
    </w:p>
    <w:p>
      <w:pPr>
        <w:ind w:left="640" w:right="40" w:hanging="258"/>
        <w:spacing w:after="0" w:line="270" w:lineRule="auto"/>
        <w:tabs>
          <w:tab w:leader="none" w:pos="6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develop new technologies, adapt to technology changes and evolving industry standards and to incorporate new technologies, such as artificial intelligence, into our solutions;</w:t>
      </w:r>
    </w:p>
    <w:p>
      <w:pPr>
        <w:spacing w:after="0" w:line="46" w:lineRule="exact"/>
        <w:rPr>
          <w:rFonts w:ascii="Times New Roman" w:cs="Times New Roman" w:eastAsia="Times New Roman" w:hAnsi="Times New Roman"/>
          <w:sz w:val="18"/>
          <w:szCs w:val="18"/>
          <w:color w:val="auto"/>
        </w:rPr>
      </w:pPr>
    </w:p>
    <w:p>
      <w:pPr>
        <w:ind w:left="640" w:right="200" w:hanging="258"/>
        <w:spacing w:after="0" w:line="270" w:lineRule="auto"/>
        <w:tabs>
          <w:tab w:leader="none" w:pos="6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offer seamless experience for our clients and their customers, including all user facing attributes ranging from the user interface to client and customer support;</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respond to microeconomic and macroeconomic changes;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our decision to exit certain markets, or our inability to process payments from certain jurisdictions we had previously served;</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compete effectively;</w:t>
      </w:r>
    </w:p>
    <w:p>
      <w:pPr>
        <w:spacing w:after="0" w:line="116" w:lineRule="exact"/>
        <w:rPr>
          <w:rFonts w:ascii="Times New Roman" w:cs="Times New Roman" w:eastAsia="Times New Roman" w:hAnsi="Times New Roman"/>
          <w:sz w:val="18"/>
          <w:szCs w:val="18"/>
          <w:color w:val="auto"/>
        </w:rPr>
      </w:pPr>
    </w:p>
    <w:p>
      <w:pPr>
        <w:ind w:left="640" w:right="380" w:hanging="258"/>
        <w:spacing w:after="0" w:line="244" w:lineRule="auto"/>
        <w:tabs>
          <w:tab w:leader="none" w:pos="6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avoid interruptions in our business from information technology (IT) downtime, an inability to manage emerging technology risks (including those posed by generative AI or other tools), cybersecurity breaches, or labor stoppages;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76" w:right="419" w:bottom="1440" w:gutter="0" w:footer="0" w:header="0"/>
        </w:sectPr>
      </w:pPr>
    </w:p>
    <w:bookmarkStart w:id="65" w:name="page66"/>
    <w:bookmarkEnd w:id="65"/>
    <w:p>
      <w:pPr>
        <w:ind w:left="640" w:hanging="258"/>
        <w:spacing w:after="0"/>
        <w:tabs>
          <w:tab w:leader="none" w:pos="6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manage our growth;</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identify and manage risks, including foreign currency exchange risk;</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hire, integrate, and retain talented people at all levels of our organization;</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maintain the quality of our technology infrastructure;</w:t>
      </w:r>
    </w:p>
    <w:p>
      <w:pPr>
        <w:spacing w:after="0" w:line="116" w:lineRule="exact"/>
        <w:rPr>
          <w:rFonts w:ascii="Times New Roman" w:cs="Times New Roman" w:eastAsia="Times New Roman" w:hAnsi="Times New Roman"/>
          <w:sz w:val="18"/>
          <w:szCs w:val="18"/>
          <w:color w:val="auto"/>
        </w:rPr>
      </w:pPr>
    </w:p>
    <w:p>
      <w:pPr>
        <w:ind w:left="640" w:right="360" w:hanging="258"/>
        <w:spacing w:after="0" w:line="270" w:lineRule="auto"/>
        <w:tabs>
          <w:tab w:leader="none" w:pos="6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multiple, conflicting and changing governmental laws and regulations, including with respect to employment, tax, competition, workplace and sustainability and other social matters;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w:t>
      </w:r>
    </w:p>
    <w:p>
      <w:pPr>
        <w:spacing w:after="0" w:line="116" w:lineRule="exact"/>
        <w:rPr>
          <w:rFonts w:ascii="Times New Roman" w:cs="Times New Roman" w:eastAsia="Times New Roman" w:hAnsi="Times New Roman"/>
          <w:sz w:val="18"/>
          <w:szCs w:val="18"/>
          <w:color w:val="auto"/>
        </w:rPr>
      </w:pPr>
    </w:p>
    <w:p>
      <w:pPr>
        <w:ind w:left="640" w:right="620" w:hanging="258"/>
        <w:spacing w:after="0" w:line="270" w:lineRule="auto"/>
        <w:tabs>
          <w:tab w:leader="none" w:pos="6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46" w:lineRule="exact"/>
        <w:rPr>
          <w:rFonts w:ascii="Times New Roman" w:cs="Times New Roman" w:eastAsia="Times New Roman" w:hAnsi="Times New Roman"/>
          <w:sz w:val="18"/>
          <w:szCs w:val="18"/>
          <w:color w:val="auto"/>
        </w:rPr>
      </w:pPr>
    </w:p>
    <w:p>
      <w:pPr>
        <w:ind w:left="640" w:right="400" w:hanging="258"/>
        <w:spacing w:after="0" w:line="270" w:lineRule="auto"/>
        <w:tabs>
          <w:tab w:leader="none" w:pos="6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14"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spacing w:after="0" w:line="129"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9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spacing w:after="0" w:line="14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p>
    <w:p>
      <w:pPr>
        <w:spacing w:after="0" w:line="15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spacing w:after="0" w:line="136" w:lineRule="exact"/>
        <w:rPr>
          <w:sz w:val="20"/>
          <w:szCs w:val="20"/>
          <w:color w:val="auto"/>
        </w:rPr>
      </w:pPr>
    </w:p>
    <w:p>
      <w:pPr>
        <w:ind w:right="100" w:firstLine="509"/>
        <w:spacing w:after="0" w:line="251" w:lineRule="auto"/>
        <w:rPr>
          <w:sz w:val="20"/>
          <w:szCs w:val="20"/>
          <w:color w:val="auto"/>
        </w:rPr>
      </w:pPr>
      <w:r>
        <w:rPr>
          <w:rFonts w:ascii="Arial" w:cs="Arial" w:eastAsia="Arial" w:hAnsi="Arial"/>
          <w:sz w:val="17"/>
          <w:szCs w:val="17"/>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In addition, certain of our clients are subject to requirements to issue requests for proposals (RFPs) to open up competition for their ongoing business notwithstanding their satisfaction with our solutions. In order to retain their business, we may be required to accept terms or pricing conditions less favorable to us than would be the case with automatic renewal of an existing contract. Should any of our clients terminate their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6" w:name="page67"/>
    <w:bookmarkEnd w:id="66"/>
    <w:p>
      <w:pPr>
        <w:ind w:right="140"/>
        <w:spacing w:after="0" w:line="253" w:lineRule="auto"/>
        <w:rPr>
          <w:sz w:val="20"/>
          <w:szCs w:val="20"/>
          <w:color w:val="auto"/>
        </w:rPr>
      </w:pPr>
      <w:r>
        <w:rPr>
          <w:rFonts w:ascii="Arial" w:cs="Arial" w:eastAsia="Arial" w:hAnsi="Arial"/>
          <w:sz w:val="18"/>
          <w:szCs w:val="18"/>
          <w:color w:val="auto"/>
        </w:rPr>
        <w:t>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spacing w:after="0" w:line="144"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99"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operating results or key metrics fall below the expectations of investors or securities analysts or below any guidance we may provide to the market, the price of our common stock could decline substantially.</w:t>
      </w:r>
    </w:p>
    <w:p>
      <w:pPr>
        <w:spacing w:after="0" w:line="133"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p>
    <w:p>
      <w:pPr>
        <w:spacing w:after="0" w:line="61" w:lineRule="exact"/>
        <w:rPr>
          <w:sz w:val="20"/>
          <w:szCs w:val="20"/>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demand for our solutions and the number, volume and timing of payments processed;</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timing of tuition payments;</w:t>
      </w:r>
    </w:p>
    <w:p>
      <w:pPr>
        <w:spacing w:after="0" w:line="116" w:lineRule="exact"/>
        <w:rPr>
          <w:rFonts w:ascii="Times New Roman" w:cs="Times New Roman" w:eastAsia="Times New Roman" w:hAnsi="Times New Roman"/>
          <w:sz w:val="18"/>
          <w:szCs w:val="18"/>
          <w:color w:val="auto"/>
        </w:rPr>
      </w:pPr>
    </w:p>
    <w:p>
      <w:pPr>
        <w:ind w:left="640" w:right="60" w:hanging="258"/>
        <w:spacing w:after="0" w:line="270" w:lineRule="auto"/>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threatened government restrictions or related suspensions, limitations or delays on the issuances of visas, such as recently enacted policies in Canada, Australia and the U.S.;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acceptance of our current and future solutions;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revenue mix in a particular quarter;</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 slowdown or delay in spending on IT and software by our current and/or prospective clients;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sales cycles and performance of our direct and indirect sales force;</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budgeting and implementation cycles of our current or potential clients;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fluctuations;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rate of renewals of contracts with our clients;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competitive dynamics of our markets;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control and predict costs, including our operating expenses;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seasonality and cyclical nature of our business;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manage or integrate any acquisitions, including our most recent acquisitions of Sertifi and Invoiced;</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or publicity surrounding any pending or threatened lawsuits or government investigations;</w:t>
      </w:r>
    </w:p>
    <w:p>
      <w:pPr>
        <w:spacing w:after="0" w:line="116" w:lineRule="exact"/>
        <w:rPr>
          <w:rFonts w:ascii="Times New Roman" w:cs="Times New Roman" w:eastAsia="Times New Roman" w:hAnsi="Times New Roman"/>
          <w:sz w:val="18"/>
          <w:szCs w:val="18"/>
          <w:color w:val="auto"/>
        </w:rPr>
      </w:pPr>
    </w:p>
    <w:p>
      <w:pPr>
        <w:ind w:left="640" w:right="20" w:hanging="258"/>
        <w:spacing w:after="0" w:line="252" w:lineRule="auto"/>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and political conditions in our domestic and international markets, including heightened interest rates, imposition of tariffs, inflation and fluctuations in supply chains, regional or global economic recession, and restrictions on cross-border travel or commerce;</w:t>
      </w:r>
    </w:p>
    <w:p>
      <w:pPr>
        <w:spacing w:after="0" w:line="62"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level of scrutiny applied by regulators, clients and investors on our social impact efforts;</w:t>
      </w:r>
    </w:p>
    <w:p>
      <w:pPr>
        <w:spacing w:after="0" w:line="116" w:lineRule="exact"/>
        <w:rPr>
          <w:rFonts w:ascii="Times New Roman" w:cs="Times New Roman" w:eastAsia="Times New Roman" w:hAnsi="Times New Roman"/>
          <w:sz w:val="18"/>
          <w:szCs w:val="18"/>
          <w:color w:val="auto"/>
        </w:rPr>
      </w:pPr>
    </w:p>
    <w:p>
      <w:pPr>
        <w:ind w:left="640" w:right="580" w:hanging="258"/>
        <w:spacing w:after="0" w:line="270" w:lineRule="auto"/>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events, including those resulting from climate change, international or civil conflicts and wars, or other geopolitical events;</w:t>
      </w:r>
    </w:p>
    <w:p>
      <w:pPr>
        <w:spacing w:after="0" w:line="46" w:lineRule="exact"/>
        <w:rPr>
          <w:rFonts w:ascii="Times New Roman" w:cs="Times New Roman" w:eastAsia="Times New Roman" w:hAnsi="Times New Roman"/>
          <w:sz w:val="18"/>
          <w:szCs w:val="18"/>
          <w:color w:val="auto"/>
        </w:rPr>
      </w:pPr>
    </w:p>
    <w:p>
      <w:pPr>
        <w:ind w:left="640" w:hanging="258"/>
        <w:spacing w:after="0" w:line="241" w:lineRule="auto"/>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U.S. federal government shutdowns, priorities of the U.S. presidential administration and related changes in laws, regulations or policies, which among other things could result in increased limitations on visa issuances, geopolitical uncertainty and impact educational financial aid payments;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67" w:name="page68"/>
    <w:bookmarkEnd w:id="67"/>
    <w:p>
      <w:pPr>
        <w:ind w:left="640" w:hanging="258"/>
        <w:spacing w:after="0"/>
        <w:tabs>
          <w:tab w:leader="none" w:pos="64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 and the responses thereto.</w:t>
      </w:r>
    </w:p>
    <w:p>
      <w:pPr>
        <w:spacing w:after="0" w:line="184"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4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30"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Our restructuring plan may not yield its intended efficiencies and could strain resources, negatively impact workforce morale, and slow down execution of our strategic plans.</w:t>
      </w:r>
    </w:p>
    <w:p>
      <w:pPr>
        <w:spacing w:after="0" w:line="99"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In February 2025, we announced a restructuring plan that is designed to improve operational efficiencies, reduce operating costs and better align our workforce with current business needs, top strategic priorities and key growth opportunities (Restructuring Plan). As part of the Restructuring Plan we have reduced our workforce by approximately 10%. This reduction in force, and any other future reductions, and the attrition that may occur following them could result in the loss of institutional knowledge and expertise and the reallocation and combination of certain roles and responsibilities across our company, all of which could adversely affect our operations. These actions and other additional measures we might take to reduce costs may potentially result in a strain our workforce, divert management attention, yield attrition beyond our intended reduction in force, negatively impact employee morale and productivity, cause us to delay, limit, reduce or eliminate certain strategic plans or otherwise interfere with our ability to operate and grow our business effectively, each of which could have an adverse impact on our business, operating results and financial condition. Additionally, as we are operating our business with a different level and mix of employees, we face additional risk that we might not be able to execute on our strategic plans and product roadmap, which may have an adverse effect on our business, financial condition, and operating results. Moreover, the workforce reduction we are implementing, though currently planned to be temporary, may negatively impact our ability to attract, integrate, retain and motivate highly qualified employees, make it difficult for us to pursue new opportunities and initiatives, and may harm our reputation with current or prospective employees.</w:t>
      </w:r>
    </w:p>
    <w:p>
      <w:pPr>
        <w:spacing w:after="0" w:line="164" w:lineRule="exact"/>
        <w:rPr>
          <w:sz w:val="20"/>
          <w:szCs w:val="20"/>
          <w:color w:val="auto"/>
        </w:rPr>
      </w:pPr>
    </w:p>
    <w:p>
      <w:pPr>
        <w:ind w:right="860"/>
        <w:spacing w:after="0" w:line="278" w:lineRule="auto"/>
        <w:rPr>
          <w:sz w:val="20"/>
          <w:szCs w:val="20"/>
          <w:color w:val="auto"/>
        </w:rPr>
      </w:pPr>
      <w:r>
        <w:rPr>
          <w:rFonts w:ascii="Arial" w:cs="Arial" w:eastAsia="Arial" w:hAnsi="Arial"/>
          <w:sz w:val="18"/>
          <w:szCs w:val="18"/>
          <w:b w:val="1"/>
          <w:bCs w:val="1"/>
          <w:i w:val="1"/>
          <w:iCs w:val="1"/>
          <w:color w:val="auto"/>
        </w:rPr>
        <w:t>Our operational and business portfolio reviews may not result in improvements to our financial performance, strategy, or operations, and we face a number of risks related to such reviews.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are currently undertaking a comprehensive operational and business portfolio review that is expected to encompass geographies, products, verticals, and cost structure, and explore various options and an operational cost-saving review to identify efficiencies and synergies across all of our business areas, including opportunities to combine and optimize systems and processes. Implementation of a go forward plan and any other cost-saving initiatives, including possible future restructuring efforts, may be costly and disruptive to our business, the expected costs and charges may be greater than forecasted, and the estimated cost savings may be lower than forecasted. We may not achieve the desired strategic, operational, and financial benefits of any actions taken as a result of our operational and business portfolio reviews. Further, we may not be able to successfully execute the desired changes. During the pendency of these reviews or any transaction that may occur as a result of these reviews, we may be subject to risks related to a decline in the business or employee morale and turnover, as well as distraction of management from our business and clients, and investors may not react favorably to our decisions, which could adversely affect our business, results of operations and the market price of our common stock. If we are unable to successfully complete our operational and business portfolio reviews or we are unable to complete the proposed outcomes of these reviews or they do not meet our strategic objectives, our business, results of operations and financial condition could be adversely affected.</w:t>
      </w:r>
    </w:p>
    <w:p>
      <w:pPr>
        <w:spacing w:after="0" w:line="142"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Our operational and business portfolio reviews are ongoing, and we are continuing to carefully consider the full range of options for maximizing value to our shareholders, including potential transactions with third parties and other strategic and financial alternatives. There can be no assurance that the operational and business portfolio reviews will result in any particular action or that a transaction will be consummated, nor can there be any assurance regarding the timing of any action or transaction. We have not set a deadline or definitive timetable for the completion of our reviews, and we can provide no assurance that any actions taken or any transaction or other strategic alternative we may pursue will achieve the anticipated cost savings, operating efficiencies or have a positive impact on our results of operations or financial condition.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profit, gross margin and results of operations.</w:t>
      </w:r>
    </w:p>
    <w:p>
      <w:pPr>
        <w:spacing w:after="0" w:line="18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42"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61"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strategically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44" w:lineRule="exact"/>
        <w:rPr>
          <w:sz w:val="20"/>
          <w:szCs w:val="20"/>
          <w:color w:val="auto"/>
        </w:rPr>
      </w:pPr>
    </w:p>
    <w:p>
      <w:pPr>
        <w:ind w:right="1100"/>
        <w:spacing w:after="0" w:line="278"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11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18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w:t>
      </w:r>
    </w:p>
    <w:p>
      <w:pPr>
        <w:spacing w:after="0" w:line="138" w:lineRule="exact"/>
        <w:rPr>
          <w:sz w:val="20"/>
          <w:szCs w:val="20"/>
          <w:color w:val="auto"/>
        </w:rPr>
      </w:pPr>
    </w:p>
    <w:p>
      <w:pPr>
        <w:ind w:right="760"/>
        <w:spacing w:after="0" w:line="278"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99" w:lineRule="exact"/>
        <w:rPr>
          <w:sz w:val="20"/>
          <w:szCs w:val="20"/>
          <w:color w:val="auto"/>
        </w:rPr>
      </w:pPr>
    </w:p>
    <w:p>
      <w:pPr>
        <w:ind w:right="280" w:firstLine="509"/>
        <w:spacing w:after="0" w:line="244" w:lineRule="auto"/>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as the U.S. Dollar weakened against several currencies, including the British Pound, relative to the prior year, these foreign exchange impacts increased our reported revenue in U.S. Dollars by approximately $2.9 million compared to the prior year on a FX Neutral basis.</w:t>
      </w:r>
    </w:p>
    <w:p>
      <w:pPr>
        <w:spacing w:after="0" w:line="149"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spacing w:after="0" w:line="144"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36"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As our international operations continue to operate and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5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9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FX Neutral Revenue Less Ancillary Services, adjusted gross profit, adjusted gross margin, adjusted EBITDA, and adjusted EBITDA margin,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clients or other stakeholders do not perceive our operating metrics to be accurate, or if we discover material inaccuracies with respect to these figures, our reputation may be significantly harmed, and our operating and financial results could be adversely affected.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83"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and maintaining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2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addition, our existing banking partners may at any time and from time to time cease serving certain categories of payments due to perceived risk or similar reasons as well as payments originating from, or being paid to, certain high-risk jurisdictions. These partners may also impose additional requirements on Flywire, or with respect to their own internal procedures, as a condition of processing such payments in partnership with us. If we cease to be able to process payments from corridors or within certain of our verticals, or we are unable to comply with new requirements or only at considerable expense, our client relationships and ability to grow our revenue could be adversely affected.</w:t>
      </w:r>
    </w:p>
    <w:p>
      <w:pPr>
        <w:spacing w:after="0" w:line="13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Instability and volatility in the banking and financial services sectors, including bank failures, have increased and may in the future increase uncertainty in the global economy and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spacing w:after="0" w:line="153"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69"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69" w:lineRule="exact"/>
        <w:rPr>
          <w:sz w:val="20"/>
          <w:szCs w:val="20"/>
          <w:color w:val="auto"/>
        </w:rPr>
      </w:pPr>
    </w:p>
    <w:p>
      <w:pPr>
        <w:jc w:val="both"/>
        <w:ind w:right="160" w:firstLine="509"/>
        <w:spacing w:after="0" w:line="238"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71" w:name="page72"/>
    <w:bookmarkEnd w:id="71"/>
    <w:p>
      <w:pPr>
        <w:ind w:right="120"/>
        <w:spacing w:after="0" w:line="239" w:lineRule="auto"/>
        <w:rPr>
          <w:sz w:val="20"/>
          <w:szCs w:val="20"/>
          <w:color w:val="auto"/>
        </w:rPr>
      </w:pPr>
      <w:r>
        <w:rPr>
          <w:rFonts w:ascii="Arial" w:cs="Arial" w:eastAsia="Arial" w:hAnsi="Arial"/>
          <w:sz w:val="18"/>
          <w:szCs w:val="18"/>
          <w:color w:val="auto"/>
        </w:rPr>
        <w:t>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53"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3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119"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155"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limitations or other restrictions on student visas, pressure on tuition costs, or increased operating expenses, which may reduce demand for our solutions.</w:t>
      </w:r>
    </w:p>
    <w:p>
      <w:pPr>
        <w:spacing w:after="0" w:line="9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61" w:lineRule="exact"/>
        <w:rPr>
          <w:sz w:val="20"/>
          <w:szCs w:val="20"/>
          <w:color w:val="auto"/>
        </w:rPr>
      </w:pPr>
    </w:p>
    <w:p>
      <w:pPr>
        <w:ind w:left="640" w:right="20" w:hanging="258"/>
        <w:spacing w:after="0" w:line="246" w:lineRule="auto"/>
        <w:tabs>
          <w:tab w:leader="none" w:pos="64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Declines in international student enrollment. Global conflict, geopolitical tensions and restrictions on immigration and revocations, suspensions or increased restrictions or limitations on the award of, student visas (such as those being implemented in the U.S., Canada and Australia) has and is expected to continue to negatively impact the cross-border education industry and schools that rely on foreign student populations.</w:t>
      </w:r>
    </w:p>
    <w:p>
      <w:pPr>
        <w:spacing w:after="0" w:line="68" w:lineRule="exact"/>
        <w:rPr>
          <w:rFonts w:ascii="Times New Roman" w:cs="Times New Roman" w:eastAsia="Times New Roman" w:hAnsi="Times New Roman"/>
          <w:sz w:val="18"/>
          <w:szCs w:val="18"/>
          <w:color w:val="auto"/>
        </w:rPr>
      </w:pPr>
    </w:p>
    <w:p>
      <w:pPr>
        <w:ind w:left="640" w:right="160" w:hanging="258"/>
        <w:spacing w:after="0" w:line="246" w:lineRule="auto"/>
        <w:tabs>
          <w:tab w:leader="none" w:pos="64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spacing w:after="0" w:line="68" w:lineRule="exact"/>
        <w:rPr>
          <w:rFonts w:ascii="Times New Roman" w:cs="Times New Roman" w:eastAsia="Times New Roman" w:hAnsi="Times New Roman"/>
          <w:sz w:val="18"/>
          <w:szCs w:val="18"/>
          <w:color w:val="auto"/>
        </w:rPr>
      </w:pPr>
    </w:p>
    <w:p>
      <w:pPr>
        <w:ind w:left="640" w:right="180" w:hanging="258"/>
        <w:spacing w:after="0" w:line="270" w:lineRule="auto"/>
        <w:tabs>
          <w:tab w:leader="none" w:pos="64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46" w:lineRule="exact"/>
        <w:rPr>
          <w:rFonts w:ascii="Times New Roman" w:cs="Times New Roman" w:eastAsia="Times New Roman" w:hAnsi="Times New Roman"/>
          <w:sz w:val="18"/>
          <w:szCs w:val="18"/>
          <w:color w:val="auto"/>
        </w:rPr>
      </w:pPr>
    </w:p>
    <w:p>
      <w:pPr>
        <w:ind w:left="640" w:right="420" w:hanging="258"/>
        <w:spacing w:after="0" w:line="252" w:lineRule="auto"/>
        <w:tabs>
          <w:tab w:leader="none" w:pos="64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Changing perceptions about in-person classes. Students may reject the opportunity to attend courses in person, when online or virtual classes are offered as an option, due to growing familiarity and perceived convenience of remote learning or a lower price point for online classes.</w:t>
      </w:r>
    </w:p>
    <w:p>
      <w:pPr>
        <w:spacing w:after="0" w:line="62" w:lineRule="exact"/>
        <w:rPr>
          <w:rFonts w:ascii="Times New Roman" w:cs="Times New Roman" w:eastAsia="Times New Roman" w:hAnsi="Times New Roman"/>
          <w:sz w:val="18"/>
          <w:szCs w:val="18"/>
          <w:color w:val="auto"/>
        </w:rPr>
      </w:pPr>
    </w:p>
    <w:p>
      <w:pPr>
        <w:ind w:left="640" w:right="200" w:hanging="258"/>
        <w:spacing w:after="0" w:line="270" w:lineRule="auto"/>
        <w:tabs>
          <w:tab w:leader="none" w:pos="64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46" w:lineRule="exact"/>
        <w:rPr>
          <w:rFonts w:ascii="Times New Roman" w:cs="Times New Roman" w:eastAsia="Times New Roman" w:hAnsi="Times New Roman"/>
          <w:sz w:val="18"/>
          <w:szCs w:val="18"/>
          <w:color w:val="auto"/>
        </w:rPr>
      </w:pPr>
    </w:p>
    <w:p>
      <w:pPr>
        <w:ind w:left="640" w:right="60" w:hanging="258"/>
        <w:spacing w:after="0" w:line="244" w:lineRule="auto"/>
        <w:tabs>
          <w:tab w:leader="none" w:pos="64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U.S. government shutdown could result in the suspension, delay or cancellation in education grants and loans or in the issuance of visas or visa denials, any of which could discourage prospective international students from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2" w:name="page73"/>
    <w:bookmarkEnd w:id="72"/>
    <w:p>
      <w:pPr>
        <w:ind w:left="640"/>
        <w:spacing w:after="0"/>
        <w:rPr>
          <w:sz w:val="20"/>
          <w:szCs w:val="20"/>
          <w:color w:val="auto"/>
        </w:rPr>
      </w:pPr>
      <w:r>
        <w:rPr>
          <w:rFonts w:ascii="Arial" w:cs="Arial" w:eastAsia="Arial" w:hAnsi="Arial"/>
          <w:sz w:val="18"/>
          <w:szCs w:val="18"/>
          <w:color w:val="auto"/>
        </w:rPr>
        <w:t>choosing U.S. institutions as places for study or otherwise negatively impact our revenues derived from such students.</w:t>
      </w:r>
    </w:p>
    <w:p>
      <w:pPr>
        <w:spacing w:after="0" w:line="104" w:lineRule="exact"/>
        <w:rPr>
          <w:sz w:val="20"/>
          <w:szCs w:val="20"/>
          <w:color w:val="auto"/>
        </w:rPr>
      </w:pPr>
    </w:p>
    <w:p>
      <w:pPr>
        <w:jc w:val="both"/>
        <w:ind w:left="640" w:right="140" w:hanging="258"/>
        <w:spacing w:after="0" w:line="252" w:lineRule="auto"/>
        <w:tabs>
          <w:tab w:leader="none" w:pos="6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3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International cross-border transaction revenue represents a significant part of our revenue; international regulations and restrictions that inhibit cross-border travel and relocation of international students, as well as ongoing political friction between China and the U.S., as well as between Canada and India, that has from time to time slowed the growth of Chinese students studying in the U.S. and Indian students studying in Canada, and may have resulted in changes in Chinese and Indian student education destinations, have had and may continue to have an impact on our revenue growth. These geopolitical tensions and perceptions regarding potential hostility of host country study destinations may further suppress interest in international study (even at levels below the caps described below set by the governments of Canada and Australia), which would have an adverse effect on our business, operating results and financial condition. Sustained economic weakness in the United States or global economic conditions triggered by imposition of tariffs or other recessionary economic conditions, may disrupt international migration patterns, which are likely to reduce money transfer volumes and harm our operating results.</w:t>
      </w:r>
    </w:p>
    <w:p>
      <w:pPr>
        <w:spacing w:after="0" w:line="153"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In January 2024, the Canadian government announced what at 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When first instituted by the IRCC, the cap initially excluded students enrolled in master’s and PhD programs, but the IRCC more recently included master’s and doctoral students within the cap. Additionally, in November 2024, Canada ended its Student Direct Stream (SDS) program for expedited international student visa processing, and international students applying to study in Canada no longer need to prepay tuition to apply for a study permit. These limitations have resulted in a corresponding reduction in payment flows, which had an adverse effect on our business in the nine months ended September 30, 2025 and which we anticipate will continue to impact our Canada revenues in 2025.</w:t>
      </w:r>
    </w:p>
    <w:p>
      <w:pPr>
        <w:spacing w:after="0" w:line="14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Similarly, since late 2023, the Australian government has taken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In August 2025, the Australian government announced the setting of a national planning level to apply a ceiling of 295,000 international students for 2026. These new Australian government policies, including university quotas, slower visa processing, higher fees, and stricter financial and language requirements, has had an adverse impact on our business in the nine months ended September 30, 2025 and we anticipate will continue to impact our Australian revenues in 2025.</w:t>
      </w:r>
    </w:p>
    <w:p>
      <w:pPr>
        <w:spacing w:after="0" w:line="14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Other governments where our client institutions are located, including in the U.S., may introduce measures from time to time to manage the growth of the international student population in their respective countries, which may have adverse effects on our business. For example, the U.S. government’s recent announcement to impose a $100,000 filing fee per new H-1B visa could adversely impact demand for international students to attend our client institutions in the U.S. Our U.S. market saw slower growth in the nine months ended September 30, 2025 due to shifting visa trends. In addition, in 2025 U.S. policy shifts have prompted dramatic action to rescind student visas (including deportation of students), plan additional cutbacks to the volume of international student visa issuances, and more closely scrutinize applications for international student visas, and to cut government support for higher education, adding to uncertainty around the number of students coming to the U.S. to study in the near future. Delays in issuances of visas or visa denials – which could be exacerbated by the recent U.S. government shutdown – may discourage prospective international students from choosing U.S. institutions as places for study. Recent proposals in Congress to tighten visa stay rules and to implement the “OPT Fair Tax Act” could further dampen demand among international students to study in the U.S. The existing rules and 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3" w:name="page74"/>
    <w:bookmarkEnd w:id="73"/>
    <w:p>
      <w:pPr>
        <w:ind w:right="60"/>
        <w:spacing w:after="0"/>
        <w:rPr>
          <w:sz w:val="20"/>
          <w:szCs w:val="20"/>
          <w:color w:val="auto"/>
        </w:rPr>
      </w:pPr>
      <w:r>
        <w:rPr>
          <w:rFonts w:ascii="Arial" w:cs="Arial" w:eastAsia="Arial" w:hAnsi="Arial"/>
          <w:sz w:val="18"/>
          <w:szCs w:val="18"/>
          <w:color w:val="auto"/>
        </w:rPr>
        <w:t>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 In addition to caps on international students, government changes to other visa or student insurance requirements (for example, no longer requiring a one year tuition deposit as a condition to issuance of a student visa, or eliminating a need to procure insurance) may negatively impact payment volume. The existing rules and any introduction of new rules further limiting potential payment flows or the attractiveness of international study by the governments of countries where our client institutions are located has and could continue to adversely impact our business, operating results, and financial condition. Changes to U.S. immigration policy and heightened trade tensions from the imposition of tariffs can also dampen demands for international study.</w:t>
      </w:r>
    </w:p>
    <w:p>
      <w:pPr>
        <w:spacing w:after="0" w:line="15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would have an adverse effect on our business, operating results and financial condition.</w:t>
      </w:r>
    </w:p>
    <w:p>
      <w:pPr>
        <w:spacing w:after="0" w:line="135" w:lineRule="exact"/>
        <w:rPr>
          <w:sz w:val="20"/>
          <w:szCs w:val="20"/>
          <w:color w:val="auto"/>
        </w:rPr>
      </w:pPr>
    </w:p>
    <w:p>
      <w:pPr>
        <w:ind w:right="200"/>
        <w:spacing w:after="0" w:line="309" w:lineRule="auto"/>
        <w:rPr>
          <w:sz w:val="20"/>
          <w:szCs w:val="20"/>
          <w:color w:val="auto"/>
        </w:rPr>
      </w:pPr>
      <w:r>
        <w:rPr>
          <w:rFonts w:ascii="Arial" w:cs="Arial" w:eastAsia="Arial" w:hAnsi="Arial"/>
          <w:sz w:val="17"/>
          <w:szCs w:val="17"/>
          <w:b w:val="1"/>
          <w:bCs w:val="1"/>
          <w:i w:val="1"/>
          <w:iCs w:val="1"/>
          <w:color w:val="auto"/>
        </w:rPr>
        <w:t>A number of recent actual and proposed U.S. policy changes and enforcement practices could reshape the U.S. higher education landscape, impacting students, our client educational institutions, and the wider educational framework in the United States.</w:t>
      </w:r>
    </w:p>
    <w:p>
      <w:pPr>
        <w:spacing w:after="0" w:line="75" w:lineRule="exact"/>
        <w:rPr>
          <w:sz w:val="20"/>
          <w:szCs w:val="20"/>
          <w:color w:val="auto"/>
        </w:rPr>
      </w:pPr>
    </w:p>
    <w:p>
      <w:pPr>
        <w:ind w:right="60" w:firstLine="374"/>
        <w:spacing w:after="0" w:line="244" w:lineRule="auto"/>
        <w:rPr>
          <w:sz w:val="20"/>
          <w:szCs w:val="20"/>
          <w:color w:val="auto"/>
        </w:rPr>
      </w:pPr>
      <w:r>
        <w:rPr>
          <w:rFonts w:ascii="Arial" w:cs="Arial" w:eastAsia="Arial" w:hAnsi="Arial"/>
          <w:sz w:val="18"/>
          <w:szCs w:val="18"/>
          <w:color w:val="auto"/>
        </w:rPr>
        <w:t>In 2025, there have been a number of actions and policies proposed or taken which have unsettled the U.S. higher education sector, a historically significant source of clients and revenue for us. Any one or combination of these potential acts and policies coming to fruition or further developing – or even a perception or fear of occurrence – could negatively affect student enrollment at U.S. colleges and universities, lead to diminishing operating budgets, and adversely affect our business and operating results and financial condition. Among these proposed or actual policies are:</w:t>
      </w:r>
    </w:p>
    <w:p>
      <w:pPr>
        <w:spacing w:after="0" w:line="68" w:lineRule="exact"/>
        <w:rPr>
          <w:sz w:val="20"/>
          <w:szCs w:val="20"/>
          <w:color w:val="auto"/>
        </w:rPr>
      </w:pPr>
    </w:p>
    <w:p>
      <w:pPr>
        <w:ind w:left="640" w:right="80" w:hanging="258"/>
        <w:spacing w:after="0" w:line="239" w:lineRule="auto"/>
        <w:tabs>
          <w:tab w:leader="none" w:pos="64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issuances and revocations of student visas, and deportation of students studying in the U.S. High profile instances of students with traditionally protective immigration status being arrested, deported, or having their student visas revoked have drawn widespread media attention. There have similarly been proposals put forth to expand the scope of bans on visa issuances. Diplomatic tensions between the U.S. and other countries can evoke visa restrictions specifically targeting students which would impact their ability to study in the U.S. Changes in U.S. immigration regulations or other laws, practices and frequency or methods of enforcement which discourage immigration or international study could adversely affect our education vertical or growth rate in the future. Reduced or disrupted international study patterns are likely to reduce the payment volumes we process and harm our operating results.</w:t>
      </w:r>
    </w:p>
    <w:p>
      <w:pPr>
        <w:spacing w:after="0" w:line="78" w:lineRule="exact"/>
        <w:rPr>
          <w:rFonts w:ascii="Times New Roman" w:cs="Times New Roman" w:eastAsia="Times New Roman" w:hAnsi="Times New Roman"/>
          <w:sz w:val="18"/>
          <w:szCs w:val="18"/>
          <w:color w:val="auto"/>
        </w:rPr>
      </w:pPr>
    </w:p>
    <w:p>
      <w:pPr>
        <w:ind w:left="640" w:right="60" w:hanging="258"/>
        <w:spacing w:after="0" w:line="239" w:lineRule="auto"/>
        <w:tabs>
          <w:tab w:leader="none" w:pos="64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Reductions in government funding. There have been a number of instances of actual or threatened withholdings of federal funding to U.S. institutions of higher learning in general as well as to higher-profile U.S. colleges and universities. While some schools have worked out a negotiated arrangement with the U.S. government to allow for funding to continue in whole or in part – subject to specified conditions – others have not, and unreconciled instances continue to create an environment of uncertainty. Changes at the federal level regarding education policy could have a ripple effect on state funding for higher education. This could result in financial uncertainty for public universities that rely on state support, potentially leading to tougher budgetary constraints. Any such reductions could adversely affect the financial health of colleges and universities, leading to diminished operational budgets, fewer student services, and declines in enrollment, which could reduce the demand for our services and negatively impact our operating results.</w:t>
      </w:r>
    </w:p>
    <w:p>
      <w:pPr>
        <w:spacing w:after="0" w:line="78" w:lineRule="exact"/>
        <w:rPr>
          <w:rFonts w:ascii="Times New Roman" w:cs="Times New Roman" w:eastAsia="Times New Roman" w:hAnsi="Times New Roman"/>
          <w:sz w:val="18"/>
          <w:szCs w:val="18"/>
          <w:color w:val="auto"/>
        </w:rPr>
      </w:pPr>
    </w:p>
    <w:p>
      <w:pPr>
        <w:ind w:left="640" w:right="100" w:hanging="258"/>
        <w:spacing w:after="0" w:line="242" w:lineRule="auto"/>
        <w:tabs>
          <w:tab w:leader="none" w:pos="64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Cutbacks to, or elimination of, student loan programs and the U.S. Department of Education. Alterations in student loan regulations or a reduction in U.S. government support for loan programs – particularly for international study – could exacerbate the financial burden on students and their families and make the cost of attending college prohibitively expensive for families. This situation might discourage prospective students from enrolling, thereby affecting overall college attendance rates. We have historically, and expect to continue to, process U.S. student loan payments and a loss of these payment flows or a reduction in the number of students enrolling in higher education institutions that accept U.S. student loan payments could adversely affect our business.</w:t>
      </w:r>
    </w:p>
    <w:p>
      <w:pPr>
        <w:spacing w:after="0" w:line="69" w:lineRule="exact"/>
        <w:rPr>
          <w:rFonts w:ascii="Times New Roman" w:cs="Times New Roman" w:eastAsia="Times New Roman" w:hAnsi="Times New Roman"/>
          <w:sz w:val="18"/>
          <w:szCs w:val="18"/>
          <w:color w:val="auto"/>
        </w:rPr>
      </w:pPr>
    </w:p>
    <w:p>
      <w:pPr>
        <w:ind w:left="640" w:hanging="258"/>
        <w:spacing w:after="0" w:line="238" w:lineRule="auto"/>
        <w:tabs>
          <w:tab w:leader="none" w:pos="64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Public image and perception. The perception of these real or proposed policies – especially with respect to immigration and availability of student visas – and their potential to make it more challenging for international students to study in the United States could result in a significant drop in enrollment numbers. This decline would particularly impact our U.S. client institutions that rely heavily on tuition revenue generated from international students. In addition, other nations may implement more attractive visa policies, which could entice international students to choose educational opportunities outside of the United States. Although we have client institutions 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4" w:name="page75"/>
    <w:bookmarkEnd w:id="74"/>
    <w:p>
      <w:pPr>
        <w:jc w:val="both"/>
        <w:ind w:left="640" w:right="220"/>
        <w:spacing w:after="0" w:line="253" w:lineRule="auto"/>
        <w:rPr>
          <w:sz w:val="20"/>
          <w:szCs w:val="20"/>
          <w:color w:val="auto"/>
        </w:rPr>
      </w:pPr>
      <w:r>
        <w:rPr>
          <w:rFonts w:ascii="Arial" w:cs="Arial" w:eastAsia="Arial" w:hAnsi="Arial"/>
          <w:sz w:val="18"/>
          <w:szCs w:val="18"/>
          <w:color w:val="auto"/>
        </w:rPr>
        <w:t>countries around the world where international students may choose to study if they are increasingly uncomfortable studying in the U.S., the cost of attending a school in these jurisdictions may be significantly less than in the U.S., and our payment volumes may suffer as a result.</w:t>
      </w:r>
    </w:p>
    <w:p>
      <w:pPr>
        <w:spacing w:after="0" w:line="128" w:lineRule="exact"/>
        <w:rPr>
          <w:sz w:val="20"/>
          <w:szCs w:val="20"/>
          <w:color w:val="auto"/>
        </w:rPr>
      </w:pPr>
    </w:p>
    <w:p>
      <w:pPr>
        <w:ind w:right="20" w:firstLine="374"/>
        <w:spacing w:after="0" w:line="244" w:lineRule="auto"/>
        <w:rPr>
          <w:sz w:val="20"/>
          <w:szCs w:val="20"/>
          <w:color w:val="auto"/>
        </w:rPr>
      </w:pPr>
      <w:r>
        <w:rPr>
          <w:rFonts w:ascii="Arial" w:cs="Arial" w:eastAsia="Arial" w:hAnsi="Arial"/>
          <w:sz w:val="18"/>
          <w:szCs w:val="18"/>
          <w:color w:val="auto"/>
        </w:rPr>
        <w:t>After a period during which interviews and applications for student visas to study in the U.S. were temporarily suspended, in June 2025 the U.S. Department of State (DOS) resumed scheduling visa interview appointments for international students and exchange visitors while it considered new social media vetting measures. New student and exchange visitor visa policies, including the temporary pause and expanded vetting, could impact the amount of international students successfully enrolling as students in the U.S., which may adversely affect our revenue and results of operations. Some of these expected impacts include:</w:t>
      </w:r>
    </w:p>
    <w:p>
      <w:pPr>
        <w:spacing w:after="0" w:line="68" w:lineRule="exact"/>
        <w:rPr>
          <w:sz w:val="20"/>
          <w:szCs w:val="20"/>
          <w:color w:val="auto"/>
        </w:rPr>
      </w:pPr>
    </w:p>
    <w:p>
      <w:pPr>
        <w:ind w:left="640" w:hanging="258"/>
        <w:spacing w:after="0"/>
        <w:tabs>
          <w:tab w:leader="none" w:pos="64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Requests for deferred admissions, increased student inquiries/concerns, and delays in expected enrollment;</w:t>
      </w:r>
    </w:p>
    <w:p>
      <w:pPr>
        <w:spacing w:after="0" w:line="116" w:lineRule="exact"/>
        <w:rPr>
          <w:rFonts w:ascii="Times New Roman" w:cs="Times New Roman" w:eastAsia="Times New Roman" w:hAnsi="Times New Roman"/>
          <w:sz w:val="18"/>
          <w:szCs w:val="18"/>
          <w:color w:val="auto"/>
        </w:rPr>
      </w:pPr>
    </w:p>
    <w:p>
      <w:pPr>
        <w:ind w:left="640" w:right="120" w:hanging="258"/>
        <w:spacing w:after="0" w:line="270" w:lineRule="auto"/>
        <w:tabs>
          <w:tab w:leader="none" w:pos="64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Visa appointment cancellations, unavailability or delays in scheduling interviews as well as higher visa rejection rates - especially as to potential students from the countries that send the most students to the United States; and</w:t>
      </w:r>
    </w:p>
    <w:p>
      <w:pPr>
        <w:spacing w:after="0" w:line="46" w:lineRule="exact"/>
        <w:rPr>
          <w:rFonts w:ascii="Times New Roman" w:cs="Times New Roman" w:eastAsia="Times New Roman" w:hAnsi="Times New Roman"/>
          <w:sz w:val="18"/>
          <w:szCs w:val="18"/>
          <w:color w:val="auto"/>
        </w:rPr>
      </w:pPr>
    </w:p>
    <w:p>
      <w:pPr>
        <w:ind w:left="640" w:right="300" w:hanging="258"/>
        <w:spacing w:after="0" w:line="243" w:lineRule="auto"/>
        <w:tabs>
          <w:tab w:leader="none" w:pos="64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Students pivoting away from study and research in the United States. According to some studies, the top five countries that international students and scholars have indicated they are turning to instead of the United States are: United Kingdom, Australia, Canada, China, and Germany. These European and Asian study destinations that are gaining in market share of student interest often carry lower tuition and related costs of living relative to the United States, which can result in lower volume of payments processed within our education vertical.</w:t>
      </w:r>
    </w:p>
    <w:p>
      <w:pPr>
        <w:spacing w:after="0" w:line="153"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expanded social media screening process to be applied by the DOS to student visa applicants establishes that, of those students seeking expedited appointments, priority should be given to those attending universities with lower international enrollment (15% or less). This change potentially disadvantages those seeking to study at more internationally diverse institutions and marks a significant departure from previous DOS guidance that prioritized students based on the start of their academic studies. Administrative processing issues, a new requirement that applicants provide DOS access to social media accounts, and the resource-intensive nature of the new screening requirements is expected to create longer wait times and processing delays. All of these factors – and other related uncertainties that will surface as the new standards are implemented – can contribute to a decline in international enrollment in U.S. academic institutions, which could adversely affect our business.</w:t>
      </w:r>
    </w:p>
    <w:p>
      <w:pPr>
        <w:spacing w:after="0" w:line="140"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In addition, in the U.S., the recently enacted “One Big Beautiful Bill” contains a number of provisions with the potential to significantly change the landscape for financing undergraduate and graduate study and which could adversely affect the demand for higher education in the U.S. The One Big Beautiful Bill limits Pell Grant awards (which provide gift aid to low-income students), eliminates the Grad PLUS program, and sets new limits for graduate and professional students for Direct Unsubsidized Loans. The new bill also caps parent loans to finance undergraduate education, and changes student loan repayment options, among other modifications. Most of these changes do not go into effect until July 1, 2026. The bill may impact U.S. student enrollment in undergraduate and postgraduate programs and could materially and adversely affect our revenue and results of operations.</w:t>
      </w:r>
    </w:p>
    <w:p>
      <w:pPr>
        <w:spacing w:after="0" w:line="14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October 2025, the current administration introduced a proposal termed the “Compact for Academic Excellence in Higher Education,” under which select U.S. universities would be invited to accept a set of federal policy conditions—such as freezing tuition rates, limiting international student enrollment, altering admissions criteria, and certifying adherence to specified ideological and governance standards—in exchange for preferential access to federal funding and grants. Because a meaningful portion of Flywire’s revenue is generated through cross-border payment services and tuition facilitation for higher-education institutions, changes in federal higher-education policy could indirectly but materially affect us. If major client universities (especially large public and private institutions) decline to engage in or are disqualified from federal funding programs due to a refusal or failure to comply with compact terms, they may downsize enrollments (particularly of international students), constrain capital expenditures, or restructure their financial operations. Such shifts could reduce payment volumes, delay implementation of new systems, and reduce demand for value-added services like foreign-exchange hedging, deferred payments, or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-798830</wp:posOffset>
            </wp:positionV>
            <wp:extent cx="3175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3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Moreover, uncertainty stemming from the compact’s adoption or rejection could exacerbate institutional risk in the sector. Universities may postpone upgrades, IT transitions, or third-party service contracts pending clarity on their federal funding status. They may also prioritize internal compliance or legal capabilities over vendor innovation. If key clients delay or scale back programs, Flywire’s financial performance — including revenue growth, margins, or client retention — could be materially and adversely affected.</w:t>
      </w:r>
    </w:p>
    <w:p>
      <w:pPr>
        <w:spacing w:after="0" w:line="133" w:lineRule="exact"/>
        <w:rPr>
          <w:sz w:val="20"/>
          <w:szCs w:val="20"/>
          <w:color w:val="auto"/>
        </w:rPr>
      </w:pPr>
    </w:p>
    <w:p>
      <w:pPr>
        <w:ind w:right="240" w:firstLine="509"/>
        <w:spacing w:after="0" w:line="245" w:lineRule="auto"/>
        <w:rPr>
          <w:sz w:val="20"/>
          <w:szCs w:val="20"/>
          <w:color w:val="auto"/>
        </w:rPr>
      </w:pPr>
      <w:r>
        <w:rPr>
          <w:rFonts w:ascii="Arial" w:cs="Arial" w:eastAsia="Arial" w:hAnsi="Arial"/>
          <w:sz w:val="18"/>
          <w:szCs w:val="18"/>
          <w:color w:val="auto"/>
        </w:rPr>
        <w:t>Finally, reputational or policy backlash could create reputational or regulatory risk for providers of educational payments solutions. If the compact becomes politically controversial or perceived as ideologically driven, vendors aligning</w:t>
      </w: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5" w:name="page76"/>
    <w:bookmarkEnd w:id="75"/>
    <w:p>
      <w:pPr>
        <w:ind w:right="340"/>
        <w:spacing w:after="0" w:line="253" w:lineRule="auto"/>
        <w:rPr>
          <w:sz w:val="20"/>
          <w:szCs w:val="20"/>
          <w:color w:val="auto"/>
        </w:rPr>
      </w:pPr>
      <w:r>
        <w:rPr>
          <w:rFonts w:ascii="Arial" w:cs="Arial" w:eastAsia="Arial" w:hAnsi="Arial"/>
          <w:sz w:val="18"/>
          <w:szCs w:val="18"/>
          <w:color w:val="auto"/>
        </w:rPr>
        <w:t>with affected institutions might face increased scrutiny from policymakers, advocacy groups, or the press. While Flywire operates globally and across verticals, even marginal negative sentiment or regulatory uncertainty in the education payments space could make client acquisition or retention more challenging.</w:t>
      </w:r>
    </w:p>
    <w:p>
      <w:pPr>
        <w:spacing w:after="0" w:line="346"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1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4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 In addition, the decisions we make on allocation of engineering resources, reliance on, integration with or discontinuance of, legacy systems or those acquired in acquisition, or the pace at which we remain technologically current within our internal systems and customer payment platforms, may negatively affect the morale of our engineering teams and the payment experiences our clients wish to feature to their customers. We may lose engineering talent or healthcare clients as a result, which could have a material adverse effect on our business and results of operations.</w:t>
      </w:r>
    </w:p>
    <w:p>
      <w:pPr>
        <w:spacing w:after="0" w:line="156"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4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may have an adverse effect on our business, operating results and financial condition.</w:t>
      </w:r>
    </w:p>
    <w:p>
      <w:pPr>
        <w:spacing w:after="0" w:line="140" w:lineRule="exact"/>
        <w:rPr>
          <w:sz w:val="20"/>
          <w:szCs w:val="20"/>
          <w:color w:val="auto"/>
        </w:rPr>
      </w:pPr>
    </w:p>
    <w:p>
      <w:pPr>
        <w:ind w:right="400" w:firstLine="509"/>
        <w:spacing w:after="0" w:line="241" w:lineRule="auto"/>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6" w:name="page77"/>
    <w:bookmarkEnd w:id="76"/>
    <w:p>
      <w:pPr>
        <w:ind w:firstLine="509"/>
        <w:spacing w:after="0" w:line="239" w:lineRule="auto"/>
        <w:rPr>
          <w:sz w:val="20"/>
          <w:szCs w:val="20"/>
          <w:color w:val="auto"/>
        </w:rPr>
      </w:pPr>
      <w:r>
        <w:rPr>
          <w:rFonts w:ascii="Arial" w:cs="Arial" w:eastAsia="Arial" w:hAnsi="Arial"/>
          <w:sz w:val="18"/>
          <w:szCs w:val="18"/>
          <w:color w:val="auto"/>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or cease operations, it may become difficult for us to be paid in full in a timely manner, if at all.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16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Events like regional or larger scale conflicts, war or other military conflict, including the recent conflicts between Russia and Ukraine, and Israel and Hamas, and Israel and Iran (which has also featured military strikes by the U.S. against Iran), terrorist attacks, mass shooting incidents, natural disasters, such as hurricanes, earthquakes, fires, droughts, floods and volcanic activity, including events resulting from climate change, and travel-related health events, such as the COVID-19 pandemic, have had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recessionary trends, heightened interest rates and inflation. We are not in a position to evaluate the net effect of these circumstances on our business as these events are largely unpredictable; however, we believe there has been and may continue to be negative impact to our business due to such events. Furthermore, in the longer term, our business might be negatively affected by regulatory changes, financial pressures on or changes to the travel industry. For example, certain jurisdictions, particularly in Europe, have implemented or are considering implementing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In addition, any hostility towards tourists may depress international travel. The United States has implemented or proposed, or is considering, various changes in laws, regulations or policies such as the imposition of tariffs or sanctions that could affect U.S. trade policy or practices, relations with other countries and travel permits, which could also adversely affect travel to or from the United States. If such events result in a long-term negative impact on the travel industry, such impact could have a material adverse effect on our business. The payment volume from our travel vertical represented less than 10% of our total payment volume during the year ended December 31, 2024. Because we seek to grow the payment volume and the revenue from this vertical in the future through various initiatives, including the recently announced Sertifi acquisition, failure to grow our payment volume and resulting revenue from this industry, may have an adverse effect on our business, operating results and financial condition.</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If we are unable to enter or expand new client verticals or sub-verticals, including our relatively new B2B payment vertical, or if our solutions for any new vertical fail to achieve market acceptance, our operating results could be adversely affected and we may be required to reconsider our growth strategy.</w:t>
      </w:r>
    </w:p>
    <w:p>
      <w:pPr>
        <w:spacing w:after="0" w:line="13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growth strategy is influenced, in part, on our ability to expand into new client verticals and sub-verticals, including our relatively new B2B payment vertical. The B2B payment vertical represents a relatively new market for us, and we have limited prior experience with the key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Our payment volume and resulting revenue from serving the B2B vertical is highly sensitive to restrictions on the cross-border commerce on which our clients rely, and declining economic conditions, increases in the costs or unavailability of imported goods and services due to imposition of tariffs, sanctions or other restrictions, could adversely affect our development of this vertical or our overall operating results and financial condition. The payment volume and resulting revenue from our B2B payment vertical during the year ended December 31, 2024 represented, and is expected for the foreseeable future to represent, less than 10% of our total payment volume and revenue. We expect both the payment volume and the revenue from this vertical to grow over time. As such, failure to grow our payment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7" w:name="page78"/>
    <w:bookmarkEnd w:id="77"/>
    <w:p>
      <w:pPr>
        <w:ind w:right="340"/>
        <w:spacing w:after="0" w:line="271" w:lineRule="auto"/>
        <w:rPr>
          <w:sz w:val="20"/>
          <w:szCs w:val="20"/>
          <w:color w:val="auto"/>
        </w:rPr>
      </w:pPr>
      <w:r>
        <w:rPr>
          <w:rFonts w:ascii="Arial" w:cs="Arial" w:eastAsia="Arial" w:hAnsi="Arial"/>
          <w:sz w:val="18"/>
          <w:szCs w:val="18"/>
          <w:color w:val="auto"/>
        </w:rPr>
        <w:t>volume and resulting revenue from our B2B payment vertical may have an adverse effect on our business, operating results and financial condition.</w:t>
      </w:r>
    </w:p>
    <w:p>
      <w:pPr>
        <w:spacing w:after="0" w:line="127"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We may be unable to identify new verticals or sub-verticals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2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Even if we choose to enter new verticals or sub-verticals,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42"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11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economic and political instability.</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we seek to continue to operate and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heightened interest rates, reduced corporate profitability, employment pressures in services sectors, volatility in the banking ecosystem or credit, equity and foreign exchange markets, bankruptcies, as well as war, terrorist activity, political or social unrest, civil strife and other geopolitical uncertainty, including the effects of ongoing diplomatic and trade friction between Canada and India and the U.S. and countries such as Canada, Mexico and China,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 In addition, from time to time we have reduced expenses and needed to restructure or reorganize certain portions of our operations, including our restructuring announced in February 2025, in order to align our business with market conditions and our strategies, any of which can result in near term expense and harm to our growth prospects.</w:t>
      </w:r>
    </w:p>
    <w:p>
      <w:pPr>
        <w:spacing w:after="0" w:line="15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For example, on February 24, 2022, Russian military forces invaded Ukraine, and continued conflict and disruption in the region is likely, and on October 7,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On October 8, 2023, Israel formally declared war on Hamas, and thereafter commenced military operations against Hamas. After two years of steady conflict, an agreement was reached to end hostilities in October 2025. It is difficult to predict if the additional steps identified as part of a peace plan will be achieved in a timely fashion if at all, or if hostilities will recommence, and if so, their duration.</w:t>
      </w:r>
    </w:p>
    <w:p>
      <w:pPr>
        <w:spacing w:after="0" w:line="14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 Israel Defense Force (IDF), the national military of Israel, is a conscripted military service, subject to certain exceptions. Since the outbreak of hostilities, the IDF has called up more than 350,000 of its reserve forces to serve. It is possible that there will be further military reserve duty call-ups in the future, which may affect our business due to 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8" w:name="page79"/>
    <w:bookmarkEnd w:id="78"/>
    <w:p>
      <w:pPr>
        <w:ind w:right="80"/>
        <w:spacing w:after="0" w:line="253" w:lineRule="auto"/>
        <w:rPr>
          <w:sz w:val="20"/>
          <w:szCs w:val="20"/>
          <w:color w:val="auto"/>
        </w:rPr>
      </w:pPr>
      <w:r>
        <w:rPr>
          <w:rFonts w:ascii="Arial" w:cs="Arial" w:eastAsia="Arial" w:hAnsi="Arial"/>
          <w:sz w:val="18"/>
          <w:szCs w:val="18"/>
          <w:color w:val="auto"/>
        </w:rPr>
        <w:t>shortage of skilled labor and loss of institutional knowledge, and necessary mitigation measures we may take to respond to a decrease in labor availability, such as overtime and third-party outsourcing, for example, may have unintended negative effects and adversely impact our business, financial condition and results of operations.</w:t>
      </w:r>
    </w:p>
    <w:p>
      <w:pPr>
        <w:spacing w:after="0" w:line="142" w:lineRule="exact"/>
        <w:rPr>
          <w:sz w:val="20"/>
          <w:szCs w:val="20"/>
          <w:color w:val="auto"/>
        </w:rPr>
      </w:pPr>
    </w:p>
    <w:p>
      <w:pPr>
        <w:ind w:right="340" w:firstLine="509"/>
        <w:spacing w:after="0" w:line="247" w:lineRule="auto"/>
        <w:rPr>
          <w:sz w:val="20"/>
          <w:szCs w:val="20"/>
          <w:color w:val="auto"/>
        </w:rPr>
      </w:pPr>
      <w:r>
        <w:rPr>
          <w:rFonts w:ascii="Arial" w:cs="Arial" w:eastAsia="Arial" w:hAnsi="Arial"/>
          <w:sz w:val="18"/>
          <w:szCs w:val="18"/>
          <w:color w:val="auto"/>
        </w:rPr>
        <w:t>Although the length, impact and outcome of these conflicts are highly unpredictable, these conflicts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spacing w:after="0" w:line="13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are actively monitoring the situations in Ukraine and Israel and assessing any potential impact on our business, but to date have not experienced any material impact. We have no way to predict the progress or outcome of the conflicts in Ukraine and Israel or any peace that has or may be reached, as the conflicts,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these conflicts continue to develop and potentially spread, both in Europe, the Middle East and through the rest of the world, our clients,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these conflicts and any of the abovementioned factors could have a material adverse effect on our business, financial condition and results of operations, particularly to the extent the conflict escalates to involve additional countries, further economic sanctions and wider military conflicts. Any such disruptions could also magnify the impact of other risks described in this Annual Report on Form 10-K.</w:t>
      </w:r>
    </w:p>
    <w:p>
      <w:pPr>
        <w:spacing w:after="0" w:line="14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addition, political tensions between the U.S. and countries, such as Canada, Mexico and China, have recently escalated due to, among other things, U.S. policy shifts, and could have an adverse effect on our operating results. Rising political tensions could reduce levels of trade, investments, technological and educational exchanges, travel and other economic activities between the U.S. and such other countries, which would have a material adverse effect on global economic conditions and the stability of global financial markets. Since February 2025, the U.S. government has enacted, and continues to enact, a series of new tariffs, including a tariff on all imports and additional “reciprocal” tariffs targeting imports from specified countries. These tariffs and other changes in U.S. trade policy have triggered, and could continue to trigger, retaliatory actions by affected countries, including retaliatory measures other protectionist measures that could harm our business, results of operations and financial condition. The tariff policy environment has been and can be expected to continue to be dynamic. The ultimate impact of these newly enacted and potential future tariffs or other restrictions on international trade will depend on various factors, including the ultimate levels of such tariffs, how long such tariffs remain in place, and how other countries respond to the U.S. tariffs. Any of these factors could have a material adverse effect on our business, prospects, financial condition and results of operations. We cannot assure you that, if the political tension between the U.S. and other countries intensifies and further regulations affecting our business are passed, our business will not be materially and adversely affected.</w:t>
      </w:r>
    </w:p>
    <w:p>
      <w:pPr>
        <w:spacing w:after="0" w:line="15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Inflation and heightened interest rates have and may in the future result in decreased demand for our solutions, increases in our operating costs including our labor costs, constrained credit and liquidity, and volatility in financial markets and the banking ecosystem. Although the Federal Reserve lowered interest rates by 25 basis points on September 17, 2025 and October 29, 2025, interest rates remain elevated and there continues to be uncertainty in the changing market and economic conditions, including the effects of additional measures that have and could be taken by the Trump administration, the Federal Reserve and other government agencies, related to concerns over inflation risk. A sharp rise in interest rates could have an adverse impact on the fair market value of securities we may invest in as part of our portfolio investments, which could adversely affect our financial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3" w:lineRule="exact"/>
        <w:rPr>
          <w:sz w:val="20"/>
          <w:szCs w:val="20"/>
          <w:color w:val="auto"/>
        </w:rPr>
      </w:pPr>
    </w:p>
    <w:p>
      <w:pPr>
        <w:ind w:right="900"/>
        <w:spacing w:after="0" w:line="278"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11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9" w:name="page80"/>
    <w:bookmarkEnd w:id="79"/>
    <w:p>
      <w:pPr>
        <w:ind w:firstLine="509"/>
        <w:spacing w:after="0" w:line="239"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or improve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58"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99"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For the year ended December 31, 2024, we processed over $29.7 billion in payments on our solutions, compared to over $24.0 billion for the year ended December 31, 2023. For the nine months ended September 30, 2025, we processed approximately $28.2 billion in payments on our solutions. We have grown rapidly and seek to continue to grow, and our business is subject to the risk of financial losses as a result of chargebacks for client-related losses, credit losses, operational errors, software defects, service disruption, employee or partner misconduct, security breaches, or other similar actions or errors in our solutions. As a provider of accounts receivable and other payment solutions, we enable the transfer of funds to our clients from their customers. Software errors in our solutions, including as a result of ordinary course updates to our software and systems, and operational errors by our FlyMates and business partners may also expose us to losses.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a client has gone out of business or we are otherwise unable to collect on the chargeback, we will bear the economic loss, which can negatively impact our business.</w:t>
      </w:r>
    </w:p>
    <w:p>
      <w:pPr>
        <w:spacing w:after="0" w:line="136" w:lineRule="exact"/>
        <w:rPr>
          <w:sz w:val="20"/>
          <w:szCs w:val="20"/>
          <w:color w:val="auto"/>
        </w:rPr>
      </w:pPr>
    </w:p>
    <w:p>
      <w:pPr>
        <w:jc w:val="both"/>
        <w:ind w:right="600" w:firstLine="509"/>
        <w:spacing w:after="0" w:line="247"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66" w:lineRule="exact"/>
        <w:rPr>
          <w:sz w:val="20"/>
          <w:szCs w:val="20"/>
          <w:color w:val="auto"/>
        </w:rPr>
      </w:pPr>
    </w:p>
    <w:p>
      <w:pPr>
        <w:ind w:left="640" w:hanging="258"/>
        <w:spacing w:after="0"/>
        <w:tabs>
          <w:tab w:leader="none" w:pos="64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lost or delayed market acceptance and acquisition of new clients;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legal claims against us;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enforcement action; or</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our resources, including through increased service expenses or financial concessions, and increased insurance costs.</w:t>
      </w:r>
    </w:p>
    <w:p>
      <w:pPr>
        <w:spacing w:after="0" w:line="19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30"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Our management of our operating funds and client funds may be reliant on a limited number of our banking partners and other financial institutions.</w:t>
      </w:r>
    </w:p>
    <w:p>
      <w:pPr>
        <w:spacing w:after="0" w:line="9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or are delayed in accessing, our own funds or if client funds were in any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0" w:name="page81"/>
    <w:bookmarkEnd w:id="80"/>
    <w:p>
      <w:pPr>
        <w:ind w:right="760"/>
        <w:spacing w:after="0" w:line="271" w:lineRule="auto"/>
        <w:rPr>
          <w:sz w:val="20"/>
          <w:szCs w:val="20"/>
          <w:color w:val="auto"/>
        </w:rPr>
      </w:pPr>
      <w:r>
        <w:rPr>
          <w:rFonts w:ascii="Arial" w:cs="Arial" w:eastAsia="Arial" w:hAnsi="Arial"/>
          <w:sz w:val="18"/>
          <w:szCs w:val="18"/>
          <w:color w:val="auto"/>
        </w:rPr>
        <w:t>way impacted, we could be adversely impacted, including by experiencing reputational damage and claims for restitution, potentially interfering with our existing client relationships or making us less attractive to potential new clients.</w:t>
      </w:r>
    </w:p>
    <w:p>
      <w:pPr>
        <w:spacing w:after="0" w:line="12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Our marketable securities portfolio is subject to credit, liquidity, market, and interest rate risks that could cause its value to decline significantly and materially adversely affect our business, financial condition, results of operations, and prospects.</w:t>
      </w:r>
    </w:p>
    <w:p>
      <w:pPr>
        <w:spacing w:after="0" w:line="9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maintain an investment portfolio of marketable securities. These investments are subject to general credit, liquidity, market, and interest rate risks that can affect the income that we receive from our investments, the net realizable value of our investments, and our ability to sell them, which may be exacerbated by market downturns or events that affect global financial markets. As a result, we may experience a significant decline in value or loss of liquidity of our investments, which could materially adversely affect our business, financial condition, results of operations, and prospects. We attempt to mitigate these risks through diversification of our investments and continuous monitoring of our portfolio’s overall risk profile, but the value of our investments may nevertheless decline. To the extent that we increase the amount of our security investments in the future, these risks could be exacerbated.</w:t>
      </w:r>
    </w:p>
    <w:p>
      <w:pPr>
        <w:spacing w:after="0" w:line="146"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Volatility in the banking and financial services ecosystems may impact our bank partnerships and relationships, which could adversely affect our operations and liquidity.</w:t>
      </w:r>
    </w:p>
    <w:p>
      <w:pPr>
        <w:spacing w:after="0" w:line="11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Instability and volatility in the banking and financial services ecosystems, including limited liquidity, defaults, non-performance or other adverse developments that affect the banking ecosystem, or concerns or rumors about any such events or other similar risks, has and may in the future increase uncertainty in the global economy and the risk of a recession. Volatility in the banking and financial services sectors may impact our bank partnerships and relationships, which could adversely affect our operations and liquidity.</w:t>
      </w:r>
    </w:p>
    <w:p>
      <w:pPr>
        <w:spacing w:after="0" w:line="13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cash equivalents include money market funds, which are AAA-rated and comprised of liquid, high-quality debt securities issued by the U.S. government. Our access to our cash and cash equivalents and client funds could be significantly impacted in volatile markets given our concentration in government money market funds or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regulatory or other claims or litigation, which may be costly to address.</w:t>
      </w:r>
    </w:p>
    <w:p>
      <w:pPr>
        <w:spacing w:after="0" w:line="139"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5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19"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1" w:name="page82"/>
    <w:bookmarkEnd w:id="81"/>
    <w:p>
      <w:pPr>
        <w:ind w:right="40" w:firstLine="509"/>
        <w:spacing w:after="0" w:line="253" w:lineRule="auto"/>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spacing w:after="0" w:line="14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due to regulatory restrictions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4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1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4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NACHA, which manages the governance of the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clients for our failure or the failure of third parties with whom we contract to protect this data in accordance with PCI DSS and network requirements. The loss, destruction or unauthorized modification or disclosure of merchant or cardholder data by us or our contracted third parties could result in significant fines, sanctions, claims, litigation and proceedings or actions against us by the payment networks, governmental entities, clients, client customers or others and damage our reputation.</w:t>
      </w:r>
    </w:p>
    <w:p>
      <w:pPr>
        <w:spacing w:after="0" w:line="13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FERPA, the Gramm-Leach-Bliley Act (GLBA), and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and could materially adversely affect our reputation and business.</w:t>
      </w:r>
    </w:p>
    <w:p>
      <w:pPr>
        <w:spacing w:after="0" w:line="140"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2" w:name="page83"/>
    <w:bookmarkEnd w:id="82"/>
    <w:p>
      <w:pPr>
        <w:ind w:right="60"/>
        <w:spacing w:after="0" w:line="242" w:lineRule="auto"/>
        <w:rPr>
          <w:sz w:val="20"/>
          <w:szCs w:val="20"/>
          <w:color w:val="auto"/>
        </w:rPr>
      </w:pPr>
      <w:r>
        <w:rPr>
          <w:rFonts w:ascii="Arial" w:cs="Arial" w:eastAsia="Arial" w:hAnsi="Arial"/>
          <w:sz w:val="18"/>
          <w:szCs w:val="18"/>
          <w:color w:val="auto"/>
        </w:rPr>
        <w:t>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5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45"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clients, suppliers or other vendors.</w:t>
      </w:r>
    </w:p>
    <w:p>
      <w:pPr>
        <w:spacing w:after="0" w:line="11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 and our reputation may be harmed. Additional risks will emerge to the extent we incorporate artificial intelligence in our solutions. Artificial intelligence algorithms or automated processing of data may be flawed, and datasets may be insufficient or may use third party artificial intelligence with unclear intellectual property rights or interests. Inappropriate or controversial data practices by us or others could subject us to lawsuits, regulatory investigations, legal and financial liability, or reputational harm. Additionally, our use of artificial intelligence may create additional cybersecurity risks or increase cybersecurity risks, including risks of security breaches and incidents.</w:t>
      </w:r>
    </w:p>
    <w:p>
      <w:pPr>
        <w:spacing w:after="0" w:line="168"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3" w:name="page84"/>
    <w:bookmarkEnd w:id="83"/>
    <w:p>
      <w:pPr>
        <w:ind w:right="40" w:firstLine="509"/>
        <w:spacing w:after="0" w:line="244"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and security vulnerabilities can disrupt our business and harm our competitive position.</w:t>
      </w:r>
    </w:p>
    <w:p>
      <w:pPr>
        <w:spacing w:after="0" w:line="16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wars in the Ukraine and Gaza and continued political uncertainty involving Russia and Ukraine, and Israel and Hamas and Iran, respectively, and potentially other regions of Europe and the Middle East, there is an increased likelihood that escalation of tensions could result in cyberattacks that could either directly or indirectly impact our operations. In addition, the development and implementation of AI technologies may further increase our exposure to or exacerbate the risks of cyberattacks or other security incidents, particularly where such technologies are exploited by third parties to breach our or other parties’ systems, including when such technologies are used to target our employees or impersonate members of senior management in order to gain unauthorized access to our systems. Because of this, we face additional cybersecurity challenges, including threats to our own IT infrastructure or those of our clients, our clients’ customers,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5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 settlement amounts and disputes with insurance carriers concerning coverage. In addition, sufficient insurance coverage may become increasingly expensive to maintain as incidents increase globally.</w:t>
      </w:r>
    </w:p>
    <w:p>
      <w:pPr>
        <w:spacing w:after="0" w:line="160"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clients, FlyMates or other third parties, which could expose us to material financial losses and liability and otherwise harm our business.</w:t>
      </w:r>
    </w:p>
    <w:p>
      <w:pPr>
        <w:spacing w:after="0" w:line="99"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 parties.</w:t>
      </w:r>
    </w:p>
    <w:p>
      <w:pPr>
        <w:spacing w:after="0" w:line="13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84" w:name="page85"/>
    <w:bookmarkEnd w:id="84"/>
    <w:p>
      <w:pPr>
        <w:ind w:right="80"/>
        <w:spacing w:after="0"/>
        <w:rPr>
          <w:sz w:val="20"/>
          <w:szCs w:val="20"/>
          <w:color w:val="auto"/>
        </w:rPr>
      </w:pPr>
      <w:r>
        <w:rPr>
          <w:rFonts w:ascii="Arial" w:cs="Arial" w:eastAsia="Arial" w:hAnsi="Arial"/>
          <w:sz w:val="18"/>
          <w:szCs w:val="18"/>
          <w:color w:val="auto"/>
        </w:rPr>
        <w:t>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spacing w:after="0" w:line="15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current business, the changing and uncertain economic, geopolitical and regulatory environment, and our anticipated domestic and international growth will continue to place significant demands on our risk management and compliance efforts. As our business grows and becomes more complex, we will need to continue developing and improving and investing in our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If we fail to adapt and respond effectively to rapidly and significantly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1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Rapid and significant technological changes, evolving industry standards, changing regulations and business needs continue to confront the verticals in which we operate, including developments in digital banking, open banking, mobile financial apps, as well as developments in cryptocurrencies and in tokenization (e.g., replacing sensitive data such as payment card information) with symbols (tokens) to keep the data safe), blockchain, and artificial intelligence, including machine learning. The success of our business will depend, in part, on our ability to adapt and respond effectively to these changes through methods which include launching new solutions and incorporating new technologies, such as generative artificial intelligence, into our solutions.</w:t>
      </w:r>
    </w:p>
    <w:p>
      <w:pPr>
        <w:spacing w:after="0" w:line="15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Spain, Romania, the United States, Israel and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spacing w:after="0" w:line="14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i w:val="1"/>
          <w:iCs w:val="1"/>
          <w:color w:val="auto"/>
        </w:rPr>
        <w:t>We use artificial intelligence (AI) in our solutions and services which may result in operational challenges, legal liability, reputational harm, competitive risks and regulatory and enhanced fraud concerns that could adversely affect our business and results of operations.</w:t>
      </w:r>
    </w:p>
    <w:p>
      <w:pPr>
        <w:spacing w:after="0" w:line="11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incorporate AI, including generative AI, into our solutions and services, including into our payor virtual assistant self-help chatbot. We may also incorporate or resell third-party AI technology into the services we provide to our clients. These technologies are complex and rapidly evolving and building them requires significant investment in infrastructure and personnel with no assurance that we will realize the desired or anticipated benefits. There is no assurance that the usage of such AI-powered solutions, whether developed in-house or sourced from third-parties, will enhance our business, or otherwise help our operations become more effective, efficient, or profitable. The models underlying our AI-powered solutions may be incorrectly or inadequately designed or implemented. They may also be trained on, or otherwise use, biased, incomplete, inaccurate, misleading, or poor-quality data or algorithms, any of which may not be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5" w:name="page86"/>
    <w:bookmarkEnd w:id="85"/>
    <w:p>
      <w:pPr>
        <w:ind w:right="300"/>
        <w:spacing w:after="0"/>
        <w:rPr>
          <w:sz w:val="20"/>
          <w:szCs w:val="20"/>
          <w:color w:val="auto"/>
        </w:rPr>
      </w:pPr>
      <w:r>
        <w:rPr>
          <w:rFonts w:ascii="Arial" w:cs="Arial" w:eastAsia="Arial" w:hAnsi="Arial"/>
          <w:sz w:val="18"/>
          <w:szCs w:val="18"/>
          <w:color w:val="auto"/>
        </w:rPr>
        <w:t>easily detectable. AI-powered solutions may also be adversely impacted by unforeseen defects, technical challenges, cyberattacks, cybersecurity breaches, service outages or other similar incidents, or material performance issues. Accordingly, our use or delivery to our clients of AI-powered solutions may inadvertently reduce our effectiveness and efficiency or generate unintentional or unexpected outputs (including any AI-generated content, analyses, or recommendations) that are, or are perceived to be, biased, incomplete, inaccurate, misleading, poor-quality, unethical, or otherwise deficient or flawed, do not match our business goals, standards, or values, do not comply with our policies or procedures, harm our brand or reputation, negatively impact or clients or clients’ customers or partners, or otherwise interfere with the performance of our business.</w:t>
      </w:r>
    </w:p>
    <w:p>
      <w:pPr>
        <w:spacing w:after="0" w:line="158"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The rapid adoption of generative AI technologies—such as OpenAI’s ChatGPT and similar tools—may adversely impact certain categories of our traditional clients, including online learning platforms and education technology providers. As students increasingly use AI tools as substitutes for conventional digital learning and tutoring services, these clients could experience reduced demand for their offerings, which in turn may decrease the volume of transactions processed through our platform and negatively affect our results of operations.</w:t>
      </w:r>
    </w:p>
    <w:p>
      <w:pPr>
        <w:spacing w:after="0" w:line="13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competitors may more successfully or more quickly incorporate AI into their products and achieve higher market acceptance of their AI solutions, which could impair our ability to compete effectively and adversely affect our results of operations, and we may also encounter new risks, challenges, and unintended consequences as a result of our use of AI. For example, the issue of intellectual property ownership and license rights surrounding AI technologies has not been fully addressed by U.S. or international courts or federal or state laws and regulations. We may not have adequate rights to use the data on which our AI-powered solutions rely. To the extent that we do not have sufficient rights to use the data used in, or produced by, the AI-powered solutions employed in our business and operations, we could be exposed to intellectual property claims or mandatory compliance with open-source software or other license terms. Further, any content or other output created by us using AI-powered solutions may not be subject to copyright protection, which may adversely affect our ability to commercialize or use, or the validity or enforceability of any IP rights in, such content or other output.</w:t>
      </w:r>
    </w:p>
    <w:p>
      <w:pPr>
        <w:spacing w:after="0" w:line="14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use of AI may also lead to novel cybersecurity or privacy risks, including those that implicate the confidential and personal information of users of AI-powered solutions, which may adversely affect our operations and reputation and expose us to legal liability or regulatory risks, including with respect to third-party IP rights or privacy, publicity, contractual, or other rights. If any of our employees, contractors, or other third parties with whom we partner input confidential or personal information while using any third-party AI-powered solution in connection with our business or the products, solutions, and services they provide to us, such practice may lead to the inadvertent disclosure of such confidential or personal information, which may impact our ability to realize the benefit of, or adequately obtain, maintain, protect, defend, and enforce our IP rights in, such information or otherwise harm our competitive position, reputation, or business.</w:t>
      </w:r>
    </w:p>
    <w:p>
      <w:pPr>
        <w:spacing w:after="0" w:line="15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European Union’s Artificial Intelligence Act (the EU AI Act), which would apply beyond the European Union's borders, came into force in August 2024, and various other governments have proposed or adopted policy and regulatory responses to oversee the use of AI. There is a risk that our current or future AI-powered solutions may obligate us to comply with the applicable requirements of the EU AI Act, which may impose additional costs on us, increase our risk of liability and fines, or otherwise adversely affect our business, financial condition, operating results, and future prospects. Compliance with other regulations as well as social and ethical standards and client expectations relating to AI may require significant research and development costs as well as management and employee attention. Any actual or perceived failure to comply with these laws, regulations, ethical standards or expectations could include severe penalties, reputational harm, and slow adoption of AI in our solutions and services. In addition, our business may be disrupted if any of the third-party AI services we use become unavailable due to extended outages or commercially unreasonable terms of service.</w:t>
      </w:r>
    </w:p>
    <w:p>
      <w:pPr>
        <w:spacing w:after="0" w:line="14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addition, the nefarious and fraudulent uses of AI by bad actors could lead to reputational damage if we fail, or are perceived to fail, to align our AML, KYC, sanctions and verification screening policies, procedures and protocols to detect fraudulent activity relating to the use of AI. Such failures may result in financial loss to our business, other fines, penalties or disciplinary actions imposed by regulators, lawsuits and claims from negatively impacted clients or payors, and may also erode trust in the use of our services by clients and our clients’ customers. Although we take steps designed to mitigate the risks associated with the use of AI in our business and operations, our use or the use of AI for fraudulent purposes by bad actors may present ethical, reputational, technical, operational, legal, competitive, or regulatory risks, any of which could adversely affect our business, financial condition, operating results, and future prospects.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6" w:name="page87"/>
    <w:bookmarkEnd w:id="86"/>
    <w:p>
      <w:pPr>
        <w:ind w:left="2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183"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(including demanding a cash reserve from Flywire)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1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Flywire’s platform is designed to integrate with a broad ecosystem of ERP and financial management systems, such as Workday and Oracle for B2B payments, Oracle, Workday and Ellucian for education, Epic Systems for healthcare, and Rezdy for travel. These integrations enhance our ability to streamline complex flows, improve operational efficiency, and deepen our value proposition across vertical markets.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52" w:lineRule="exact"/>
        <w:rPr>
          <w:sz w:val="20"/>
          <w:szCs w:val="20"/>
          <w:color w:val="auto"/>
        </w:rPr>
      </w:pPr>
    </w:p>
    <w:p>
      <w:pPr>
        <w:jc w:val="both"/>
        <w:ind w:right="520" w:firstLine="509"/>
        <w:spacing w:after="0" w:line="253" w:lineRule="auto"/>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28"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3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27"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If we fail to maintain, protect and enhance our brand, our ability to expand our client base will be impaired and our business, operating results, and financial condition may suffer.</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believe that further developing, maintaining, protecting and enhancing our brand domestically and on a global basis is important to support the marketing and sale of our existing and future solutions to existing and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8" w:right="359" w:bottom="1440" w:gutter="0" w:footer="0" w:header="0"/>
        </w:sectPr>
      </w:pPr>
    </w:p>
    <w:bookmarkStart w:id="87" w:name="page88"/>
    <w:bookmarkEnd w:id="87"/>
    <w:p>
      <w:pPr>
        <w:ind w:right="40"/>
        <w:spacing w:after="0" w:line="247" w:lineRule="auto"/>
        <w:rPr>
          <w:sz w:val="20"/>
          <w:szCs w:val="20"/>
          <w:color w:val="auto"/>
        </w:rPr>
      </w:pPr>
      <w:r>
        <w:rPr>
          <w:rFonts w:ascii="Arial" w:cs="Arial" w:eastAsia="Arial" w:hAnsi="Arial"/>
          <w:sz w:val="18"/>
          <w:szCs w:val="18"/>
          <w:color w:val="auto"/>
        </w:rPr>
        <w:t>maintain our clients’ trust, our ability to continue to develop new functionality, solutions, and our ability to successfully differentiate our solutions from competitive solutions. Our brand promotion activities may not generate client awareness or yield increased revenue, and even if they do, any increased revenue may not offset the expenses we incur in maintaining and building our brand. If we fail to successfully promote and maintain our brand or if we incur excessive expenses in this effort, our business could suffer.</w:t>
      </w:r>
    </w:p>
    <w:p>
      <w:pPr>
        <w:spacing w:after="0" w:line="147" w:lineRule="exact"/>
        <w:rPr>
          <w:sz w:val="20"/>
          <w:szCs w:val="20"/>
          <w:color w:val="auto"/>
        </w:rPr>
      </w:pPr>
    </w:p>
    <w:p>
      <w:pPr>
        <w:ind w:right="500" w:firstLine="509"/>
        <w:spacing w:after="0" w:line="244" w:lineRule="auto"/>
        <w:rPr>
          <w:sz w:val="20"/>
          <w:szCs w:val="20"/>
          <w:color w:val="auto"/>
        </w:rPr>
      </w:pPr>
      <w:r>
        <w:rPr>
          <w:rFonts w:ascii="Arial" w:cs="Arial" w:eastAsia="Arial" w:hAnsi="Arial"/>
          <w:sz w:val="18"/>
          <w:szCs w:val="18"/>
          <w:color w:val="auto"/>
        </w:rPr>
        <w:t>The introduction and promotion of new solutions, as well as the promotion of existing solutions, may be partly dependent on our visibility on third-party advertising platforms, such as Google, LinkedIn, Facebook, or X. Changes in the way these platforms operate or changes in their advertising prices, data use practices or other terms could make the maintenance and promotion of our products and services and our brands more expensive or more difficult. If we are unable to market and promote our brands on third-party platforms effectively, our ability to acquire new clients would be materially harmed.</w:t>
      </w:r>
    </w:p>
    <w:p>
      <w:pPr>
        <w:spacing w:after="0" w:line="136"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Harm to our brand can arise from many sources, including failure by us or our partners and service providers to satisfy expectations of service and quality; inadequate protection or misuse of sensitive information; fraud committed by third parties using our solutions; compliance failures and claims; litigation, regulatory and other claims; errors caused by us or our partners; and misconduct by our partners, service providers, or other counterparties. In addition, negative statements about us can cause and have caused a decline in the market price of our common stock, divert our management’s attention and resources, and could cause other adverse impacts to our business. Partners with whom we maintain relationships could engage in behavior or use their platforms to communicate directly with our clients and their customers in a manner that reflects poorly on our brand and such behavior or communications may adversely affect us. Further, negative publicity or commentary regarding the partners who are, or are perceived to be, affiliated with us may also damage our reputation, even if the negative publicity or commentary is not directly related to us. Any negative publicity about the industries we operate in or our company, the quality and reliability of our solutions, our risk management processes, changes to our products and services, our ability to effectively manage and resolve customer complaints, our privacy, data protection, and information security practices, litigation, regulatory activity, policy positions, and the experience of our clients and their customers with us, our products or services could adversely affect our reputation and the confidence in and use of our solutions. If we do not successfully maintain, protect or enhance our brands, our business could be materially and adversely affected.</w:t>
      </w:r>
    </w:p>
    <w:p>
      <w:pPr>
        <w:spacing w:after="0" w:line="151"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11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Changes in our senior management may be disruptive to our business, and, if we are unable to manage an orderly transition, our business may be adversely affected. We currently have “key person” insurance on our Chief Executive Officer, Michael Massaro, but not for any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51"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99"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In addition, immigration policy and regulatory changes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88" w:name="page89"/>
    <w:bookmarkEnd w:id="88"/>
    <w:p>
      <w:pPr>
        <w:ind w:right="700"/>
        <w:spacing w:after="0" w:line="271" w:lineRule="auto"/>
        <w:rPr>
          <w:sz w:val="20"/>
          <w:szCs w:val="20"/>
          <w:color w:val="auto"/>
        </w:rPr>
      </w:pPr>
      <w:r>
        <w:rPr>
          <w:rFonts w:ascii="Arial" w:cs="Arial" w:eastAsia="Arial" w:hAnsi="Arial"/>
          <w:sz w:val="18"/>
          <w:szCs w:val="18"/>
          <w:color w:val="auto"/>
        </w:rPr>
        <w:t>may also affect our ability to hire, mobilize, or retain some of our global talent. If we fail to identify, attract, develop and integrate new personnel, or fail to retain and motivate our current personnel, our growth prospects would be adversely affected.</w:t>
      </w:r>
    </w:p>
    <w:p>
      <w:pPr>
        <w:spacing w:after="0" w:line="12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rely on highly skilled employees, including software engineers and product specialists, many of whom are foreign nationals working in the United States under H-1B and other temporary work visas. In September 2025, the U.S. government announced its plans to require employers pay a $100,000 filing fee per H-1B visa petition to bring new H-1B workers into the U.S. This new requirement significantly increases the cost of employing new nationals in the U.S and could materially impact our operating expenses and our ability to attract specialized talent. If these visa-related costs remain in effect or increase further, we may be required to reduce our reliance on new H-1B visa holders or absorb materially higher personnel costs, either of which could negatively affect our financial performance. In addition, the number of H-1B visas available each year is limited by quota and lottery, and future changes in immigration laws or enforcement could further restrict our access to qualified foreign workers. Our inability to recruit or retain critical technical and operational talent—whether due to higher visa costs, policy changes, or processing delays—could hinder our ability to innovate, maintain our technology infrastructure, or expand internationally.</w:t>
      </w:r>
    </w:p>
    <w:p>
      <w:pPr>
        <w:spacing w:after="0" w:line="13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new visa fee requirement could also indirectly affect our global operations. Increased hiring costs in the United States may lead us to reallocate engineering or compliance resources abroad, resulting in higher coordination costs, reduced operational efficiency, or delays in product development. If we are unable to effectively manage these transitions or attract equivalent talent in other jurisdictions, our business, financial condition, and results of operations could be materially and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18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69"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The sales cycles of our solutions tend to vary depending on the client industry sector which makes forecasting more complex and uncertain.</w:t>
      </w:r>
    </w:p>
    <w:p>
      <w:pPr>
        <w:spacing w:after="0" w:line="127" w:lineRule="exact"/>
        <w:rPr>
          <w:sz w:val="20"/>
          <w:szCs w:val="20"/>
          <w:color w:val="auto"/>
        </w:rPr>
      </w:pPr>
    </w:p>
    <w:p>
      <w:pPr>
        <w:ind w:right="20" w:firstLine="509"/>
        <w:spacing w:after="0" w:line="235" w:lineRule="auto"/>
        <w:rPr>
          <w:sz w:val="20"/>
          <w:szCs w:val="20"/>
          <w:color w:val="auto"/>
        </w:rPr>
      </w:pPr>
      <w:r>
        <w:rPr>
          <w:rFonts w:ascii="Arial" w:cs="Arial" w:eastAsia="Arial" w:hAnsi="Arial"/>
          <w:sz w:val="18"/>
          <w:szCs w:val="18"/>
          <w:color w:val="auto"/>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heightened inflationary conditions, regulatory concerns, recession concerns, priorities of the U.S. presidential administration and related changes in laws, regulations or policies, and the escalation of hostilities between Russia and Ukraine, or the failure of an agreed-upon peace in the conflict between Israel and Hamas to become permanent),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89" w:name="page90"/>
    <w:bookmarkEnd w:id="89"/>
    <w:p>
      <w:pPr>
        <w:ind w:right="80" w:firstLine="509"/>
        <w:spacing w:after="0" w:line="244"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spacing w:after="0" w:line="151"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9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or maintain profitability. Any increased or unexpected costs or unanticipated delays, including delays caused by factors outside of our control, could cause our operating results to suffer.</w:t>
      </w:r>
    </w:p>
    <w:p>
      <w:pPr>
        <w:spacing w:after="0" w:line="142"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112"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43"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In addition, as we continue to operate and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spacing w:after="0" w:line="135"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112"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We have funded our operations since inception primarily through equity and debt financings, sales of our solutions, and fees.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18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acquisitions we undertake or have recently completed, including the acquisitions of Sertifi in February 2025 and Invoiced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August 2024, will likely be accompanied by business risks which may include, among other things:</w:t>
      </w:r>
    </w:p>
    <w:p>
      <w:pPr>
        <w:spacing w:after="0" w:line="86" w:lineRule="exact"/>
        <w:rPr>
          <w:sz w:val="20"/>
          <w:szCs w:val="20"/>
          <w:color w:val="auto"/>
        </w:rPr>
      </w:pPr>
    </w:p>
    <w:p>
      <w:pPr>
        <w:ind w:left="640" w:hanging="258"/>
        <w:spacing w:after="0"/>
        <w:tabs>
          <w:tab w:leader="none" w:pos="6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the acquisition on our financial results, strategic position or reputation;</w:t>
      </w:r>
    </w:p>
    <w:p>
      <w:pPr>
        <w:spacing w:after="0" w:line="116" w:lineRule="exact"/>
        <w:rPr>
          <w:rFonts w:ascii="Times New Roman" w:cs="Times New Roman" w:eastAsia="Times New Roman" w:hAnsi="Times New Roman"/>
          <w:sz w:val="18"/>
          <w:szCs w:val="18"/>
          <w:color w:val="auto"/>
        </w:rPr>
      </w:pPr>
    </w:p>
    <w:p>
      <w:pPr>
        <w:ind w:left="640" w:right="380" w:hanging="258"/>
        <w:spacing w:after="0" w:line="270" w:lineRule="auto"/>
        <w:tabs>
          <w:tab w:leader="none" w:pos="6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46" w:lineRule="exact"/>
        <w:rPr>
          <w:rFonts w:ascii="Times New Roman" w:cs="Times New Roman" w:eastAsia="Times New Roman" w:hAnsi="Times New Roman"/>
          <w:sz w:val="18"/>
          <w:szCs w:val="18"/>
          <w:color w:val="auto"/>
        </w:rPr>
      </w:pPr>
    </w:p>
    <w:p>
      <w:pPr>
        <w:ind w:left="640" w:right="160" w:hanging="258"/>
        <w:spacing w:after="0" w:line="270" w:lineRule="auto"/>
        <w:tabs>
          <w:tab w:leader="none" w:pos="6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116" w:lineRule="exact"/>
        <w:rPr>
          <w:rFonts w:ascii="Times New Roman" w:cs="Times New Roman" w:eastAsia="Times New Roman" w:hAnsi="Times New Roman"/>
          <w:sz w:val="18"/>
          <w:szCs w:val="18"/>
          <w:color w:val="auto"/>
        </w:rPr>
      </w:pPr>
    </w:p>
    <w:p>
      <w:pPr>
        <w:ind w:left="640" w:right="160" w:hanging="258"/>
        <w:spacing w:after="0" w:line="270" w:lineRule="auto"/>
        <w:tabs>
          <w:tab w:leader="none" w:pos="6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46" w:lineRule="exact"/>
        <w:rPr>
          <w:rFonts w:ascii="Times New Roman" w:cs="Times New Roman" w:eastAsia="Times New Roman" w:hAnsi="Times New Roman"/>
          <w:sz w:val="18"/>
          <w:szCs w:val="18"/>
          <w:color w:val="auto"/>
        </w:rPr>
      </w:pPr>
    </w:p>
    <w:p>
      <w:pPr>
        <w:ind w:left="640" w:right="220" w:hanging="258"/>
        <w:spacing w:after="0" w:line="270" w:lineRule="auto"/>
        <w:tabs>
          <w:tab w:leader="none" w:pos="6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 lack of experience in new markets, new geographies, new business culture, products or technologies or an initial dependence on unfamiliar distribution partners;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impairment of relationships with our clients, clients' customers, partners or suppliers or those of the acquired business; and</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loss of key employees of the acquired business.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85"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30" w:lineRule="exact"/>
        <w:rPr>
          <w:sz w:val="20"/>
          <w:szCs w:val="20"/>
          <w:color w:val="auto"/>
        </w:rPr>
      </w:pPr>
    </w:p>
    <w:p>
      <w:pPr>
        <w:ind w:right="840"/>
        <w:spacing w:after="0" w:line="278" w:lineRule="auto"/>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and core payment platform could harm our business.</w:t>
      </w:r>
    </w:p>
    <w:p>
      <w:pPr>
        <w:spacing w:after="0" w:line="99"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Our systems and payment platform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the continuation or escalation of the conflicts between Russia and Ukraine, and Israel and Hamas and Israel and Iran, respectively,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are costly and time-consuming to implement, and may divert our resources from other business priorities.</w:t>
      </w:r>
    </w:p>
    <w:p>
      <w:pPr>
        <w:spacing w:after="0" w:line="15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 prolonged interruption in the availability, speed, or functionality of our solutions, payment platform or payment methods could materially harm our business. Frequent or persistent interruptions in our solutions could cause current or potential clients and their customers to believe that our systems are unreliable, leading them to switch to our competitors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91" w:name="page92"/>
    <w:bookmarkEnd w:id="91"/>
    <w:p>
      <w:pPr>
        <w:ind w:right="60"/>
        <w:spacing w:after="0" w:line="247" w:lineRule="auto"/>
        <w:rPr>
          <w:sz w:val="20"/>
          <w:szCs w:val="20"/>
          <w:color w:val="auto"/>
        </w:rPr>
      </w:pPr>
      <w:r>
        <w:rPr>
          <w:rFonts w:ascii="Arial" w:cs="Arial" w:eastAsia="Arial" w:hAnsi="Arial"/>
          <w:sz w:val="18"/>
          <w:szCs w:val="18"/>
          <w:color w:val="auto"/>
        </w:rPr>
        <w:t>or to avoid or reduce the use of our solutions, and could permanently harm our reputation and brand. Moreover, if any system or platform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4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and payment platform.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38"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use public cloud hosting with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Additionally, in July 2024, a software update by CrowdStrike Holdings, Inc., a cybersecurity technology company, caused widespread crashes of Windows systems into which it was integrated, including certain Windows systems used by our vendors and customers. As of the date of this Annual Report on Form 10-K, we have not experienced any significant impacts as a result of the CrowdStrike software update, but we could in the future experience similar software-induced interruptions to our operations.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may experience financial losses due to a number of factors, including:</w:t>
      </w:r>
    </w:p>
    <w:p>
      <w:pPr>
        <w:spacing w:after="0" w:line="104" w:lineRule="exact"/>
        <w:rPr>
          <w:sz w:val="20"/>
          <w:szCs w:val="20"/>
          <w:color w:val="auto"/>
        </w:rPr>
      </w:pPr>
    </w:p>
    <w:p>
      <w:pPr>
        <w:ind w:left="640" w:hanging="258"/>
        <w:spacing w:after="0"/>
        <w:tabs>
          <w:tab w:leader="none" w:pos="64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supply chain impacts, including shortages of goods, raw materials, increased prices or delays in shipment;</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to the availability and reliability of our network due to changes to normal operations;</w:t>
      </w:r>
    </w:p>
    <w:p>
      <w:pPr>
        <w:spacing w:after="0" w:line="116" w:lineRule="exact"/>
        <w:rPr>
          <w:rFonts w:ascii="Times New Roman" w:cs="Times New Roman" w:eastAsia="Times New Roman" w:hAnsi="Times New Roman"/>
          <w:sz w:val="18"/>
          <w:szCs w:val="18"/>
          <w:color w:val="auto"/>
        </w:rPr>
      </w:pPr>
    </w:p>
    <w:p>
      <w:pPr>
        <w:ind w:left="640" w:right="400" w:hanging="258"/>
        <w:spacing w:after="0" w:line="300" w:lineRule="auto"/>
        <w:tabs>
          <w:tab w:leader="none" w:pos="64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increased cyber and payment fraud risk, as cybercriminals attempt DDoS related attacks, phishing scams and other disruptive actions, given the shift to online banking, e-commerce and other online activity, as well as more FlyMates working remotely; and</w:t>
      </w:r>
    </w:p>
    <w:p>
      <w:pPr>
        <w:spacing w:after="0" w:line="23" w:lineRule="exact"/>
        <w:rPr>
          <w:rFonts w:ascii="Times New Roman" w:cs="Times New Roman" w:eastAsia="Times New Roman" w:hAnsi="Times New Roman"/>
          <w:sz w:val="17"/>
          <w:szCs w:val="17"/>
          <w:color w:val="auto"/>
        </w:rPr>
      </w:pPr>
    </w:p>
    <w:p>
      <w:pPr>
        <w:ind w:left="640" w:right="140" w:hanging="258"/>
        <w:spacing w:after="0" w:line="252" w:lineRule="auto"/>
        <w:tabs>
          <w:tab w:leader="none" w:pos="64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w:t>
      </w:r>
    </w:p>
    <w:p>
      <w:pPr>
        <w:spacing w:after="0" w:line="14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solutions and payment platform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platform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40" w:lineRule="exact"/>
        <w:rPr>
          <w:sz w:val="20"/>
          <w:szCs w:val="20"/>
          <w:color w:val="auto"/>
        </w:rPr>
      </w:pPr>
    </w:p>
    <w:p>
      <w:pPr>
        <w:ind w:right="200" w:firstLine="509"/>
        <w:spacing w:after="0" w:line="245"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w:t>
      </w: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6" w:right="379" w:bottom="1440" w:gutter="0" w:footer="0" w:header="0"/>
        </w:sectPr>
      </w:pPr>
    </w:p>
    <w:bookmarkStart w:id="92" w:name="page93"/>
    <w:bookmarkEnd w:id="92"/>
    <w:p>
      <w:pPr>
        <w:ind w:right="440"/>
        <w:spacing w:after="0" w:line="253" w:lineRule="auto"/>
        <w:rPr>
          <w:sz w:val="20"/>
          <w:szCs w:val="20"/>
          <w:color w:val="auto"/>
        </w:rPr>
      </w:pPr>
      <w:r>
        <w:rPr>
          <w:rFonts w:ascii="Arial" w:cs="Arial" w:eastAsia="Arial" w:hAnsi="Arial"/>
          <w:sz w:val="18"/>
          <w:szCs w:val="18"/>
          <w:color w:val="auto"/>
        </w:rPr>
        <w:t>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42"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73"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i w:val="1"/>
          <w:iCs w:val="1"/>
          <w:color w:val="auto"/>
        </w:rPr>
        <w:t>We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38"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potential implementation of tariffs, the possibility of renegotiated trade deals and international tax law treaties, priorities of the U.S. presidential administration and related changes in laws, regulations or policies, United States-China and Canada-India diplomatic and trade friction, heightened tensions between China and Taiwan and the continuation or escalation of the conflicts between Russia and Ukraine, and Israel and Hamas and Israel and Iran (which has also featured military strikes by the U.S. against Iran), respectively,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75" w:lineRule="exact"/>
        <w:rPr>
          <w:sz w:val="20"/>
          <w:szCs w:val="20"/>
          <w:color w:val="auto"/>
        </w:rPr>
      </w:pPr>
    </w:p>
    <w:p>
      <w:pPr>
        <w:ind w:left="640" w:hanging="258"/>
        <w:spacing w:after="0"/>
        <w:tabs>
          <w:tab w:leader="none" w:pos="6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volatility;</w:t>
      </w:r>
    </w:p>
    <w:p>
      <w:pPr>
        <w:spacing w:after="0" w:line="116" w:lineRule="exact"/>
        <w:rPr>
          <w:rFonts w:ascii="Times New Roman" w:cs="Times New Roman" w:eastAsia="Times New Roman" w:hAnsi="Times New Roman"/>
          <w:sz w:val="18"/>
          <w:szCs w:val="18"/>
          <w:color w:val="auto"/>
        </w:rPr>
      </w:pPr>
    </w:p>
    <w:p>
      <w:pPr>
        <w:ind w:left="640" w:right="300" w:hanging="258"/>
        <w:spacing w:after="0" w:line="270" w:lineRule="auto"/>
        <w:tabs>
          <w:tab w:leader="none" w:pos="6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adverse economic conditions in the United States and globally, including economic slowdown, heightened interest rates, inflation, recession concerns and the disruption, volatility and tightening of credit and capital markets;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compliance with multiple complex, potentially conflicting and changing governmental laws and regulations;</w:t>
      </w:r>
    </w:p>
    <w:p>
      <w:pPr>
        <w:spacing w:after="0" w:line="116" w:lineRule="exact"/>
        <w:rPr>
          <w:rFonts w:ascii="Times New Roman" w:cs="Times New Roman" w:eastAsia="Times New Roman" w:hAnsi="Times New Roman"/>
          <w:sz w:val="18"/>
          <w:szCs w:val="18"/>
          <w:color w:val="auto"/>
        </w:rPr>
      </w:pPr>
    </w:p>
    <w:p>
      <w:pPr>
        <w:ind w:left="640" w:hanging="258"/>
        <w:spacing w:after="0" w:line="270" w:lineRule="auto"/>
        <w:tabs>
          <w:tab w:leader="none" w:pos="6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116" w:lineRule="exact"/>
        <w:rPr>
          <w:rFonts w:ascii="Times New Roman" w:cs="Times New Roman" w:eastAsia="Times New Roman" w:hAnsi="Times New Roman"/>
          <w:sz w:val="18"/>
          <w:szCs w:val="18"/>
          <w:color w:val="auto"/>
        </w:rPr>
      </w:pPr>
    </w:p>
    <w:p>
      <w:pPr>
        <w:ind w:left="640" w:right="180" w:hanging="258"/>
        <w:spacing w:after="0" w:line="270" w:lineRule="auto"/>
        <w:tabs>
          <w:tab w:leader="none" w:pos="6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trade barriers, tariffs and changes in trade regulations;</w:t>
      </w:r>
    </w:p>
    <w:p>
      <w:pPr>
        <w:spacing w:after="0" w:line="116" w:lineRule="exact"/>
        <w:rPr>
          <w:rFonts w:ascii="Times New Roman" w:cs="Times New Roman" w:eastAsia="Times New Roman" w:hAnsi="Times New Roman"/>
          <w:sz w:val="18"/>
          <w:szCs w:val="18"/>
          <w:color w:val="auto"/>
        </w:rPr>
      </w:pPr>
    </w:p>
    <w:p>
      <w:pPr>
        <w:ind w:left="640" w:right="600" w:hanging="258"/>
        <w:spacing w:after="0" w:line="270" w:lineRule="auto"/>
        <w:tabs>
          <w:tab w:leader="none" w:pos="6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sanctions on our ability to offer services in a region, such as sanctions issued by the U.S. and other countries against Russia;</w:t>
      </w:r>
    </w:p>
    <w:p>
      <w:pPr>
        <w:spacing w:after="0" w:line="46" w:lineRule="exact"/>
        <w:rPr>
          <w:rFonts w:ascii="Times New Roman" w:cs="Times New Roman" w:eastAsia="Times New Roman" w:hAnsi="Times New Roman"/>
          <w:sz w:val="18"/>
          <w:szCs w:val="18"/>
          <w:color w:val="auto"/>
        </w:rPr>
      </w:pPr>
    </w:p>
    <w:p>
      <w:pPr>
        <w:ind w:left="640" w:right="120" w:hanging="258"/>
        <w:spacing w:after="0" w:line="270" w:lineRule="auto"/>
        <w:tabs>
          <w:tab w:leader="none" w:pos="6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stringent local labor laws and regulations;</w:t>
      </w:r>
    </w:p>
    <w:p>
      <w:pPr>
        <w:spacing w:after="0" w:line="116" w:lineRule="exact"/>
        <w:rPr>
          <w:rFonts w:ascii="Times New Roman" w:cs="Times New Roman" w:eastAsia="Times New Roman" w:hAnsi="Times New Roman"/>
          <w:sz w:val="18"/>
          <w:szCs w:val="18"/>
          <w:color w:val="auto"/>
        </w:rPr>
      </w:pPr>
    </w:p>
    <w:p>
      <w:pPr>
        <w:ind w:left="640" w:right="540" w:hanging="258"/>
        <w:spacing w:after="0" w:line="270" w:lineRule="auto"/>
        <w:tabs>
          <w:tab w:leader="none" w:pos="6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46" w:lineRule="exact"/>
        <w:rPr>
          <w:rFonts w:ascii="Times New Roman" w:cs="Times New Roman" w:eastAsia="Times New Roman" w:hAnsi="Times New Roman"/>
          <w:sz w:val="18"/>
          <w:szCs w:val="18"/>
          <w:color w:val="auto"/>
        </w:rPr>
      </w:pPr>
    </w:p>
    <w:p>
      <w:pPr>
        <w:ind w:left="640" w:right="520" w:hanging="258"/>
        <w:spacing w:after="0" w:line="244" w:lineRule="auto"/>
        <w:tabs>
          <w:tab w:leader="none" w:pos="6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diplomatic friction, political or social unrest, war or other military conflict, including the continuation or escalation of the conflicts between Russia and Ukraine, and between Israel and Hamas and Israel and Iran (which has also</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6" w:right="379" w:bottom="1440" w:gutter="0" w:footer="0" w:header="0"/>
        </w:sectPr>
      </w:pPr>
    </w:p>
    <w:bookmarkStart w:id="93" w:name="page94"/>
    <w:bookmarkEnd w:id="93"/>
    <w:p>
      <w:pPr>
        <w:ind w:left="640"/>
        <w:spacing w:after="0"/>
        <w:rPr>
          <w:sz w:val="20"/>
          <w:szCs w:val="20"/>
          <w:color w:val="auto"/>
        </w:rPr>
      </w:pPr>
      <w:r>
        <w:rPr>
          <w:rFonts w:ascii="Arial" w:cs="Arial" w:eastAsia="Arial" w:hAnsi="Arial"/>
          <w:sz w:val="18"/>
          <w:szCs w:val="18"/>
          <w:color w:val="auto"/>
        </w:rPr>
        <w:t>featured military strikes by the U.S. against Iran), respectively, economic instability, repression, or human rights issues;</w:t>
      </w:r>
    </w:p>
    <w:p>
      <w:pPr>
        <w:spacing w:after="0" w:line="104" w:lineRule="exact"/>
        <w:rPr>
          <w:sz w:val="20"/>
          <w:szCs w:val="20"/>
          <w:color w:val="auto"/>
        </w:rPr>
      </w:pPr>
    </w:p>
    <w:p>
      <w:pPr>
        <w:ind w:left="640" w:hanging="258"/>
        <w:spacing w:after="0"/>
        <w:tabs>
          <w:tab w:leader="none" w:pos="6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116" w:lineRule="exact"/>
        <w:rPr>
          <w:rFonts w:ascii="Times New Roman" w:cs="Times New Roman" w:eastAsia="Times New Roman" w:hAnsi="Times New Roman"/>
          <w:sz w:val="18"/>
          <w:szCs w:val="18"/>
          <w:color w:val="auto"/>
        </w:rPr>
      </w:pPr>
    </w:p>
    <w:p>
      <w:pPr>
        <w:ind w:left="640" w:right="640" w:hanging="258"/>
        <w:spacing w:after="0" w:line="270" w:lineRule="auto"/>
        <w:tabs>
          <w:tab w:leader="none" w:pos="6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16" w:lineRule="exact"/>
        <w:rPr>
          <w:rFonts w:ascii="Times New Roman" w:cs="Times New Roman" w:eastAsia="Times New Roman" w:hAnsi="Times New Roman"/>
          <w:sz w:val="18"/>
          <w:szCs w:val="18"/>
          <w:color w:val="auto"/>
        </w:rPr>
      </w:pPr>
    </w:p>
    <w:p>
      <w:pPr>
        <w:ind w:left="640" w:right="260" w:hanging="258"/>
        <w:spacing w:after="0" w:line="252" w:lineRule="auto"/>
        <w:tabs>
          <w:tab w:leader="none" w:pos="6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regulations or policies in the United States and elsewhere and as described in more detail below;</w:t>
      </w:r>
    </w:p>
    <w:p>
      <w:pPr>
        <w:spacing w:after="0" w:line="62"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antitrust and competition regulations;</w:t>
      </w:r>
    </w:p>
    <w:p>
      <w:pPr>
        <w:spacing w:after="0" w:line="116" w:lineRule="exact"/>
        <w:rPr>
          <w:rFonts w:ascii="Times New Roman" w:cs="Times New Roman" w:eastAsia="Times New Roman" w:hAnsi="Times New Roman"/>
          <w:sz w:val="18"/>
          <w:szCs w:val="18"/>
          <w:color w:val="auto"/>
        </w:rPr>
      </w:pPr>
    </w:p>
    <w:p>
      <w:pPr>
        <w:ind w:left="640" w:right="20" w:hanging="258"/>
        <w:spacing w:after="0" w:line="246" w:lineRule="auto"/>
        <w:tabs>
          <w:tab w:leader="none" w:pos="6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Inflation Reduction Act of 2022, which includes a minimum corporate tax which could result in an additional tax liability in a given year;</w:t>
      </w:r>
    </w:p>
    <w:p>
      <w:pPr>
        <w:spacing w:after="0" w:line="68" w:lineRule="exact"/>
        <w:rPr>
          <w:rFonts w:ascii="Times New Roman" w:cs="Times New Roman" w:eastAsia="Times New Roman" w:hAnsi="Times New Roman"/>
          <w:sz w:val="18"/>
          <w:szCs w:val="18"/>
          <w:color w:val="auto"/>
        </w:rPr>
      </w:pPr>
    </w:p>
    <w:p>
      <w:pPr>
        <w:ind w:left="640" w:right="580" w:hanging="258"/>
        <w:spacing w:after="0" w:line="270" w:lineRule="auto"/>
        <w:tabs>
          <w:tab w:leader="none" w:pos="6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federal government shutdowns or the priorities of the U.S. presidential administration and related changes in laws, regulations or policies;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national or regional differences in macroeconomic growth rates; and</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difficulties in collecting accounts receivable.</w:t>
      </w:r>
    </w:p>
    <w:p>
      <w:pPr>
        <w:spacing w:after="0" w:line="184"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5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or impose regulatory requirements that may require modifications to our business model for our clients' payors located in China.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43"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38"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112" w:lineRule="exact"/>
        <w:rPr>
          <w:sz w:val="20"/>
          <w:szCs w:val="20"/>
          <w:color w:val="auto"/>
        </w:rPr>
      </w:pPr>
    </w:p>
    <w:p>
      <w:pPr>
        <w:ind w:right="520" w:firstLine="509"/>
        <w:spacing w:after="0" w:line="241"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4" w:name="page95"/>
    <w:bookmarkEnd w:id="94"/>
    <w:p>
      <w:pPr>
        <w:spacing w:after="0" w:line="238" w:lineRule="auto"/>
        <w:rPr>
          <w:sz w:val="20"/>
          <w:szCs w:val="20"/>
          <w:color w:val="auto"/>
        </w:rPr>
      </w:pPr>
      <w:r>
        <w:rPr>
          <w:rFonts w:ascii="Arial" w:cs="Arial" w:eastAsia="Arial" w:hAnsi="Arial"/>
          <w:sz w:val="18"/>
          <w:szCs w:val="18"/>
          <w:color w:val="auto"/>
        </w:rPr>
        <w:t>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56"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Certain of our subsidiaries are registered with FinCEN. Our subsidiary Flywire Global Corp. has obtained licenses to operate as a money transmitter (or the statutory equivalent) in 45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spacing w:after="0" w:line="13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41" w:lineRule="exact"/>
        <w:rPr>
          <w:sz w:val="20"/>
          <w:szCs w:val="20"/>
          <w:color w:val="auto"/>
        </w:rPr>
      </w:pPr>
    </w:p>
    <w:p>
      <w:pPr>
        <w:ind w:right="120" w:firstLine="509"/>
        <w:spacing w:after="0" w:line="252" w:lineRule="auto"/>
        <w:rPr>
          <w:sz w:val="20"/>
          <w:szCs w:val="20"/>
          <w:color w:val="auto"/>
        </w:rPr>
      </w:pPr>
      <w:r>
        <w:rPr>
          <w:rFonts w:ascii="Arial" w:cs="Arial" w:eastAsia="Arial" w:hAnsi="Arial"/>
          <w:sz w:val="17"/>
          <w:szCs w:val="17"/>
          <w:color w:val="auto"/>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95" w:name="page96"/>
    <w:bookmarkEnd w:id="95"/>
    <w:p>
      <w:pPr>
        <w:ind w:right="320"/>
        <w:spacing w:after="0" w:line="278"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11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40"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Government agencies may impose new or additional rules on money transmission, which may increase our costs of doing business, including, but not limited to regulations that:</w:t>
      </w:r>
    </w:p>
    <w:p>
      <w:pPr>
        <w:spacing w:after="0" w:line="46" w:lineRule="exact"/>
        <w:rPr>
          <w:sz w:val="20"/>
          <w:szCs w:val="20"/>
          <w:color w:val="auto"/>
        </w:rPr>
      </w:pPr>
    </w:p>
    <w:p>
      <w:pPr>
        <w:ind w:left="640" w:right="500" w:hanging="258"/>
        <w:spacing w:after="0" w:line="270" w:lineRule="auto"/>
        <w:tabs>
          <w:tab w:leader="none" w:pos="64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client identification and client due diligence requirements;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16" w:lineRule="exact"/>
        <w:rPr>
          <w:rFonts w:ascii="Times New Roman" w:cs="Times New Roman" w:eastAsia="Times New Roman" w:hAnsi="Times New Roman"/>
          <w:sz w:val="18"/>
          <w:szCs w:val="18"/>
          <w:color w:val="auto"/>
        </w:rPr>
      </w:pPr>
    </w:p>
    <w:p>
      <w:pPr>
        <w:ind w:left="640" w:right="1020" w:hanging="258"/>
        <w:spacing w:after="0" w:line="270" w:lineRule="auto"/>
        <w:tabs>
          <w:tab w:leader="none" w:pos="64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impose minimum capital or other financial requirements;</w:t>
      </w:r>
    </w:p>
    <w:p>
      <w:pPr>
        <w:spacing w:after="0" w:line="116" w:lineRule="exact"/>
        <w:rPr>
          <w:rFonts w:ascii="Times New Roman" w:cs="Times New Roman" w:eastAsia="Times New Roman" w:hAnsi="Times New Roman"/>
          <w:sz w:val="18"/>
          <w:szCs w:val="18"/>
          <w:color w:val="auto"/>
        </w:rPr>
      </w:pPr>
    </w:p>
    <w:p>
      <w:pPr>
        <w:ind w:left="640" w:hanging="258"/>
        <w:spacing w:after="0" w:line="252" w:lineRule="auto"/>
        <w:tabs>
          <w:tab w:leader="none" w:pos="64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62"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116" w:lineRule="exact"/>
        <w:rPr>
          <w:rFonts w:ascii="Times New Roman" w:cs="Times New Roman" w:eastAsia="Times New Roman" w:hAnsi="Times New Roman"/>
          <w:sz w:val="18"/>
          <w:szCs w:val="18"/>
          <w:color w:val="auto"/>
        </w:rPr>
      </w:pPr>
    </w:p>
    <w:p>
      <w:pPr>
        <w:ind w:left="640" w:right="100" w:hanging="258"/>
        <w:spacing w:after="0" w:line="270" w:lineRule="auto"/>
        <w:tabs>
          <w:tab w:leader="none" w:pos="64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46" w:lineRule="exact"/>
        <w:rPr>
          <w:rFonts w:ascii="Times New Roman" w:cs="Times New Roman" w:eastAsia="Times New Roman" w:hAnsi="Times New Roman"/>
          <w:sz w:val="18"/>
          <w:szCs w:val="18"/>
          <w:color w:val="auto"/>
        </w:rPr>
      </w:pPr>
    </w:p>
    <w:p>
      <w:pPr>
        <w:ind w:left="640" w:right="360" w:hanging="258"/>
        <w:spacing w:after="0" w:line="270" w:lineRule="auto"/>
        <w:tabs>
          <w:tab w:leader="none" w:pos="64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46" w:lineRule="exact"/>
        <w:rPr>
          <w:rFonts w:ascii="Times New Roman" w:cs="Times New Roman" w:eastAsia="Times New Roman" w:hAnsi="Times New Roman"/>
          <w:sz w:val="18"/>
          <w:szCs w:val="18"/>
          <w:color w:val="auto"/>
        </w:rPr>
      </w:pPr>
    </w:p>
    <w:p>
      <w:pPr>
        <w:ind w:left="640" w:right="740" w:hanging="258"/>
        <w:spacing w:after="0" w:line="270" w:lineRule="auto"/>
        <w:tabs>
          <w:tab w:leader="none" w:pos="64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16"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AML and CFT that could impair our ability to compete in international markets or subject us to criminal or civil liability if we violate them.</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are currently required to comply with U.S. economic and trade sanctions administered by OFAC and we have processes in place designed to comply with the OFAC regulations as well as similar requirements in the foreign jurisdictions in which we already operate. As part of our compliance efforts, we scan our clients and their customers 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 enhancing our sanctions compliance function, we initiated an internal review that identified issues related to our compliance with sanctions, including payments that may have originated from sanctioned jurisdictions or sanctioned persons. We have made voluntary submissions to OFAC to report the apparent violations and to provide supplemental information. Flywire is currently engaging with OFAC to resolve these matters. Although the internal investigation completed to date suggests that any loss incurred as a result of this matter would not be material to our business, if OFAC ultimately concludes any violation has occurred in connection with these or other transactions, it could result in penalties, fines, costs, and restrictions on our ability to do business, which could also harm our operating results.</w:t>
      </w:r>
    </w:p>
    <w:p>
      <w:pPr>
        <w:spacing w:after="0" w:line="14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8" w:right="379" w:bottom="1440" w:gutter="0" w:footer="0" w:header="0"/>
        </w:sectPr>
      </w:pPr>
    </w:p>
    <w:bookmarkStart w:id="96" w:name="page97"/>
    <w:bookmarkEnd w:id="96"/>
    <w:p>
      <w:pPr>
        <w:ind w:right="140"/>
        <w:spacing w:after="0" w:line="244" w:lineRule="auto"/>
        <w:rPr>
          <w:sz w:val="20"/>
          <w:szCs w:val="20"/>
          <w:color w:val="auto"/>
        </w:rPr>
      </w:pPr>
      <w:r>
        <w:rPr>
          <w:rFonts w:ascii="Arial" w:cs="Arial" w:eastAsia="Arial" w:hAnsi="Arial"/>
          <w:sz w:val="18"/>
          <w:szCs w:val="18"/>
          <w:color w:val="auto"/>
        </w:rPr>
        <w:t>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spacing w:after="0" w:line="14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business operations in other parts of the world such as the U.K., Lithuania, Canada, Australia, Hong Kong, New Zealand, Indonesia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spacing w:after="0" w:line="14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19"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52"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 ordered to pay a $1.2 million penalty and, among other things, implement a monitoring and reporting program to demonstrate its ongoing compliance with the CCPA.</w:t>
      </w:r>
    </w:p>
    <w:p>
      <w:pPr>
        <w:spacing w:after="0" w:line="141"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Additionally, the California Privacy Rights Act (CPRA), which was passed in November 2020 and became effective on January 1, 2023,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w:t>
      </w: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7" w:name="page98"/>
    <w:bookmarkEnd w:id="97"/>
    <w:p>
      <w:pPr>
        <w:jc w:val="both"/>
        <w:ind w:right="300"/>
        <w:spacing w:after="0" w:line="253" w:lineRule="auto"/>
        <w:rPr>
          <w:sz w:val="20"/>
          <w:szCs w:val="20"/>
          <w:color w:val="auto"/>
        </w:rPr>
      </w:pPr>
      <w:r>
        <w:rPr>
          <w:rFonts w:ascii="Arial" w:cs="Arial" w:eastAsia="Arial" w:hAnsi="Arial"/>
          <w:sz w:val="18"/>
          <w:szCs w:val="18"/>
          <w:color w:val="auto"/>
        </w:rPr>
        <w:t>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4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Several states in the U.S. have proposed or enacted laws that contain obligations similar to the CCPA and CPRA that have taken effect or will take effect in coming years. The U.S. federal government also is contemplating federal privacy legislation. The effects of recently proposed or enacted legislation potentially are far-reaching. Such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4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4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spacing w:after="0" w:line="157"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8" w:name="page99"/>
    <w:bookmarkEnd w:id="98"/>
    <w:p>
      <w:pPr>
        <w:ind w:right="420"/>
        <w:spacing w:after="0" w:line="271" w:lineRule="auto"/>
        <w:rPr>
          <w:sz w:val="20"/>
          <w:szCs w:val="20"/>
          <w:color w:val="auto"/>
        </w:rPr>
      </w:pPr>
      <w:r>
        <w:rPr>
          <w:rFonts w:ascii="Arial" w:cs="Arial" w:eastAsia="Arial" w:hAnsi="Arial"/>
          <w:sz w:val="18"/>
          <w:szCs w:val="18"/>
          <w:color w:val="auto"/>
        </w:rPr>
        <w:t>SCCs are not immediately in force, compliance with them will be required for new transfer agreements entered into from late September 2021. SCCs then in effect were required to be replaced with the New SCCs by December 27, 2022.</w:t>
      </w:r>
    </w:p>
    <w:p>
      <w:pPr>
        <w:spacing w:after="0" w:line="127"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 transfers. We are in the process of evaluating how we may self-certify as a participating organization with the U.S. Department of Commerce.</w:t>
      </w:r>
    </w:p>
    <w:p>
      <w:pPr>
        <w:spacing w:after="0" w:line="13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14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53" w:lineRule="exact"/>
        <w:rPr>
          <w:sz w:val="20"/>
          <w:szCs w:val="20"/>
          <w:color w:val="auto"/>
        </w:rPr>
      </w:pPr>
    </w:p>
    <w:p>
      <w:pPr>
        <w:ind w:right="280" w:firstLine="509"/>
        <w:spacing w:after="0" w:line="242" w:lineRule="auto"/>
        <w:rPr>
          <w:sz w:val="20"/>
          <w:szCs w:val="20"/>
          <w:color w:val="auto"/>
        </w:rPr>
      </w:pPr>
      <w:r>
        <w:rPr>
          <w:rFonts w:ascii="Arial" w:cs="Arial" w:eastAsia="Arial" w:hAnsi="Arial"/>
          <w:sz w:val="18"/>
          <w:szCs w:val="18"/>
          <w:color w:val="auto"/>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38"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33"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spacing w:after="0" w:line="138"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China (home to the most online users in the world) passed its DSL and its PIPL in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enforcement actions against Alibaba Group Holding Ltd and Didi Global Inc. in 2022.</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99" w:name="page100"/>
    <w:bookmarkEnd w:id="99"/>
    <w:p>
      <w:pPr>
        <w:ind w:right="100" w:firstLine="509"/>
        <w:spacing w:after="0"/>
        <w:rPr>
          <w:sz w:val="20"/>
          <w:szCs w:val="20"/>
          <w:color w:val="auto"/>
        </w:rPr>
      </w:pPr>
      <w:r>
        <w:rPr>
          <w:rFonts w:ascii="Arial" w:cs="Arial" w:eastAsia="Arial" w:hAnsi="Arial"/>
          <w:sz w:val="18"/>
          <w:szCs w:val="18"/>
          <w:color w:val="auto"/>
        </w:rPr>
        <w:t>As a reaction to data security concerns, in 2022, the Australian parliament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spacing w:after="0" w:line="158"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spacing w:after="0" w:line="12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43"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54"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9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solutions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45" w:lineRule="exact"/>
        <w:rPr>
          <w:sz w:val="20"/>
          <w:szCs w:val="20"/>
          <w:color w:val="auto"/>
        </w:rPr>
      </w:pPr>
    </w:p>
    <w:p>
      <w:pPr>
        <w:ind w:right="280" w:firstLine="509"/>
        <w:spacing w:after="0" w:line="241"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00" w:name="page101"/>
    <w:bookmarkEnd w:id="100"/>
    <w:p>
      <w:pPr>
        <w:spacing w:after="0" w:line="271" w:lineRule="auto"/>
        <w:rPr>
          <w:sz w:val="20"/>
          <w:szCs w:val="20"/>
          <w:color w:val="auto"/>
        </w:rPr>
      </w:pPr>
      <w:r>
        <w:rPr>
          <w:rFonts w:ascii="Arial" w:cs="Arial" w:eastAsia="Arial" w:hAnsi="Arial"/>
          <w:sz w:val="18"/>
          <w:szCs w:val="18"/>
          <w:color w:val="auto"/>
        </w:rPr>
        <w:t>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2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4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February 2022, following Russia’s invasion of Ukraine, the United States and other countries announced sanctions against Russia. The sanctions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spacing w:after="0" w:line="14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11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39"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 Furthermore, the growing use of generative artificial intelligence presents an increased risk of unintentional and/or unauthorized disclosure or use of our intellectual property rights.</w:t>
      </w:r>
    </w:p>
    <w:p>
      <w:pPr>
        <w:spacing w:after="0" w:line="139"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101" w:name="page102"/>
    <w:bookmarkEnd w:id="101"/>
    <w:p>
      <w:pPr>
        <w:ind w:right="320"/>
        <w:spacing w:after="0" w:line="253" w:lineRule="auto"/>
        <w:rPr>
          <w:sz w:val="20"/>
          <w:szCs w:val="20"/>
          <w:color w:val="auto"/>
        </w:rPr>
      </w:pPr>
      <w:r>
        <w:rPr>
          <w:rFonts w:ascii="Arial" w:cs="Arial" w:eastAsia="Arial" w:hAnsi="Arial"/>
          <w:sz w:val="18"/>
          <w:szCs w:val="18"/>
          <w:color w:val="auto"/>
        </w:rPr>
        <w:t>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42"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47"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161"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9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44"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02" w:name="page103"/>
    <w:bookmarkEnd w:id="102"/>
    <w:p>
      <w:pPr>
        <w:ind w:right="600"/>
        <w:spacing w:after="0" w:line="278" w:lineRule="auto"/>
        <w:rPr>
          <w:sz w:val="20"/>
          <w:szCs w:val="20"/>
          <w:color w:val="auto"/>
        </w:rPr>
      </w:pPr>
      <w:r>
        <w:rPr>
          <w:rFonts w:ascii="Arial" w:cs="Arial" w:eastAsia="Arial" w:hAnsi="Arial"/>
          <w:sz w:val="18"/>
          <w:szCs w:val="18"/>
          <w:b w:val="1"/>
          <w:bCs w:val="1"/>
          <w:i w:val="1"/>
          <w:iCs w:val="1"/>
          <w:color w:val="auto"/>
        </w:rPr>
        <w:t>Indemnity and liability provisions in various agreements potentially expose us to substantial liability for intellectual property infringement, data protection, and other losses.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spacing w:after="0" w:line="147"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99" w:lineRule="exact"/>
        <w:rPr>
          <w:sz w:val="20"/>
          <w:szCs w:val="20"/>
          <w:color w:val="auto"/>
        </w:rPr>
      </w:pPr>
    </w:p>
    <w:p>
      <w:pPr>
        <w:ind w:right="220" w:firstLine="509"/>
        <w:spacing w:after="0" w:line="242"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52"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For example, the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spacing w:after="0" w:line="13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39" w:lineRule="exact"/>
        <w:rPr>
          <w:sz w:val="20"/>
          <w:szCs w:val="20"/>
          <w:color w:val="auto"/>
        </w:rPr>
      </w:pPr>
    </w:p>
    <w:p>
      <w:pPr>
        <w:ind w:right="240" w:firstLine="509"/>
        <w:spacing w:after="0" w:line="242" w:lineRule="auto"/>
        <w:rPr>
          <w:sz w:val="20"/>
          <w:szCs w:val="20"/>
          <w:color w:val="auto"/>
        </w:rPr>
      </w:pPr>
      <w:r>
        <w:rPr>
          <w:rFonts w:ascii="Arial" w:cs="Arial" w:eastAsia="Arial" w:hAnsi="Arial"/>
          <w:sz w:val="18"/>
          <w:szCs w:val="18"/>
          <w:color w:val="auto"/>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5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103" w:name="page104"/>
    <w:bookmarkEnd w:id="103"/>
    <w:p>
      <w:pPr>
        <w:ind w:right="120"/>
        <w:spacing w:after="0" w:line="271" w:lineRule="auto"/>
        <w:rPr>
          <w:sz w:val="20"/>
          <w:szCs w:val="20"/>
          <w:color w:val="auto"/>
        </w:rPr>
      </w:pPr>
      <w:r>
        <w:rPr>
          <w:rFonts w:ascii="Arial" w:cs="Arial" w:eastAsia="Arial" w:hAnsi="Arial"/>
          <w:sz w:val="18"/>
          <w:szCs w:val="18"/>
          <w:color w:val="auto"/>
        </w:rPr>
        <w:t>financial amount no more than any related liability. An unfavorable resolution, therefore, could negatively affect our financial position, results of operations and cash flows in the current and/or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(NOLs) to offset future taxable income may be subject to certain limitations.</w:t>
      </w:r>
    </w:p>
    <w:p>
      <w:pPr>
        <w:spacing w:after="0" w:line="16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As of September 30, 2025, we had U.S. federal NOL carryforwards of approximately $46.4 million and state NOL carryforwards of approximately $90.9 million. The federal and material state NOL carryforwards will begin to expire in 2030 and 2025,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Future changes in our stock ownership, many of which are outside of our control, could result in an ownership change under Sections 382 or 383 of the Code. Furthermore, our ability to utilize NOLs of companies that we may acquire in the future may be subject to limitations.</w:t>
      </w:r>
    </w:p>
    <w:p>
      <w:pPr>
        <w:spacing w:after="0" w:line="14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During 2022, the Company completed a Section 382 study and as a result of the ownership changes identified, $1.6 million of Flywire’s NOLs and $0.2 million of Simplee’s NOLs will expire unutilized, assuming sufficient taxable income is generated in the future. The Company completed its refresh of the Section 382 study as of December 31, 2024, and there were no additional limitations in using Federal and State NOL carryforwards.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if we fail to continue to maintain an effective system of disclosure controls and internal control over financial reporting, our ability to produce timely and accurate financial statements or comply with applicable laws and regulations could be impaired.</w:t>
      </w:r>
    </w:p>
    <w:p>
      <w:pPr>
        <w:spacing w:after="0" w:line="11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requires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5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maintain our internal controls,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44"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This assessment includes disclosure of any material weaknesses identified by our management in our internal control over financial reporting and our independent registered public accounting firm is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spacing w:after="0" w:line="136" w:lineRule="exact"/>
        <w:rPr>
          <w:sz w:val="20"/>
          <w:szCs w:val="20"/>
          <w:color w:val="auto"/>
        </w:rPr>
      </w:pPr>
    </w:p>
    <w:p>
      <w:pPr>
        <w:ind w:right="320" w:firstLine="509"/>
        <w:spacing w:after="0" w:line="245" w:lineRule="auto"/>
        <w:rPr>
          <w:sz w:val="20"/>
          <w:szCs w:val="20"/>
          <w:color w:val="auto"/>
        </w:rPr>
      </w:pPr>
      <w:r>
        <w:rPr>
          <w:rFonts w:ascii="Arial" w:cs="Arial" w:eastAsia="Arial" w:hAnsi="Arial"/>
          <w:sz w:val="18"/>
          <w:szCs w:val="18"/>
          <w:color w:val="auto"/>
        </w:rPr>
        <w:t>An independent assessment of the effectiveness of our internal controls could detect problems that our management’s assessment might not. Undetected material weaknesses in our internal controls could lead to financial</w:t>
      </w: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04" w:name="page105"/>
    <w:bookmarkEnd w:id="104"/>
    <w:p>
      <w:pPr>
        <w:jc w:val="both"/>
        <w:ind w:right="20"/>
        <w:spacing w:after="0" w:line="247" w:lineRule="auto"/>
        <w:rPr>
          <w:sz w:val="20"/>
          <w:szCs w:val="20"/>
          <w:color w:val="auto"/>
        </w:rPr>
      </w:pPr>
      <w:r>
        <w:rPr>
          <w:rFonts w:ascii="Arial" w:cs="Arial" w:eastAsia="Arial" w:hAnsi="Arial"/>
          <w:sz w:val="18"/>
          <w:szCs w:val="18"/>
          <w:color w:val="auto"/>
        </w:rPr>
        <w:t>statement restatements and require us to incur the expense of remediation. We are required to disclose changes made in our internal control and procedures on a quarterly basis. To comply with the requirements of being a public company, we have undertaken and expect to need to continue to undertake various actions, such as implementing new internal controls and procedures, hiring risk professionals, accounting and internal audit staff, and engaging outside consultants, which will increase our operating expenses.</w:t>
      </w:r>
    </w:p>
    <w:p>
      <w:pPr>
        <w:spacing w:after="0" w:line="147"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We are actively engaged in the ongoing costly process of maintaining compliance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3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3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Increased scrutiny from investors and others or changes in regulations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spacing w:after="0" w:line="13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Investor advocacy groups, certain institutional investors, investment funds, other market participants, stockholders, and consumer groups have focused increasingly on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management.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spacing w:after="0" w:line="149"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In addition, increasing governmental interest in, and public awareness of, the impacts and effects of climate change and greater emphasis on sustainability by federal, state, and international governments could lead to further regulatory efforts to address the carbon impact of housing and travel. In particular, the current regulatory landscape regarding climate change (including disclosure requirements and requirements regarding energy and water use and efficiency), both within the United States and in many other locations where we operate worldwide, is evolving at a pace, and is likely to continue to develop in ways, that require our business to adapt. Many U.S. states, either individually or through multi-state regional initiatives, have adopted, or are considering adopting, rules that would require significantly expanded actions or disclosures on climate or other ESG-related matters from companies. Although several of these rules have been challenged and/or stayed, such rules, if implemented, may require us to incur significant additional costs to comply. Such rules are not uniform, and may not be interpreted or enforced uniformly, which can increase compliance costs or associated risks. Simultaneously, there are efforts by some stakeholders and policymakers to reduce companies’ efforts on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This and other stakeholder expectations will likely lead to increased costs as well as scrutiny that could heighten all of the risks identified in this risk factor. Additionally, many of our customers, business partners, and suppliers may be subject to similar expectations or risks, which may augment or create additional risks or impacts on us, including in ways that may not be known to us. Any such matters could have a material adverse effect on our business, results of operations and financial condition.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05" w:name="page106"/>
    <w:bookmarkEnd w:id="105"/>
    <w:p>
      <w:pPr>
        <w:ind w:right="540" w:firstLine="509"/>
        <w:spacing w:after="0" w:line="271" w:lineRule="auto"/>
        <w:rPr>
          <w:sz w:val="20"/>
          <w:szCs w:val="20"/>
          <w:color w:val="auto"/>
        </w:rPr>
      </w:pPr>
      <w:r>
        <w:rPr>
          <w:rFonts w:ascii="Arial" w:cs="Arial" w:eastAsia="Arial" w:hAnsi="Arial"/>
          <w:sz w:val="18"/>
          <w:szCs w:val="18"/>
          <w:color w:val="auto"/>
        </w:rPr>
        <w:t>The legislative landscape continues to be in a state of constant change as well as legal challenge with respect to these laws and regulations, making it difficult to predict with certainty the ultimate impact they will have on our business in the aggregate.</w:t>
      </w:r>
    </w:p>
    <w:p>
      <w:pPr>
        <w:spacing w:after="0" w:line="129"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compliance with our public company responsibilities and corporate governance practices.</w:t>
      </w:r>
    </w:p>
    <w:p>
      <w:pPr>
        <w:spacing w:after="0" w:line="9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As a public company, we will continue to incur significant legal, accounting, and other expenses as a result of operating as a public company, which increased starting in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87"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active or liquid market in our common stock may not be sustainable.</w:t>
      </w:r>
    </w:p>
    <w:p>
      <w:pPr>
        <w:spacing w:after="0" w:line="171"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46" w:lineRule="exact"/>
        <w:rPr>
          <w:sz w:val="20"/>
          <w:szCs w:val="20"/>
          <w:color w:val="auto"/>
        </w:rPr>
      </w:pPr>
    </w:p>
    <w:p>
      <w:pPr>
        <w:ind w:left="640" w:hanging="258"/>
        <w:spacing w:after="0"/>
        <w:tabs>
          <w:tab w:leader="none" w:pos="6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overall performance of the equity markets;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operating performance and the performance of other similar companies;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roll out of new solutions;</w:t>
      </w:r>
    </w:p>
    <w:p>
      <w:pPr>
        <w:spacing w:after="0" w:line="116" w:lineRule="exact"/>
        <w:rPr>
          <w:rFonts w:ascii="Times New Roman" w:cs="Times New Roman" w:eastAsia="Times New Roman" w:hAnsi="Times New Roman"/>
          <w:sz w:val="18"/>
          <w:szCs w:val="18"/>
          <w:color w:val="auto"/>
        </w:rPr>
      </w:pPr>
    </w:p>
    <w:p>
      <w:pPr>
        <w:ind w:left="640" w:right="880" w:hanging="258"/>
        <w:spacing w:after="0" w:line="270" w:lineRule="auto"/>
        <w:tabs>
          <w:tab w:leader="none" w:pos="6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actions with respect to our payment solutions;</w:t>
      </w:r>
    </w:p>
    <w:p>
      <w:pPr>
        <w:spacing w:after="0" w:line="116" w:lineRule="exact"/>
        <w:rPr>
          <w:rFonts w:ascii="Times New Roman" w:cs="Times New Roman" w:eastAsia="Times New Roman" w:hAnsi="Times New Roman"/>
          <w:sz w:val="18"/>
          <w:szCs w:val="18"/>
          <w:color w:val="auto"/>
        </w:rPr>
      </w:pPr>
    </w:p>
    <w:p>
      <w:pPr>
        <w:ind w:left="640" w:right="1080" w:hanging="258"/>
        <w:spacing w:after="0" w:line="270" w:lineRule="auto"/>
        <w:tabs>
          <w:tab w:leader="none" w:pos="6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 including the priorities of the U.S. presidential administration and related changes in laws, regulations or policies;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our solutions;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recruitment or departure of key personnel;</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economy as a whole and market conditions in our industry;</w:t>
      </w:r>
    </w:p>
    <w:p>
      <w:pPr>
        <w:spacing w:after="0" w:line="116" w:lineRule="exact"/>
        <w:rPr>
          <w:rFonts w:ascii="Times New Roman" w:cs="Times New Roman" w:eastAsia="Times New Roman" w:hAnsi="Times New Roman"/>
          <w:sz w:val="18"/>
          <w:szCs w:val="18"/>
          <w:color w:val="auto"/>
        </w:rPr>
      </w:pPr>
    </w:p>
    <w:p>
      <w:pPr>
        <w:ind w:left="640" w:right="80" w:hanging="258"/>
        <w:spacing w:after="0" w:line="252" w:lineRule="auto"/>
        <w:tabs>
          <w:tab w:leader="none" w:pos="6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or social unrest, war or other military conflict, including the continuation or escalation of the conflicts between Russia and Ukraine, or between Israel and Hamas and Israel and Iran (which has also featured military strikes by the U.S. against Iran) (or other combatants in the region), respectively, economic instability, repression, or human rights issues;</w:t>
      </w:r>
    </w:p>
    <w:p>
      <w:pPr>
        <w:spacing w:after="0" w:line="62"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cutbacks or withholding of funding to, and real or perceived hostility towards higher education institutions in the U.S.;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06" w:name="page107"/>
    <w:bookmarkEnd w:id="106"/>
    <w:p>
      <w:pPr>
        <w:ind w:left="640" w:right="240" w:hanging="258"/>
        <w:spacing w:after="0" w:line="270" w:lineRule="auto"/>
        <w:tabs>
          <w:tab w:leader="none" w:pos="6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that negatively impact international travel, study or commerce, including actual or threatened revocation of visas, mass deportations, or delays in issuances of visas;</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payment systems;</w:t>
      </w:r>
    </w:p>
    <w:p>
      <w:pPr>
        <w:spacing w:after="0" w:line="116" w:lineRule="exact"/>
        <w:rPr>
          <w:rFonts w:ascii="Times New Roman" w:cs="Times New Roman" w:eastAsia="Times New Roman" w:hAnsi="Times New Roman"/>
          <w:sz w:val="18"/>
          <w:szCs w:val="18"/>
          <w:color w:val="auto"/>
        </w:rPr>
      </w:pPr>
    </w:p>
    <w:p>
      <w:pPr>
        <w:ind w:left="640" w:right="820" w:hanging="258"/>
        <w:spacing w:after="0" w:line="270" w:lineRule="auto"/>
        <w:tabs>
          <w:tab w:leader="none" w:pos="6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threatened imposition of tariffs, trade wars including the effects of ongoing United States-China and Canada-India diplomatic and trade friction;</w:t>
      </w:r>
    </w:p>
    <w:p>
      <w:pPr>
        <w:spacing w:after="0" w:line="4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our market float; and</w:t>
      </w:r>
    </w:p>
    <w:p>
      <w:pPr>
        <w:spacing w:after="0" w:line="116"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factors discussed in this Annual Report on Form 10-K and our other SEC filings.</w:t>
      </w:r>
    </w:p>
    <w:p>
      <w:pPr>
        <w:spacing w:after="0" w:line="184"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w:t>
      </w:r>
    </w:p>
    <w:p>
      <w:pPr>
        <w:spacing w:after="0" w:line="12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Concerns over economic recession, heightened interest rates and inflation, supply chain delays and disruptions, priorities of the U.S. presidential administration and Congress and related changes in laws, regulations or policies,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be negatively affected by securities litigation or stockholder activism.</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From time to time, we may be subject to securities class actions, derivative suits or other securities-related legal actions.</w:t>
      </w:r>
    </w:p>
    <w:p>
      <w:pPr>
        <w:spacing w:after="0" w:line="18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 xml:space="preserve">In the past, securities class action litigation have often been brought against a company following a decline in the market price of its securities. In July 2025, the Company and certain of its current and former officers were named as defendants in a securities class action complaint captioned </w:t>
      </w:r>
      <w:r>
        <w:rPr>
          <w:rFonts w:ascii="Arial" w:cs="Arial" w:eastAsia="Arial" w:hAnsi="Arial"/>
          <w:sz w:val="18"/>
          <w:szCs w:val="18"/>
          <w:i w:val="1"/>
          <w:iCs w:val="1"/>
          <w:color w:val="auto"/>
        </w:rPr>
        <w:t>Hickman v. Flywire Corporation</w:t>
      </w:r>
      <w:r>
        <w:rPr>
          <w:rFonts w:ascii="Arial" w:cs="Arial" w:eastAsia="Arial" w:hAnsi="Arial"/>
          <w:sz w:val="18"/>
          <w:szCs w:val="18"/>
          <w:color w:val="auto"/>
        </w:rPr>
        <w:t xml:space="preserve"> filed in the United States District Court for the Eastern District of New York on behalf of a putative class of investors who purchased Flywire securities from February 28, 2024, through February 25, 2025. Plaintiff alleges that the defendants violated Sections 10(b) and 20(a) of the Exchange Act by purportedly overstating the strength and sustainability of the Company's revenue growth and understating the negative impact of certain government permit and visa related policies on the business. The lawsuit seeks unspecified damages, costs, attorneys’ fees, and other relief. The Company believes to have strong defenses against the asserted claims and intends to vigorously defend itself. In addition, stockholder activism, which could take many forms and arise in a variety of situations, has been increasing recently, and new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become the target of securities litigation or stockholder activism. Securities litigation and stockholder activism, including potential proxy contests, could result in substantial costs, including significant legal fees and other expenses, and divert our management and board of directors’ attention and resources from our business. Additionally, securities litigation and stockholder activism could give rise to perceived uncertainties as to our future, adversely affect our relationships with clients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spacing w:after="0" w:line="14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Any claims or litigation, even if fully indemnified or insured, could adversely affect our relationships with clients and business partners, damage our reputation, decrease client or their customers’ demand for our solutions and make it more difficult to attract and retain qualified personnel, making it more difficult for us to compete effectively. In addition, lawsuits or legal claims involving us may increase our insurance premiums, deductibles or co-insurance requirements or otherwise make it more difficult for us to maintain or obtain adequate insurance coverage on acceptable terms, if at all. Furthermore, while we maintain insurance for certain potential liabilities, such insurance does not cover all types and amounts of potential liabilities and is subject to various exclusions, as well as caps on amounts recoverable. Even if we believe that a claim is covered by insurance, insurers may dispute our entitlement to recovery for a variety of potential reasons, which</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07" w:name="page108"/>
    <w:bookmarkEnd w:id="107"/>
    <w:p>
      <w:pPr>
        <w:ind w:right="100"/>
        <w:spacing w:after="0" w:line="253" w:lineRule="auto"/>
        <w:rPr>
          <w:sz w:val="20"/>
          <w:szCs w:val="20"/>
          <w:color w:val="auto"/>
        </w:rPr>
      </w:pPr>
      <w:r>
        <w:rPr>
          <w:rFonts w:ascii="Arial" w:cs="Arial" w:eastAsia="Arial" w:hAnsi="Arial"/>
          <w:sz w:val="18"/>
          <w:szCs w:val="18"/>
          <w:color w:val="auto"/>
        </w:rPr>
        <w:t>may affect the timing and, if the insurers prevail, the amount of our recovery. Our exposure under these matters may also include our indemnification obligations, to the extent that we have any, to current and former officers and directors against losses incurred in connection with these matters, including reimbursement of legal fees and other expenses.</w:t>
      </w:r>
    </w:p>
    <w:p>
      <w:pPr>
        <w:spacing w:after="0" w:line="14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As a result, lawsuits involving us, or our officers or directors, could have a material adverse effect on our business, reputation, financial condition, results of operations, liquidity and the trading price of our common stock.</w:t>
      </w:r>
    </w:p>
    <w:p>
      <w:pPr>
        <w:spacing w:after="0" w:line="11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9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 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56"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our cash and cash equivalents in ways that you and other stockholders may not approve.</w:t>
      </w:r>
    </w:p>
    <w:p>
      <w:pPr>
        <w:spacing w:after="0" w:line="16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spacing w:after="0" w:line="160"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We cannot guarantee that our Repurchase Program will be fully implemented or that it will enhance stockholder value, and share repurchases could affect the price of our common stock.</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August 2024, we announced that our Board of Directors authorized the Repurchase Program, pursuant to which we may, from time to time, purchase shares of our Voting and Non-voting common stock for an aggregate purchase price not to exceed $150 million. In July 2025, our Board of Directors approved an increase in the aggregate amount of voting and non-voting common stock outstanding that may be repurchased under the Repurchase Program by an additional $150 million, bringing the total authorized amount under the Repurchase Program to $300 million. As of September 30, 2025 approximately $191.9 million remained available for repurchases under the Repurchase Program. Repurchases under the Repurchase Program may be made through a variety of methods and are subject to market and business conditions, levels of available liquidity, cash requirements for other purposes, regulatory, and other relevant factors. The timing, pricing, and size of share repurchases will depend on a number of factors, including price, corporate and regulatory requirements, and general market and economic conditions. The Repurchase Program does not obligate us to repurchase any minimum dollar amount or number of shares, and may be suspended or discontinued by our Board of Directors at any time, which may result in a decrease in the price of our common stock.</w:t>
      </w:r>
    </w:p>
    <w:p>
      <w:pPr>
        <w:spacing w:after="0" w:line="14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Repurchases under the Repurchase Program will decrease the number of outstanding shares of our common stock and therefore could affect the price of our common stock and increase its volatility. The existence of the Repurchase Program could also cause the price of our common stock to be higher than it would be in the absence of such a program and could reduce the market liquidity for our common stock. Repurchases under the Repurchase Program will diminish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108" w:name="page109"/>
    <w:bookmarkEnd w:id="108"/>
    <w:p>
      <w:pPr>
        <w:ind w:right="100"/>
        <w:spacing w:after="0" w:line="244" w:lineRule="auto"/>
        <w:rPr>
          <w:sz w:val="20"/>
          <w:szCs w:val="20"/>
          <w:color w:val="auto"/>
        </w:rPr>
      </w:pPr>
      <w:r>
        <w:rPr>
          <w:rFonts w:ascii="Arial" w:cs="Arial" w:eastAsia="Arial" w:hAnsi="Arial"/>
          <w:sz w:val="18"/>
          <w:szCs w:val="18"/>
          <w:color w:val="auto"/>
        </w:rPr>
        <w:t>our cash reserves, which could impact our ability to further develop our business and service our indebtedness. There can be no assurance that any share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common stock price. Although the Repurchase Program is intended to enhance long-term stockholder value, short-term price fluctuations could reduce the program’s effectiveness.</w:t>
      </w:r>
    </w:p>
    <w:p>
      <w:pPr>
        <w:spacing w:after="0" w:line="151"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9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38"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could cause the market price of our common stock to decline.</w:t>
      </w:r>
    </w:p>
    <w:p>
      <w:pPr>
        <w:spacing w:after="0" w:line="112"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120,238,939 shares of our voting common stock and 1,873,320 shares of our non-voting common stock outstanding as of September 30, 2025.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spacing w:after="0" w:line="138"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spacing w:after="0" w:line="133" w:lineRule="exact"/>
        <w:rPr>
          <w:sz w:val="20"/>
          <w:szCs w:val="20"/>
          <w:color w:val="auto"/>
        </w:rPr>
      </w:pPr>
    </w:p>
    <w:p>
      <w:pPr>
        <w:ind w:right="340" w:firstLine="509"/>
        <w:spacing w:after="0" w:line="301"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06" w:lineRule="exact"/>
        <w:rPr>
          <w:sz w:val="20"/>
          <w:szCs w:val="20"/>
          <w:color w:val="auto"/>
        </w:rPr>
      </w:pPr>
    </w:p>
    <w:p>
      <w:pPr>
        <w:ind w:right="720"/>
        <w:spacing w:after="0" w:line="278"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99"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As of December 31, 2024,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140"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do not intend to pay dividends on our common stock, consequently, your ability to achieve a return on your investment will depend on appreciation in the price of our common stock.</w:t>
      </w:r>
    </w:p>
    <w:p>
      <w:pPr>
        <w:spacing w:after="0" w:line="112"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all available funds and any future earnings for reinvestment to fund the development, operation, expansion and growth of our business and to fund our Repurchase Program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09" w:name="page110"/>
    <w:bookmarkEnd w:id="109"/>
    <w:p>
      <w:pPr>
        <w:ind w:right="100"/>
        <w:spacing w:after="0" w:line="271" w:lineRule="auto"/>
        <w:rPr>
          <w:sz w:val="20"/>
          <w:szCs w:val="20"/>
          <w:color w:val="auto"/>
        </w:rPr>
      </w:pPr>
      <w:r>
        <w:rPr>
          <w:rFonts w:ascii="Arial" w:cs="Arial" w:eastAsia="Arial" w:hAnsi="Arial"/>
          <w:sz w:val="18"/>
          <w:szCs w:val="18"/>
          <w:color w:val="auto"/>
        </w:rPr>
        <w:t>no guarantee that shares of our common stock will appreciate in value or even maintain the price at which our stockholders have purchased their shares.</w:t>
      </w:r>
    </w:p>
    <w:p>
      <w:pPr>
        <w:spacing w:after="0" w:line="129"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9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68" w:lineRule="exact"/>
        <w:rPr>
          <w:sz w:val="20"/>
          <w:szCs w:val="20"/>
          <w:color w:val="auto"/>
        </w:rPr>
      </w:pPr>
    </w:p>
    <w:p>
      <w:pPr>
        <w:ind w:left="640" w:right="920" w:hanging="258"/>
        <w:spacing w:after="0" w:line="270" w:lineRule="auto"/>
        <w:tabs>
          <w:tab w:leader="none" w:pos="64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46" w:lineRule="exact"/>
        <w:rPr>
          <w:rFonts w:ascii="Times New Roman" w:cs="Times New Roman" w:eastAsia="Times New Roman" w:hAnsi="Times New Roman"/>
          <w:sz w:val="18"/>
          <w:szCs w:val="18"/>
          <w:color w:val="auto"/>
        </w:rPr>
      </w:pPr>
    </w:p>
    <w:p>
      <w:pPr>
        <w:ind w:left="640" w:right="220" w:hanging="258"/>
        <w:spacing w:after="0" w:line="252" w:lineRule="auto"/>
        <w:tabs>
          <w:tab w:leader="none" w:pos="64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62" w:lineRule="exact"/>
        <w:rPr>
          <w:rFonts w:ascii="Times New Roman" w:cs="Times New Roman" w:eastAsia="Times New Roman" w:hAnsi="Times New Roman"/>
          <w:sz w:val="18"/>
          <w:szCs w:val="18"/>
          <w:color w:val="auto"/>
        </w:rPr>
      </w:pPr>
    </w:p>
    <w:p>
      <w:pPr>
        <w:ind w:left="640" w:right="240" w:hanging="258"/>
        <w:spacing w:after="0" w:line="252" w:lineRule="auto"/>
        <w:tabs>
          <w:tab w:leader="none" w:pos="64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62" w:lineRule="exact"/>
        <w:rPr>
          <w:rFonts w:ascii="Times New Roman" w:cs="Times New Roman" w:eastAsia="Times New Roman" w:hAnsi="Times New Roman"/>
          <w:sz w:val="18"/>
          <w:szCs w:val="18"/>
          <w:color w:val="auto"/>
        </w:rPr>
      </w:pPr>
    </w:p>
    <w:p>
      <w:pPr>
        <w:ind w:left="640" w:right="60" w:hanging="258"/>
        <w:spacing w:after="0" w:line="270" w:lineRule="auto"/>
        <w:tabs>
          <w:tab w:leader="none" w:pos="64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46" w:lineRule="exact"/>
        <w:rPr>
          <w:rFonts w:ascii="Times New Roman" w:cs="Times New Roman" w:eastAsia="Times New Roman" w:hAnsi="Times New Roman"/>
          <w:sz w:val="18"/>
          <w:szCs w:val="18"/>
          <w:color w:val="auto"/>
        </w:rPr>
      </w:pPr>
    </w:p>
    <w:p>
      <w:pPr>
        <w:ind w:left="640" w:right="460" w:hanging="258"/>
        <w:spacing w:after="0" w:line="252" w:lineRule="auto"/>
        <w:tabs>
          <w:tab w:leader="none" w:pos="64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62" w:lineRule="exact"/>
        <w:rPr>
          <w:rFonts w:ascii="Times New Roman" w:cs="Times New Roman" w:eastAsia="Times New Roman" w:hAnsi="Times New Roman"/>
          <w:sz w:val="18"/>
          <w:szCs w:val="18"/>
          <w:color w:val="auto"/>
        </w:rPr>
      </w:pPr>
    </w:p>
    <w:p>
      <w:pPr>
        <w:ind w:left="640" w:right="140" w:hanging="258"/>
        <w:spacing w:after="0" w:line="246" w:lineRule="auto"/>
        <w:tabs>
          <w:tab w:leader="none" w:pos="64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68" w:lineRule="exact"/>
        <w:rPr>
          <w:rFonts w:ascii="Times New Roman" w:cs="Times New Roman" w:eastAsia="Times New Roman" w:hAnsi="Times New Roman"/>
          <w:sz w:val="18"/>
          <w:szCs w:val="18"/>
          <w:color w:val="auto"/>
        </w:rPr>
      </w:pPr>
    </w:p>
    <w:p>
      <w:pPr>
        <w:ind w:left="640" w:right="440" w:hanging="258"/>
        <w:spacing w:after="0" w:line="252" w:lineRule="auto"/>
        <w:tabs>
          <w:tab w:leader="none" w:pos="64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0"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4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38"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p>
    <w:p>
      <w:pPr>
        <w:spacing w:after="0" w:line="12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w:t>
      </w: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110" w:name="page111"/>
    <w:bookmarkEnd w:id="110"/>
    <w:p>
      <w:pPr>
        <w:ind w:right="20"/>
        <w:spacing w:after="0" w:line="238" w:lineRule="auto"/>
        <w:rPr>
          <w:sz w:val="20"/>
          <w:szCs w:val="20"/>
          <w:color w:val="auto"/>
        </w:rPr>
      </w:pPr>
      <w:r>
        <w:rPr>
          <w:rFonts w:ascii="Arial" w:cs="Arial" w:eastAsia="Arial" w:hAnsi="Arial"/>
          <w:sz w:val="18"/>
          <w:szCs w:val="18"/>
          <w:color w:val="auto"/>
        </w:rPr>
        <w:t>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83"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The following table summarizes the repurchases of voting common stock during the three months ended September 30, 2025 (in thousands, except shares and per share amounts):</w:t>
      </w:r>
    </w:p>
    <w:p>
      <w:pPr>
        <w:sectPr>
          <w:pgSz w:w="11900" w:h="16838" w:orient="portrait"/>
          <w:cols w:equalWidth="0" w:num="1">
            <w:col w:w="11240"/>
          </w:cols>
          <w:pgMar w:left="320" w:top="1376"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vMerge w:val="restart"/>
          </w:tcPr>
          <w:p>
            <w:pPr>
              <w:spacing w:after="0"/>
              <w:rPr>
                <w:sz w:val="20"/>
                <w:szCs w:val="20"/>
                <w:color w:val="auto"/>
              </w:rPr>
            </w:pPr>
            <w:r>
              <w:rPr>
                <w:rFonts w:ascii="Arial" w:cs="Arial" w:eastAsia="Arial" w:hAnsi="Arial"/>
                <w:sz w:val="16"/>
                <w:szCs w:val="16"/>
                <w:b w:val="1"/>
                <w:bCs w:val="1"/>
                <w:color w:val="auto"/>
              </w:rPr>
              <w:t>Period</w:t>
            </w:r>
          </w:p>
        </w:tc>
        <w:tc>
          <w:tcPr>
            <w:tcW w:w="3440" w:type="dxa"/>
            <w:vAlign w:val="bottom"/>
          </w:tcPr>
          <w:p>
            <w:pPr>
              <w:jc w:val="center"/>
              <w:ind w:left="1408"/>
              <w:spacing w:after="0"/>
              <w:rPr>
                <w:sz w:val="20"/>
                <w:szCs w:val="20"/>
                <w:color w:val="auto"/>
              </w:rPr>
            </w:pPr>
            <w:r>
              <w:rPr>
                <w:rFonts w:ascii="Arial" w:cs="Arial" w:eastAsia="Arial" w:hAnsi="Arial"/>
                <w:sz w:val="14"/>
                <w:szCs w:val="14"/>
                <w:b w:val="1"/>
                <w:bCs w:val="1"/>
                <w:color w:val="auto"/>
              </w:rPr>
              <w:t>Total Number of Shares</w:t>
            </w:r>
          </w:p>
        </w:tc>
        <w:tc>
          <w:tcPr>
            <w:tcW w:w="1720" w:type="dxa"/>
            <w:vAlign w:val="bottom"/>
          </w:tcPr>
          <w:p>
            <w:pPr>
              <w:ind w:left="160"/>
              <w:spacing w:after="0"/>
              <w:rPr>
                <w:sz w:val="20"/>
                <w:szCs w:val="20"/>
                <w:color w:val="auto"/>
              </w:rPr>
            </w:pPr>
            <w:r>
              <w:rPr>
                <w:rFonts w:ascii="Arial" w:cs="Arial" w:eastAsia="Arial" w:hAnsi="Arial"/>
                <w:sz w:val="14"/>
                <w:szCs w:val="14"/>
                <w:b w:val="1"/>
                <w:bCs w:val="1"/>
                <w:color w:val="auto"/>
              </w:rPr>
              <w:t>Average Price Paid per</w:t>
            </w:r>
          </w:p>
        </w:tc>
        <w:tc>
          <w:tcPr>
            <w:tcW w:w="0" w:type="dxa"/>
            <w:vAlign w:val="bottom"/>
          </w:tcPr>
          <w:p>
            <w:pPr>
              <w:spacing w:after="0"/>
              <w:rPr>
                <w:sz w:val="1"/>
                <w:szCs w:val="1"/>
                <w:color w:val="auto"/>
              </w:rPr>
            </w:pPr>
          </w:p>
        </w:tc>
      </w:tr>
      <w:tr>
        <w:trPr>
          <w:trHeight w:val="189"/>
        </w:trPr>
        <w:tc>
          <w:tcPr>
            <w:tcW w:w="2140" w:type="dxa"/>
            <w:vAlign w:val="bottom"/>
            <w:vMerge w:val="continue"/>
          </w:tcPr>
          <w:p>
            <w:pPr>
              <w:spacing w:after="0"/>
              <w:rPr>
                <w:sz w:val="16"/>
                <w:szCs w:val="16"/>
                <w:color w:val="auto"/>
              </w:rPr>
            </w:pPr>
          </w:p>
        </w:tc>
        <w:tc>
          <w:tcPr>
            <w:tcW w:w="3440" w:type="dxa"/>
            <w:vAlign w:val="bottom"/>
          </w:tcPr>
          <w:p>
            <w:pPr>
              <w:jc w:val="center"/>
              <w:ind w:left="1448"/>
              <w:spacing w:after="0" w:line="189" w:lineRule="exact"/>
              <w:rPr>
                <w:sz w:val="20"/>
                <w:szCs w:val="20"/>
                <w:color w:val="auto"/>
              </w:rPr>
            </w:pPr>
            <w:r>
              <w:rPr>
                <w:rFonts w:ascii="Arial" w:cs="Arial" w:eastAsia="Arial" w:hAnsi="Arial"/>
                <w:sz w:val="14"/>
                <w:szCs w:val="14"/>
                <w:b w:val="1"/>
                <w:bCs w:val="1"/>
                <w:color w:val="auto"/>
                <w:w w:val="96"/>
              </w:rPr>
              <w:t xml:space="preserve">Purchased </w:t>
            </w:r>
            <w:r>
              <w:rPr>
                <w:rFonts w:ascii="Arial" w:cs="Arial" w:eastAsia="Arial" w:hAnsi="Arial"/>
                <w:sz w:val="19"/>
                <w:szCs w:val="19"/>
                <w:b w:val="1"/>
                <w:bCs w:val="1"/>
                <w:color w:val="auto"/>
                <w:w w:val="96"/>
                <w:vertAlign w:val="superscript"/>
              </w:rPr>
              <w:t>(a)</w:t>
            </w:r>
          </w:p>
        </w:tc>
        <w:tc>
          <w:tcPr>
            <w:tcW w:w="1720" w:type="dxa"/>
            <w:vAlign w:val="bottom"/>
          </w:tcPr>
          <w:p>
            <w:pPr>
              <w:ind w:left="680"/>
              <w:spacing w:after="0" w:line="189" w:lineRule="exact"/>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19"/>
                <w:szCs w:val="19"/>
                <w:b w:val="1"/>
                <w:bCs w:val="1"/>
                <w:color w:val="auto"/>
                <w:vertAlign w:val="superscript"/>
              </w:rPr>
              <w:t>(b)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jc w:val="center"/>
              <w:ind w:right="28"/>
              <w:spacing w:after="0"/>
              <w:rPr>
                <w:sz w:val="20"/>
                <w:szCs w:val="20"/>
                <w:color w:val="auto"/>
              </w:rPr>
            </w:pPr>
            <w:r>
              <w:rPr>
                <w:rFonts w:ascii="Arial" w:cs="Arial" w:eastAsia="Arial" w:hAnsi="Arial"/>
                <w:sz w:val="14"/>
                <w:szCs w:val="14"/>
                <w:b w:val="1"/>
                <w:bCs w:val="1"/>
                <w:color w:val="auto"/>
              </w:rPr>
              <w:t>Total Number of Shares</w:t>
            </w:r>
          </w:p>
        </w:tc>
        <w:tc>
          <w:tcPr>
            <w:tcW w:w="1880" w:type="dxa"/>
            <w:vAlign w:val="bottom"/>
          </w:tcPr>
          <w:p>
            <w:pPr>
              <w:jc w:val="center"/>
              <w:ind w:left="28"/>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1720" w:type="dxa"/>
            <w:vAlign w:val="bottom"/>
          </w:tcPr>
          <w:p>
            <w:pPr>
              <w:jc w:val="center"/>
              <w:ind w:right="28"/>
              <w:spacing w:after="0"/>
              <w:rPr>
                <w:sz w:val="20"/>
                <w:szCs w:val="20"/>
                <w:color w:val="auto"/>
              </w:rPr>
            </w:pPr>
            <w:r>
              <w:rPr>
                <w:rFonts w:ascii="Arial" w:cs="Arial" w:eastAsia="Arial" w:hAnsi="Arial"/>
                <w:sz w:val="14"/>
                <w:szCs w:val="14"/>
                <w:b w:val="1"/>
                <w:bCs w:val="1"/>
                <w:color w:val="auto"/>
              </w:rPr>
              <w:t>Purchased as Part of</w:t>
            </w:r>
          </w:p>
        </w:tc>
        <w:tc>
          <w:tcPr>
            <w:tcW w:w="1880" w:type="dxa"/>
            <w:vAlign w:val="bottom"/>
          </w:tcPr>
          <w:p>
            <w:pPr>
              <w:jc w:val="center"/>
              <w:ind w:left="48"/>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1720" w:type="dxa"/>
            <w:vAlign w:val="bottom"/>
          </w:tcPr>
          <w:p>
            <w:pPr>
              <w:jc w:val="center"/>
              <w:ind w:right="28"/>
              <w:spacing w:after="0"/>
              <w:rPr>
                <w:sz w:val="20"/>
                <w:szCs w:val="20"/>
                <w:color w:val="auto"/>
              </w:rPr>
            </w:pPr>
            <w:r>
              <w:rPr>
                <w:rFonts w:ascii="Arial" w:cs="Arial" w:eastAsia="Arial" w:hAnsi="Arial"/>
                <w:sz w:val="14"/>
                <w:szCs w:val="14"/>
                <w:b w:val="1"/>
                <w:bCs w:val="1"/>
                <w:color w:val="auto"/>
              </w:rPr>
              <w:t>Publicly Announced</w:t>
            </w:r>
          </w:p>
        </w:tc>
        <w:tc>
          <w:tcPr>
            <w:tcW w:w="1880" w:type="dxa"/>
            <w:vAlign w:val="bottom"/>
          </w:tcPr>
          <w:p>
            <w:pPr>
              <w:jc w:val="center"/>
              <w:ind w:left="8"/>
              <w:spacing w:after="0"/>
              <w:rPr>
                <w:sz w:val="20"/>
                <w:szCs w:val="20"/>
                <w:color w:val="auto"/>
              </w:rPr>
            </w:pPr>
            <w:r>
              <w:rPr>
                <w:rFonts w:ascii="Arial" w:cs="Arial" w:eastAsia="Arial" w:hAnsi="Arial"/>
                <w:sz w:val="14"/>
                <w:szCs w:val="14"/>
                <w:b w:val="1"/>
                <w:bCs w:val="1"/>
                <w:color w:val="auto"/>
              </w:rPr>
              <w:t>Purchased Under the</w:t>
            </w:r>
          </w:p>
        </w:tc>
      </w:tr>
      <w:tr>
        <w:trPr>
          <w:trHeight w:val="171"/>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Plans</w:t>
            </w:r>
          </w:p>
        </w:tc>
        <w:tc>
          <w:tcPr>
            <w:tcW w:w="1880" w:type="dxa"/>
            <w:vAlign w:val="bottom"/>
          </w:tcPr>
          <w:p>
            <w:pPr>
              <w:jc w:val="center"/>
              <w:ind w:left="68"/>
              <w:spacing w:after="0"/>
              <w:rPr>
                <w:sz w:val="20"/>
                <w:szCs w:val="20"/>
                <w:color w:val="auto"/>
              </w:rPr>
            </w:pPr>
            <w:r>
              <w:rPr>
                <w:rFonts w:ascii="Arial" w:cs="Arial" w:eastAsia="Arial" w:hAnsi="Arial"/>
                <w:sz w:val="14"/>
                <w:szCs w:val="14"/>
                <w:b w:val="1"/>
                <w:bCs w:val="1"/>
                <w:color w:val="auto"/>
              </w:rPr>
              <w:t>Plans</w:t>
            </w:r>
          </w:p>
        </w:tc>
      </w:tr>
    </w:tbl>
    <w:p>
      <w:pPr>
        <w:spacing w:after="0" w:line="20" w:lineRule="exact"/>
        <w:rPr>
          <w:sz w:val="20"/>
          <w:szCs w:val="20"/>
          <w:color w:val="auto"/>
        </w:rPr>
      </w:pPr>
    </w:p>
    <w:p>
      <w:pPr>
        <w:sectPr>
          <w:pgSz w:w="11900" w:h="16838" w:orient="portrait"/>
          <w:cols w:equalWidth="0" w:num="2">
            <w:col w:w="7300" w:space="320"/>
            <w:col w:w="3620"/>
          </w:cols>
          <w:pgMar w:left="320" w:top="1376"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7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162"/>
        </w:trPr>
        <w:tc>
          <w:tcPr>
            <w:tcW w:w="372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July 1, 2025 - July 31, 2025</w:t>
            </w:r>
          </w:p>
        </w:tc>
        <w:tc>
          <w:tcPr>
            <w:tcW w:w="1800" w:type="dxa"/>
            <w:vAlign w:val="bottom"/>
            <w:shd w:val="clear" w:color="auto" w:fill="CFF0FC"/>
          </w:tcPr>
          <w:p>
            <w:pPr>
              <w:jc w:val="right"/>
              <w:spacing w:after="0" w:line="162" w:lineRule="exact"/>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40"/>
              <w:spacing w:after="0" w:line="162"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1780" w:type="dxa"/>
            <w:vAlign w:val="bottom"/>
            <w:shd w:val="clear" w:color="auto" w:fill="CFF0FC"/>
          </w:tcPr>
          <w:p>
            <w:pPr>
              <w:jc w:val="right"/>
              <w:spacing w:after="0" w:line="162" w:lineRule="exact"/>
              <w:rPr>
                <w:sz w:val="20"/>
                <w:szCs w:val="20"/>
                <w:color w:val="auto"/>
              </w:rPr>
            </w:pPr>
            <w:r>
              <w:rPr>
                <w:rFonts w:ascii="Arial" w:cs="Arial" w:eastAsia="Arial" w:hAnsi="Arial"/>
                <w:sz w:val="16"/>
                <w:szCs w:val="16"/>
                <w:color w:val="auto"/>
              </w:rPr>
              <w:t>—</w:t>
            </w:r>
          </w:p>
        </w:tc>
        <w:tc>
          <w:tcPr>
            <w:tcW w:w="760" w:type="dxa"/>
            <w:vAlign w:val="bottom"/>
            <w:gridSpan w:val="2"/>
            <w:shd w:val="clear" w:color="auto" w:fill="CFF0FC"/>
          </w:tcPr>
          <w:p>
            <w:pPr>
              <w:jc w:val="right"/>
              <w:ind w:right="560"/>
              <w:spacing w:after="0" w:line="162"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62" w:lineRule="exact"/>
              <w:rPr>
                <w:sz w:val="20"/>
                <w:szCs w:val="20"/>
                <w:color w:val="auto"/>
              </w:rPr>
            </w:pPr>
            <w:r>
              <w:rPr>
                <w:rFonts w:ascii="Arial" w:cs="Arial" w:eastAsia="Arial" w:hAnsi="Arial"/>
                <w:sz w:val="16"/>
                <w:szCs w:val="16"/>
                <w:color w:val="auto"/>
              </w:rPr>
              <w:t>201,966</w:t>
            </w:r>
          </w:p>
        </w:tc>
      </w:tr>
      <w:tr>
        <w:trPr>
          <w:trHeight w:val="189"/>
        </w:trPr>
        <w:tc>
          <w:tcPr>
            <w:tcW w:w="3720" w:type="dxa"/>
            <w:vAlign w:val="bottom"/>
          </w:tcPr>
          <w:p>
            <w:pPr>
              <w:spacing w:after="0"/>
              <w:rPr>
                <w:sz w:val="20"/>
                <w:szCs w:val="20"/>
                <w:color w:val="auto"/>
              </w:rPr>
            </w:pPr>
            <w:r>
              <w:rPr>
                <w:rFonts w:ascii="Arial" w:cs="Arial" w:eastAsia="Arial" w:hAnsi="Arial"/>
                <w:sz w:val="16"/>
                <w:szCs w:val="16"/>
                <w:color w:val="auto"/>
              </w:rPr>
              <w:t>August 1, 2025 - August 31, 2025</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201,966</w:t>
            </w:r>
          </w:p>
        </w:tc>
      </w:tr>
      <w:tr>
        <w:trPr>
          <w:trHeight w:val="189"/>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September 1, 2025 - September 30, 2025</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762,379</w:t>
            </w:r>
          </w:p>
        </w:tc>
        <w:tc>
          <w:tcPr>
            <w:tcW w:w="860" w:type="dxa"/>
            <w:vAlign w:val="bottom"/>
            <w:tcBorders>
              <w:bottom w:val="single" w:sz="8" w:color="CFF0FC"/>
            </w:tcBorders>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13.14</w:t>
            </w:r>
          </w:p>
        </w:tc>
        <w:tc>
          <w:tcPr>
            <w:tcW w:w="120" w:type="dxa"/>
            <w:vAlign w:val="bottom"/>
            <w:tcBorders>
              <w:bottom w:val="single" w:sz="8" w:color="CFF0FC"/>
            </w:tcBorders>
            <w:shd w:val="clear" w:color="auto" w:fill="CFF0FC"/>
          </w:tcPr>
          <w:p>
            <w:pPr>
              <w:spacing w:after="0"/>
              <w:rPr>
                <w:sz w:val="16"/>
                <w:szCs w:val="16"/>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762,379</w:t>
            </w:r>
          </w:p>
        </w:tc>
        <w:tc>
          <w:tcPr>
            <w:tcW w:w="760" w:type="dxa"/>
            <w:vAlign w:val="bottom"/>
            <w:tcBorders>
              <w:bottom w:val="single" w:sz="8" w:color="CFF0FC"/>
            </w:tcBorders>
            <w:gridSpan w:val="2"/>
            <w:shd w:val="clear" w:color="auto" w:fill="CFF0FC"/>
          </w:tcPr>
          <w:p>
            <w:pPr>
              <w:jc w:val="right"/>
              <w:ind w:right="5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191,940</w:t>
            </w:r>
          </w:p>
        </w:tc>
      </w:tr>
      <w:tr>
        <w:trPr>
          <w:trHeight w:val="183"/>
        </w:trPr>
        <w:tc>
          <w:tcPr>
            <w:tcW w:w="3720" w:type="dxa"/>
            <w:vAlign w:val="bottom"/>
          </w:tcPr>
          <w:p>
            <w:pPr>
              <w:spacing w:after="0" w:line="183" w:lineRule="exact"/>
              <w:rPr>
                <w:sz w:val="20"/>
                <w:szCs w:val="20"/>
                <w:color w:val="auto"/>
              </w:rPr>
            </w:pPr>
            <w:r>
              <w:rPr>
                <w:rFonts w:ascii="Arial" w:cs="Arial" w:eastAsia="Arial" w:hAnsi="Arial"/>
                <w:sz w:val="16"/>
                <w:szCs w:val="16"/>
                <w:b w:val="1"/>
                <w:bCs w:val="1"/>
                <w:color w:val="auto"/>
              </w:rPr>
              <w:t>Total</w:t>
            </w:r>
          </w:p>
        </w:tc>
        <w:tc>
          <w:tcPr>
            <w:tcW w:w="1800" w:type="dxa"/>
            <w:vAlign w:val="bottom"/>
          </w:tcPr>
          <w:p>
            <w:pPr>
              <w:jc w:val="right"/>
              <w:spacing w:after="0" w:line="183" w:lineRule="exact"/>
              <w:rPr>
                <w:sz w:val="20"/>
                <w:szCs w:val="20"/>
                <w:color w:val="auto"/>
              </w:rPr>
            </w:pPr>
            <w:r>
              <w:rPr>
                <w:rFonts w:ascii="Arial" w:cs="Arial" w:eastAsia="Arial" w:hAnsi="Arial"/>
                <w:sz w:val="16"/>
                <w:szCs w:val="16"/>
                <w:color w:val="auto"/>
              </w:rPr>
              <w:t>762,379</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762,379</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37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-153670</wp:posOffset>
            </wp:positionV>
            <wp:extent cx="768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-153670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right="60" w:firstLine="8"/>
        <w:spacing w:after="0" w:line="237" w:lineRule="auto"/>
        <w:tabs>
          <w:tab w:leader="none" w:pos="157"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 xml:space="preserve">All shares were repurchased in open market transactions pursuant to a share repurchase program to repurchase up to $300 million of our outstanding voting and non-voting common stock for an indefinite period (the Repurchase Program). The Repurchase Program was authorized by our board of directors and publicly announced on August 6, 2024. On July 30, 2025, our board of directors approved an increase to the capacity of the Repurchase Program by $150 million. Repurchases under the Repurchase Program may be made from time to time through open market purchases, in privately negotiated transactions or by other means, including through the use of trading plans intended to qualify under Rule 10b5-1 under the Exchange Act, in accordance with applicable securities laws and other restrictions, including Rule 10b-18. For additional information on our Repurchase Program, see </w:t>
      </w:r>
      <w:r>
        <w:rPr>
          <w:rFonts w:ascii="Arial" w:cs="Arial" w:eastAsia="Arial" w:hAnsi="Arial"/>
          <w:sz w:val="14"/>
          <w:szCs w:val="14"/>
          <w:i w:val="1"/>
          <w:iCs w:val="1"/>
          <w:color w:val="auto"/>
        </w:rPr>
        <w:t>Note 13 - Stockholders’ Equity</w:t>
      </w:r>
      <w:r>
        <w:rPr>
          <w:rFonts w:ascii="Arial" w:cs="Arial" w:eastAsia="Arial" w:hAnsi="Arial"/>
          <w:sz w:val="14"/>
          <w:szCs w:val="14"/>
          <w:color w:val="auto"/>
        </w:rPr>
        <w:t xml:space="preserve"> in our condensed consolidated financial statements included elsewhere in this Quarterly Report on Form 10-Q.</w:t>
      </w:r>
    </w:p>
    <w:p>
      <w:pPr>
        <w:spacing w:after="0" w:line="40" w:lineRule="exact"/>
        <w:rPr>
          <w:rFonts w:ascii="Arial" w:cs="Arial" w:eastAsia="Arial" w:hAnsi="Arial"/>
          <w:sz w:val="18"/>
          <w:szCs w:val="18"/>
          <w:color w:val="auto"/>
          <w:vertAlign w:val="superscript"/>
        </w:rPr>
      </w:pPr>
    </w:p>
    <w:p>
      <w:pPr>
        <w:ind w:right="280" w:firstLine="8"/>
        <w:spacing w:after="0" w:line="229" w:lineRule="auto"/>
        <w:tabs>
          <w:tab w:leader="none" w:pos="157"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Average price paid per share includes related commissions, but excludes the 1% excise tax accrued on our share repurchases as a result of the Inflation Reduction Act of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69" w:lineRule="exact"/>
        <w:rPr>
          <w:sz w:val="20"/>
          <w:szCs w:val="20"/>
          <w:color w:val="auto"/>
        </w:rPr>
      </w:pPr>
    </w:p>
    <w:p>
      <w:pPr>
        <w:jc w:val="both"/>
        <w:ind w:right="440" w:firstLine="509"/>
        <w:spacing w:after="0" w:line="301" w:lineRule="auto"/>
        <w:rPr>
          <w:sz w:val="20"/>
          <w:szCs w:val="20"/>
          <w:color w:val="auto"/>
        </w:rPr>
      </w:pPr>
      <w:r>
        <w:rPr>
          <w:rFonts w:ascii="Arial" w:cs="Arial" w:eastAsia="Arial" w:hAnsi="Arial"/>
          <w:sz w:val="17"/>
          <w:szCs w:val="17"/>
          <w:color w:val="auto"/>
        </w:rPr>
        <w:t>During the period covered by this Quarterly Report on Form 10-Q,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type w:val="continuous"/>
        </w:sectPr>
      </w:pPr>
    </w:p>
    <w:bookmarkStart w:id="111" w:name="page112"/>
    <w:bookmarkEnd w:id="111"/>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180"/>
              <w:spacing w:after="0"/>
              <w:rPr>
                <w:sz w:val="20"/>
                <w:szCs w:val="20"/>
                <w:color w:val="auto"/>
              </w:rPr>
            </w:pPr>
            <w:r>
              <w:rPr>
                <w:rFonts w:ascii="Arial" w:cs="Arial" w:eastAsia="Arial" w:hAnsi="Arial"/>
                <w:sz w:val="16"/>
                <w:szCs w:val="16"/>
                <w:b w:val="1"/>
                <w:bCs w:val="1"/>
                <w:color w:val="auto"/>
              </w:rPr>
              <w:t>Exhibit</w:t>
            </w:r>
          </w:p>
        </w:tc>
        <w:tc>
          <w:tcPr>
            <w:tcW w:w="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60" w:type="dxa"/>
            <w:vAlign w:val="bottom"/>
            <w:gridSpan w:val="14"/>
          </w:tcPr>
          <w:p>
            <w:pPr>
              <w:ind w:left="22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3"/>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Number</w:t>
            </w:r>
          </w:p>
        </w:tc>
        <w:tc>
          <w:tcPr>
            <w:tcW w:w="26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4"/>
                <w:szCs w:val="14"/>
                <w:color w:val="auto"/>
              </w:rPr>
            </w:pPr>
          </w:p>
        </w:tc>
        <w:tc>
          <w:tcPr>
            <w:tcW w:w="10060" w:type="dxa"/>
            <w:vAlign w:val="bottom"/>
            <w:gridSpan w:val="16"/>
          </w:tcPr>
          <w:p>
            <w:pPr>
              <w:spacing w:after="0" w:line="169" w:lineRule="exact"/>
              <w:rPr>
                <w:sz w:val="20"/>
                <w:szCs w:val="20"/>
                <w:color w:val="auto"/>
              </w:rPr>
            </w:pPr>
            <w:r>
              <w:rPr>
                <w:rFonts w:ascii="Arial" w:cs="Arial" w:eastAsia="Arial" w:hAnsi="Arial"/>
                <w:sz w:val="18"/>
                <w:szCs w:val="18"/>
                <w:color w:val="0000FF"/>
              </w:rPr>
              <w:t>First Amendment to Amended and Restated Credit Agreement and First Amendment to Pledge and Security Agreement,</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0" w:type="dxa"/>
            <w:vAlign w:val="bottom"/>
            <w:tcBorders>
              <w:top w:val="single" w:sz="8" w:color="0000FF"/>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9"/>
              </w:rPr>
              <w:t>dated as of August 1, 2025, by and among Flywire Corporation, the other Loan Parties party thereto from time to time, the</w:t>
            </w:r>
          </w:p>
        </w:tc>
        <w:tc>
          <w:tcPr>
            <w:tcW w:w="4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5"/>
                <w:szCs w:val="15"/>
                <w:color w:val="auto"/>
              </w:rPr>
            </w:pPr>
          </w:p>
        </w:tc>
        <w:tc>
          <w:tcPr>
            <w:tcW w:w="8600" w:type="dxa"/>
            <w:vAlign w:val="bottom"/>
            <w:tcBorders>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9"/>
              </w:rPr>
              <w:t>Lenders party thereto from time to time, the Issuing Banks party thereto from time to time, and Citibank, N.A.</w:t>
            </w:r>
          </w:p>
        </w:tc>
        <w:tc>
          <w:tcPr>
            <w:tcW w:w="1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0" w:type="dxa"/>
            <w:vAlign w:val="bottom"/>
            <w:gridSpan w:val="9"/>
          </w:tcPr>
          <w:p>
            <w:pPr>
              <w:spacing w:after="0" w:line="182" w:lineRule="exact"/>
              <w:rPr>
                <w:sz w:val="20"/>
                <w:szCs w:val="20"/>
                <w:color w:val="auto"/>
              </w:rPr>
            </w:pPr>
            <w:r>
              <w:rPr>
                <w:rFonts w:ascii="Arial" w:cs="Arial" w:eastAsia="Arial" w:hAnsi="Arial"/>
                <w:sz w:val="18"/>
                <w:szCs w:val="18"/>
                <w:color w:val="0000FF"/>
              </w:rPr>
              <w:t>Employment Agreement, dated as of August 1, 2025, by and between the Registrant and Michael Massaro.</w:t>
            </w:r>
          </w:p>
        </w:tc>
        <w:tc>
          <w:tcPr>
            <w:tcW w:w="10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02" w:lineRule="exact"/>
              <w:rPr>
                <w:sz w:val="20"/>
                <w:szCs w:val="20"/>
                <w:color w:val="auto"/>
              </w:rPr>
            </w:pPr>
            <w:r>
              <w:rPr>
                <w:rFonts w:ascii="Arial" w:cs="Arial" w:eastAsia="Arial" w:hAnsi="Arial"/>
                <w:sz w:val="18"/>
                <w:szCs w:val="18"/>
                <w:color w:val="auto"/>
              </w:rPr>
              <w:t>10.2*#</w:t>
            </w:r>
          </w:p>
        </w:tc>
        <w:tc>
          <w:tcPr>
            <w:tcW w:w="26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gridSpan w:val="3"/>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500" w:type="dxa"/>
            <w:vAlign w:val="bottom"/>
            <w:gridSpan w:val="8"/>
          </w:tcPr>
          <w:p>
            <w:pPr>
              <w:spacing w:after="0" w:line="182" w:lineRule="exact"/>
              <w:rPr>
                <w:sz w:val="20"/>
                <w:szCs w:val="20"/>
                <w:color w:val="auto"/>
              </w:rPr>
            </w:pPr>
            <w:r>
              <w:rPr>
                <w:rFonts w:ascii="Arial" w:cs="Arial" w:eastAsia="Arial" w:hAnsi="Arial"/>
                <w:sz w:val="18"/>
                <w:szCs w:val="18"/>
                <w:color w:val="0000FF"/>
              </w:rPr>
              <w:t>Employment Agreement, dated as of August 1, 2025, by and between the Registrant and Rob Orgel.</w:t>
            </w:r>
          </w:p>
        </w:tc>
        <w:tc>
          <w:tcPr>
            <w:tcW w:w="1140" w:type="dxa"/>
            <w:vAlign w:val="bottom"/>
            <w:gridSpan w:val="3"/>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02" w:lineRule="exact"/>
              <w:rPr>
                <w:sz w:val="20"/>
                <w:szCs w:val="20"/>
                <w:color w:val="auto"/>
              </w:rPr>
            </w:pPr>
            <w:r>
              <w:rPr>
                <w:rFonts w:ascii="Arial" w:cs="Arial" w:eastAsia="Arial" w:hAnsi="Arial"/>
                <w:sz w:val="18"/>
                <w:szCs w:val="18"/>
                <w:color w:val="auto"/>
              </w:rPr>
              <w:t>10.3*#</w:t>
            </w:r>
          </w:p>
        </w:tc>
        <w:tc>
          <w:tcPr>
            <w:tcW w:w="26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60" w:type="dxa"/>
            <w:vAlign w:val="bottom"/>
            <w:gridSpan w:val="16"/>
          </w:tcPr>
          <w:p>
            <w:pPr>
              <w:spacing w:after="0" w:line="182" w:lineRule="exact"/>
              <w:rPr>
                <w:sz w:val="20"/>
                <w:szCs w:val="20"/>
                <w:color w:val="auto"/>
              </w:rPr>
            </w:pPr>
            <w:r>
              <w:rPr>
                <w:rFonts w:ascii="Arial" w:cs="Arial" w:eastAsia="Arial" w:hAnsi="Arial"/>
                <w:sz w:val="18"/>
                <w:szCs w:val="18"/>
                <w:color w:val="0000FF"/>
              </w:rPr>
              <w:t>Employment Agreement, dated as of August 1, 2025, by and between the Registrant and Cosmin Pitigoi.</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02" w:lineRule="exact"/>
              <w:rPr>
                <w:sz w:val="20"/>
                <w:szCs w:val="20"/>
                <w:color w:val="auto"/>
              </w:rPr>
            </w:pPr>
            <w:r>
              <w:rPr>
                <w:rFonts w:ascii="Arial" w:cs="Arial" w:eastAsia="Arial" w:hAnsi="Arial"/>
                <w:sz w:val="18"/>
                <w:szCs w:val="18"/>
                <w:color w:val="auto"/>
              </w:rPr>
              <w:t>10.4*#</w:t>
            </w:r>
          </w:p>
        </w:tc>
        <w:tc>
          <w:tcPr>
            <w:tcW w:w="26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0" w:type="dxa"/>
            <w:vAlign w:val="bottom"/>
            <w:gridSpan w:val="4"/>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300" w:type="dxa"/>
            <w:vAlign w:val="bottom"/>
            <w:gridSpan w:val="6"/>
          </w:tcPr>
          <w:p>
            <w:pPr>
              <w:spacing w:after="0" w:line="182" w:lineRule="exact"/>
              <w:rPr>
                <w:sz w:val="20"/>
                <w:szCs w:val="20"/>
                <w:color w:val="auto"/>
              </w:rPr>
            </w:pPr>
            <w:r>
              <w:rPr>
                <w:rFonts w:ascii="Arial" w:cs="Arial" w:eastAsia="Arial" w:hAnsi="Arial"/>
                <w:sz w:val="18"/>
                <w:szCs w:val="18"/>
                <w:color w:val="0000FF"/>
              </w:rPr>
              <w:t>Employment Agreement, dated as of August 1, 2025, by and between the Registrant and David King.</w:t>
            </w:r>
          </w:p>
        </w:tc>
        <w:tc>
          <w:tcPr>
            <w:tcW w:w="140" w:type="dxa"/>
            <w:vAlign w:val="bottom"/>
            <w:vMerge w:val="continue"/>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02" w:lineRule="exact"/>
              <w:rPr>
                <w:sz w:val="20"/>
                <w:szCs w:val="20"/>
                <w:color w:val="auto"/>
              </w:rPr>
            </w:pPr>
            <w:r>
              <w:rPr>
                <w:rFonts w:ascii="Arial" w:cs="Arial" w:eastAsia="Arial" w:hAnsi="Arial"/>
                <w:sz w:val="18"/>
                <w:szCs w:val="18"/>
                <w:color w:val="auto"/>
              </w:rPr>
              <w:t>10.5*#</w:t>
            </w:r>
          </w:p>
        </w:tc>
        <w:tc>
          <w:tcPr>
            <w:tcW w:w="26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60" w:type="dxa"/>
            <w:vAlign w:val="bottom"/>
            <w:gridSpan w:val="16"/>
          </w:tcPr>
          <w:p>
            <w:pPr>
              <w:spacing w:after="0" w:line="182" w:lineRule="exact"/>
              <w:rPr>
                <w:sz w:val="20"/>
                <w:szCs w:val="20"/>
                <w:color w:val="auto"/>
              </w:rPr>
            </w:pPr>
            <w:r>
              <w:rPr>
                <w:rFonts w:ascii="Arial" w:cs="Arial" w:eastAsia="Arial" w:hAnsi="Arial"/>
                <w:sz w:val="18"/>
                <w:szCs w:val="18"/>
                <w:color w:val="0000FF"/>
              </w:rPr>
              <w:t>Employment Agreement, dated as of August 1, 2025, by and between the Registrant and Peter Butterfield.</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02" w:lineRule="exact"/>
              <w:rPr>
                <w:sz w:val="20"/>
                <w:szCs w:val="20"/>
                <w:color w:val="auto"/>
              </w:rPr>
            </w:pPr>
            <w:r>
              <w:rPr>
                <w:rFonts w:ascii="Arial" w:cs="Arial" w:eastAsia="Arial" w:hAnsi="Arial"/>
                <w:sz w:val="18"/>
                <w:szCs w:val="18"/>
                <w:color w:val="auto"/>
              </w:rPr>
              <w:t>31.1*</w:t>
            </w:r>
          </w:p>
        </w:tc>
        <w:tc>
          <w:tcPr>
            <w:tcW w:w="26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620" w:type="dxa"/>
            <w:vAlign w:val="bottom"/>
            <w:gridSpan w:val="9"/>
            <w:vMerge w:val="restart"/>
          </w:tcPr>
          <w:p>
            <w:pPr>
              <w:ind w:left="20"/>
              <w:spacing w:after="0" w:line="202" w:lineRule="exact"/>
              <w:rPr>
                <w:sz w:val="20"/>
                <w:szCs w:val="20"/>
                <w:color w:val="auto"/>
              </w:rPr>
            </w:pPr>
            <w:r>
              <w:rPr>
                <w:rFonts w:ascii="Arial" w:cs="Arial" w:eastAsia="Arial" w:hAnsi="Arial"/>
                <w:sz w:val="18"/>
                <w:szCs w:val="18"/>
                <w:color w:val="0000FF"/>
              </w:rPr>
              <w:t>Exchange Act of</w:t>
            </w: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40" w:type="dxa"/>
            <w:vAlign w:val="bottom"/>
            <w:gridSpan w:val="7"/>
          </w:tcPr>
          <w:p>
            <w:pPr>
              <w:spacing w:after="0" w:line="182" w:lineRule="exact"/>
              <w:rPr>
                <w:sz w:val="20"/>
                <w:szCs w:val="20"/>
                <w:color w:val="auto"/>
              </w:rPr>
            </w:pPr>
            <w:r>
              <w:rPr>
                <w:rFonts w:ascii="Arial" w:cs="Arial" w:eastAsia="Arial" w:hAnsi="Arial"/>
                <w:sz w:val="18"/>
                <w:szCs w:val="18"/>
                <w:color w:val="0000FF"/>
                <w:w w:val="99"/>
              </w:rPr>
              <w:t>Certification of Principal Executive Officer Pursuant to Rules 13a-14(a) and 15d-14(a) under the Securities</w:t>
            </w:r>
          </w:p>
        </w:tc>
        <w:tc>
          <w:tcPr>
            <w:tcW w:w="162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982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shd w:val="clear" w:color="auto" w:fill="0000FF"/>
          </w:tcPr>
          <w:p>
            <w:pPr>
              <w:spacing w:after="0" w:line="20" w:lineRule="exact"/>
              <w:rPr>
                <w:sz w:val="1"/>
                <w:szCs w:val="1"/>
                <w:color w:val="auto"/>
              </w:rPr>
            </w:pPr>
          </w:p>
        </w:tc>
        <w:tc>
          <w:tcPr>
            <w:tcW w:w="3840" w:type="dxa"/>
            <w:vAlign w:val="bottom"/>
            <w:gridSpan w:val="13"/>
            <w:vMerge w:val="restart"/>
          </w:tcPr>
          <w:p>
            <w:pPr>
              <w:jc w:val="center"/>
              <w:ind w:right="340"/>
              <w:spacing w:after="0" w:line="202" w:lineRule="exact"/>
              <w:rPr>
                <w:sz w:val="20"/>
                <w:szCs w:val="20"/>
                <w:color w:val="auto"/>
              </w:rPr>
            </w:pPr>
            <w:r>
              <w:rPr>
                <w:rFonts w:ascii="Arial" w:cs="Arial" w:eastAsia="Arial" w:hAnsi="Arial"/>
                <w:sz w:val="18"/>
                <w:szCs w:val="18"/>
                <w:color w:val="0000FF"/>
              </w:rPr>
              <w:t>-14(a) under the Securities Exchange Act of</w:t>
            </w: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20" w:type="dxa"/>
            <w:vAlign w:val="bottom"/>
            <w:gridSpan w:val="3"/>
          </w:tcPr>
          <w:p>
            <w:pPr>
              <w:spacing w:after="0" w:line="182" w:lineRule="exact"/>
              <w:rPr>
                <w:sz w:val="20"/>
                <w:szCs w:val="20"/>
                <w:color w:val="auto"/>
              </w:rPr>
            </w:pPr>
            <w:r>
              <w:rPr>
                <w:rFonts w:ascii="Arial" w:cs="Arial" w:eastAsia="Arial" w:hAnsi="Arial"/>
                <w:sz w:val="18"/>
                <w:szCs w:val="18"/>
                <w:color w:val="0000FF"/>
                <w:w w:val="98"/>
              </w:rPr>
              <w:t>Certification of Principal Financial Officer Pursuant to Rules 13a-14(a) and 15d</w:t>
            </w:r>
          </w:p>
        </w:tc>
        <w:tc>
          <w:tcPr>
            <w:tcW w:w="3840" w:type="dxa"/>
            <w:vAlign w:val="bottom"/>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5"/>
                <w:szCs w:val="15"/>
                <w:color w:val="auto"/>
              </w:rPr>
            </w:pPr>
          </w:p>
        </w:tc>
        <w:tc>
          <w:tcPr>
            <w:tcW w:w="976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shd w:val="clear" w:color="auto" w:fill="0000FF"/>
          </w:tcPr>
          <w:p>
            <w:pPr>
              <w:spacing w:after="0" w:line="20" w:lineRule="exact"/>
              <w:rPr>
                <w:sz w:val="1"/>
                <w:szCs w:val="1"/>
                <w:color w:val="auto"/>
              </w:rPr>
            </w:pPr>
          </w:p>
        </w:tc>
        <w:tc>
          <w:tcPr>
            <w:tcW w:w="3840" w:type="dxa"/>
            <w:vAlign w:val="bottom"/>
            <w:gridSpan w:val="13"/>
            <w:vMerge w:val="restart"/>
          </w:tcPr>
          <w:p>
            <w:pPr>
              <w:jc w:val="center"/>
              <w:ind w:right="340"/>
              <w:spacing w:after="0" w:line="202" w:lineRule="exact"/>
              <w:rPr>
                <w:sz w:val="20"/>
                <w:szCs w:val="20"/>
                <w:color w:val="auto"/>
              </w:rPr>
            </w:pPr>
            <w:r>
              <w:rPr>
                <w:rFonts w:ascii="Arial" w:cs="Arial" w:eastAsia="Arial" w:hAnsi="Arial"/>
                <w:sz w:val="18"/>
                <w:szCs w:val="18"/>
                <w:color w:val="0000FF"/>
                <w:w w:val="99"/>
              </w:rPr>
              <w:t>as Adopted Pursuant to Section 906 of the</w:t>
            </w: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20" w:type="dxa"/>
            <w:vAlign w:val="bottom"/>
            <w:gridSpan w:val="3"/>
          </w:tcPr>
          <w:p>
            <w:pPr>
              <w:spacing w:after="0" w:line="182" w:lineRule="exact"/>
              <w:rPr>
                <w:sz w:val="20"/>
                <w:szCs w:val="20"/>
                <w:color w:val="auto"/>
              </w:rPr>
            </w:pPr>
            <w:r>
              <w:rPr>
                <w:rFonts w:ascii="Arial" w:cs="Arial" w:eastAsia="Arial" w:hAnsi="Arial"/>
                <w:sz w:val="18"/>
                <w:szCs w:val="18"/>
                <w:color w:val="0000FF"/>
                <w:w w:val="98"/>
              </w:rPr>
              <w:t>Certification of Principal Executive Officer Pursuant to 18 U.S.C. Section 1350,</w:t>
            </w:r>
          </w:p>
        </w:tc>
        <w:tc>
          <w:tcPr>
            <w:tcW w:w="3840" w:type="dxa"/>
            <w:vAlign w:val="bottom"/>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20" w:type="dxa"/>
            <w:vAlign w:val="bottom"/>
            <w:tcBorders>
              <w:top w:val="single" w:sz="8" w:color="0000FF"/>
            </w:tcBorders>
            <w:gridSpan w:val="11"/>
          </w:tcPr>
          <w:p>
            <w:pPr>
              <w:spacing w:after="0"/>
              <w:rPr>
                <w:sz w:val="15"/>
                <w:szCs w:val="15"/>
                <w:color w:val="auto"/>
              </w:rPr>
            </w:pPr>
          </w:p>
        </w:tc>
        <w:tc>
          <w:tcPr>
            <w:tcW w:w="3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60" w:type="dxa"/>
            <w:vAlign w:val="bottom"/>
            <w:gridSpan w:val="16"/>
          </w:tcPr>
          <w:p>
            <w:pPr>
              <w:spacing w:after="0" w:line="182"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40" w:type="dxa"/>
            <w:vAlign w:val="bottom"/>
            <w:tcBorders>
              <w:top w:val="single" w:sz="8" w:color="0000FF"/>
            </w:tcBorders>
            <w:gridSpan w:val="9"/>
          </w:tcPr>
          <w:p>
            <w:pPr>
              <w:spacing w:after="0"/>
              <w:rPr>
                <w:sz w:val="15"/>
                <w:szCs w:val="15"/>
                <w:color w:val="auto"/>
              </w:rPr>
            </w:pPr>
          </w:p>
        </w:tc>
        <w:tc>
          <w:tcPr>
            <w:tcW w:w="4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60" w:type="dxa"/>
            <w:vAlign w:val="bottom"/>
            <w:gridSpan w:val="16"/>
          </w:tcPr>
          <w:p>
            <w:pPr>
              <w:spacing w:after="0" w:line="191"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16"/>
          </w:tcPr>
          <w:p>
            <w:pPr>
              <w:spacing w:after="0" w:line="202" w:lineRule="exact"/>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2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19"/>
                <w:szCs w:val="19"/>
                <w:color w:val="auto"/>
              </w:rPr>
            </w:pPr>
          </w:p>
        </w:tc>
        <w:tc>
          <w:tcPr>
            <w:tcW w:w="1006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160" w:hanging="1152"/>
        <w:spacing w:after="0"/>
        <w:tabs>
          <w:tab w:leader="none" w:pos="1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237426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 Indicates a management contract or compensatory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8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FLYWIRE CORPORATION</w:t>
      </w:r>
    </w:p>
    <w:p>
      <w:pPr>
        <w:spacing w:after="0" w:line="21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17780</wp:posOffset>
            </wp:positionV>
            <wp:extent cx="372872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4840" w:val="left"/>
        </w:tabs>
        <w:rPr>
          <w:sz w:val="20"/>
          <w:szCs w:val="20"/>
          <w:color w:val="auto"/>
        </w:rPr>
      </w:pPr>
      <w:r>
        <w:rPr>
          <w:rFonts w:ascii="Arial" w:cs="Arial" w:eastAsia="Arial" w:hAnsi="Arial"/>
          <w:sz w:val="18"/>
          <w:szCs w:val="18"/>
          <w:color w:val="auto"/>
        </w:rPr>
        <w:t>Date: November 10, 2025</w:t>
      </w:r>
      <w:r>
        <w:rPr>
          <w:sz w:val="20"/>
          <w:szCs w:val="20"/>
          <w:color w:val="auto"/>
        </w:rPr>
        <w:tab/>
      </w:r>
      <w:r>
        <w:rPr>
          <w:rFonts w:ascii="Arial" w:cs="Arial" w:eastAsia="Arial" w:hAnsi="Arial"/>
          <w:sz w:val="17"/>
          <w:szCs w:val="17"/>
          <w:color w:val="auto"/>
        </w:rPr>
        <w:t>By:</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Michael Massaro</w:t>
      </w:r>
    </w:p>
    <w:p>
      <w:pPr>
        <w:ind w:left="6740"/>
        <w:spacing w:after="0" w:line="234" w:lineRule="auto"/>
        <w:rPr>
          <w:sz w:val="20"/>
          <w:szCs w:val="20"/>
          <w:color w:val="auto"/>
        </w:rPr>
      </w:pPr>
      <w:r>
        <w:rPr>
          <w:rFonts w:ascii="Arial" w:cs="Arial" w:eastAsia="Arial" w:hAnsi="Arial"/>
          <w:sz w:val="18"/>
          <w:szCs w:val="18"/>
          <w:b w:val="1"/>
          <w:bCs w:val="1"/>
          <w:color w:val="auto"/>
        </w:rPr>
        <w:t>Chief Executive Officer and Director</w:t>
      </w:r>
    </w:p>
    <w:p>
      <w:pPr>
        <w:spacing w:after="0" w:line="1"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(Principal Executive Officer)</w:t>
      </w:r>
    </w:p>
    <w:p>
      <w:pPr>
        <w:spacing w:after="0" w:line="194"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Cosmin Pitigoi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17780</wp:posOffset>
            </wp:positionV>
            <wp:extent cx="372872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4840" w:val="left"/>
        </w:tabs>
        <w:rPr>
          <w:sz w:val="20"/>
          <w:szCs w:val="20"/>
          <w:color w:val="auto"/>
        </w:rPr>
      </w:pPr>
      <w:r>
        <w:rPr>
          <w:rFonts w:ascii="Arial" w:cs="Arial" w:eastAsia="Arial" w:hAnsi="Arial"/>
          <w:sz w:val="18"/>
          <w:szCs w:val="18"/>
          <w:color w:val="auto"/>
        </w:rPr>
        <w:t>Date: November 10, 2025</w:t>
      </w:r>
      <w:r>
        <w:rPr>
          <w:sz w:val="20"/>
          <w:szCs w:val="20"/>
          <w:color w:val="auto"/>
        </w:rPr>
        <w:tab/>
      </w:r>
      <w:r>
        <w:rPr>
          <w:rFonts w:ascii="Arial" w:cs="Arial" w:eastAsia="Arial" w:hAnsi="Arial"/>
          <w:sz w:val="17"/>
          <w:szCs w:val="17"/>
          <w:color w:val="auto"/>
        </w:rPr>
        <w:t>By:</w:t>
      </w:r>
    </w:p>
    <w:p>
      <w:pPr>
        <w:spacing w:after="0" w:line="9"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Cosmin Pitigoi</w:t>
      </w:r>
    </w:p>
    <w:p>
      <w:pPr>
        <w:jc w:val="center"/>
        <w:ind w:left="530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113" w:name="page114"/>
    <w:bookmarkEnd w:id="113"/>
    <w:p>
      <w:pPr>
        <w:spacing w:after="0" w:line="266"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b w:val="1"/>
          <w:bCs w:val="1"/>
          <w:color w:val="auto"/>
        </w:rPr>
        <w:t>Exhibit 3.1</w:t>
      </w:r>
    </w:p>
    <w:p>
      <w:pPr>
        <w:spacing w:after="0" w:line="227" w:lineRule="exact"/>
        <w:rPr>
          <w:sz w:val="20"/>
          <w:szCs w:val="20"/>
          <w:color w:val="auto"/>
        </w:rPr>
      </w:pPr>
    </w:p>
    <w:p>
      <w:pPr>
        <w:jc w:val="center"/>
        <w:ind w:right="46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FIRST AMENDMENT TO AMENDED AND RESTATED CREDIT AGREEMENT AND FIRST AMENDMENT TO PLEDGE AND SECURITY AGREEMENT</w:t>
      </w:r>
    </w:p>
    <w:p>
      <w:pPr>
        <w:spacing w:after="0" w:line="156" w:lineRule="exact"/>
        <w:rPr>
          <w:sz w:val="20"/>
          <w:szCs w:val="20"/>
          <w:color w:val="auto"/>
        </w:rPr>
      </w:pPr>
    </w:p>
    <w:p>
      <w:pPr>
        <w:jc w:val="both"/>
        <w:ind w:right="420" w:firstLine="749"/>
        <w:spacing w:after="0" w:line="241" w:lineRule="auto"/>
        <w:rPr>
          <w:sz w:val="20"/>
          <w:szCs w:val="20"/>
          <w:color w:val="auto"/>
        </w:rPr>
      </w:pPr>
      <w:r>
        <w:rPr>
          <w:rFonts w:ascii="Times New Roman" w:cs="Times New Roman" w:eastAsia="Times New Roman" w:hAnsi="Times New Roman"/>
          <w:sz w:val="20"/>
          <w:szCs w:val="20"/>
          <w:color w:val="auto"/>
        </w:rPr>
        <w:t>THIS FIRST AMENDMENT TO AMENDED AND RESTATED CREDIT AGREEMENT AND FIRST AMENDMENT TO PLEDGE AND SECURITY AGREEMENT (together with the exhibits and schedules attached hereto and incorporated herein by reference, this “</w:t>
      </w:r>
      <w:r>
        <w:rPr>
          <w:rFonts w:ascii="Times New Roman" w:cs="Times New Roman" w:eastAsia="Times New Roman" w:hAnsi="Times New Roman"/>
          <w:sz w:val="20"/>
          <w:szCs w:val="20"/>
          <w:b w:val="1"/>
          <w:bCs w:val="1"/>
          <w:u w:val="single" w:color="auto"/>
          <w:color w:val="auto"/>
        </w:rPr>
        <w:t>Amendment</w:t>
      </w:r>
      <w:r>
        <w:rPr>
          <w:rFonts w:ascii="Times New Roman" w:cs="Times New Roman" w:eastAsia="Times New Roman" w:hAnsi="Times New Roman"/>
          <w:sz w:val="20"/>
          <w:szCs w:val="20"/>
          <w:color w:val="auto"/>
        </w:rPr>
        <w:t>”), dated as of August 1, 2025, amends (i) that certain Amended and Restated Credit Agreement, dated as of February 23, 2024, by and among, FLYWIRE CORPORATION, a Delaware corporation (the “</w:t>
      </w:r>
      <w:r>
        <w:rPr>
          <w:rFonts w:ascii="Times New Roman" w:cs="Times New Roman" w:eastAsia="Times New Roman" w:hAnsi="Times New Roman"/>
          <w:sz w:val="20"/>
          <w:szCs w:val="20"/>
          <w:b w:val="1"/>
          <w:bCs w:val="1"/>
          <w:u w:val="single" w:color="auto"/>
          <w:color w:val="auto"/>
        </w:rPr>
        <w:t>Borrower</w:t>
      </w:r>
      <w:r>
        <w:rPr>
          <w:rFonts w:ascii="Times New Roman" w:cs="Times New Roman" w:eastAsia="Times New Roman" w:hAnsi="Times New Roman"/>
          <w:sz w:val="20"/>
          <w:szCs w:val="20"/>
          <w:color w:val="auto"/>
        </w:rPr>
        <w:t>”), the other Loan Parties party thereto, the Lenders party thereto, the Issuing Banks party thereto and CITIBANK N.A., as Administrative Agent (such agreement, as amended, restated, amended and restated, supplemented, renewed or otherwise modified from time to time prior to the date hereof, the “</w:t>
      </w:r>
      <w:r>
        <w:rPr>
          <w:rFonts w:ascii="Times New Roman" w:cs="Times New Roman" w:eastAsia="Times New Roman" w:hAnsi="Times New Roman"/>
          <w:sz w:val="20"/>
          <w:szCs w:val="20"/>
          <w:b w:val="1"/>
          <w:bCs w:val="1"/>
          <w:u w:val="single" w:color="auto"/>
          <w:color w:val="auto"/>
        </w:rPr>
        <w:t>Existing Credit Agreement</w:t>
      </w:r>
      <w:r>
        <w:rPr>
          <w:rFonts w:ascii="Times New Roman" w:cs="Times New Roman" w:eastAsia="Times New Roman" w:hAnsi="Times New Roman"/>
          <w:sz w:val="20"/>
          <w:szCs w:val="20"/>
          <w:color w:val="auto"/>
        </w:rPr>
        <w:t>”; the Existing Credit Agreement, as amended, supplemented, renewed, reaffirmed, ratified or otherwise modified by this Amendment, the “</w:t>
      </w:r>
      <w:r>
        <w:rPr>
          <w:rFonts w:ascii="Times New Roman" w:cs="Times New Roman" w:eastAsia="Times New Roman" w:hAnsi="Times New Roman"/>
          <w:sz w:val="20"/>
          <w:szCs w:val="20"/>
          <w:b w:val="1"/>
          <w:bCs w:val="1"/>
          <w:u w:val="single" w:color="auto"/>
          <w:color w:val="auto"/>
        </w:rPr>
        <w:t>Amended Credit Agreement</w:t>
      </w:r>
      <w:r>
        <w:rPr>
          <w:rFonts w:ascii="Times New Roman" w:cs="Times New Roman" w:eastAsia="Times New Roman" w:hAnsi="Times New Roman"/>
          <w:sz w:val="20"/>
          <w:szCs w:val="20"/>
          <w:color w:val="auto"/>
        </w:rPr>
        <w:t>”), and (ii) that certain Pledge and Security Agreement, dated as of July 29, 2021, by and among the Borrower, the other Loan Parties party thereto from time to time and the Administrative Agent, for the benefit of the Administrative Agent, the Lenders and the other Secured Parties (such agreement, as amended, restated, amended and restated, supplemented, renewed or otherwise modified from time to time prior to the date hereof, the “</w:t>
      </w:r>
      <w:r>
        <w:rPr>
          <w:rFonts w:ascii="Times New Roman" w:cs="Times New Roman" w:eastAsia="Times New Roman" w:hAnsi="Times New Roman"/>
          <w:sz w:val="20"/>
          <w:szCs w:val="20"/>
          <w:b w:val="1"/>
          <w:bCs w:val="1"/>
          <w:u w:val="single" w:color="auto"/>
          <w:color w:val="auto"/>
        </w:rPr>
        <w:t>Existing Security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Agreement</w:t>
      </w:r>
      <w:r>
        <w:rPr>
          <w:rFonts w:ascii="Times New Roman" w:cs="Times New Roman" w:eastAsia="Times New Roman" w:hAnsi="Times New Roman"/>
          <w:sz w:val="20"/>
          <w:szCs w:val="20"/>
          <w:color w:val="auto"/>
        </w:rPr>
        <w:t>”; the Existing Security Agreement, as amended, supplemented, renewed, reaffirmed, ratified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by this Amendment, the “</w:t>
      </w:r>
      <w:r>
        <w:rPr>
          <w:rFonts w:ascii="Times New Roman" w:cs="Times New Roman" w:eastAsia="Times New Roman" w:hAnsi="Times New Roman"/>
          <w:sz w:val="20"/>
          <w:szCs w:val="20"/>
          <w:b w:val="1"/>
          <w:bCs w:val="1"/>
          <w:u w:val="single" w:color="auto"/>
          <w:color w:val="auto"/>
        </w:rPr>
        <w:t>Amended Security Agreement</w:t>
      </w:r>
      <w:r>
        <w:rPr>
          <w:rFonts w:ascii="Times New Roman" w:cs="Times New Roman" w:eastAsia="Times New Roman" w:hAnsi="Times New Roman"/>
          <w:sz w:val="20"/>
          <w:szCs w:val="20"/>
          <w:color w:val="auto"/>
        </w:rPr>
        <w:t>”; the Amended Security Agreement and the Amended Credit Agreement, collectively, the “</w:t>
      </w:r>
      <w:r>
        <w:rPr>
          <w:rFonts w:ascii="Times New Roman" w:cs="Times New Roman" w:eastAsia="Times New Roman" w:hAnsi="Times New Roman"/>
          <w:sz w:val="20"/>
          <w:szCs w:val="20"/>
          <w:b w:val="1"/>
          <w:bCs w:val="1"/>
          <w:u w:val="single" w:color="auto"/>
          <w:color w:val="auto"/>
        </w:rPr>
        <w:t>Amended Documents</w:t>
      </w:r>
      <w:r>
        <w:rPr>
          <w:rFonts w:ascii="Times New Roman" w:cs="Times New Roman" w:eastAsia="Times New Roman" w:hAnsi="Times New Roman"/>
          <w:sz w:val="20"/>
          <w:szCs w:val="20"/>
          <w:color w:val="auto"/>
        </w:rPr>
        <w:t>”). Capitalized terms used and not defined herein shall have the meanings assigned to such terms in the Amended Credit Agreement.</w:t>
      </w:r>
    </w:p>
    <w:p>
      <w:pPr>
        <w:spacing w:after="0" w:line="19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RECITALS:</w:t>
      </w:r>
    </w:p>
    <w:p>
      <w:pPr>
        <w:spacing w:after="0" w:line="216" w:lineRule="exact"/>
        <w:rPr>
          <w:sz w:val="20"/>
          <w:szCs w:val="20"/>
          <w:color w:val="auto"/>
        </w:rPr>
      </w:pPr>
    </w:p>
    <w:p>
      <w:pPr>
        <w:jc w:val="both"/>
        <w:ind w:right="420" w:firstLine="749"/>
        <w:spacing w:after="0" w:line="249" w:lineRule="auto"/>
        <w:rPr>
          <w:sz w:val="20"/>
          <w:szCs w:val="20"/>
          <w:color w:val="auto"/>
        </w:rPr>
      </w:pPr>
      <w:r>
        <w:rPr>
          <w:rFonts w:ascii="Times New Roman" w:cs="Times New Roman" w:eastAsia="Times New Roman" w:hAnsi="Times New Roman"/>
          <w:sz w:val="20"/>
          <w:szCs w:val="20"/>
          <w:color w:val="auto"/>
        </w:rPr>
        <w:t>WHEREAS, pursuant to Section 9.02 of the Existing Credit Agreement, (a) the Borrower and the Required Lenders may from time to time make certain amendments to the Existing Credit Agreement and (b) the Administrative Agent and the Loan Parties party to the Existing Security Agreement, with the consent of the Required Lenders (after giving effect to this Amendment), may from time to time make certain amendments to the Existing Security Agreement; and</w:t>
      </w:r>
    </w:p>
    <w:p>
      <w:pPr>
        <w:spacing w:after="0" w:line="180" w:lineRule="exact"/>
        <w:rPr>
          <w:sz w:val="20"/>
          <w:szCs w:val="20"/>
          <w:color w:val="auto"/>
        </w:rPr>
      </w:pPr>
    </w:p>
    <w:p>
      <w:pPr>
        <w:jc w:val="both"/>
        <w:ind w:right="420" w:firstLine="749"/>
        <w:spacing w:after="0" w:line="243" w:lineRule="auto"/>
        <w:rPr>
          <w:sz w:val="20"/>
          <w:szCs w:val="20"/>
          <w:color w:val="auto"/>
        </w:rPr>
      </w:pPr>
      <w:r>
        <w:rPr>
          <w:rFonts w:ascii="Times New Roman" w:cs="Times New Roman" w:eastAsia="Times New Roman" w:hAnsi="Times New Roman"/>
          <w:sz w:val="20"/>
          <w:szCs w:val="20"/>
          <w:color w:val="auto"/>
        </w:rPr>
        <w:t>WHEREAS, (a) the Borrower and the other Loan Parties have requested that the Administrative Agent and the Lenders party hereto (i) agree to certain amendments and modifications to the Existing Credit Agreement as set forth in this Amendment, including, among other things, to increase the aggregate amount of Commitments under the Existing Credit Agreement from $125,000,000 to $300,000,000 (such $175,000,000 increase, the “</w:t>
      </w:r>
      <w:r>
        <w:rPr>
          <w:rFonts w:ascii="Times New Roman" w:cs="Times New Roman" w:eastAsia="Times New Roman" w:hAnsi="Times New Roman"/>
          <w:sz w:val="20"/>
          <w:szCs w:val="20"/>
          <w:b w:val="1"/>
          <w:bCs w:val="1"/>
          <w:u w:val="single" w:color="auto"/>
          <w:color w:val="auto"/>
        </w:rPr>
        <w:t>First Amendment Commitment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Increase</w:t>
      </w:r>
      <w:r>
        <w:rPr>
          <w:rFonts w:ascii="Times New Roman" w:cs="Times New Roman" w:eastAsia="Times New Roman" w:hAnsi="Times New Roman"/>
          <w:sz w:val="20"/>
          <w:szCs w:val="20"/>
          <w:color w:val="auto"/>
        </w:rPr>
        <w:t>”) so that after giving effect to the First Amendment Commitment Increase, the Commitment of each Lender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as set forth opposite such Lender’s name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hereto, and (ii) agree to certain amendments and modifications to the Existing Security Agreement as set forth in this Amendment; and (b) the Administrative Agent and each of the Lenders party hereto are willing to agree to such amendments and modifications to the Existing Credit Agreement and the Existing Security Agreement, in each case, pursuant to the terms and subject to the conditions set forth herein.</w:t>
      </w:r>
    </w:p>
    <w:p>
      <w:pPr>
        <w:spacing w:after="0" w:line="20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718185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120" w:top="1440" w:right="339" w:bottom="1440" w:gutter="0" w:footer="0" w:header="0"/>
        </w:sectPr>
      </w:pPr>
    </w:p>
    <w:bookmarkStart w:id="114" w:name="page115"/>
    <w:bookmarkEnd w:id="114"/>
    <w:p>
      <w:pPr>
        <w:ind w:left="800" w:right="44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premises and other good and valuable consideration, the receipt and sufficiency of which are hereby acknowledged, the following shall be effective:</w:t>
      </w:r>
    </w:p>
    <w:p>
      <w:pPr>
        <w:spacing w:after="0" w:line="15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color w:val="auto"/>
        </w:rPr>
        <w:t>Article I.</w:t>
      </w:r>
      <w:r>
        <w:rPr>
          <w:rFonts w:ascii="Times New Roman" w:cs="Times New Roman" w:eastAsia="Times New Roman" w:hAnsi="Times New Roman"/>
          <w:sz w:val="20"/>
          <w:szCs w:val="20"/>
          <w:b w:val="1"/>
          <w:bCs w:val="1"/>
          <w:u w:val="single" w:color="auto"/>
          <w:color w:val="auto"/>
        </w:rPr>
        <w:t>First Amendment Commitment Increase</w:t>
      </w:r>
      <w:r>
        <w:rPr>
          <w:rFonts w:ascii="Times New Roman" w:cs="Times New Roman" w:eastAsia="Times New Roman" w:hAnsi="Times New Roman"/>
          <w:sz w:val="20"/>
          <w:szCs w:val="20"/>
          <w:color w:val="auto"/>
        </w:rPr>
        <w:t>. Subject to the satisfaction of the conditions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and on the terms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forth herein and in the Amended Credit Agreement, the Borrower and the Lenders party hereto hereby agree that, on the First Amendment Effective Date (as defined below), the First Amendment Commitment Increase shall become effective and the Commitments under the Existing Credit Agreement shall be deemed increased according to the First Amendment Commitment Increase. Subject to the satisfaction of the conditions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hereof and on the terms set forth herein and in the Amended Credit Agreement, each applicable Lender party hereto having an amount opposite such Lender’s name under the column titled “First Amendment Incremental Commitment”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(each, a “</w:t>
      </w:r>
      <w:r>
        <w:rPr>
          <w:rFonts w:ascii="Times New Roman" w:cs="Times New Roman" w:eastAsia="Times New Roman" w:hAnsi="Times New Roman"/>
          <w:sz w:val="20"/>
          <w:szCs w:val="20"/>
          <w:b w:val="1"/>
          <w:bCs w:val="1"/>
          <w:u w:val="single" w:color="auto"/>
          <w:color w:val="auto"/>
        </w:rPr>
        <w:t>First Amendment Increasing Lender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u w:val="single" w:color="auto"/>
          <w:color w:val="auto"/>
        </w:rPr>
        <w:t>First Amendment Increasing Lenders</w:t>
      </w:r>
      <w:r>
        <w:rPr>
          <w:rFonts w:ascii="Times New Roman" w:cs="Times New Roman" w:eastAsia="Times New Roman" w:hAnsi="Times New Roman"/>
          <w:sz w:val="20"/>
          <w:szCs w:val="20"/>
          <w:color w:val="auto"/>
        </w:rPr>
        <w:t xml:space="preserve">”) agrees, severally but not jointly, to increase its “Commitment” under the Existing Credit Agreement on the First Amendment Effective Date in a principal amount equal to the aggregate amount opposite such Lender’s name under the column titled “First Amendment Incremental Commitment”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b w:val="1"/>
          <w:bCs w:val="1"/>
          <w:u w:val="single" w:color="auto"/>
          <w:color w:val="auto"/>
        </w:rPr>
        <w:t>First Amendment Incremental Commitments</w:t>
      </w:r>
      <w:r>
        <w:rPr>
          <w:rFonts w:ascii="Times New Roman" w:cs="Times New Roman" w:eastAsia="Times New Roman" w:hAnsi="Times New Roman"/>
          <w:sz w:val="20"/>
          <w:szCs w:val="20"/>
          <w:color w:val="auto"/>
        </w:rPr>
        <w:t xml:space="preserve">”). The aggregate amount of each applicable Lender’s Commitment under the Amended Credit Agreement on the First Amendment Effective Date (immediately after giving effect to the First Amendment Incremental Commitments) is set forth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hereto. The First Amendment Incremental Commitments shall be added to (and form part of) and have the same terms as the existing class of Commitments. The Loans made pursuant to the First Amendment Incremental Commitments shall be deemed to constitute a part of the “Obligations” under the Amended Credit Agreement and shall have all rights, remedies and protections accorded the Obligations under the Amended Credit Agreement and the other Loan Documents.</w:t>
      </w:r>
    </w:p>
    <w:p>
      <w:pPr>
        <w:spacing w:after="0" w:line="198" w:lineRule="exact"/>
        <w:rPr>
          <w:sz w:val="20"/>
          <w:szCs w:val="20"/>
          <w:color w:val="auto"/>
        </w:rPr>
      </w:pPr>
    </w:p>
    <w:p>
      <w:pPr>
        <w:ind w:left="800" w:right="440" w:firstLine="749"/>
        <w:spacing w:after="0" w:line="269" w:lineRule="auto"/>
        <w:rPr>
          <w:sz w:val="20"/>
          <w:szCs w:val="20"/>
          <w:color w:val="auto"/>
        </w:rPr>
      </w:pPr>
      <w:r>
        <w:rPr>
          <w:rFonts w:ascii="Times New Roman" w:cs="Times New Roman" w:eastAsia="Times New Roman" w:hAnsi="Times New Roman"/>
          <w:sz w:val="20"/>
          <w:szCs w:val="20"/>
          <w:color w:val="auto"/>
        </w:rPr>
        <w:t>Citibank, N.A., Bank of America, N.A. and JPMorgan Chase Bank, N.A. acted as Joint Lead Arrangers for the First Amendment Commitment Increase.</w:t>
      </w:r>
    </w:p>
    <w:p>
      <w:pPr>
        <w:spacing w:after="0" w:line="1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Article II.</w:t>
      </w:r>
      <w:r>
        <w:rPr>
          <w:rFonts w:ascii="Times New Roman" w:cs="Times New Roman" w:eastAsia="Times New Roman" w:hAnsi="Times New Roman"/>
          <w:sz w:val="20"/>
          <w:szCs w:val="20"/>
          <w:b w:val="1"/>
          <w:bCs w:val="1"/>
          <w:u w:val="single" w:color="auto"/>
          <w:color w:val="auto"/>
        </w:rPr>
        <w:t>Amendments to the Existing Credit Agreement</w:t>
      </w:r>
      <w:r>
        <w:rPr>
          <w:rFonts w:ascii="Times New Roman" w:cs="Times New Roman" w:eastAsia="Times New Roman" w:hAnsi="Times New Roman"/>
          <w:sz w:val="20"/>
          <w:szCs w:val="20"/>
          <w:color w:val="auto"/>
        </w:rPr>
        <w:t>. Subject to the satisfaction of the conditions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as of the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Amendment Effective Date, (a) the Existing Credit Agreement (excluding the signature pages, exhibits and schedules thereto) is hereby amended to delete the red font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blue font double-underlined text (indicated textually in the same manner as the following example: </w:t>
      </w:r>
      <w:r>
        <w:rPr>
          <w:rFonts w:ascii="Times New Roman" w:cs="Times New Roman" w:eastAsia="Times New Roman" w:hAnsi="Times New Roman"/>
          <w:sz w:val="20"/>
          <w:szCs w:val="20"/>
          <w:u w:val="single" w:color="auto"/>
          <w:color w:val="0E12AE"/>
        </w:rPr>
        <w:t>double-underlined text</w:t>
      </w:r>
      <w:r>
        <w:rPr>
          <w:rFonts w:ascii="Times New Roman" w:cs="Times New Roman" w:eastAsia="Times New Roman" w:hAnsi="Times New Roman"/>
          <w:sz w:val="20"/>
          <w:szCs w:val="20"/>
          <w:color w:val="auto"/>
        </w:rPr>
        <w:t xml:space="preserve">) as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and (b) the Commitment Schedule to the Existing Credit Agreement is hereby deleted in its entirety and replaced and superseded in all respects by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attached hereto.</w:t>
      </w:r>
    </w:p>
    <w:p>
      <w:pPr>
        <w:spacing w:after="0" w:line="17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Article III.</w:t>
      </w:r>
      <w:r>
        <w:rPr>
          <w:rFonts w:ascii="Times New Roman" w:cs="Times New Roman" w:eastAsia="Times New Roman" w:hAnsi="Times New Roman"/>
          <w:sz w:val="20"/>
          <w:szCs w:val="20"/>
          <w:b w:val="1"/>
          <w:bCs w:val="1"/>
          <w:u w:val="single" w:color="auto"/>
          <w:color w:val="auto"/>
        </w:rPr>
        <w:t>Amendments to the Existing Security Agreement</w:t>
      </w:r>
      <w:r>
        <w:rPr>
          <w:rFonts w:ascii="Times New Roman" w:cs="Times New Roman" w:eastAsia="Times New Roman" w:hAnsi="Times New Roman"/>
          <w:sz w:val="20"/>
          <w:szCs w:val="20"/>
          <w:color w:val="auto"/>
        </w:rPr>
        <w:t>. Subject to the satisfaction of the conditions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Amendment Effective Date, the Existing Security Agreement is hereby amended by amending and restating in its entirety the definition of “Excluded Account” in Section 1.3 of the Existing Security Agreement to read as follows:</w:t>
      </w:r>
    </w:p>
    <w:p>
      <w:pPr>
        <w:spacing w:after="0" w:line="173" w:lineRule="exact"/>
        <w:rPr>
          <w:sz w:val="20"/>
          <w:szCs w:val="20"/>
          <w:color w:val="auto"/>
        </w:rPr>
      </w:pPr>
    </w:p>
    <w:p>
      <w:pPr>
        <w:jc w:val="both"/>
        <w:ind w:left="760" w:right="760" w:firstLine="695"/>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Account</w:t>
      </w:r>
      <w:r>
        <w:rPr>
          <w:rFonts w:ascii="Times New Roman" w:cs="Times New Roman" w:eastAsia="Times New Roman" w:hAnsi="Times New Roman"/>
          <w:sz w:val="20"/>
          <w:szCs w:val="20"/>
          <w:color w:val="auto"/>
        </w:rPr>
        <w:t>” means with respect to any Grantor, (a) any Deposit Account which is funded by, or on behalf or for the benefit of, employees of such Grantor and is to be maintained exclusively for the benefit, directly or indirectly, of such employees (including any Deposit Account which is an employer funded pension account for employees and any account established to pay taxes for and on behalf of employee tax liabilities), (b) any payroll, trust, fiduciary and tax withholding account which is funded in the ordinary course of business, required by applicable law, or required by applicable contractual terms entered into in the ordinary course of business consistent with past practices, (c) any trust account to hold customer deposits, (d) any Deposit Account,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jc w:val="both"/>
        <w:ind w:left="760" w:right="760"/>
        <w:spacing w:after="0" w:line="246" w:lineRule="auto"/>
        <w:rPr>
          <w:sz w:val="20"/>
          <w:szCs w:val="20"/>
          <w:color w:val="auto"/>
        </w:rPr>
      </w:pPr>
      <w:r>
        <w:rPr>
          <w:rFonts w:ascii="Times New Roman" w:cs="Times New Roman" w:eastAsia="Times New Roman" w:hAnsi="Times New Roman"/>
          <w:sz w:val="20"/>
          <w:szCs w:val="20"/>
          <w:color w:val="auto"/>
        </w:rPr>
        <w:t>Securities Account and/or Commodities Account, as applicable, which is located outside the United States, (e) petty cash accounts, amounts on deposit in which do not exceed $1,000,000 in the aggregate at any one time, (f) any Reserve Account and (g) other Deposit Accounts, Securities Accounts and/or Commodities Accounts in respect of which the average monthly balance therein, does not exceed $2,000,000 individually or $20,000,000 in the aggregate for all such Deposit Accounts, Securities Accounts and Commodities Accounts.</w:t>
      </w:r>
    </w:p>
    <w:p>
      <w:pPr>
        <w:spacing w:after="0" w:line="18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Article IV.</w:t>
      </w:r>
      <w:r>
        <w:rPr>
          <w:rFonts w:ascii="Times New Roman" w:cs="Times New Roman" w:eastAsia="Times New Roman" w:hAnsi="Times New Roman"/>
          <w:sz w:val="20"/>
          <w:szCs w:val="20"/>
          <w:b w:val="1"/>
          <w:bCs w:val="1"/>
          <w:u w:val="single" w:color="auto"/>
          <w:color w:val="auto"/>
        </w:rPr>
        <w:t>Conditions to the First Amendment Effective Date</w:t>
      </w:r>
      <w:r>
        <w:rPr>
          <w:rFonts w:ascii="Times New Roman" w:cs="Times New Roman" w:eastAsia="Times New Roman" w:hAnsi="Times New Roman"/>
          <w:sz w:val="20"/>
          <w:szCs w:val="20"/>
          <w:color w:val="auto"/>
        </w:rPr>
        <w:t>. This Amendment shall become effective on the date (the “</w:t>
      </w:r>
      <w:r>
        <w:rPr>
          <w:rFonts w:ascii="Times New Roman" w:cs="Times New Roman" w:eastAsia="Times New Roman" w:hAnsi="Times New Roman"/>
          <w:sz w:val="20"/>
          <w:szCs w:val="20"/>
          <w:b w:val="1"/>
          <w:bCs w:val="1"/>
          <w:u w:val="single" w:color="auto"/>
          <w:color w:val="auto"/>
        </w:rPr>
        <w:t>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Amendment Effective Date</w:t>
      </w:r>
      <w:r>
        <w:rPr>
          <w:rFonts w:ascii="Times New Roman" w:cs="Times New Roman" w:eastAsia="Times New Roman" w:hAnsi="Times New Roman"/>
          <w:sz w:val="20"/>
          <w:szCs w:val="20"/>
          <w:color w:val="auto"/>
        </w:rPr>
        <w:t>”) on which the following conditions are satisfied:</w:t>
      </w:r>
    </w:p>
    <w:p>
      <w:pPr>
        <w:spacing w:after="0" w:line="156" w:lineRule="exact"/>
        <w:rPr>
          <w:sz w:val="20"/>
          <w:szCs w:val="20"/>
          <w:color w:val="auto"/>
        </w:rPr>
      </w:pPr>
    </w:p>
    <w:p>
      <w:pPr>
        <w:ind w:left="760" w:hanging="452"/>
        <w:spacing w:after="0"/>
        <w:tabs>
          <w:tab w:leader="none" w:pos="7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w:t>
      </w:r>
    </w:p>
    <w:p>
      <w:pPr>
        <w:spacing w:after="0" w:line="215" w:lineRule="exact"/>
        <w:rPr>
          <w:rFonts w:ascii="Times New Roman" w:cs="Times New Roman" w:eastAsia="Times New Roman" w:hAnsi="Times New Roman"/>
          <w:sz w:val="20"/>
          <w:szCs w:val="20"/>
          <w:color w:val="auto"/>
        </w:rPr>
      </w:pPr>
    </w:p>
    <w:p>
      <w:pPr>
        <w:ind w:left="900" w:hanging="15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(i)executed counterparts of this Amendment duly executed by each Loan Party, the Administrative Agent, the First Amendment Increasing Lenders, the Required Lenders and the Issuing Banks party to the Existing Credit Agreement;</w:t>
      </w:r>
    </w:p>
    <w:p>
      <w:pPr>
        <w:spacing w:after="0" w:line="159" w:lineRule="exact"/>
        <w:rPr>
          <w:rFonts w:ascii="Times New Roman" w:cs="Times New Roman" w:eastAsia="Times New Roman" w:hAnsi="Times New Roman"/>
          <w:sz w:val="20"/>
          <w:szCs w:val="20"/>
          <w:color w:val="auto"/>
        </w:rPr>
      </w:pPr>
    </w:p>
    <w:p>
      <w:pPr>
        <w:ind w:left="900" w:hanging="15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(ii)a written opinion (addressed to the Secured Parties) of Rutan &amp; Tucker, LLP, special counsel for the Borrower and the other Loan Parties, in form and substance reasonably satisfactory to the Administrative Agent;</w:t>
      </w:r>
    </w:p>
    <w:p>
      <w:pPr>
        <w:spacing w:after="0" w:line="159" w:lineRule="exact"/>
        <w:rPr>
          <w:rFonts w:ascii="Times New Roman" w:cs="Times New Roman" w:eastAsia="Times New Roman" w:hAnsi="Times New Roman"/>
          <w:sz w:val="20"/>
          <w:szCs w:val="20"/>
          <w:color w:val="auto"/>
        </w:rPr>
      </w:pPr>
    </w:p>
    <w:p>
      <w:pPr>
        <w:ind w:left="900" w:hanging="15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(iii)a certificate from the Borrower, dated as of the First Amendment Effective Date, (A) certifying that (I) as of the date of the relevant Notice of Increase and on the date hereof before and after giving effect to the First Amendment Commitment Increase (x) no Default or Event of Default shall have occurred and be continuing and (y) the representations and warranties of the Loan Parties set forth herein, in the Existing Credit Agreement and each other Loan Document shall be true and correct in all material respects on and as of such date, except that (1) to the extent that such representations and warranties specifically refer to an earlier date, such representations and warranties shall be true and correct in all material respects as of such earlier date and (2) any representation and warranty that is qualified as to “materiality” or “Material Adverse Effect” shall be true and correct in all respects and (II) as of the date hereof after giving effect to the First Amendment Commitment Increase, the Borrower shall be in pro forma compliance with the Financial Covenants for the most recently ended Reference Period; and (B) setting forth reasonably detailed calculations demonstrating that the Borrower is in pro forma compliance with the Financial Covenants for the most recently ended Reference Period;</w:t>
      </w:r>
    </w:p>
    <w:p>
      <w:pPr>
        <w:spacing w:after="0" w:line="189" w:lineRule="exact"/>
        <w:rPr>
          <w:rFonts w:ascii="Times New Roman" w:cs="Times New Roman" w:eastAsia="Times New Roman" w:hAnsi="Times New Roman"/>
          <w:sz w:val="20"/>
          <w:szCs w:val="20"/>
          <w:color w:val="auto"/>
        </w:rPr>
      </w:pPr>
    </w:p>
    <w:p>
      <w:pPr>
        <w:ind w:left="900" w:hanging="15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(iv)in respect of each Loan Party, a certificate, in form and substance reasonably satisfactory to the Administrative Agent, dated the First Amendment Effective Date and executed by a secretary, assistant secretary or Responsible Officer of such Loan Party, which shall (A) certify the resolutions of its board of directors, members or other body authorizing the execution, delivery and performance of this Amendment and the other Loan Documents executed in connection herewith to which it is a party; (B) identify by name and title and bear the signatures of the Responsible Officers, Financial Officers and any other officers of such Loan Party authorized to sign this Amendment and the other Loan Documents executed in connection herewith to which it is a party; and (C) contain appropriate attachments, including (x) the certificate or articles of incorporation or organization of each Loan Party certified by the relevant authority of the jurisdiction of organization of such Loan Party, (y) a certificate of good standing or equivalent document certified by the relevant authority of the jurisdiction of organization of such Loan Party, and (z) a true and correct copy of its by-laws or operating, management or partnership agreement; and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jc w:val="both"/>
        <w:ind w:left="900" w:hanging="149"/>
        <w:spacing w:after="0" w:line="254" w:lineRule="auto"/>
        <w:rPr>
          <w:sz w:val="20"/>
          <w:szCs w:val="20"/>
          <w:color w:val="auto"/>
        </w:rPr>
      </w:pPr>
      <w:r>
        <w:rPr>
          <w:rFonts w:ascii="Times New Roman" w:cs="Times New Roman" w:eastAsia="Times New Roman" w:hAnsi="Times New Roman"/>
          <w:sz w:val="20"/>
          <w:szCs w:val="20"/>
          <w:color w:val="auto"/>
        </w:rPr>
        <w:t>(v)to the extent requested by any First Amendment Increasing Lender at least three (3) Business Days prior to the First Amendment Effective Date (or a shorter period as reasonably agreed to by the Borrower), an executed Note for the account of such First Amendment Increasing Lender, duly executed by the Borrower.</w:t>
      </w:r>
    </w:p>
    <w:p>
      <w:pPr>
        <w:spacing w:after="0" w:line="174" w:lineRule="exact"/>
        <w:rPr>
          <w:sz w:val="20"/>
          <w:szCs w:val="20"/>
          <w:color w:val="auto"/>
        </w:rPr>
      </w:pPr>
    </w:p>
    <w:p>
      <w:pPr>
        <w:jc w:val="both"/>
        <w:ind w:left="760" w:hanging="452"/>
        <w:spacing w:after="0" w:line="246" w:lineRule="auto"/>
        <w:tabs>
          <w:tab w:leader="none" w:pos="7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and the Administrative Agent shall have received all fees required to be paid on or before the First Amendment Effective Date (including pursuant to that certain First Amendment Fee Letter, dated as of July 14, 2025, between Citi and the Borrower), and reimbursement for all expenses (including the reasonable and documented fees and expenses of Jones Day, as counsel to the Lead Arranger and the Administrative Agent) for which invoices have been presented no later than one (1) Business Day prior to the First Amendment Effective Date (or a shorter period as reasonably agreed to by the Borrower).</w:t>
      </w:r>
    </w:p>
    <w:p>
      <w:pPr>
        <w:spacing w:after="0" w:line="184" w:lineRule="exact"/>
        <w:rPr>
          <w:rFonts w:ascii="Times New Roman" w:cs="Times New Roman" w:eastAsia="Times New Roman" w:hAnsi="Times New Roman"/>
          <w:sz w:val="20"/>
          <w:szCs w:val="20"/>
          <w:color w:val="auto"/>
        </w:rPr>
      </w:pPr>
    </w:p>
    <w:p>
      <w:pPr>
        <w:jc w:val="both"/>
        <w:ind w:left="760" w:hanging="452"/>
        <w:spacing w:after="0" w:line="246" w:lineRule="auto"/>
        <w:tabs>
          <w:tab w:leader="none" w:pos="7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three (3) Business Days prior to the First Amendment Effective Date, the Borrower and each of the other Loan Parties shall have provided to the Administrative Agent or the First Amendment Increasing Lenders the documentation and other information theretofore requested in writing by the Administrative Agent or the First Amendment Increasing Lenders at least five (5) Business Days prior to the First Amendment Effective Date that is required by regulatory authorities under applicable “know your customer” and anti-money-laundering rules and regulations, including the USA PATRIOT Act.</w:t>
      </w:r>
    </w:p>
    <w:p>
      <w:pPr>
        <w:spacing w:after="0" w:line="184" w:lineRule="exact"/>
        <w:rPr>
          <w:rFonts w:ascii="Times New Roman" w:cs="Times New Roman" w:eastAsia="Times New Roman" w:hAnsi="Times New Roman"/>
          <w:sz w:val="20"/>
          <w:szCs w:val="20"/>
          <w:color w:val="auto"/>
        </w:rPr>
      </w:pPr>
    </w:p>
    <w:p>
      <w:pPr>
        <w:jc w:val="both"/>
        <w:ind w:left="760" w:hanging="452"/>
        <w:spacing w:after="0" w:line="254" w:lineRule="auto"/>
        <w:tabs>
          <w:tab w:leader="none" w:pos="7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(5) Business Days prior to the First Amendment Effective Date, if the Borrower qualifies as a “legal entity customer” under the Beneficial Ownership Regulation, the Borrower shall deliver a Beneficial Ownership Certification to each First Amendment Increasing Lender who requests the same.</w:t>
      </w:r>
    </w:p>
    <w:p>
      <w:pPr>
        <w:spacing w:after="0" w:line="174" w:lineRule="exact"/>
        <w:rPr>
          <w:rFonts w:ascii="Times New Roman" w:cs="Times New Roman" w:eastAsia="Times New Roman" w:hAnsi="Times New Roman"/>
          <w:sz w:val="20"/>
          <w:szCs w:val="20"/>
          <w:color w:val="auto"/>
        </w:rPr>
      </w:pPr>
    </w:p>
    <w:p>
      <w:pPr>
        <w:jc w:val="both"/>
        <w:ind w:left="760" w:hanging="452"/>
        <w:spacing w:after="0" w:line="254" w:lineRule="auto"/>
        <w:tabs>
          <w:tab w:leader="none" w:pos="7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to the Administrative Agent such other documents, agreements, instruments, deliverables and items as the Administrative Agent or any Lender may have reasonably requested, the form and substance of which documents, agreements, instruments, deliverables and items shall be reasonably acceptable to the requesting party.</w:t>
      </w:r>
    </w:p>
    <w:p>
      <w:pPr>
        <w:spacing w:after="0" w:line="17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Article V.</w:t>
      </w:r>
      <w:r>
        <w:rPr>
          <w:rFonts w:ascii="Times New Roman" w:cs="Times New Roman" w:eastAsia="Times New Roman" w:hAnsi="Times New Roman"/>
          <w:sz w:val="20"/>
          <w:szCs w:val="20"/>
          <w:b w:val="1"/>
          <w:bCs w:val="1"/>
          <w:u w:val="single" w:color="auto"/>
          <w:color w:val="auto"/>
        </w:rPr>
        <w:t>Representations and Warranties of the Loan Parties</w:t>
      </w:r>
      <w:r>
        <w:rPr>
          <w:rFonts w:ascii="Times New Roman" w:cs="Times New Roman" w:eastAsia="Times New Roman" w:hAnsi="Times New Roman"/>
          <w:sz w:val="20"/>
          <w:szCs w:val="20"/>
          <w:color w:val="auto"/>
        </w:rPr>
        <w:t>. Each Loan Party hereby represents and warrants to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the First Amendment Increasing Lenders, the Issuing Banks and the Lenders as follows:</w:t>
      </w:r>
    </w:p>
    <w:p>
      <w:pPr>
        <w:spacing w:after="0" w:line="156" w:lineRule="exact"/>
        <w:rPr>
          <w:sz w:val="20"/>
          <w:szCs w:val="20"/>
          <w:color w:val="auto"/>
        </w:rPr>
      </w:pPr>
    </w:p>
    <w:p>
      <w:pPr>
        <w:ind w:left="760" w:hanging="452"/>
        <w:spacing w:after="0" w:line="269" w:lineRule="auto"/>
        <w:tabs>
          <w:tab w:leader="none" w:pos="7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Loan Party’s obligations under the Amended Credit Agreement are and shall remain secured by the Collateral, pursuant to the terms of the Amended Documents and the other Loan Documents;</w:t>
      </w:r>
    </w:p>
    <w:p>
      <w:pPr>
        <w:spacing w:after="0" w:line="159" w:lineRule="exact"/>
        <w:rPr>
          <w:rFonts w:ascii="Times New Roman" w:cs="Times New Roman" w:eastAsia="Times New Roman" w:hAnsi="Times New Roman"/>
          <w:sz w:val="20"/>
          <w:szCs w:val="20"/>
          <w:color w:val="auto"/>
        </w:rPr>
      </w:pPr>
    </w:p>
    <w:p>
      <w:pPr>
        <w:jc w:val="both"/>
        <w:ind w:left="760" w:hanging="452"/>
        <w:spacing w:after="0" w:line="254" w:lineRule="auto"/>
        <w:tabs>
          <w:tab w:leader="none" w:pos="7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Amendment by such Loan Party and the transactions contemplated hereby are within each Loan Party’s corporate or limited liability company powers, as the case may be, and have been duly authorized by all necessary corporate or limited liability company and, if required, stockholder or member action;</w:t>
      </w:r>
    </w:p>
    <w:p>
      <w:pPr>
        <w:spacing w:after="0" w:line="174" w:lineRule="exact"/>
        <w:rPr>
          <w:rFonts w:ascii="Times New Roman" w:cs="Times New Roman" w:eastAsia="Times New Roman" w:hAnsi="Times New Roman"/>
          <w:sz w:val="20"/>
          <w:szCs w:val="20"/>
          <w:color w:val="auto"/>
        </w:rPr>
      </w:pPr>
    </w:p>
    <w:p>
      <w:pPr>
        <w:jc w:val="both"/>
        <w:ind w:left="760" w:hanging="452"/>
        <w:spacing w:after="0" w:line="249" w:lineRule="auto"/>
        <w:tabs>
          <w:tab w:leader="none" w:pos="7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executed and delivered by such Loan Party and constitutes a legal, valid and binding obligation of such Loan Party, enforceable in accordance with the terms hereof, subject to applicable bankruptcy, insolvency, reorganization, moratorium or other laws affecting creditors’ rights generally and subject to general principles of equity, regardless of whether considered in a proceeding in equity or at law; and</w:t>
      </w:r>
    </w:p>
    <w:p>
      <w:pPr>
        <w:spacing w:after="0" w:line="179" w:lineRule="exact"/>
        <w:rPr>
          <w:rFonts w:ascii="Times New Roman" w:cs="Times New Roman" w:eastAsia="Times New Roman" w:hAnsi="Times New Roman"/>
          <w:sz w:val="20"/>
          <w:szCs w:val="20"/>
          <w:color w:val="auto"/>
        </w:rPr>
      </w:pPr>
    </w:p>
    <w:p>
      <w:pPr>
        <w:ind w:left="760" w:right="280" w:hanging="452"/>
        <w:spacing w:after="0" w:line="269" w:lineRule="auto"/>
        <w:tabs>
          <w:tab w:leader="none" w:pos="7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ratifies and confirms in full its duties and obligations under the Amended Documents and the other Loan Documents applicable to it.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both"/>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Article VI. </w:t>
      </w:r>
      <w:r>
        <w:rPr>
          <w:rFonts w:ascii="Times New Roman" w:cs="Times New Roman" w:eastAsia="Times New Roman" w:hAnsi="Times New Roman"/>
          <w:sz w:val="19"/>
          <w:szCs w:val="19"/>
          <w:b w:val="1"/>
          <w:bCs w:val="1"/>
          <w:u w:val="single" w:color="auto"/>
          <w:color w:val="auto"/>
        </w:rPr>
        <w:t>First Amendment Increasing Lenders</w:t>
      </w:r>
      <w:r>
        <w:rPr>
          <w:rFonts w:ascii="Times New Roman" w:cs="Times New Roman" w:eastAsia="Times New Roman" w:hAnsi="Times New Roman"/>
          <w:sz w:val="19"/>
          <w:szCs w:val="19"/>
          <w:color w:val="auto"/>
        </w:rPr>
        <w:t>. Each First Amendment Increasing Lender that is not a Lender under the Existing Credit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acknowledges and agrees that, upon its execution of this Amendment, such First Amendment Increasing Lender shall become an “Additional Lender” and a “Lender” under, and for all purposes of, the Amended Credit Agreement and the other Loan Documents, and shall be subject to and bound by the terms thereof, and shall perform all the obligations of and shall have all rights of a Lender thereunder.</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Article VII.</w:t>
      </w:r>
      <w:r>
        <w:rPr>
          <w:rFonts w:ascii="Times New Roman" w:cs="Times New Roman" w:eastAsia="Times New Roman" w:hAnsi="Times New Roman"/>
          <w:sz w:val="20"/>
          <w:szCs w:val="20"/>
          <w:b w:val="1"/>
          <w:bCs w:val="1"/>
          <w:u w:val="single" w:color="auto"/>
          <w:color w:val="auto"/>
        </w:rPr>
        <w:t>Reallocations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applicable, the reallocation of the Lenders’ Loans contemplated by Section 2.22(a)(iv) of the Amended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with respect to the First Amendment Commitment Increase shall occur with respect to the First Amendment Commitment Increase on the First Amendment Effective Date. On the First Amendment Effective Date, all participations in Letters of Credit and Loans from draws under Letters of Credit shall be reallocated pro rata among the Lenders (including the First Amendment Increasing Lenders) after giving effect to the First Amendment Commitment Increase.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VIII.</w:t>
      </w: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760" w:hanging="452"/>
        <w:spacing w:after="0" w:line="244" w:lineRule="auto"/>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Except as expressly provided in this Amendment, all of the covenants, agreements, representations and warranties made by the Loan Parties in the Existing Credit Agreement, the Existing Security Agreement and the other Loan Documents and in the certificates or other instruments delivered in connection with or pursuant to this Amendment shall be considered to have been relied upon by the other parties hereto and shall survive the execution and delivery of this Amendment,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w:t>
      </w:r>
    </w:p>
    <w:p>
      <w:pPr>
        <w:spacing w:after="0" w:line="185" w:lineRule="exact"/>
        <w:rPr>
          <w:rFonts w:ascii="Times New Roman" w:cs="Times New Roman" w:eastAsia="Times New Roman" w:hAnsi="Times New Roman"/>
          <w:sz w:val="20"/>
          <w:szCs w:val="20"/>
          <w:color w:val="auto"/>
        </w:rPr>
      </w:pPr>
    </w:p>
    <w:p>
      <w:pPr>
        <w:jc w:val="both"/>
        <w:ind w:left="760" w:hanging="452"/>
        <w:spacing w:after="0" w:line="249" w:lineRule="auto"/>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9" w:lineRule="exact"/>
        <w:rPr>
          <w:rFonts w:ascii="Times New Roman" w:cs="Times New Roman" w:eastAsia="Times New Roman" w:hAnsi="Times New Roman"/>
          <w:sz w:val="20"/>
          <w:szCs w:val="20"/>
          <w:color w:val="auto"/>
        </w:rPr>
      </w:pPr>
    </w:p>
    <w:p>
      <w:pPr>
        <w:jc w:val="both"/>
        <w:ind w:left="760" w:hanging="452"/>
        <w:spacing w:after="0" w:line="254" w:lineRule="auto"/>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 Consent to Service of Process; Waiver of Jury Trial</w:t>
      </w:r>
      <w:r>
        <w:rPr>
          <w:rFonts w:ascii="Times New Roman" w:cs="Times New Roman" w:eastAsia="Times New Roman" w:hAnsi="Times New Roman"/>
          <w:sz w:val="20"/>
          <w:szCs w:val="20"/>
          <w:color w:val="auto"/>
        </w:rPr>
        <w:t>. This Amendment shall be governed by and construed in accordance with the laws of the State of New York. The jurisdiction, consent to service of process and waiver of jury trial provisions in Sections 9.09 and 9.10 of the Existing Credit Agreement are incorporated herein by reference mutatis mutandis.</w:t>
      </w:r>
    </w:p>
    <w:p>
      <w:pPr>
        <w:spacing w:after="0" w:line="174" w:lineRule="exact"/>
        <w:rPr>
          <w:rFonts w:ascii="Times New Roman" w:cs="Times New Roman" w:eastAsia="Times New Roman" w:hAnsi="Times New Roman"/>
          <w:sz w:val="20"/>
          <w:szCs w:val="20"/>
          <w:color w:val="auto"/>
        </w:rPr>
      </w:pPr>
    </w:p>
    <w:p>
      <w:pPr>
        <w:jc w:val="both"/>
        <w:ind w:left="760" w:hanging="452"/>
        <w:spacing w:after="0" w:line="254" w:lineRule="auto"/>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 Reimbursement and Indemnification</w:t>
      </w:r>
      <w:r>
        <w:rPr>
          <w:rFonts w:ascii="Times New Roman" w:cs="Times New Roman" w:eastAsia="Times New Roman" w:hAnsi="Times New Roman"/>
          <w:sz w:val="20"/>
          <w:szCs w:val="20"/>
          <w:color w:val="auto"/>
        </w:rPr>
        <w:t>. Each Loan Party hereby confirms that the expense reimbursement and indemnification provisions set forth in Section 9.03 of the Amended Credit Agreement shall apply to this Amendment and the transactions contemplated hereby.</w:t>
      </w:r>
    </w:p>
    <w:p>
      <w:pPr>
        <w:spacing w:after="0" w:line="174" w:lineRule="exact"/>
        <w:rPr>
          <w:rFonts w:ascii="Times New Roman" w:cs="Times New Roman" w:eastAsia="Times New Roman" w:hAnsi="Times New Roman"/>
          <w:sz w:val="20"/>
          <w:szCs w:val="20"/>
          <w:color w:val="auto"/>
        </w:rPr>
      </w:pPr>
    </w:p>
    <w:p>
      <w:pPr>
        <w:jc w:val="both"/>
        <w:ind w:left="760" w:hanging="452"/>
        <w:spacing w:after="0" w:line="249" w:lineRule="auto"/>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Each Loan Party hereby agrees from time to time, as and when reasonably requested by the Administrative Agent or any Lender, to execute and deliver or cause to be executed and delivered, all such documents, instruments and agreements and to take or cause to be taken such further or other action as the Administrative Agent or any Lender may reasonably deem necessary or desirable in order to carry out the intent and purposes of this Amendment.</w:t>
      </w:r>
    </w:p>
    <w:p>
      <w:pPr>
        <w:spacing w:after="0" w:line="179" w:lineRule="exact"/>
        <w:rPr>
          <w:rFonts w:ascii="Times New Roman" w:cs="Times New Roman" w:eastAsia="Times New Roman" w:hAnsi="Times New Roman"/>
          <w:sz w:val="20"/>
          <w:szCs w:val="20"/>
          <w:color w:val="auto"/>
        </w:rPr>
      </w:pPr>
    </w:p>
    <w:p>
      <w:pPr>
        <w:jc w:val="both"/>
        <w:ind w:left="760" w:hanging="452"/>
        <w:spacing w:after="0" w:line="254" w:lineRule="auto"/>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Amendment, the Amended Credit Agreement, the Amended Security Agreement and the other applicable Loan Documents constitute the entire agreement among the parties with respect to the subject matter hereof and thereof and supersede all other prior agreements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8" w:name="page119"/>
    <w:bookmarkEnd w:id="118"/>
    <w:p>
      <w:pPr>
        <w:ind w:left="460"/>
        <w:spacing w:after="0" w:line="269" w:lineRule="auto"/>
        <w:rPr>
          <w:sz w:val="20"/>
          <w:szCs w:val="20"/>
          <w:color w:val="auto"/>
        </w:rPr>
      </w:pPr>
      <w:r>
        <w:rPr>
          <w:rFonts w:ascii="Times New Roman" w:cs="Times New Roman" w:eastAsia="Times New Roman" w:hAnsi="Times New Roman"/>
          <w:sz w:val="20"/>
          <w:szCs w:val="20"/>
          <w:color w:val="auto"/>
        </w:rPr>
        <w:t>and understandings, both written and verbal, among such parties or any of them with respect to the subject matter hereof. Any exhibits or schedules attached hereto are hereby incorporated herein by reference and made a part hereof.</w:t>
      </w:r>
    </w:p>
    <w:p>
      <w:pPr>
        <w:spacing w:after="0" w:line="159" w:lineRule="exact"/>
        <w:rPr>
          <w:sz w:val="20"/>
          <w:szCs w:val="20"/>
          <w:color w:val="auto"/>
        </w:rPr>
      </w:pPr>
    </w:p>
    <w:p>
      <w:pPr>
        <w:jc w:val="both"/>
        <w:ind w:left="460" w:hanging="452"/>
        <w:spacing w:after="0" w:line="249" w:lineRule="auto"/>
        <w:tabs>
          <w:tab w:leader="none" w:pos="4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 Beneficiaries</w:t>
      </w:r>
      <w:r>
        <w:rPr>
          <w:rFonts w:ascii="Times New Roman" w:cs="Times New Roman" w:eastAsia="Times New Roman" w:hAnsi="Times New Roman"/>
          <w:sz w:val="20"/>
          <w:szCs w:val="20"/>
          <w:color w:val="auto"/>
        </w:rPr>
        <w:t xml:space="preserve">. The provisions of this Amendment shall be binding upon and inure to the benefit of the parties to the Existing Credit Agreement, the Existing Security Agreement and each other applicable Loan Document and their respective successors and assigns;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neither the Borrowers nor any other Loan Party may assign or otherwise transfer any of its rights or obligations under this Amendment or the other Loan Documents except as permitted by the Amended Credit Agreement.</w:t>
      </w:r>
    </w:p>
    <w:p>
      <w:pPr>
        <w:spacing w:after="0" w:line="179" w:lineRule="exact"/>
        <w:rPr>
          <w:rFonts w:ascii="Times New Roman" w:cs="Times New Roman" w:eastAsia="Times New Roman" w:hAnsi="Times New Roman"/>
          <w:sz w:val="20"/>
          <w:szCs w:val="20"/>
          <w:color w:val="auto"/>
        </w:rPr>
      </w:pPr>
    </w:p>
    <w:p>
      <w:pPr>
        <w:ind w:left="460" w:hanging="452"/>
        <w:spacing w:after="0" w:line="269" w:lineRule="auto"/>
        <w:tabs>
          <w:tab w:leader="none" w:pos="4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This Amendment shall be construed without regard to any presumption or other rule requiring construction against the party drafting this Amendment.</w:t>
      </w:r>
    </w:p>
    <w:p>
      <w:pPr>
        <w:spacing w:after="0" w:line="159" w:lineRule="exact"/>
        <w:rPr>
          <w:rFonts w:ascii="Times New Roman" w:cs="Times New Roman" w:eastAsia="Times New Roman" w:hAnsi="Times New Roman"/>
          <w:sz w:val="20"/>
          <w:szCs w:val="20"/>
          <w:color w:val="auto"/>
        </w:rPr>
      </w:pPr>
    </w:p>
    <w:p>
      <w:pPr>
        <w:ind w:left="460" w:hanging="452"/>
        <w:spacing w:after="0" w:line="269" w:lineRule="auto"/>
        <w:tabs>
          <w:tab w:leader="none" w:pos="4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relating to this Amendment shall be delivered in the manner and subject to the provisions set forth in the Existing Credit Agreement.</w:t>
      </w:r>
    </w:p>
    <w:p>
      <w:pPr>
        <w:spacing w:after="0" w:line="159" w:lineRule="exact"/>
        <w:rPr>
          <w:rFonts w:ascii="Times New Roman" w:cs="Times New Roman" w:eastAsia="Times New Roman" w:hAnsi="Times New Roman"/>
          <w:sz w:val="20"/>
          <w:szCs w:val="20"/>
          <w:color w:val="auto"/>
        </w:rPr>
      </w:pPr>
    </w:p>
    <w:p>
      <w:pPr>
        <w:jc w:val="both"/>
        <w:ind w:left="460" w:hanging="452"/>
        <w:spacing w:after="0" w:line="242" w:lineRule="auto"/>
        <w:tabs>
          <w:tab w:leader="none" w:pos="4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Execution</w:t>
      </w:r>
      <w:r>
        <w:rPr>
          <w:rFonts w:ascii="Times New Roman" w:cs="Times New Roman" w:eastAsia="Times New Roman" w:hAnsi="Times New Roman"/>
          <w:sz w:val="20"/>
          <w:szCs w:val="20"/>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9" w:lineRule="exact"/>
        <w:rPr>
          <w:rFonts w:ascii="Times New Roman" w:cs="Times New Roman" w:eastAsia="Times New Roman" w:hAnsi="Times New Roman"/>
          <w:sz w:val="20"/>
          <w:szCs w:val="20"/>
          <w:color w:val="auto"/>
        </w:rPr>
      </w:pPr>
    </w:p>
    <w:p>
      <w:pPr>
        <w:ind w:left="460" w:hanging="452"/>
        <w:spacing w:after="0" w:line="269" w:lineRule="auto"/>
        <w:tabs>
          <w:tab w:leader="none" w:pos="4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Article and Section headings used herein are for convenience of reference only, are not part of this Amendment and shall not affect the construction of, or be taken into consideration in interpreting, this Amendment.</w:t>
      </w:r>
    </w:p>
    <w:p>
      <w:pPr>
        <w:spacing w:after="0" w:line="159" w:lineRule="exact"/>
        <w:rPr>
          <w:rFonts w:ascii="Times New Roman" w:cs="Times New Roman" w:eastAsia="Times New Roman" w:hAnsi="Times New Roman"/>
          <w:sz w:val="20"/>
          <w:szCs w:val="20"/>
          <w:color w:val="auto"/>
        </w:rPr>
      </w:pPr>
    </w:p>
    <w:p>
      <w:pPr>
        <w:jc w:val="both"/>
        <w:ind w:left="460" w:hanging="452"/>
        <w:spacing w:after="0" w:line="242" w:lineRule="auto"/>
        <w:tabs>
          <w:tab w:leader="none" w:pos="4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and Effect on the Existing Credit Agreement, the Existing Security Agreement and the Other Loan Documents</w:t>
      </w:r>
      <w:r>
        <w:rPr>
          <w:rFonts w:ascii="Times New Roman" w:cs="Times New Roman" w:eastAsia="Times New Roman" w:hAnsi="Times New Roman"/>
          <w:sz w:val="20"/>
          <w:szCs w:val="20"/>
          <w:color w:val="auto"/>
        </w:rPr>
        <w:t>. On and after the First Amendment Effective Date, (A) each reference in the Existing Credit Agreement to “this Agreement,” “hereunder,” “herein” or words of like import referring to the Existing Credit Agreement, and each reference in the other Loan Documents to the “Credit Agreement,” “thereunder,” “thereof” or words of like import referring to the Existing Credit Agreement, shall, in each case, mean and be a reference to the Existing Credit Agreement as amended by this Amendment and (B) each reference in the Existing Security Agreement to “this Agreement,” “hereunder,” “herein” or words of like import referring to the Existing Security Agreement, and each reference in the other Loan Documents to the “Security Agreement,” “thereunder,” “thereof” or words of like import referring to the Existing Security Agreement, shall, in each case, mean and be a reference to the Existing Security Agreement as amended by this Amendment. Except as specifically amended by this Amendment, the Existing Credit Agreement, the Existing Security Agreement and the other Loan Documents shall remain in full force and effect (with the same priority, as applicable) and are hereby ratified and confirmed and this Amendment shall not be considered a novation. The execution, delivery and performance of this Amendment</w:t>
      </w:r>
    </w:p>
    <w:p>
      <w:pPr>
        <w:spacing w:after="0" w:line="21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718185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13" w:right="339" w:bottom="1440" w:gutter="0" w:footer="0" w:header="0"/>
        </w:sectPr>
      </w:pPr>
    </w:p>
    <w:bookmarkStart w:id="119" w:name="page120"/>
    <w:bookmarkEnd w:id="119"/>
    <w:p>
      <w:pPr>
        <w:jc w:val="both"/>
        <w:ind w:left="460"/>
        <w:spacing w:after="0" w:line="249" w:lineRule="auto"/>
        <w:rPr>
          <w:sz w:val="20"/>
          <w:szCs w:val="20"/>
          <w:color w:val="auto"/>
        </w:rPr>
      </w:pPr>
      <w:r>
        <w:rPr>
          <w:rFonts w:ascii="Times New Roman" w:cs="Times New Roman" w:eastAsia="Times New Roman" w:hAnsi="Times New Roman"/>
          <w:sz w:val="20"/>
          <w:szCs w:val="20"/>
          <w:color w:val="auto"/>
        </w:rPr>
        <w:t>shall not constitute a waiver of any provision of, or operate as a waiver of any right, power or remedy of the Administrative Agent, any Lender or any other party under, the Amended Credit Agreement, the Amended Security Agreement or any of the other Loan Documents or otherwise. This Amendment and each other document executed in connection herewith shall be deemed to be a “Loan Document” as defined in the Amended Credit Agreement.</w:t>
      </w:r>
    </w:p>
    <w:p>
      <w:pPr>
        <w:spacing w:after="0" w:line="180" w:lineRule="exact"/>
        <w:rPr>
          <w:sz w:val="20"/>
          <w:szCs w:val="20"/>
          <w:color w:val="auto"/>
        </w:rPr>
      </w:pPr>
    </w:p>
    <w:p>
      <w:pPr>
        <w:jc w:val="both"/>
        <w:ind w:left="460" w:hanging="452"/>
        <w:spacing w:after="0" w:line="243" w:lineRule="auto"/>
        <w:tabs>
          <w:tab w:leader="none" w:pos="4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 of Security Interests</w:t>
      </w:r>
      <w:r>
        <w:rPr>
          <w:rFonts w:ascii="Times New Roman" w:cs="Times New Roman" w:eastAsia="Times New Roman" w:hAnsi="Times New Roman"/>
          <w:sz w:val="20"/>
          <w:szCs w:val="20"/>
          <w:color w:val="auto"/>
        </w:rPr>
        <w:t>. Each Loan Party, as borrower, guarantor, debtor, grantor, mortgagor, pledgor, assignor, or in other any other similar capacity in which it granted liens or security interests in its property or otherwise acts as accommodation party, guarantor or indemnitor, as the case may be, hereby (A) ratifies and reaffirms all of its payment and performance obligations, contingent or otherwise, under each of the Loan Documents to which it is a party (after giving effect hereto) and (B) to the extent that such Loan Party granted liens on or security interests in any of its property pursuant to any such Loan Document as security for or otherwise guaranteed the Obligations, ratifies and reaffirms such guarantee and grant of security interests and liens and confirms and agrees that such guarantee includes, and such security interests and liens hereafter secure, all of the Obligations, including, without limitation, any additional Obligations resulting from or incurred pursuant to this Amendment.</w:t>
      </w:r>
    </w:p>
    <w:p>
      <w:pPr>
        <w:spacing w:after="0" w:line="21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718185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13" w:right="339" w:bottom="1440" w:gutter="0" w:footer="0" w:header="0"/>
        </w:sectPr>
      </w:pPr>
    </w:p>
    <w:bookmarkStart w:id="120" w:name="page121"/>
    <w:bookmarkEnd w:id="120"/>
    <w:p>
      <w:pPr>
        <w:ind w:right="220"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and delivered by their respective authorized officer(s) as of the day and year first above written.</w:t>
      </w:r>
    </w:p>
    <w:p>
      <w:pPr>
        <w:spacing w:after="0" w:line="371" w:lineRule="exact"/>
        <w:rPr>
          <w:sz w:val="20"/>
          <w:szCs w:val="20"/>
          <w:color w:val="auto"/>
        </w:rPr>
      </w:pPr>
    </w:p>
    <w:p>
      <w:pPr>
        <w:ind w:left="4880" w:right="140"/>
        <w:spacing w:after="0" w:line="273" w:lineRule="auto"/>
        <w:rPr>
          <w:sz w:val="20"/>
          <w:szCs w:val="20"/>
          <w:color w:val="auto"/>
        </w:rPr>
      </w:pPr>
      <w:r>
        <w:rPr>
          <w:rFonts w:ascii="Times New Roman" w:cs="Times New Roman" w:eastAsia="Times New Roman" w:hAnsi="Times New Roman"/>
          <w:sz w:val="20"/>
          <w:szCs w:val="20"/>
          <w:b w:val="1"/>
          <w:bCs w:val="1"/>
          <w:color w:val="auto"/>
        </w:rPr>
        <w:t>CITIBANK, N.A.</w:t>
      </w:r>
      <w:r>
        <w:rPr>
          <w:rFonts w:ascii="Times New Roman" w:cs="Times New Roman" w:eastAsia="Times New Roman" w:hAnsi="Times New Roman"/>
          <w:sz w:val="20"/>
          <w:szCs w:val="20"/>
          <w:color w:val="auto"/>
        </w:rPr>
        <w:t>, as a Lender, an Issuing Bank, a Swingline Lender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w:t>
      </w:r>
    </w:p>
    <w:p>
      <w:pPr>
        <w:spacing w:after="0" w:line="200" w:lineRule="exact"/>
        <w:rPr>
          <w:sz w:val="20"/>
          <w:szCs w:val="20"/>
          <w:color w:val="auto"/>
        </w:rPr>
      </w:pPr>
    </w:p>
    <w:p>
      <w:pPr>
        <w:spacing w:after="0" w:line="3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By: /s/ Stephanie Epkins</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 Stephanie Epkins</w:t>
      </w:r>
    </w:p>
    <w:p>
      <w:pPr>
        <w:ind w:left="5240"/>
        <w:spacing w:after="0"/>
        <w:rPr>
          <w:sz w:val="20"/>
          <w:szCs w:val="20"/>
          <w:color w:val="auto"/>
        </w:rPr>
      </w:pPr>
      <w:r>
        <w:rPr>
          <w:rFonts w:ascii="Times New Roman" w:cs="Times New Roman" w:eastAsia="Times New Roman" w:hAnsi="Times New Roman"/>
          <w:sz w:val="20"/>
          <w:szCs w:val="20"/>
          <w:color w:val="auto"/>
        </w:rPr>
        <w:t>Title:  Director</w:t>
      </w:r>
    </w:p>
    <w:p>
      <w:pPr>
        <w:spacing w:after="0" w:line="1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[Signature Page to First Amendment to Amended and Restated Credit Agreement and First Amendment to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BANK OF AMERICA N.A., as a Lender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 /s/ Thomas M. Paulk</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Thomas M. Paulk</w:t>
      </w:r>
    </w:p>
    <w:p>
      <w:pPr>
        <w:ind w:left="41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1427480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2" w:name="page123"/>
    <w:bookmarkEnd w:id="122"/>
    <w:p>
      <w:pPr>
        <w:spacing w:after="0" w:line="18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JPMorgan Chase Bank, N.A., as a Lender</w:t>
      </w:r>
    </w:p>
    <w:p>
      <w:pPr>
        <w:spacing w:after="0" w:line="200" w:lineRule="exact"/>
        <w:rPr>
          <w:sz w:val="20"/>
          <w:szCs w:val="20"/>
          <w:color w:val="auto"/>
        </w:rPr>
      </w:pPr>
    </w:p>
    <w:p>
      <w:pPr>
        <w:spacing w:after="0" w:line="27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 /s/ Rose McCarthy</w:t>
      </w:r>
    </w:p>
    <w:p>
      <w:pPr>
        <w:spacing w:after="0" w:line="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Name: Rose McCarthy</w:t>
      </w:r>
    </w:p>
    <w:p>
      <w:pPr>
        <w:ind w:left="3560"/>
        <w:spacing w:after="0"/>
        <w:rPr>
          <w:sz w:val="20"/>
          <w:szCs w:val="20"/>
          <w:color w:val="auto"/>
        </w:rPr>
      </w:pPr>
      <w:r>
        <w:rPr>
          <w:rFonts w:ascii="Times New Roman" w:cs="Times New Roman" w:eastAsia="Times New Roman" w:hAnsi="Times New Roman"/>
          <w:sz w:val="20"/>
          <w:szCs w:val="20"/>
          <w:color w:val="auto"/>
        </w:rPr>
        <w:t>Title: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1016000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18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DEUTSCHE BANK AG NEW YORK BRANCH, as a Lender</w:t>
      </w:r>
    </w:p>
    <w:p>
      <w:pPr>
        <w:spacing w:after="0" w:line="200" w:lineRule="exact"/>
        <w:rPr>
          <w:sz w:val="20"/>
          <w:szCs w:val="20"/>
          <w:color w:val="auto"/>
        </w:rPr>
      </w:pPr>
    </w:p>
    <w:p>
      <w:pPr>
        <w:spacing w:after="0" w:line="27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 /s/ Ming K Chu</w:t>
      </w:r>
    </w:p>
    <w:p>
      <w:pPr>
        <w:spacing w:after="0" w:line="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Name: Ming K Chu</w:t>
      </w:r>
    </w:p>
    <w:p>
      <w:pPr>
        <w:ind w:left="356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 /s/ Marko Lukin</w:t>
      </w:r>
    </w:p>
    <w:p>
      <w:pPr>
        <w:spacing w:after="0" w:line="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Name: Marko Lukin</w:t>
      </w:r>
    </w:p>
    <w:p>
      <w:pPr>
        <w:ind w:left="356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1016000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4" w:name="page125"/>
    <w:bookmarkEnd w:id="124"/>
    <w:p>
      <w:pPr>
        <w:spacing w:after="0" w:line="18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First-Citizens Bank &amp; Trust Company, as a Lender</w:t>
      </w:r>
    </w:p>
    <w:p>
      <w:pPr>
        <w:spacing w:after="0" w:line="200" w:lineRule="exact"/>
        <w:rPr>
          <w:sz w:val="20"/>
          <w:szCs w:val="20"/>
          <w:color w:val="auto"/>
        </w:rPr>
      </w:pPr>
    </w:p>
    <w:p>
      <w:pPr>
        <w:spacing w:after="0" w:line="27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 /s/ Charles Bradford</w:t>
      </w:r>
    </w:p>
    <w:p>
      <w:pPr>
        <w:spacing w:after="0" w:line="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Name: Charles Bradford</w:t>
      </w:r>
    </w:p>
    <w:p>
      <w:pPr>
        <w:ind w:left="356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878840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200" w:lineRule="exact"/>
        <w:rPr>
          <w:sz w:val="20"/>
          <w:szCs w:val="20"/>
          <w:color w:val="auto"/>
        </w:rPr>
      </w:pPr>
    </w:p>
    <w:p>
      <w:pPr>
        <w:spacing w:after="0" w:line="20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FLYWIRE CORPORATION</w:t>
      </w:r>
      <w:r>
        <w:rPr>
          <w:rFonts w:ascii="Times New Roman" w:cs="Times New Roman" w:eastAsia="Times New Roman" w:hAnsi="Times New Roman"/>
          <w:sz w:val="20"/>
          <w:szCs w:val="20"/>
          <w:color w:val="auto"/>
        </w:rPr>
        <w:t>, as the Borrower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Peter Butterfield</w:t>
      </w:r>
    </w:p>
    <w:p>
      <w:pPr>
        <w:spacing w:after="0" w:line="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Peter Butterfield</w:t>
      </w:r>
    </w:p>
    <w:p>
      <w:pPr>
        <w:ind w:left="5140"/>
        <w:spacing w:after="0"/>
        <w:rPr>
          <w:sz w:val="20"/>
          <w:szCs w:val="20"/>
          <w:color w:val="auto"/>
        </w:rPr>
      </w:pPr>
      <w:r>
        <w:rPr>
          <w:rFonts w:ascii="Times New Roman" w:cs="Times New Roman" w:eastAsia="Times New Roman" w:hAnsi="Times New Roman"/>
          <w:sz w:val="20"/>
          <w:szCs w:val="20"/>
          <w:color w:val="auto"/>
        </w:rPr>
        <w:t>Title: Chief Compliance Officer, General Counsel and Secretary</w:t>
      </w:r>
    </w:p>
    <w:p>
      <w:pPr>
        <w:spacing w:after="0" w:line="200" w:lineRule="exact"/>
        <w:rPr>
          <w:sz w:val="20"/>
          <w:szCs w:val="20"/>
          <w:color w:val="auto"/>
        </w:rPr>
      </w:pPr>
    </w:p>
    <w:p>
      <w:pPr>
        <w:spacing w:after="0" w:line="21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FLYWIRE GLOBAL CORP.</w:t>
      </w:r>
      <w:r>
        <w:rPr>
          <w:rFonts w:ascii="Times New Roman" w:cs="Times New Roman" w:eastAsia="Times New Roman" w:hAnsi="Times New Roman"/>
          <w:sz w:val="20"/>
          <w:szCs w:val="20"/>
          <w:color w:val="auto"/>
        </w:rPr>
        <w:t>, as a Loan Guarantor</w:t>
      </w:r>
    </w:p>
    <w:p>
      <w:pPr>
        <w:spacing w:after="0" w:line="200" w:lineRule="exact"/>
        <w:rPr>
          <w:sz w:val="20"/>
          <w:szCs w:val="20"/>
          <w:color w:val="auto"/>
        </w:rPr>
      </w:pPr>
    </w:p>
    <w:p>
      <w:pPr>
        <w:spacing w:after="0" w:line="2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Peter Butterfield</w:t>
      </w:r>
    </w:p>
    <w:p>
      <w:pPr>
        <w:spacing w:after="0" w:line="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Peter Butterfield</w:t>
      </w:r>
    </w:p>
    <w:p>
      <w:pPr>
        <w:ind w:left="5140"/>
        <w:spacing w:after="0"/>
        <w:rPr>
          <w:sz w:val="20"/>
          <w:szCs w:val="20"/>
          <w:color w:val="auto"/>
        </w:rPr>
      </w:pPr>
      <w:r>
        <w:rPr>
          <w:rFonts w:ascii="Times New Roman" w:cs="Times New Roman" w:eastAsia="Times New Roman" w:hAnsi="Times New Roman"/>
          <w:sz w:val="20"/>
          <w:szCs w:val="20"/>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FLYWIRE HEALTHCARE CORPORATION</w:t>
      </w:r>
      <w:r>
        <w:rPr>
          <w:rFonts w:ascii="Times New Roman" w:cs="Times New Roman" w:eastAsia="Times New Roman" w:hAnsi="Times New Roman"/>
          <w:sz w:val="20"/>
          <w:szCs w:val="20"/>
          <w:color w:val="auto"/>
        </w:rPr>
        <w:t>, as a Loan Guarantor</w:t>
      </w:r>
    </w:p>
    <w:p>
      <w:pPr>
        <w:spacing w:after="0" w:line="200" w:lineRule="exact"/>
        <w:rPr>
          <w:sz w:val="20"/>
          <w:szCs w:val="20"/>
          <w:color w:val="auto"/>
        </w:rPr>
      </w:pPr>
    </w:p>
    <w:p>
      <w:pPr>
        <w:spacing w:after="0" w:line="2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Peter Butterfield</w:t>
      </w:r>
    </w:p>
    <w:p>
      <w:pPr>
        <w:spacing w:after="0" w:line="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Peter Butterfield</w:t>
      </w:r>
    </w:p>
    <w:p>
      <w:pPr>
        <w:ind w:left="514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FLYWIRE PAYMENTS CORPORATION</w:t>
      </w:r>
      <w:r>
        <w:rPr>
          <w:rFonts w:ascii="Times New Roman" w:cs="Times New Roman" w:eastAsia="Times New Roman" w:hAnsi="Times New Roman"/>
          <w:sz w:val="20"/>
          <w:szCs w:val="20"/>
          <w:color w:val="auto"/>
        </w:rPr>
        <w:t>, as a Loan Guarantor</w:t>
      </w:r>
    </w:p>
    <w:p>
      <w:pPr>
        <w:spacing w:after="0" w:line="200" w:lineRule="exact"/>
        <w:rPr>
          <w:sz w:val="20"/>
          <w:szCs w:val="20"/>
          <w:color w:val="auto"/>
        </w:rPr>
      </w:pPr>
    </w:p>
    <w:p>
      <w:pPr>
        <w:spacing w:after="0" w:line="2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Peter Butterfield</w:t>
      </w:r>
    </w:p>
    <w:p>
      <w:pPr>
        <w:spacing w:after="0" w:line="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Peter Butterfield</w:t>
      </w:r>
    </w:p>
    <w:p>
      <w:pPr>
        <w:ind w:left="514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FLYWIRE SECURITIES CORPORATION</w:t>
      </w:r>
      <w:r>
        <w:rPr>
          <w:rFonts w:ascii="Times New Roman" w:cs="Times New Roman" w:eastAsia="Times New Roman" w:hAnsi="Times New Roman"/>
          <w:sz w:val="20"/>
          <w:szCs w:val="20"/>
          <w:color w:val="auto"/>
        </w:rPr>
        <w:t>, as a Loan Guarantor</w:t>
      </w:r>
    </w:p>
    <w:p>
      <w:pPr>
        <w:spacing w:after="0" w:line="200" w:lineRule="exact"/>
        <w:rPr>
          <w:sz w:val="20"/>
          <w:szCs w:val="20"/>
          <w:color w:val="auto"/>
        </w:rPr>
      </w:pPr>
    </w:p>
    <w:p>
      <w:pPr>
        <w:spacing w:after="0" w:line="2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Peter Butterfield</w:t>
      </w:r>
    </w:p>
    <w:p>
      <w:pPr>
        <w:spacing w:after="0" w:line="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Peter Butterfield</w:t>
      </w:r>
    </w:p>
    <w:p>
      <w:pPr>
        <w:ind w:left="5140"/>
        <w:spacing w:after="0"/>
        <w:rPr>
          <w:sz w:val="20"/>
          <w:szCs w:val="20"/>
          <w:color w:val="auto"/>
        </w:rPr>
      </w:pPr>
      <w:r>
        <w:rPr>
          <w:rFonts w:ascii="Times New Roman" w:cs="Times New Roman" w:eastAsia="Times New Roman" w:hAnsi="Times New Roman"/>
          <w:sz w:val="20"/>
          <w:szCs w:val="20"/>
          <w:color w:val="auto"/>
        </w:rPr>
        <w:t>Title: Secretary</w:t>
      </w:r>
    </w:p>
    <w:p>
      <w:pPr>
        <w:spacing w:after="0"/>
        <w:rPr>
          <w:sz w:val="20"/>
          <w:szCs w:val="20"/>
          <w:color w:val="auto"/>
        </w:rPr>
      </w:pPr>
      <w:r>
        <w:rPr>
          <w:rFonts w:ascii="Times New Roman" w:cs="Times New Roman" w:eastAsia="Times New Roman" w:hAnsi="Times New Roman"/>
          <w:sz w:val="19"/>
          <w:szCs w:val="19"/>
          <w:color w:val="auto"/>
        </w:rPr>
        <w:t>[Signature Page to First Amendment to Amended and Restated Credit Agreement and First Amendment to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783590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1440" w:right="419" w:bottom="1440" w:gutter="0" w:footer="0" w:header="0"/>
        </w:sectPr>
      </w:pPr>
    </w:p>
    <w:bookmarkStart w:id="126" w:name="page127"/>
    <w:bookmarkEnd w:id="126"/>
    <w:p>
      <w:pPr>
        <w:spacing w:after="0" w:line="1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SIMPLIFICARE INC</w:t>
      </w:r>
      <w:r>
        <w:rPr>
          <w:rFonts w:ascii="Times New Roman" w:cs="Times New Roman" w:eastAsia="Times New Roman" w:hAnsi="Times New Roman"/>
          <w:sz w:val="20"/>
          <w:szCs w:val="20"/>
          <w:color w:val="auto"/>
        </w:rPr>
        <w:t>., as a Loan Guarantor</w:t>
      </w:r>
    </w:p>
    <w:p>
      <w:pPr>
        <w:spacing w:after="0" w:line="200" w:lineRule="exact"/>
        <w:rPr>
          <w:sz w:val="20"/>
          <w:szCs w:val="20"/>
          <w:color w:val="auto"/>
        </w:rPr>
      </w:pPr>
    </w:p>
    <w:p>
      <w:pPr>
        <w:spacing w:after="0" w:line="23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 /s/ Peter Butterfield</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Peter Butterfield</w:t>
      </w:r>
    </w:p>
    <w:p>
      <w:pPr>
        <w:ind w:left="412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b w:val="1"/>
          <w:bCs w:val="1"/>
          <w:color w:val="auto"/>
        </w:rPr>
        <w:t>ONPLAN HOLDINGS, LLC</w:t>
      </w:r>
      <w:r>
        <w:rPr>
          <w:rFonts w:ascii="Times New Roman" w:cs="Times New Roman" w:eastAsia="Times New Roman" w:hAnsi="Times New Roman"/>
          <w:sz w:val="19"/>
          <w:szCs w:val="19"/>
          <w:color w:val="auto"/>
        </w:rPr>
        <w:t>, as a Loan Guarantor</w:t>
      </w:r>
    </w:p>
    <w:p>
      <w:pPr>
        <w:spacing w:after="0" w:line="200" w:lineRule="exact"/>
        <w:rPr>
          <w:sz w:val="20"/>
          <w:szCs w:val="20"/>
          <w:color w:val="auto"/>
        </w:rPr>
      </w:pPr>
    </w:p>
    <w:p>
      <w:pPr>
        <w:spacing w:after="0" w:line="24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 /s/ Peter Butterfield</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Peter Butterfield</w:t>
      </w:r>
    </w:p>
    <w:p>
      <w:pPr>
        <w:ind w:left="4120"/>
        <w:spacing w:after="0"/>
        <w:rPr>
          <w:sz w:val="20"/>
          <w:szCs w:val="20"/>
          <w:color w:val="auto"/>
        </w:rPr>
      </w:pPr>
      <w:r>
        <w:rPr>
          <w:rFonts w:ascii="Times New Roman" w:cs="Times New Roman" w:eastAsia="Times New Roman" w:hAnsi="Times New Roman"/>
          <w:sz w:val="20"/>
          <w:szCs w:val="20"/>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INVOICED, INC.</w:t>
      </w:r>
      <w:r>
        <w:rPr>
          <w:rFonts w:ascii="Times New Roman" w:cs="Times New Roman" w:eastAsia="Times New Roman" w:hAnsi="Times New Roman"/>
          <w:sz w:val="20"/>
          <w:szCs w:val="20"/>
          <w:color w:val="auto"/>
        </w:rPr>
        <w:t>, as a Loan Guarantor</w:t>
      </w:r>
    </w:p>
    <w:p>
      <w:pPr>
        <w:spacing w:after="0" w:line="200" w:lineRule="exact"/>
        <w:rPr>
          <w:sz w:val="20"/>
          <w:szCs w:val="20"/>
          <w:color w:val="auto"/>
        </w:rPr>
      </w:pPr>
    </w:p>
    <w:p>
      <w:pPr>
        <w:spacing w:after="0" w:line="23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 /s/ Peter Butterfield</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Peter Butterfield</w:t>
      </w:r>
    </w:p>
    <w:p>
      <w:pPr>
        <w:ind w:left="412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SERTIFI LLC</w:t>
      </w:r>
      <w:r>
        <w:rPr>
          <w:rFonts w:ascii="Times New Roman" w:cs="Times New Roman" w:eastAsia="Times New Roman" w:hAnsi="Times New Roman"/>
          <w:sz w:val="20"/>
          <w:szCs w:val="20"/>
          <w:color w:val="auto"/>
        </w:rPr>
        <w:t>, as a Loan Guarantor</w:t>
      </w:r>
    </w:p>
    <w:p>
      <w:pPr>
        <w:spacing w:after="0" w:line="200" w:lineRule="exact"/>
        <w:rPr>
          <w:sz w:val="20"/>
          <w:szCs w:val="20"/>
          <w:color w:val="auto"/>
        </w:rPr>
      </w:pPr>
    </w:p>
    <w:p>
      <w:pPr>
        <w:spacing w:after="0" w:line="23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 /s/ Peter Butterfield</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Peter Butterfield</w:t>
      </w:r>
    </w:p>
    <w:p>
      <w:pPr>
        <w:ind w:left="4120"/>
        <w:spacing w:after="0"/>
        <w:rPr>
          <w:sz w:val="20"/>
          <w:szCs w:val="20"/>
          <w:color w:val="auto"/>
        </w:rPr>
      </w:pPr>
      <w:r>
        <w:rPr>
          <w:rFonts w:ascii="Times New Roman" w:cs="Times New Roman" w:eastAsia="Times New Roman" w:hAnsi="Times New Roman"/>
          <w:sz w:val="20"/>
          <w:szCs w:val="20"/>
          <w:color w:val="auto"/>
        </w:rPr>
        <w:t>Title: 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878840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1353185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ind w:right="-36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3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1158875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68" w:right="1440"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0"/>
          <w:szCs w:val="20"/>
          <w:b w:val="1"/>
          <w:bCs w:val="1"/>
          <w:color w:val="231F20"/>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711200</wp:posOffset>
            </wp:positionV>
            <wp:extent cx="1259840" cy="3257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598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AMENDED AND RESTATED CREDIT AGREEMENT</w:t>
      </w: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231F20"/>
        </w:rPr>
        <w:t>dated as of February 23,</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2024 among</w:t>
      </w:r>
    </w:p>
    <w:p>
      <w:pPr>
        <w:jc w:val="center"/>
        <w:ind w:right="60"/>
        <w:spacing w:after="0"/>
        <w:rPr>
          <w:sz w:val="20"/>
          <w:szCs w:val="20"/>
          <w:color w:val="auto"/>
        </w:rPr>
      </w:pPr>
      <w:r>
        <w:rPr>
          <w:rFonts w:ascii="Times New Roman" w:cs="Times New Roman" w:eastAsia="Times New Roman" w:hAnsi="Times New Roman"/>
          <w:sz w:val="20"/>
          <w:szCs w:val="20"/>
          <w:color w:val="231F20"/>
        </w:rPr>
        <w:t>FLYWIRE CORPORATION,</w:t>
      </w:r>
    </w:p>
    <w:p>
      <w:pPr>
        <w:jc w:val="center"/>
        <w:ind w:right="40"/>
        <w:spacing w:after="0"/>
        <w:rPr>
          <w:sz w:val="20"/>
          <w:szCs w:val="20"/>
          <w:color w:val="auto"/>
        </w:rPr>
      </w:pPr>
      <w:r>
        <w:rPr>
          <w:rFonts w:ascii="Times New Roman" w:cs="Times New Roman" w:eastAsia="Times New Roman" w:hAnsi="Times New Roman"/>
          <w:sz w:val="20"/>
          <w:szCs w:val="20"/>
          <w:color w:val="231F20"/>
        </w:rPr>
        <w:t>as the Borrower,</w:t>
      </w:r>
    </w:p>
    <w:p>
      <w:pPr>
        <w:spacing w:after="0" w:line="3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231F20"/>
        </w:rPr>
        <w:t>the other Loan Parties party hereto, the Lenders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party hereto</w:t>
      </w:r>
    </w:p>
    <w:p>
      <w:pPr>
        <w:jc w:val="center"/>
        <w:ind w:right="60"/>
        <w:spacing w:after="0"/>
        <w:rPr>
          <w:sz w:val="20"/>
          <w:szCs w:val="20"/>
          <w:color w:val="auto"/>
        </w:rPr>
      </w:pPr>
      <w:r>
        <w:rPr>
          <w:rFonts w:ascii="Times New Roman" w:cs="Times New Roman" w:eastAsia="Times New Roman" w:hAnsi="Times New Roman"/>
          <w:sz w:val="20"/>
          <w:szCs w:val="20"/>
          <w:color w:val="231F20"/>
        </w:rPr>
        <w:t>and</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CITIBANK, N.A.,</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CITIBANK, N.A.,</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as Sole Lead Arranger and Sole Bookrunner</w:t>
      </w:r>
    </w:p>
    <w:p>
      <w:pPr>
        <w:spacing w:after="0" w:line="20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color w:val="231F20"/>
        </w:rPr>
        <w:t>BANK OF AMERICA, N.A. and</w:t>
      </w:r>
    </w:p>
    <w:p>
      <w:pPr>
        <w:spacing w:after="0" w:line="2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231F20"/>
        </w:rPr>
        <w:t>JPMORGAN CHASE BANK, N.A.,</w:t>
      </w:r>
    </w:p>
    <w:p>
      <w:pPr>
        <w:ind w:left="3840"/>
        <w:spacing w:after="0"/>
        <w:rPr>
          <w:sz w:val="20"/>
          <w:szCs w:val="20"/>
          <w:color w:val="auto"/>
        </w:rPr>
      </w:pPr>
      <w:r>
        <w:rPr>
          <w:rFonts w:ascii="Times New Roman" w:cs="Times New Roman" w:eastAsia="Times New Roman" w:hAnsi="Times New Roman"/>
          <w:sz w:val="20"/>
          <w:szCs w:val="20"/>
          <w:color w:val="231F20"/>
        </w:rPr>
        <w:t>as Documentation Agents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line="273" w:lineRule="auto"/>
        <w:rPr>
          <w:sz w:val="20"/>
          <w:szCs w:val="20"/>
          <w:color w:val="auto"/>
        </w:rPr>
      </w:pPr>
      <w:r>
        <w:rPr>
          <w:rFonts w:ascii="Times New Roman" w:cs="Times New Roman" w:eastAsia="Times New Roman" w:hAnsi="Times New Roman"/>
          <w:sz w:val="20"/>
          <w:szCs w:val="20"/>
          <w:b w:val="1"/>
          <w:bCs w:val="1"/>
          <w:i w:val="1"/>
          <w:iCs w:val="1"/>
          <w:u w:val="single" w:color="auto"/>
          <w:color w:val="2251A3"/>
        </w:rPr>
        <w:t>Conformed Agreement through First Amendment to Amended and Restated Credit Agreement and First Amendment to Pledge and Security Agreement, dated as of August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743585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1260" w:top="761" w:right="839" w:bottom="1440" w:gutter="0" w:footer="0" w:header="0"/>
        </w:sectPr>
      </w:pPr>
    </w:p>
    <w:bookmarkStart w:id="130" w:name="page131"/>
    <w:bookmarkEnd w:id="130"/>
    <w:p>
      <w:pPr>
        <w:ind w:left="4720"/>
        <w:spacing w:after="0"/>
        <w:rPr>
          <w:sz w:val="20"/>
          <w:szCs w:val="20"/>
          <w:color w:val="auto"/>
        </w:rPr>
      </w:pPr>
      <w:r>
        <w:rPr>
          <w:rFonts w:ascii="Times New Roman" w:cs="Times New Roman" w:eastAsia="Times New Roman" w:hAnsi="Times New Roman"/>
          <w:sz w:val="20"/>
          <w:szCs w:val="20"/>
          <w:b w:val="1"/>
          <w:bCs w:val="1"/>
          <w:color w:val="231F20"/>
        </w:rPr>
        <w:t>TABLE OF CONTENTS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231F20"/>
        </w:rPr>
        <w:t>Page</w:t>
      </w:r>
    </w:p>
    <w:p>
      <w:pPr>
        <w:spacing w:after="0" w:line="200" w:lineRule="exact"/>
        <w:rPr>
          <w:sz w:val="20"/>
          <w:szCs w:val="20"/>
          <w:color w:val="auto"/>
        </w:rPr>
      </w:pPr>
    </w:p>
    <w:p>
      <w:pPr>
        <w:spacing w:after="0" w:line="222" w:lineRule="exact"/>
        <w:rPr>
          <w:sz w:val="20"/>
          <w:szCs w:val="20"/>
          <w:color w:val="auto"/>
        </w:rPr>
      </w:pPr>
    </w:p>
    <w:tbl>
      <w:tblPr>
        <w:tblLayout w:type="fixed"/>
        <w:tblInd w:w="740" w:type="dxa"/>
        <w:tblCellMar>
          <w:top w:w="0" w:type="dxa"/>
          <w:left w:w="0" w:type="dxa"/>
          <w:bottom w:w="0" w:type="dxa"/>
          <w:right w:w="0" w:type="dxa"/>
        </w:tblCellMar>
      </w:tblP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231F20"/>
              </w:rPr>
              <w:t>ARTICLE I</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DEFINITIONS</w:t>
            </w:r>
          </w:p>
        </w:tc>
        <w:tc>
          <w:tcPr>
            <w:tcW w:w="3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w:t>
            </w: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0" w:type="dxa"/>
            <w:vAlign w:val="bottom"/>
          </w:tcPr>
          <w:p>
            <w:pPr>
              <w:spacing w:after="0"/>
              <w:rPr>
                <w:sz w:val="22"/>
                <w:szCs w:val="22"/>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1.01</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rPr>
              <w:t>Defined Terms</w:t>
            </w: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1.02</w:t>
            </w:r>
          </w:p>
        </w:tc>
        <w:tc>
          <w:tcPr>
            <w:tcW w:w="326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231F20"/>
                <w:w w:val="98"/>
              </w:rPr>
              <w:t>Classification of Loans and Borrowings</w:t>
            </w:r>
          </w:p>
        </w:tc>
        <w:tc>
          <w:tcPr>
            <w:tcW w:w="400" w:type="dxa"/>
            <w:vAlign w:val="bottom"/>
          </w:tcPr>
          <w:p>
            <w:pPr>
              <w:spacing w:after="0"/>
              <w:rPr>
                <w:sz w:val="24"/>
                <w:szCs w:val="24"/>
                <w:color w:val="auto"/>
              </w:rPr>
            </w:pPr>
          </w:p>
        </w:tc>
        <w:tc>
          <w:tcPr>
            <w:tcW w:w="4000" w:type="dxa"/>
            <w:vAlign w:val="bottom"/>
          </w:tcPr>
          <w:p>
            <w:pPr>
              <w:jc w:val="right"/>
              <w:ind w:right="3701"/>
              <w:spacing w:after="0"/>
              <w:rPr>
                <w:sz w:val="20"/>
                <w:szCs w:val="20"/>
                <w:color w:val="auto"/>
              </w:rPr>
            </w:pPr>
            <w:r>
              <w:rPr>
                <w:rFonts w:ascii="Times New Roman" w:cs="Times New Roman" w:eastAsia="Times New Roman" w:hAnsi="Times New Roman"/>
                <w:sz w:val="20"/>
                <w:szCs w:val="20"/>
                <w:color w:val="231F20"/>
                <w:w w:val="89"/>
              </w:rPr>
              <w:t>33</w:t>
            </w: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1.03</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rPr>
              <w:t>Terms Generally</w:t>
            </w: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33</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1.04</w:t>
            </w: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231F20"/>
              </w:rPr>
              <w:t>Accounting Terms; GAAP</w:t>
            </w:r>
          </w:p>
        </w:tc>
        <w:tc>
          <w:tcPr>
            <w:tcW w:w="90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231F20"/>
              </w:rPr>
              <w:t>34</w:t>
            </w: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1.05</w:t>
            </w:r>
          </w:p>
        </w:tc>
        <w:tc>
          <w:tcPr>
            <w:tcW w:w="208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Status of Obligations</w:t>
            </w:r>
          </w:p>
        </w:tc>
        <w:tc>
          <w:tcPr>
            <w:tcW w:w="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w w:val="79"/>
              </w:rPr>
              <w:t>35</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1.06</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rPr>
              <w:t>Financial Ratios</w:t>
            </w: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35</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1.07</w:t>
            </w:r>
          </w:p>
        </w:tc>
        <w:tc>
          <w:tcPr>
            <w:tcW w:w="8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Division</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35</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5100" w:type="dxa"/>
            <w:vAlign w:val="bottom"/>
            <w:gridSpan w:val="8"/>
          </w:tcPr>
          <w:p>
            <w:pPr>
              <w:ind w:left="740"/>
              <w:spacing w:after="0"/>
              <w:rPr>
                <w:sz w:val="20"/>
                <w:szCs w:val="20"/>
                <w:color w:val="auto"/>
              </w:rPr>
            </w:pPr>
            <w:r>
              <w:rPr>
                <w:rFonts w:ascii="Times New Roman" w:cs="Times New Roman" w:eastAsia="Times New Roman" w:hAnsi="Times New Roman"/>
                <w:sz w:val="20"/>
                <w:szCs w:val="20"/>
                <w:color w:val="231F20"/>
              </w:rPr>
              <w:t>Section 1.08  Foreign Currency; Exchange Rate 35</w:t>
            </w: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1.09</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Calculations</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35</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231F20"/>
              </w:rPr>
              <w:t>ARTICLE II</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THE CREDITS</w:t>
            </w:r>
          </w:p>
        </w:tc>
        <w:tc>
          <w:tcPr>
            <w:tcW w:w="3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36</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2.01</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rPr>
              <w:t>Commitments 36</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2.02</w:t>
            </w:r>
          </w:p>
        </w:tc>
        <w:tc>
          <w:tcPr>
            <w:tcW w:w="208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Loans and Borrowings</w:t>
            </w:r>
          </w:p>
        </w:tc>
        <w:tc>
          <w:tcPr>
            <w:tcW w:w="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w w:val="79"/>
              </w:rPr>
              <w:t>36</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2.03</w:t>
            </w:r>
          </w:p>
        </w:tc>
        <w:tc>
          <w:tcPr>
            <w:tcW w:w="208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w w:val="97"/>
              </w:rPr>
              <w:t>Requests for Borrowings</w:t>
            </w:r>
          </w:p>
        </w:tc>
        <w:tc>
          <w:tcPr>
            <w:tcW w:w="280" w:type="dxa"/>
            <w:vAlign w:val="bottom"/>
          </w:tcPr>
          <w:p>
            <w:pPr>
              <w:spacing w:after="0"/>
              <w:rPr>
                <w:sz w:val="24"/>
                <w:szCs w:val="24"/>
                <w:color w:val="auto"/>
              </w:rPr>
            </w:pPr>
          </w:p>
        </w:tc>
        <w:tc>
          <w:tcPr>
            <w:tcW w:w="90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231F20"/>
              </w:rPr>
              <w:t>36</w:t>
            </w: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51"/>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2.04</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rPr>
              <w:t>Swingline Loans</w:t>
            </w: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37</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2.05</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[Reserved]</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39</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2.06</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rPr>
              <w:t>Letters of Credit</w:t>
            </w: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39</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2.07</w:t>
            </w:r>
          </w:p>
        </w:tc>
        <w:tc>
          <w:tcPr>
            <w:tcW w:w="208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Funding of Borrowings</w:t>
            </w:r>
          </w:p>
        </w:tc>
        <w:tc>
          <w:tcPr>
            <w:tcW w:w="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w w:val="79"/>
              </w:rPr>
              <w:t>43</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2.08</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rPr>
              <w:t>Interest Elections</w:t>
            </w: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44</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2.09</w:t>
            </w:r>
          </w:p>
        </w:tc>
        <w:tc>
          <w:tcPr>
            <w:tcW w:w="366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231F20"/>
                <w:w w:val="98"/>
              </w:rPr>
              <w:t>Termination and Reduction of Commitments</w:t>
            </w:r>
          </w:p>
        </w:tc>
        <w:tc>
          <w:tcPr>
            <w:tcW w:w="4000" w:type="dxa"/>
            <w:vAlign w:val="bottom"/>
          </w:tcPr>
          <w:p>
            <w:pPr>
              <w:jc w:val="right"/>
              <w:ind w:right="3321"/>
              <w:spacing w:after="0"/>
              <w:rPr>
                <w:sz w:val="20"/>
                <w:szCs w:val="20"/>
                <w:color w:val="auto"/>
              </w:rPr>
            </w:pPr>
            <w:r>
              <w:rPr>
                <w:rFonts w:ascii="Times New Roman" w:cs="Times New Roman" w:eastAsia="Times New Roman" w:hAnsi="Times New Roman"/>
                <w:sz w:val="20"/>
                <w:szCs w:val="20"/>
                <w:color w:val="231F20"/>
              </w:rPr>
              <w:t>45</w:t>
            </w:r>
          </w:p>
        </w:tc>
      </w:tr>
      <w:tr>
        <w:trPr>
          <w:trHeight w:val="338"/>
        </w:trPr>
        <w:tc>
          <w:tcPr>
            <w:tcW w:w="5500" w:type="dxa"/>
            <w:vAlign w:val="bottom"/>
            <w:gridSpan w:val="9"/>
          </w:tcPr>
          <w:p>
            <w:pPr>
              <w:ind w:left="740"/>
              <w:spacing w:after="0"/>
              <w:rPr>
                <w:sz w:val="20"/>
                <w:szCs w:val="20"/>
                <w:color w:val="auto"/>
              </w:rPr>
            </w:pPr>
            <w:r>
              <w:rPr>
                <w:rFonts w:ascii="Times New Roman" w:cs="Times New Roman" w:eastAsia="Times New Roman" w:hAnsi="Times New Roman"/>
                <w:sz w:val="20"/>
                <w:szCs w:val="20"/>
                <w:color w:val="231F20"/>
              </w:rPr>
              <w:t>Section 2.10  Repayment of Loans; Evidence of Debt 45</w:t>
            </w: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2.11</w:t>
            </w:r>
          </w:p>
        </w:tc>
        <w:tc>
          <w:tcPr>
            <w:tcW w:w="208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Prepayment of Loans</w:t>
            </w:r>
          </w:p>
        </w:tc>
        <w:tc>
          <w:tcPr>
            <w:tcW w:w="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w w:val="79"/>
              </w:rPr>
              <w:t>46</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2.12</w:t>
            </w:r>
          </w:p>
        </w:tc>
        <w:tc>
          <w:tcPr>
            <w:tcW w:w="8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Fees 47</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2.13</w:t>
            </w:r>
          </w:p>
        </w:tc>
        <w:tc>
          <w:tcPr>
            <w:tcW w:w="8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Interest</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48</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2.14</w:t>
            </w:r>
          </w:p>
        </w:tc>
        <w:tc>
          <w:tcPr>
            <w:tcW w:w="326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231F20"/>
              </w:rPr>
              <w:t>Alternate Rate of Interest; Illegality</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w w:val="89"/>
              </w:rPr>
              <w:t>48</w:t>
            </w: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2.15</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rPr>
              <w:t>Increased Costs</w:t>
            </w: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49</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2.16</w:t>
            </w: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231F20"/>
              </w:rPr>
              <w:t>Break Funding Payments</w:t>
            </w:r>
          </w:p>
        </w:tc>
        <w:tc>
          <w:tcPr>
            <w:tcW w:w="90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231F20"/>
              </w:rPr>
              <w:t>50</w:t>
            </w: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2.17</w:t>
            </w:r>
          </w:p>
        </w:tc>
        <w:tc>
          <w:tcPr>
            <w:tcW w:w="326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231F20"/>
              </w:rPr>
              <w:t>Withholding of Taxes; Gross-Up  51</w:t>
            </w: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09"/>
        </w:trPr>
        <w:tc>
          <w:tcPr>
            <w:tcW w:w="18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Section 2.18</w:t>
            </w:r>
          </w:p>
        </w:tc>
        <w:tc>
          <w:tcPr>
            <w:tcW w:w="766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231F20"/>
              </w:rPr>
              <w:t>Payments Generally; Allocation of Proceeds; Sharing of Setoffs   54 Section 2.19  Mitigation</w:t>
            </w:r>
          </w:p>
        </w:tc>
      </w:tr>
      <w:tr>
        <w:trPr>
          <w:trHeight w:val="229"/>
        </w:trPr>
        <w:tc>
          <w:tcPr>
            <w:tcW w:w="3920" w:type="dxa"/>
            <w:vAlign w:val="bottom"/>
            <w:gridSpan w:val="6"/>
          </w:tcPr>
          <w:p>
            <w:pPr>
              <w:ind w:left="740"/>
              <w:spacing w:after="0"/>
              <w:rPr>
                <w:sz w:val="20"/>
                <w:szCs w:val="20"/>
                <w:color w:val="auto"/>
              </w:rPr>
            </w:pPr>
            <w:r>
              <w:rPr>
                <w:rFonts w:ascii="Times New Roman" w:cs="Times New Roman" w:eastAsia="Times New Roman" w:hAnsi="Times New Roman"/>
                <w:sz w:val="20"/>
                <w:szCs w:val="20"/>
                <w:color w:val="231F20"/>
              </w:rPr>
              <w:t>Obligations; Replacement of Lenders</w:t>
            </w:r>
          </w:p>
        </w:tc>
        <w:tc>
          <w:tcPr>
            <w:tcW w:w="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w w:val="79"/>
              </w:rPr>
              <w:t>56</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58"/>
        </w:trPr>
        <w:tc>
          <w:tcPr>
            <w:tcW w:w="3920" w:type="dxa"/>
            <w:vAlign w:val="bottom"/>
            <w:gridSpan w:val="6"/>
          </w:tcPr>
          <w:p>
            <w:pPr>
              <w:ind w:left="740"/>
              <w:spacing w:after="0"/>
              <w:rPr>
                <w:sz w:val="20"/>
                <w:szCs w:val="20"/>
                <w:color w:val="auto"/>
              </w:rPr>
            </w:pPr>
            <w:r>
              <w:rPr>
                <w:rFonts w:ascii="Times New Roman" w:cs="Times New Roman" w:eastAsia="Times New Roman" w:hAnsi="Times New Roman"/>
                <w:sz w:val="20"/>
                <w:szCs w:val="20"/>
                <w:color w:val="231F20"/>
              </w:rPr>
              <w:t>Section 2.20  Defaulting Lenders 57</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4904105</wp:posOffset>
            </wp:positionH>
            <wp:positionV relativeFrom="paragraph">
              <wp:posOffset>-322580</wp:posOffset>
            </wp:positionV>
            <wp:extent cx="8255" cy="127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-322580</wp:posOffset>
            </wp:positionV>
            <wp:extent cx="8255" cy="127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-322580</wp:posOffset>
            </wp:positionV>
            <wp:extent cx="8255" cy="127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-322580</wp:posOffset>
            </wp:positionV>
            <wp:extent cx="8890" cy="127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-322580</wp:posOffset>
            </wp:positionV>
            <wp:extent cx="8890" cy="127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-322580</wp:posOffset>
            </wp:positionV>
            <wp:extent cx="8255" cy="127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-322580</wp:posOffset>
            </wp:positionV>
            <wp:extent cx="8255" cy="127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-322580</wp:posOffset>
            </wp:positionV>
            <wp:extent cx="8890" cy="127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-322580</wp:posOffset>
            </wp:positionV>
            <wp:extent cx="8890" cy="127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-322580</wp:posOffset>
            </wp:positionV>
            <wp:extent cx="8255" cy="127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12700"/>
                    </a:xfrm>
                    <a:prstGeom prst="rect">
                      <a:avLst/>
                    </a:prstGeom>
                    <a:noFill/>
                  </pic:spPr>
                </pic:pic>
              </a:graphicData>
            </a:graphic>
          </wp:anchor>
        </w:drawing>
      </w:r>
    </w:p>
    <w:p>
      <w:pPr>
        <w:spacing w:after="0" w:line="59" w:lineRule="exact"/>
        <w:rPr>
          <w:sz w:val="20"/>
          <w:szCs w:val="20"/>
          <w:color w:val="auto"/>
        </w:rPr>
      </w:pPr>
    </w:p>
    <w:p>
      <w:pPr>
        <w:ind w:left="1480"/>
        <w:spacing w:after="0"/>
        <w:tabs>
          <w:tab w:leader="none" w:pos="2660" w:val="left"/>
        </w:tabs>
        <w:rPr>
          <w:sz w:val="20"/>
          <w:szCs w:val="20"/>
          <w:color w:val="auto"/>
        </w:rPr>
      </w:pPr>
      <w:r>
        <w:rPr>
          <w:rFonts w:ascii="Times New Roman" w:cs="Times New Roman" w:eastAsia="Times New Roman" w:hAnsi="Times New Roman"/>
          <w:sz w:val="20"/>
          <w:szCs w:val="20"/>
          <w:color w:val="231F20"/>
        </w:rPr>
        <w:t>Section 2.21</w:t>
      </w:r>
      <w:r>
        <w:rPr>
          <w:sz w:val="20"/>
          <w:szCs w:val="20"/>
          <w:color w:val="auto"/>
        </w:rPr>
        <w:tab/>
      </w:r>
      <w:r>
        <w:rPr>
          <w:rFonts w:ascii="Times New Roman" w:cs="Times New Roman" w:eastAsia="Times New Roman" w:hAnsi="Times New Roman"/>
          <w:sz w:val="19"/>
          <w:szCs w:val="19"/>
          <w:color w:val="231F20"/>
        </w:rPr>
        <w:t>Returned Payments 59</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40" w:top="1085" w:right="839" w:bottom="1440" w:gutter="0" w:footer="0" w:header="0"/>
        </w:sectPr>
      </w:pPr>
    </w:p>
    <w:bookmarkStart w:id="131" w:name="page132"/>
    <w:bookmarkEnd w:id="131"/>
    <w:p>
      <w:pPr>
        <w:jc w:val="center"/>
        <w:ind w:left="360"/>
        <w:spacing w:after="0"/>
        <w:rPr>
          <w:sz w:val="20"/>
          <w:szCs w:val="20"/>
          <w:color w:val="auto"/>
        </w:rPr>
      </w:pPr>
      <w:r>
        <w:rPr>
          <w:rFonts w:ascii="Times New Roman" w:cs="Times New Roman" w:eastAsia="Times New Roman" w:hAnsi="Times New Roman"/>
          <w:sz w:val="20"/>
          <w:szCs w:val="20"/>
          <w:b w:val="1"/>
          <w:bCs w:val="1"/>
          <w:color w:val="231F20"/>
        </w:rPr>
        <w:t>TABLE OF CONTENTS</w:t>
      </w:r>
    </w:p>
    <w:p>
      <w:pPr>
        <w:spacing w:after="0" w:line="2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231F20"/>
        </w:rPr>
        <w:t>(continued)</w:t>
      </w:r>
    </w:p>
    <w:tbl>
      <w:tblPr>
        <w:tblLayout w:type="fixed"/>
        <w:tblInd w:w="740" w:type="dxa"/>
        <w:tblCellMar>
          <w:top w:w="0" w:type="dxa"/>
          <w:left w:w="0" w:type="dxa"/>
          <w:bottom w:w="0" w:type="dxa"/>
          <w:right w:w="0" w:type="dxa"/>
        </w:tblCellMar>
      </w:tblPr>
      <w:tr>
        <w:trPr>
          <w:trHeight w:val="262"/>
        </w:trPr>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Page</w:t>
            </w:r>
          </w:p>
        </w:tc>
      </w:tr>
      <w:tr>
        <w:trPr>
          <w:trHeight w:val="622"/>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2.22</w:t>
            </w:r>
          </w:p>
        </w:tc>
        <w:tc>
          <w:tcPr>
            <w:tcW w:w="16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Increase of Commitments</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59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2.23</w:t>
            </w:r>
          </w:p>
        </w:tc>
        <w:tc>
          <w:tcPr>
            <w:tcW w:w="160" w:type="dxa"/>
            <w:vAlign w:val="bottom"/>
          </w:tcPr>
          <w:p>
            <w:pPr>
              <w:spacing w:after="0"/>
              <w:rPr>
                <w:sz w:val="24"/>
                <w:szCs w:val="24"/>
                <w:color w:val="auto"/>
              </w:rPr>
            </w:pPr>
          </w:p>
        </w:tc>
        <w:tc>
          <w:tcPr>
            <w:tcW w:w="3480" w:type="dxa"/>
            <w:vAlign w:val="bottom"/>
            <w:gridSpan w:val="9"/>
          </w:tcPr>
          <w:p>
            <w:pPr>
              <w:spacing w:after="0"/>
              <w:rPr>
                <w:sz w:val="20"/>
                <w:szCs w:val="20"/>
                <w:color w:val="auto"/>
              </w:rPr>
            </w:pPr>
            <w:r>
              <w:rPr>
                <w:rFonts w:ascii="Times New Roman" w:cs="Times New Roman" w:eastAsia="Times New Roman" w:hAnsi="Times New Roman"/>
                <w:sz w:val="20"/>
                <w:szCs w:val="20"/>
                <w:color w:val="231F20"/>
              </w:rPr>
              <w:t>Banking Services and Swap Agreements</w:t>
            </w:r>
          </w:p>
        </w:tc>
        <w:tc>
          <w:tcPr>
            <w:tcW w:w="78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231F20"/>
              </w:rPr>
              <w:t>60</w:t>
            </w: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2.24</w:t>
            </w:r>
          </w:p>
        </w:tc>
        <w:tc>
          <w:tcPr>
            <w:tcW w:w="160" w:type="dxa"/>
            <w:vAlign w:val="bottom"/>
          </w:tcPr>
          <w:p>
            <w:pPr>
              <w:spacing w:after="0"/>
              <w:rPr>
                <w:sz w:val="24"/>
                <w:szCs w:val="24"/>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Amend and Extend Transactions</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61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2.25</w:t>
            </w:r>
          </w:p>
        </w:tc>
        <w:tc>
          <w:tcPr>
            <w:tcW w:w="160" w:type="dxa"/>
            <w:vAlign w:val="bottom"/>
          </w:tcPr>
          <w:p>
            <w:pPr>
              <w:spacing w:after="0"/>
              <w:rPr>
                <w:sz w:val="24"/>
                <w:szCs w:val="24"/>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Benchmark Replacement Setting</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62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5100" w:type="dxa"/>
            <w:vAlign w:val="bottom"/>
            <w:gridSpan w:val="11"/>
          </w:tcPr>
          <w:p>
            <w:pPr>
              <w:spacing w:after="0"/>
              <w:rPr>
                <w:sz w:val="20"/>
                <w:szCs w:val="20"/>
                <w:color w:val="auto"/>
              </w:rPr>
            </w:pPr>
            <w:r>
              <w:rPr>
                <w:rFonts w:ascii="Times New Roman" w:cs="Times New Roman" w:eastAsia="Times New Roman" w:hAnsi="Times New Roman"/>
                <w:sz w:val="20"/>
                <w:szCs w:val="20"/>
                <w:color w:val="231F20"/>
              </w:rPr>
              <w:t>ARTICLE III REPRESENTATIONS AND WARRANTIES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64</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3.01</w:t>
            </w:r>
          </w:p>
        </w:tc>
        <w:tc>
          <w:tcPr>
            <w:tcW w:w="16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Organization; Powers</w:t>
            </w:r>
          </w:p>
        </w:tc>
        <w:tc>
          <w:tcPr>
            <w:tcW w:w="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231F20"/>
              </w:rPr>
              <w:t>64</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3880" w:type="dxa"/>
            <w:vAlign w:val="bottom"/>
            <w:gridSpan w:val="8"/>
          </w:tcPr>
          <w:p>
            <w:pPr>
              <w:spacing w:after="0"/>
              <w:rPr>
                <w:sz w:val="20"/>
                <w:szCs w:val="20"/>
                <w:color w:val="auto"/>
              </w:rPr>
            </w:pPr>
            <w:r>
              <w:rPr>
                <w:rFonts w:ascii="Times New Roman" w:cs="Times New Roman" w:eastAsia="Times New Roman" w:hAnsi="Times New Roman"/>
                <w:sz w:val="20"/>
                <w:szCs w:val="20"/>
                <w:color w:val="231F20"/>
              </w:rPr>
              <w:t>Section 3.02  Authorization; Enforceability 64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3.03</w:t>
            </w:r>
          </w:p>
        </w:tc>
        <w:tc>
          <w:tcPr>
            <w:tcW w:w="160" w:type="dxa"/>
            <w:vAlign w:val="bottom"/>
          </w:tcPr>
          <w:p>
            <w:pPr>
              <w:spacing w:after="0"/>
              <w:rPr>
                <w:sz w:val="24"/>
                <w:szCs w:val="24"/>
                <w:color w:val="auto"/>
              </w:rPr>
            </w:pPr>
          </w:p>
        </w:tc>
        <w:tc>
          <w:tcPr>
            <w:tcW w:w="4680" w:type="dxa"/>
            <w:vAlign w:val="bottom"/>
            <w:gridSpan w:val="11"/>
          </w:tcPr>
          <w:p>
            <w:pPr>
              <w:spacing w:after="0"/>
              <w:rPr>
                <w:sz w:val="20"/>
                <w:szCs w:val="20"/>
                <w:color w:val="auto"/>
              </w:rPr>
            </w:pPr>
            <w:r>
              <w:rPr>
                <w:rFonts w:ascii="Times New Roman" w:cs="Times New Roman" w:eastAsia="Times New Roman" w:hAnsi="Times New Roman"/>
                <w:sz w:val="20"/>
                <w:szCs w:val="20"/>
                <w:color w:val="231F20"/>
              </w:rPr>
              <w:t>Governmental and Third Party Approvals; No Conflicts</w:t>
            </w:r>
          </w:p>
        </w:tc>
        <w:tc>
          <w:tcPr>
            <w:tcW w:w="3140" w:type="dxa"/>
            <w:vAlign w:val="bottom"/>
          </w:tcPr>
          <w:p>
            <w:pPr>
              <w:jc w:val="right"/>
              <w:ind w:right="2781"/>
              <w:spacing w:after="0"/>
              <w:rPr>
                <w:sz w:val="20"/>
                <w:szCs w:val="20"/>
                <w:color w:val="auto"/>
              </w:rPr>
            </w:pPr>
            <w:r>
              <w:rPr>
                <w:rFonts w:ascii="Times New Roman" w:cs="Times New Roman" w:eastAsia="Times New Roman" w:hAnsi="Times New Roman"/>
                <w:sz w:val="20"/>
                <w:szCs w:val="20"/>
                <w:color w:val="231F20"/>
              </w:rPr>
              <w:t>64</w:t>
            </w: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3.04</w:t>
            </w:r>
          </w:p>
        </w:tc>
        <w:tc>
          <w:tcPr>
            <w:tcW w:w="160" w:type="dxa"/>
            <w:vAlign w:val="bottom"/>
          </w:tcPr>
          <w:p>
            <w:pPr>
              <w:spacing w:after="0"/>
              <w:rPr>
                <w:sz w:val="24"/>
                <w:szCs w:val="24"/>
                <w:color w:val="auto"/>
              </w:rPr>
            </w:pPr>
          </w:p>
        </w:tc>
        <w:tc>
          <w:tcPr>
            <w:tcW w:w="4260" w:type="dxa"/>
            <w:vAlign w:val="bottom"/>
            <w:gridSpan w:val="10"/>
          </w:tcPr>
          <w:p>
            <w:pPr>
              <w:spacing w:after="0"/>
              <w:rPr>
                <w:sz w:val="20"/>
                <w:szCs w:val="20"/>
                <w:color w:val="auto"/>
              </w:rPr>
            </w:pPr>
            <w:r>
              <w:rPr>
                <w:rFonts w:ascii="Times New Roman" w:cs="Times New Roman" w:eastAsia="Times New Roman" w:hAnsi="Times New Roman"/>
                <w:sz w:val="20"/>
                <w:szCs w:val="20"/>
                <w:color w:val="231F20"/>
              </w:rPr>
              <w:t>Financial Condition; No Material Adverse Change</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231F20"/>
              </w:rPr>
              <w:t>64</w:t>
            </w: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3.05</w:t>
            </w:r>
          </w:p>
        </w:tc>
        <w:tc>
          <w:tcPr>
            <w:tcW w:w="16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Properties, Permits, etc</w:t>
            </w:r>
          </w:p>
        </w:tc>
        <w:tc>
          <w:tcPr>
            <w:tcW w:w="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231F20"/>
              </w:rPr>
              <w:t>64</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3.06</w:t>
            </w:r>
          </w:p>
        </w:tc>
        <w:tc>
          <w:tcPr>
            <w:tcW w:w="160" w:type="dxa"/>
            <w:vAlign w:val="bottom"/>
          </w:tcPr>
          <w:p>
            <w:pPr>
              <w:spacing w:after="0"/>
              <w:rPr>
                <w:sz w:val="24"/>
                <w:szCs w:val="24"/>
                <w:color w:val="auto"/>
              </w:rPr>
            </w:pPr>
          </w:p>
        </w:tc>
        <w:tc>
          <w:tcPr>
            <w:tcW w:w="316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Litigation and Environmental Matters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89"/>
              </w:rPr>
              <w:t>65</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3.07</w:t>
            </w:r>
          </w:p>
        </w:tc>
        <w:tc>
          <w:tcPr>
            <w:tcW w:w="160" w:type="dxa"/>
            <w:vAlign w:val="bottom"/>
          </w:tcPr>
          <w:p>
            <w:pPr>
              <w:spacing w:after="0"/>
              <w:rPr>
                <w:sz w:val="24"/>
                <w:szCs w:val="24"/>
                <w:color w:val="auto"/>
              </w:rPr>
            </w:pPr>
          </w:p>
        </w:tc>
        <w:tc>
          <w:tcPr>
            <w:tcW w:w="4260" w:type="dxa"/>
            <w:vAlign w:val="bottom"/>
            <w:gridSpan w:val="10"/>
          </w:tcPr>
          <w:p>
            <w:pPr>
              <w:spacing w:after="0"/>
              <w:rPr>
                <w:sz w:val="20"/>
                <w:szCs w:val="20"/>
                <w:color w:val="auto"/>
              </w:rPr>
            </w:pPr>
            <w:r>
              <w:rPr>
                <w:rFonts w:ascii="Times New Roman" w:cs="Times New Roman" w:eastAsia="Times New Roman" w:hAnsi="Times New Roman"/>
                <w:sz w:val="20"/>
                <w:szCs w:val="20"/>
                <w:color w:val="231F20"/>
              </w:rPr>
              <w:t>Compliance with Laws and Agreements; No Default</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231F20"/>
              </w:rPr>
              <w:t>65</w:t>
            </w: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3.08</w:t>
            </w:r>
          </w:p>
        </w:tc>
        <w:tc>
          <w:tcPr>
            <w:tcW w:w="16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Investment Company Status</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65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3.09</w:t>
            </w:r>
          </w:p>
        </w:tc>
        <w:tc>
          <w:tcPr>
            <w:tcW w:w="16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Taxes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w w:val="89"/>
              </w:rPr>
              <w:t>66</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51"/>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3.10</w:t>
            </w:r>
          </w:p>
        </w:tc>
        <w:tc>
          <w:tcPr>
            <w:tcW w:w="16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ERISA</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w w:val="89"/>
              </w:rPr>
              <w:t>66</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3.11</w:t>
            </w:r>
          </w:p>
        </w:tc>
        <w:tc>
          <w:tcPr>
            <w:tcW w:w="16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Disclosure</w:t>
            </w:r>
          </w:p>
        </w:tc>
        <w:tc>
          <w:tcPr>
            <w:tcW w:w="8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231F20"/>
              </w:rPr>
              <w:t>66</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3.12</w:t>
            </w:r>
          </w:p>
        </w:tc>
        <w:tc>
          <w:tcPr>
            <w:tcW w:w="160" w:type="dxa"/>
            <w:vAlign w:val="bottom"/>
          </w:tcPr>
          <w:p>
            <w:pPr>
              <w:spacing w:after="0"/>
              <w:rPr>
                <w:sz w:val="24"/>
                <w:szCs w:val="24"/>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Capitalization and Subsidiaries</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67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3880" w:type="dxa"/>
            <w:vAlign w:val="bottom"/>
            <w:gridSpan w:val="8"/>
          </w:tcPr>
          <w:p>
            <w:pPr>
              <w:spacing w:after="0"/>
              <w:rPr>
                <w:sz w:val="20"/>
                <w:szCs w:val="20"/>
                <w:color w:val="auto"/>
              </w:rPr>
            </w:pPr>
            <w:r>
              <w:rPr>
                <w:rFonts w:ascii="Times New Roman" w:cs="Times New Roman" w:eastAsia="Times New Roman" w:hAnsi="Times New Roman"/>
                <w:sz w:val="20"/>
                <w:szCs w:val="20"/>
                <w:color w:val="231F20"/>
              </w:rPr>
              <w:t>Section 3.13  Security Interest in Collateral 67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3.14</w:t>
            </w:r>
          </w:p>
        </w:tc>
        <w:tc>
          <w:tcPr>
            <w:tcW w:w="16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w w:val="99"/>
              </w:rPr>
              <w:t>Federal Reserve Regulations</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67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3.15</w:t>
            </w:r>
          </w:p>
        </w:tc>
        <w:tc>
          <w:tcPr>
            <w:tcW w:w="160" w:type="dxa"/>
            <w:vAlign w:val="bottom"/>
          </w:tcPr>
          <w:p>
            <w:pPr>
              <w:spacing w:after="0"/>
              <w:rPr>
                <w:sz w:val="24"/>
                <w:szCs w:val="24"/>
                <w:color w:val="auto"/>
              </w:rPr>
            </w:pPr>
          </w:p>
        </w:tc>
        <w:tc>
          <w:tcPr>
            <w:tcW w:w="4680" w:type="dxa"/>
            <w:vAlign w:val="bottom"/>
            <w:gridSpan w:val="11"/>
          </w:tcPr>
          <w:p>
            <w:pPr>
              <w:spacing w:after="0"/>
              <w:rPr>
                <w:sz w:val="20"/>
                <w:szCs w:val="20"/>
                <w:color w:val="auto"/>
              </w:rPr>
            </w:pPr>
            <w:r>
              <w:rPr>
                <w:rFonts w:ascii="Times New Roman" w:cs="Times New Roman" w:eastAsia="Times New Roman" w:hAnsi="Times New Roman"/>
                <w:sz w:val="20"/>
                <w:szCs w:val="20"/>
                <w:color w:val="231F20"/>
                <w:w w:val="99"/>
              </w:rPr>
              <w:t>Anti-Corruption Laws and Sanctions; USA PATRIOT Act</w:t>
            </w:r>
          </w:p>
        </w:tc>
        <w:tc>
          <w:tcPr>
            <w:tcW w:w="3140" w:type="dxa"/>
            <w:vAlign w:val="bottom"/>
          </w:tcPr>
          <w:p>
            <w:pPr>
              <w:jc w:val="right"/>
              <w:ind w:right="2781"/>
              <w:spacing w:after="0"/>
              <w:rPr>
                <w:sz w:val="20"/>
                <w:szCs w:val="20"/>
                <w:color w:val="auto"/>
              </w:rPr>
            </w:pPr>
            <w:r>
              <w:rPr>
                <w:rFonts w:ascii="Times New Roman" w:cs="Times New Roman" w:eastAsia="Times New Roman" w:hAnsi="Times New Roman"/>
                <w:sz w:val="20"/>
                <w:szCs w:val="20"/>
                <w:color w:val="231F20"/>
              </w:rPr>
              <w:t>67</w:t>
            </w: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3.16</w:t>
            </w:r>
          </w:p>
        </w:tc>
        <w:tc>
          <w:tcPr>
            <w:tcW w:w="160" w:type="dxa"/>
            <w:vAlign w:val="bottom"/>
          </w:tcPr>
          <w:p>
            <w:pPr>
              <w:spacing w:after="0"/>
              <w:rPr>
                <w:sz w:val="24"/>
                <w:szCs w:val="24"/>
                <w:color w:val="auto"/>
              </w:rPr>
            </w:pPr>
          </w:p>
        </w:tc>
        <w:tc>
          <w:tcPr>
            <w:tcW w:w="316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Not an Affected Financial Institution</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89"/>
              </w:rPr>
              <w:t>68</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3.17</w:t>
            </w:r>
          </w:p>
        </w:tc>
        <w:tc>
          <w:tcPr>
            <w:tcW w:w="16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Solvency 68</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3.18</w:t>
            </w:r>
          </w:p>
        </w:tc>
        <w:tc>
          <w:tcPr>
            <w:tcW w:w="16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Governmental Authorities</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68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3.19</w:t>
            </w:r>
          </w:p>
        </w:tc>
        <w:tc>
          <w:tcPr>
            <w:tcW w:w="16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w w:val="97"/>
              </w:rPr>
              <w:t>Insurance</w:t>
            </w:r>
          </w:p>
        </w:tc>
        <w:tc>
          <w:tcPr>
            <w:tcW w:w="320" w:type="dxa"/>
            <w:vAlign w:val="bottom"/>
          </w:tcPr>
          <w:p>
            <w:pPr>
              <w:spacing w:after="0"/>
              <w:rPr>
                <w:sz w:val="24"/>
                <w:szCs w:val="24"/>
                <w:color w:val="auto"/>
              </w:rPr>
            </w:pPr>
          </w:p>
        </w:tc>
        <w:tc>
          <w:tcPr>
            <w:tcW w:w="8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231F20"/>
              </w:rPr>
              <w:t>68</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3.20</w:t>
            </w:r>
          </w:p>
        </w:tc>
        <w:tc>
          <w:tcPr>
            <w:tcW w:w="16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Employee Relations</w:t>
            </w:r>
          </w:p>
        </w:tc>
        <w:tc>
          <w:tcPr>
            <w:tcW w:w="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231F20"/>
              </w:rPr>
              <w:t>69</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3.21</w:t>
            </w:r>
          </w:p>
        </w:tc>
        <w:tc>
          <w:tcPr>
            <w:tcW w:w="16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Data Security; Privacy</w:t>
            </w:r>
          </w:p>
        </w:tc>
        <w:tc>
          <w:tcPr>
            <w:tcW w:w="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231F20"/>
              </w:rPr>
              <w:t>69</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1"/>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251A3"/>
              </w:rPr>
              <w:t>Section 3.22</w:t>
            </w:r>
          </w:p>
        </w:tc>
        <w:tc>
          <w:tcPr>
            <w:tcW w:w="160" w:type="dxa"/>
            <w:vAlign w:val="bottom"/>
          </w:tcPr>
          <w:p>
            <w:pPr>
              <w:spacing w:after="0"/>
              <w:rPr>
                <w:sz w:val="24"/>
                <w:szCs w:val="24"/>
                <w:color w:val="auto"/>
              </w:rPr>
            </w:pPr>
          </w:p>
        </w:tc>
        <w:tc>
          <w:tcPr>
            <w:tcW w:w="3160" w:type="dxa"/>
            <w:vAlign w:val="bottom"/>
            <w:gridSpan w:val="7"/>
          </w:tcPr>
          <w:p>
            <w:pPr>
              <w:ind w:left="380"/>
              <w:spacing w:after="0"/>
              <w:rPr>
                <w:sz w:val="20"/>
                <w:szCs w:val="20"/>
                <w:color w:val="auto"/>
              </w:rPr>
            </w:pPr>
            <w:r>
              <w:rPr>
                <w:rFonts w:ascii="Times New Roman" w:cs="Times New Roman" w:eastAsia="Times New Roman" w:hAnsi="Times New Roman"/>
                <w:sz w:val="20"/>
                <w:szCs w:val="20"/>
                <w:color w:val="2251A3"/>
              </w:rPr>
              <w:t>Outbound Investment Rules…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251A3"/>
                <w:w w:val="89"/>
              </w:rPr>
              <w:t>69</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20" w:type="dxa"/>
            <w:vAlign w:val="bottom"/>
            <w:tcBorders>
              <w:top w:val="single" w:sz="8" w:color="2251A3"/>
            </w:tcBorders>
          </w:tcPr>
          <w:p>
            <w:pPr>
              <w:spacing w:after="0" w:line="20" w:lineRule="exact"/>
              <w:rPr>
                <w:sz w:val="1"/>
                <w:szCs w:val="1"/>
                <w:color w:val="auto"/>
              </w:rPr>
            </w:pPr>
          </w:p>
        </w:tc>
        <w:tc>
          <w:tcPr>
            <w:tcW w:w="1020" w:type="dxa"/>
            <w:vAlign w:val="bottom"/>
            <w:tcBorders>
              <w:top w:val="single" w:sz="8" w:color="2251A3"/>
              <w:bottom w:val="single" w:sz="8" w:color="2251A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2251A3"/>
              <w:bottom w:val="single" w:sz="8" w:color="2251A3"/>
            </w:tcBorders>
          </w:tcPr>
          <w:p>
            <w:pPr>
              <w:spacing w:after="0" w:line="20" w:lineRule="exact"/>
              <w:rPr>
                <w:sz w:val="1"/>
                <w:szCs w:val="1"/>
                <w:color w:val="auto"/>
              </w:rPr>
            </w:pPr>
          </w:p>
        </w:tc>
        <w:tc>
          <w:tcPr>
            <w:tcW w:w="320" w:type="dxa"/>
            <w:vAlign w:val="bottom"/>
            <w:tcBorders>
              <w:top w:val="single" w:sz="8" w:color="2251A3"/>
              <w:bottom w:val="single" w:sz="8" w:color="2251A3"/>
            </w:tcBorders>
          </w:tcPr>
          <w:p>
            <w:pPr>
              <w:spacing w:after="0" w:line="20" w:lineRule="exact"/>
              <w:rPr>
                <w:sz w:val="1"/>
                <w:szCs w:val="1"/>
                <w:color w:val="auto"/>
              </w:rPr>
            </w:pPr>
          </w:p>
        </w:tc>
        <w:tc>
          <w:tcPr>
            <w:tcW w:w="800" w:type="dxa"/>
            <w:vAlign w:val="bottom"/>
            <w:tcBorders>
              <w:top w:val="single" w:sz="8" w:color="2251A3"/>
              <w:bottom w:val="single" w:sz="8" w:color="2251A3"/>
            </w:tcBorders>
          </w:tcPr>
          <w:p>
            <w:pPr>
              <w:spacing w:after="0" w:line="20" w:lineRule="exact"/>
              <w:rPr>
                <w:sz w:val="1"/>
                <w:szCs w:val="1"/>
                <w:color w:val="auto"/>
              </w:rPr>
            </w:pPr>
          </w:p>
        </w:tc>
        <w:tc>
          <w:tcPr>
            <w:tcW w:w="420" w:type="dxa"/>
            <w:vAlign w:val="bottom"/>
            <w:tcBorders>
              <w:top w:val="single" w:sz="8" w:color="2251A3"/>
              <w:bottom w:val="single" w:sz="8" w:color="2251A3"/>
            </w:tcBorders>
          </w:tcPr>
          <w:p>
            <w:pPr>
              <w:spacing w:after="0" w:line="20" w:lineRule="exact"/>
              <w:rPr>
                <w:sz w:val="1"/>
                <w:szCs w:val="1"/>
                <w:color w:val="auto"/>
              </w:rPr>
            </w:pPr>
          </w:p>
        </w:tc>
        <w:tc>
          <w:tcPr>
            <w:tcW w:w="360" w:type="dxa"/>
            <w:vAlign w:val="bottom"/>
            <w:tcBorders>
              <w:top w:val="single" w:sz="8" w:color="2251A3"/>
              <w:bottom w:val="single" w:sz="8" w:color="2251A3"/>
            </w:tcBorders>
          </w:tcPr>
          <w:p>
            <w:pPr>
              <w:spacing w:after="0" w:line="20" w:lineRule="exact"/>
              <w:rPr>
                <w:sz w:val="1"/>
                <w:szCs w:val="1"/>
                <w:color w:val="auto"/>
              </w:rPr>
            </w:pPr>
          </w:p>
        </w:tc>
        <w:tc>
          <w:tcPr>
            <w:tcW w:w="120" w:type="dxa"/>
            <w:vAlign w:val="bottom"/>
            <w:tcBorders>
              <w:top w:val="single" w:sz="8" w:color="2251A3"/>
              <w:bottom w:val="single" w:sz="8" w:color="2251A3"/>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2251A3"/>
              <w:bottom w:val="single" w:sz="8" w:color="2251A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324"/>
        </w:trPr>
        <w:tc>
          <w:tcPr>
            <w:tcW w:w="272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ARTICLE IV CONDITIONS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7"/>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4.01</w:t>
            </w:r>
          </w:p>
        </w:tc>
        <w:tc>
          <w:tcPr>
            <w:tcW w:w="16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Conditions to Initial Loans</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69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4.02</w:t>
            </w:r>
          </w:p>
        </w:tc>
        <w:tc>
          <w:tcPr>
            <w:tcW w:w="16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Each Credit Event  72</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384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ARTICLE V  AFFIRMATIVE COVENANTS</w:t>
            </w: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73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5.01</w:t>
            </w:r>
          </w:p>
        </w:tc>
        <w:tc>
          <w:tcPr>
            <w:tcW w:w="160" w:type="dxa"/>
            <w:vAlign w:val="bottom"/>
          </w:tcPr>
          <w:p>
            <w:pPr>
              <w:spacing w:after="0"/>
              <w:rPr>
                <w:sz w:val="24"/>
                <w:szCs w:val="24"/>
                <w:color w:val="auto"/>
              </w:rPr>
            </w:pPr>
          </w:p>
        </w:tc>
        <w:tc>
          <w:tcPr>
            <w:tcW w:w="4260" w:type="dxa"/>
            <w:vAlign w:val="bottom"/>
            <w:gridSpan w:val="10"/>
          </w:tcPr>
          <w:p>
            <w:pPr>
              <w:spacing w:after="0"/>
              <w:rPr>
                <w:sz w:val="20"/>
                <w:szCs w:val="20"/>
                <w:color w:val="auto"/>
              </w:rPr>
            </w:pPr>
            <w:r>
              <w:rPr>
                <w:rFonts w:ascii="Times New Roman" w:cs="Times New Roman" w:eastAsia="Times New Roman" w:hAnsi="Times New Roman"/>
                <w:sz w:val="20"/>
                <w:szCs w:val="20"/>
                <w:color w:val="231F20"/>
              </w:rPr>
              <w:t>Financial Statements and Other Information 73</w:t>
            </w: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40" w:top="1085" w:right="1059" w:bottom="1440" w:gutter="0" w:footer="0" w:header="0"/>
        </w:sectPr>
      </w:pPr>
    </w:p>
    <w:bookmarkStart w:id="132" w:name="page133"/>
    <w:bookmarkEnd w:id="132"/>
    <w:p>
      <w:pPr>
        <w:jc w:val="center"/>
        <w:ind w:left="360"/>
        <w:spacing w:after="0"/>
        <w:rPr>
          <w:sz w:val="20"/>
          <w:szCs w:val="20"/>
          <w:color w:val="auto"/>
        </w:rPr>
      </w:pPr>
      <w:r>
        <w:rPr>
          <w:rFonts w:ascii="Times New Roman" w:cs="Times New Roman" w:eastAsia="Times New Roman" w:hAnsi="Times New Roman"/>
          <w:sz w:val="20"/>
          <w:szCs w:val="20"/>
          <w:b w:val="1"/>
          <w:bCs w:val="1"/>
          <w:color w:val="231F20"/>
        </w:rPr>
        <w:t>TABLE OF CONTENTS</w:t>
      </w:r>
    </w:p>
    <w:p>
      <w:pPr>
        <w:spacing w:after="0" w:line="2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231F20"/>
        </w:rPr>
        <w:t>(continued)</w:t>
      </w:r>
    </w:p>
    <w:p>
      <w:pPr>
        <w:jc w:val="right"/>
        <w:spacing w:after="0"/>
        <w:rPr>
          <w:sz w:val="20"/>
          <w:szCs w:val="20"/>
          <w:color w:val="auto"/>
        </w:rPr>
      </w:pPr>
      <w:r>
        <w:rPr>
          <w:rFonts w:ascii="Times New Roman" w:cs="Times New Roman" w:eastAsia="Times New Roman" w:hAnsi="Times New Roman"/>
          <w:sz w:val="20"/>
          <w:szCs w:val="20"/>
          <w:b w:val="1"/>
          <w:bCs w:val="1"/>
          <w:color w:val="231F20"/>
        </w:rPr>
        <w:t>Page</w:t>
      </w:r>
    </w:p>
    <w:p>
      <w:pPr>
        <w:spacing w:after="0" w:line="396" w:lineRule="exact"/>
        <w:rPr>
          <w:sz w:val="20"/>
          <w:szCs w:val="20"/>
          <w:color w:val="auto"/>
        </w:rPr>
      </w:pPr>
    </w:p>
    <w:tbl>
      <w:tblPr>
        <w:tblLayout w:type="fixed"/>
        <w:tblInd w:w="740" w:type="dxa"/>
        <w:tblCellMar>
          <w:top w:w="0" w:type="dxa"/>
          <w:left w:w="0" w:type="dxa"/>
          <w:bottom w:w="0" w:type="dxa"/>
          <w:right w:w="0" w:type="dxa"/>
        </w:tblCellMar>
      </w:tblPr>
      <w:tr>
        <w:trPr>
          <w:trHeight w:val="258"/>
        </w:trPr>
        <w:tc>
          <w:tcPr>
            <w:tcW w:w="740" w:type="dxa"/>
            <w:vAlign w:val="bottom"/>
          </w:tcPr>
          <w:p>
            <w:pPr>
              <w:spacing w:after="0"/>
              <w:rPr>
                <w:sz w:val="22"/>
                <w:szCs w:val="22"/>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5.02</w:t>
            </w:r>
          </w:p>
        </w:tc>
        <w:tc>
          <w:tcPr>
            <w:tcW w:w="160" w:type="dxa"/>
            <w:vAlign w:val="bottom"/>
          </w:tcPr>
          <w:p>
            <w:pPr>
              <w:spacing w:after="0"/>
              <w:rPr>
                <w:sz w:val="22"/>
                <w:szCs w:val="22"/>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Notices of Material Events</w:t>
            </w:r>
          </w:p>
        </w:tc>
        <w:tc>
          <w:tcPr>
            <w:tcW w:w="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580" w:type="dxa"/>
            <w:vAlign w:val="bottom"/>
          </w:tcPr>
          <w:p>
            <w:pPr>
              <w:spacing w:after="0"/>
              <w:rPr>
                <w:sz w:val="22"/>
                <w:szCs w:val="22"/>
                <w:color w:val="auto"/>
              </w:rPr>
            </w:pPr>
          </w:p>
        </w:tc>
      </w:tr>
      <w:tr>
        <w:trPr>
          <w:trHeight w:val="337"/>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5.03</w:t>
            </w:r>
          </w:p>
        </w:tc>
        <w:tc>
          <w:tcPr>
            <w:tcW w:w="16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20"/>
                <w:szCs w:val="20"/>
                <w:color w:val="231F20"/>
              </w:rPr>
              <w:t>Existence; Conduct of Business</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75</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5.04</w:t>
            </w:r>
          </w:p>
        </w:tc>
        <w:tc>
          <w:tcPr>
            <w:tcW w:w="16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Payment of Taxes</w:t>
            </w: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231F20"/>
              </w:rPr>
              <w:t>75</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09"/>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5.05</w:t>
            </w:r>
          </w:p>
        </w:tc>
        <w:tc>
          <w:tcPr>
            <w:tcW w:w="160" w:type="dxa"/>
            <w:vAlign w:val="bottom"/>
          </w:tcPr>
          <w:p>
            <w:pPr>
              <w:spacing w:after="0"/>
              <w:rPr>
                <w:sz w:val="24"/>
                <w:szCs w:val="24"/>
                <w:color w:val="auto"/>
              </w:rPr>
            </w:pPr>
          </w:p>
        </w:tc>
        <w:tc>
          <w:tcPr>
            <w:tcW w:w="7620" w:type="dxa"/>
            <w:vAlign w:val="bottom"/>
            <w:gridSpan w:val="12"/>
          </w:tcPr>
          <w:p>
            <w:pPr>
              <w:spacing w:after="0"/>
              <w:rPr>
                <w:sz w:val="20"/>
                <w:szCs w:val="20"/>
                <w:color w:val="auto"/>
              </w:rPr>
            </w:pPr>
            <w:r>
              <w:rPr>
                <w:rFonts w:ascii="Times New Roman" w:cs="Times New Roman" w:eastAsia="Times New Roman" w:hAnsi="Times New Roman"/>
                <w:sz w:val="20"/>
                <w:szCs w:val="20"/>
                <w:color w:val="231F20"/>
                <w:w w:val="99"/>
              </w:rPr>
              <w:t>Maintenance of Properties; Insurance; Casualty and Condemnation  75 Section 5.06 Books and</w:t>
            </w:r>
          </w:p>
        </w:tc>
      </w:tr>
      <w:tr>
        <w:trPr>
          <w:trHeight w:val="229"/>
        </w:trPr>
        <w:tc>
          <w:tcPr>
            <w:tcW w:w="740" w:type="dxa"/>
            <w:vAlign w:val="bottom"/>
          </w:tcPr>
          <w:p>
            <w:pPr>
              <w:spacing w:after="0"/>
              <w:rPr>
                <w:sz w:val="19"/>
                <w:szCs w:val="19"/>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Records; Inspection Rights</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231F20"/>
              </w:rPr>
              <w:t>75</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58"/>
        </w:trPr>
        <w:tc>
          <w:tcPr>
            <w:tcW w:w="740" w:type="dxa"/>
            <w:vAlign w:val="bottom"/>
          </w:tcPr>
          <w:p>
            <w:pPr>
              <w:spacing w:after="0"/>
              <w:rPr>
                <w:sz w:val="22"/>
                <w:szCs w:val="22"/>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5.07</w:t>
            </w:r>
          </w:p>
        </w:tc>
        <w:tc>
          <w:tcPr>
            <w:tcW w:w="160" w:type="dxa"/>
            <w:vAlign w:val="bottom"/>
          </w:tcPr>
          <w:p>
            <w:pPr>
              <w:spacing w:after="0"/>
              <w:rPr>
                <w:sz w:val="22"/>
                <w:szCs w:val="22"/>
                <w:color w:val="auto"/>
              </w:rPr>
            </w:pPr>
          </w:p>
        </w:tc>
        <w:tc>
          <w:tcPr>
            <w:tcW w:w="19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Compliance with Laws</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76</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580" w:type="dxa"/>
            <w:vAlign w:val="bottom"/>
          </w:tcPr>
          <w:p>
            <w:pPr>
              <w:spacing w:after="0"/>
              <w:rPr>
                <w:sz w:val="22"/>
                <w:szCs w:val="22"/>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5.08</w:t>
            </w:r>
          </w:p>
        </w:tc>
        <w:tc>
          <w:tcPr>
            <w:tcW w:w="16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Use of Proceeds</w:t>
            </w: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231F20"/>
              </w:rPr>
              <w:t>76</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5.09</w:t>
            </w:r>
          </w:p>
        </w:tc>
        <w:tc>
          <w:tcPr>
            <w:tcW w:w="160" w:type="dxa"/>
            <w:vAlign w:val="bottom"/>
          </w:tcPr>
          <w:p>
            <w:pPr>
              <w:spacing w:after="0"/>
              <w:rPr>
                <w:sz w:val="24"/>
                <w:szCs w:val="24"/>
                <w:color w:val="auto"/>
              </w:rPr>
            </w:pPr>
          </w:p>
        </w:tc>
        <w:tc>
          <w:tcPr>
            <w:tcW w:w="4280" w:type="dxa"/>
            <w:vAlign w:val="bottom"/>
            <w:gridSpan w:val="10"/>
          </w:tcPr>
          <w:p>
            <w:pPr>
              <w:spacing w:after="0"/>
              <w:rPr>
                <w:sz w:val="20"/>
                <w:szCs w:val="20"/>
                <w:color w:val="auto"/>
              </w:rPr>
            </w:pPr>
            <w:r>
              <w:rPr>
                <w:rFonts w:ascii="Times New Roman" w:cs="Times New Roman" w:eastAsia="Times New Roman" w:hAnsi="Times New Roman"/>
                <w:sz w:val="20"/>
                <w:szCs w:val="20"/>
                <w:color w:val="231F20"/>
              </w:rPr>
              <w:t>Additional Collateral; Further Assurances   76</w:t>
            </w: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5.10</w:t>
            </w:r>
          </w:p>
        </w:tc>
        <w:tc>
          <w:tcPr>
            <w:tcW w:w="160" w:type="dxa"/>
            <w:vAlign w:val="bottom"/>
          </w:tcPr>
          <w:p>
            <w:pPr>
              <w:spacing w:after="0"/>
              <w:rPr>
                <w:sz w:val="24"/>
                <w:szCs w:val="24"/>
                <w:color w:val="auto"/>
              </w:rPr>
            </w:pPr>
          </w:p>
        </w:tc>
        <w:tc>
          <w:tcPr>
            <w:tcW w:w="3160" w:type="dxa"/>
            <w:vAlign w:val="bottom"/>
            <w:gridSpan w:val="8"/>
          </w:tcPr>
          <w:p>
            <w:pPr>
              <w:spacing w:after="0"/>
              <w:rPr>
                <w:sz w:val="20"/>
                <w:szCs w:val="20"/>
                <w:color w:val="auto"/>
              </w:rPr>
            </w:pPr>
            <w:r>
              <w:rPr>
                <w:rFonts w:ascii="Times New Roman" w:cs="Times New Roman" w:eastAsia="Times New Roman" w:hAnsi="Times New Roman"/>
                <w:sz w:val="20"/>
                <w:szCs w:val="20"/>
                <w:color w:val="231F20"/>
              </w:rPr>
              <w:t>Anti-Corruption Laws and Sanctions</w:t>
            </w:r>
          </w:p>
        </w:tc>
        <w:tc>
          <w:tcPr>
            <w:tcW w:w="1120" w:type="dxa"/>
            <w:vAlign w:val="bottom"/>
            <w:gridSpan w:val="2"/>
          </w:tcPr>
          <w:p>
            <w:pPr>
              <w:jc w:val="right"/>
              <w:ind w:right="920"/>
              <w:spacing w:after="0"/>
              <w:rPr>
                <w:sz w:val="20"/>
                <w:szCs w:val="20"/>
                <w:color w:val="auto"/>
              </w:rPr>
            </w:pPr>
            <w:r>
              <w:rPr>
                <w:rFonts w:ascii="Times New Roman" w:cs="Times New Roman" w:eastAsia="Times New Roman" w:hAnsi="Times New Roman"/>
                <w:sz w:val="20"/>
                <w:szCs w:val="20"/>
                <w:color w:val="231F20"/>
                <w:w w:val="89"/>
              </w:rPr>
              <w:t>78</w:t>
            </w: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5.11</w:t>
            </w:r>
          </w:p>
        </w:tc>
        <w:tc>
          <w:tcPr>
            <w:tcW w:w="160" w:type="dxa"/>
            <w:vAlign w:val="bottom"/>
          </w:tcPr>
          <w:p>
            <w:pPr>
              <w:spacing w:after="0"/>
              <w:rPr>
                <w:sz w:val="24"/>
                <w:szCs w:val="24"/>
                <w:color w:val="auto"/>
              </w:rPr>
            </w:pPr>
          </w:p>
        </w:tc>
        <w:tc>
          <w:tcPr>
            <w:tcW w:w="3160" w:type="dxa"/>
            <w:vAlign w:val="bottom"/>
            <w:gridSpan w:val="8"/>
          </w:tcPr>
          <w:p>
            <w:pPr>
              <w:spacing w:after="0"/>
              <w:rPr>
                <w:sz w:val="20"/>
                <w:szCs w:val="20"/>
                <w:color w:val="auto"/>
              </w:rPr>
            </w:pPr>
            <w:r>
              <w:rPr>
                <w:rFonts w:ascii="Times New Roman" w:cs="Times New Roman" w:eastAsia="Times New Roman" w:hAnsi="Times New Roman"/>
                <w:sz w:val="20"/>
                <w:szCs w:val="20"/>
                <w:color w:val="231F20"/>
              </w:rPr>
              <w:t>Compliance with Environmental Laws</w:t>
            </w:r>
          </w:p>
        </w:tc>
        <w:tc>
          <w:tcPr>
            <w:tcW w:w="1120" w:type="dxa"/>
            <w:vAlign w:val="bottom"/>
            <w:gridSpan w:val="2"/>
          </w:tcPr>
          <w:p>
            <w:pPr>
              <w:jc w:val="right"/>
              <w:ind w:right="920"/>
              <w:spacing w:after="0"/>
              <w:rPr>
                <w:sz w:val="20"/>
                <w:szCs w:val="20"/>
                <w:color w:val="auto"/>
              </w:rPr>
            </w:pPr>
            <w:r>
              <w:rPr>
                <w:rFonts w:ascii="Times New Roman" w:cs="Times New Roman" w:eastAsia="Times New Roman" w:hAnsi="Times New Roman"/>
                <w:sz w:val="20"/>
                <w:szCs w:val="20"/>
                <w:color w:val="231F20"/>
                <w:w w:val="89"/>
              </w:rPr>
              <w:t>78</w:t>
            </w: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5.12</w:t>
            </w:r>
          </w:p>
        </w:tc>
        <w:tc>
          <w:tcPr>
            <w:tcW w:w="160" w:type="dxa"/>
            <w:vAlign w:val="bottom"/>
          </w:tcPr>
          <w:p>
            <w:pPr>
              <w:spacing w:after="0"/>
              <w:rPr>
                <w:sz w:val="24"/>
                <w:szCs w:val="24"/>
                <w:color w:val="auto"/>
              </w:rPr>
            </w:pPr>
          </w:p>
        </w:tc>
        <w:tc>
          <w:tcPr>
            <w:tcW w:w="19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Intellectual Property</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78</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5.13</w:t>
            </w:r>
          </w:p>
        </w:tc>
        <w:tc>
          <w:tcPr>
            <w:tcW w:w="1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231F20"/>
              </w:rPr>
              <w:t>ERISA</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78</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5.14</w:t>
            </w:r>
          </w:p>
        </w:tc>
        <w:tc>
          <w:tcPr>
            <w:tcW w:w="16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20"/>
                <w:szCs w:val="20"/>
                <w:color w:val="231F20"/>
              </w:rPr>
              <w:t>PCI Compliance; Data Security</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78</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3860" w:type="dxa"/>
            <w:vAlign w:val="bottom"/>
            <w:gridSpan w:val="8"/>
          </w:tcPr>
          <w:p>
            <w:pPr>
              <w:spacing w:after="0"/>
              <w:rPr>
                <w:sz w:val="20"/>
                <w:szCs w:val="20"/>
                <w:color w:val="auto"/>
              </w:rPr>
            </w:pPr>
            <w:r>
              <w:rPr>
                <w:rFonts w:ascii="Times New Roman" w:cs="Times New Roman" w:eastAsia="Times New Roman" w:hAnsi="Times New Roman"/>
                <w:sz w:val="20"/>
                <w:szCs w:val="20"/>
                <w:color w:val="231F20"/>
              </w:rPr>
              <w:t>ARTICLE VI NEGATIVE COVENANTS 78</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6.01</w:t>
            </w:r>
          </w:p>
        </w:tc>
        <w:tc>
          <w:tcPr>
            <w:tcW w:w="16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Indebtedness</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231F20"/>
              </w:rPr>
              <w:t>78</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51"/>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6.02</w:t>
            </w:r>
          </w:p>
        </w:tc>
        <w:tc>
          <w:tcPr>
            <w:tcW w:w="1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231F20"/>
              </w:rPr>
              <w:t>Liens</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81</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6.03</w:t>
            </w:r>
          </w:p>
        </w:tc>
        <w:tc>
          <w:tcPr>
            <w:tcW w:w="160" w:type="dxa"/>
            <w:vAlign w:val="bottom"/>
          </w:tcPr>
          <w:p>
            <w:pPr>
              <w:spacing w:after="0"/>
              <w:rPr>
                <w:sz w:val="24"/>
                <w:szCs w:val="24"/>
                <w:color w:val="auto"/>
              </w:rPr>
            </w:pPr>
          </w:p>
        </w:tc>
        <w:tc>
          <w:tcPr>
            <w:tcW w:w="19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Fundamental Changes</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83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6.04</w:t>
            </w:r>
          </w:p>
        </w:tc>
        <w:tc>
          <w:tcPr>
            <w:tcW w:w="160" w:type="dxa"/>
            <w:vAlign w:val="bottom"/>
          </w:tcPr>
          <w:p>
            <w:pPr>
              <w:spacing w:after="0"/>
              <w:rPr>
                <w:sz w:val="24"/>
                <w:szCs w:val="24"/>
                <w:color w:val="auto"/>
              </w:rPr>
            </w:pPr>
          </w:p>
        </w:tc>
        <w:tc>
          <w:tcPr>
            <w:tcW w:w="5040" w:type="dxa"/>
            <w:vAlign w:val="bottom"/>
            <w:gridSpan w:val="11"/>
          </w:tcPr>
          <w:p>
            <w:pPr>
              <w:spacing w:after="0"/>
              <w:rPr>
                <w:sz w:val="20"/>
                <w:szCs w:val="20"/>
                <w:color w:val="auto"/>
              </w:rPr>
            </w:pPr>
            <w:r>
              <w:rPr>
                <w:rFonts w:ascii="Times New Roman" w:cs="Times New Roman" w:eastAsia="Times New Roman" w:hAnsi="Times New Roman"/>
                <w:sz w:val="20"/>
                <w:szCs w:val="20"/>
                <w:color w:val="231F20"/>
              </w:rPr>
              <w:t>Investments, Loans, Advances, Guarantees and Acquisitions</w:t>
            </w:r>
          </w:p>
        </w:tc>
        <w:tc>
          <w:tcPr>
            <w:tcW w:w="2580" w:type="dxa"/>
            <w:vAlign w:val="bottom"/>
          </w:tcPr>
          <w:p>
            <w:pPr>
              <w:jc w:val="right"/>
              <w:ind w:right="2181"/>
              <w:spacing w:after="0"/>
              <w:rPr>
                <w:sz w:val="20"/>
                <w:szCs w:val="20"/>
                <w:color w:val="auto"/>
              </w:rPr>
            </w:pPr>
            <w:r>
              <w:rPr>
                <w:rFonts w:ascii="Times New Roman" w:cs="Times New Roman" w:eastAsia="Times New Roman" w:hAnsi="Times New Roman"/>
                <w:sz w:val="20"/>
                <w:szCs w:val="20"/>
                <w:color w:val="231F20"/>
              </w:rPr>
              <w:t>84</w:t>
            </w: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6.05</w:t>
            </w:r>
          </w:p>
        </w:tc>
        <w:tc>
          <w:tcPr>
            <w:tcW w:w="160" w:type="dxa"/>
            <w:vAlign w:val="bottom"/>
          </w:tcPr>
          <w:p>
            <w:pPr>
              <w:spacing w:after="0"/>
              <w:rPr>
                <w:sz w:val="24"/>
                <w:szCs w:val="24"/>
                <w:color w:val="auto"/>
              </w:rPr>
            </w:pPr>
          </w:p>
        </w:tc>
        <w:tc>
          <w:tcPr>
            <w:tcW w:w="4280" w:type="dxa"/>
            <w:vAlign w:val="bottom"/>
            <w:gridSpan w:val="10"/>
          </w:tcPr>
          <w:p>
            <w:pPr>
              <w:spacing w:after="0"/>
              <w:rPr>
                <w:sz w:val="20"/>
                <w:szCs w:val="20"/>
                <w:color w:val="auto"/>
              </w:rPr>
            </w:pPr>
            <w:r>
              <w:rPr>
                <w:rFonts w:ascii="Times New Roman" w:cs="Times New Roman" w:eastAsia="Times New Roman" w:hAnsi="Times New Roman"/>
                <w:sz w:val="20"/>
                <w:szCs w:val="20"/>
                <w:color w:val="231F20"/>
              </w:rPr>
              <w:t>Asset Dispositions; Sale and Leaseback Transactions</w:t>
            </w: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231F20"/>
              </w:rPr>
              <w:t>86</w:t>
            </w: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6.06</w:t>
            </w:r>
          </w:p>
        </w:tc>
        <w:tc>
          <w:tcPr>
            <w:tcW w:w="16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Swap Agreements</w:t>
            </w: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231F20"/>
              </w:rPr>
              <w:t>87</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6.07</w:t>
            </w:r>
          </w:p>
        </w:tc>
        <w:tc>
          <w:tcPr>
            <w:tcW w:w="160" w:type="dxa"/>
            <w:vAlign w:val="bottom"/>
          </w:tcPr>
          <w:p>
            <w:pPr>
              <w:spacing w:after="0"/>
              <w:rPr>
                <w:sz w:val="24"/>
                <w:szCs w:val="24"/>
                <w:color w:val="auto"/>
              </w:rPr>
            </w:pPr>
          </w:p>
        </w:tc>
        <w:tc>
          <w:tcPr>
            <w:tcW w:w="4280" w:type="dxa"/>
            <w:vAlign w:val="bottom"/>
            <w:gridSpan w:val="10"/>
          </w:tcPr>
          <w:p>
            <w:pPr>
              <w:spacing w:after="0"/>
              <w:rPr>
                <w:sz w:val="20"/>
                <w:szCs w:val="20"/>
                <w:color w:val="auto"/>
              </w:rPr>
            </w:pPr>
            <w:r>
              <w:rPr>
                <w:rFonts w:ascii="Times New Roman" w:cs="Times New Roman" w:eastAsia="Times New Roman" w:hAnsi="Times New Roman"/>
                <w:sz w:val="20"/>
                <w:szCs w:val="20"/>
                <w:color w:val="231F20"/>
              </w:rPr>
              <w:t>Restricted Payments; Prepayments of Junior Debt</w:t>
            </w: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231F20"/>
              </w:rPr>
              <w:t>87</w:t>
            </w: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6.08</w:t>
            </w:r>
          </w:p>
        </w:tc>
        <w:tc>
          <w:tcPr>
            <w:tcW w:w="160" w:type="dxa"/>
            <w:vAlign w:val="bottom"/>
          </w:tcPr>
          <w:p>
            <w:pPr>
              <w:spacing w:after="0"/>
              <w:rPr>
                <w:sz w:val="24"/>
                <w:szCs w:val="24"/>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Transactions with Affiliates</w:t>
            </w:r>
          </w:p>
        </w:tc>
        <w:tc>
          <w:tcPr>
            <w:tcW w:w="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88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6.09</w:t>
            </w:r>
          </w:p>
        </w:tc>
        <w:tc>
          <w:tcPr>
            <w:tcW w:w="160" w:type="dxa"/>
            <w:vAlign w:val="bottom"/>
          </w:tcPr>
          <w:p>
            <w:pPr>
              <w:spacing w:after="0"/>
              <w:rPr>
                <w:sz w:val="24"/>
                <w:szCs w:val="24"/>
                <w:color w:val="auto"/>
              </w:rPr>
            </w:pPr>
          </w:p>
        </w:tc>
        <w:tc>
          <w:tcPr>
            <w:tcW w:w="19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Restrictive Agreements</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89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6.10</w:t>
            </w:r>
          </w:p>
        </w:tc>
        <w:tc>
          <w:tcPr>
            <w:tcW w:w="160" w:type="dxa"/>
            <w:vAlign w:val="bottom"/>
          </w:tcPr>
          <w:p>
            <w:pPr>
              <w:spacing w:after="0"/>
              <w:rPr>
                <w:sz w:val="24"/>
                <w:szCs w:val="24"/>
                <w:color w:val="auto"/>
              </w:rPr>
            </w:pPr>
          </w:p>
        </w:tc>
        <w:tc>
          <w:tcPr>
            <w:tcW w:w="5040" w:type="dxa"/>
            <w:vAlign w:val="bottom"/>
            <w:gridSpan w:val="11"/>
          </w:tcPr>
          <w:p>
            <w:pPr>
              <w:spacing w:after="0"/>
              <w:rPr>
                <w:sz w:val="20"/>
                <w:szCs w:val="20"/>
                <w:color w:val="auto"/>
              </w:rPr>
            </w:pPr>
            <w:r>
              <w:rPr>
                <w:rFonts w:ascii="Times New Roman" w:cs="Times New Roman" w:eastAsia="Times New Roman" w:hAnsi="Times New Roman"/>
                <w:sz w:val="20"/>
                <w:szCs w:val="20"/>
                <w:color w:val="231F20"/>
              </w:rPr>
              <w:t>Amendment of Material Documents; End of Fiscal Years  89</w:t>
            </w: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6.11</w:t>
            </w:r>
          </w:p>
        </w:tc>
        <w:tc>
          <w:tcPr>
            <w:tcW w:w="160" w:type="dxa"/>
            <w:vAlign w:val="bottom"/>
          </w:tcPr>
          <w:p>
            <w:pPr>
              <w:spacing w:after="0"/>
              <w:rPr>
                <w:sz w:val="24"/>
                <w:szCs w:val="24"/>
                <w:color w:val="auto"/>
              </w:rPr>
            </w:pPr>
          </w:p>
        </w:tc>
        <w:tc>
          <w:tcPr>
            <w:tcW w:w="19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Financial Covenants</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90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7"/>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6.12</w:t>
            </w:r>
          </w:p>
        </w:tc>
        <w:tc>
          <w:tcPr>
            <w:tcW w:w="1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231F20"/>
              </w:rPr>
              <w:t>ERISA</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90</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91"/>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251A3"/>
              </w:rPr>
              <w:t>Section 6.13</w:t>
            </w:r>
          </w:p>
        </w:tc>
        <w:tc>
          <w:tcPr>
            <w:tcW w:w="160" w:type="dxa"/>
            <w:vAlign w:val="bottom"/>
          </w:tcPr>
          <w:p>
            <w:pPr>
              <w:spacing w:after="0"/>
              <w:rPr>
                <w:sz w:val="24"/>
                <w:szCs w:val="24"/>
                <w:color w:val="auto"/>
              </w:rPr>
            </w:pPr>
          </w:p>
        </w:tc>
        <w:tc>
          <w:tcPr>
            <w:tcW w:w="3160" w:type="dxa"/>
            <w:vAlign w:val="bottom"/>
            <w:gridSpan w:val="8"/>
          </w:tcPr>
          <w:p>
            <w:pPr>
              <w:ind w:left="380"/>
              <w:spacing w:after="0"/>
              <w:rPr>
                <w:sz w:val="20"/>
                <w:szCs w:val="20"/>
                <w:color w:val="auto"/>
              </w:rPr>
            </w:pPr>
            <w:r>
              <w:rPr>
                <w:rFonts w:ascii="Times New Roman" w:cs="Times New Roman" w:eastAsia="Times New Roman" w:hAnsi="Times New Roman"/>
                <w:sz w:val="20"/>
                <w:szCs w:val="20"/>
                <w:color w:val="2251A3"/>
              </w:rPr>
              <w:t>Outbound Investment Rules…</w:t>
            </w:r>
          </w:p>
        </w:tc>
        <w:tc>
          <w:tcPr>
            <w:tcW w:w="1120" w:type="dxa"/>
            <w:vAlign w:val="bottom"/>
            <w:gridSpan w:val="2"/>
          </w:tcPr>
          <w:p>
            <w:pPr>
              <w:jc w:val="right"/>
              <w:ind w:right="920"/>
              <w:spacing w:after="0"/>
              <w:rPr>
                <w:sz w:val="20"/>
                <w:szCs w:val="20"/>
                <w:color w:val="auto"/>
              </w:rPr>
            </w:pPr>
            <w:r>
              <w:rPr>
                <w:rFonts w:ascii="Times New Roman" w:cs="Times New Roman" w:eastAsia="Times New Roman" w:hAnsi="Times New Roman"/>
                <w:sz w:val="20"/>
                <w:szCs w:val="20"/>
                <w:color w:val="2251A3"/>
                <w:w w:val="89"/>
              </w:rPr>
              <w:t>90</w:t>
            </w: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20" w:type="dxa"/>
            <w:vAlign w:val="bottom"/>
            <w:tcBorders>
              <w:top w:val="single" w:sz="8" w:color="2251A3"/>
            </w:tcBorders>
          </w:tcPr>
          <w:p>
            <w:pPr>
              <w:spacing w:after="0" w:line="20" w:lineRule="exact"/>
              <w:rPr>
                <w:sz w:val="1"/>
                <w:szCs w:val="1"/>
                <w:color w:val="auto"/>
              </w:rPr>
            </w:pPr>
          </w:p>
        </w:tc>
        <w:tc>
          <w:tcPr>
            <w:tcW w:w="1020" w:type="dxa"/>
            <w:vAlign w:val="bottom"/>
            <w:tcBorders>
              <w:top w:val="single" w:sz="8" w:color="2251A3"/>
              <w:bottom w:val="single" w:sz="8" w:color="2251A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2251A3"/>
              <w:bottom w:val="single" w:sz="8" w:color="2251A3"/>
            </w:tcBorders>
            <w:gridSpan w:val="3"/>
          </w:tcPr>
          <w:p>
            <w:pPr>
              <w:spacing w:after="0" w:line="20" w:lineRule="exact"/>
              <w:rPr>
                <w:sz w:val="1"/>
                <w:szCs w:val="1"/>
                <w:color w:val="auto"/>
              </w:rPr>
            </w:pPr>
          </w:p>
        </w:tc>
        <w:tc>
          <w:tcPr>
            <w:tcW w:w="400" w:type="dxa"/>
            <w:vAlign w:val="bottom"/>
            <w:tcBorders>
              <w:top w:val="single" w:sz="8" w:color="2251A3"/>
              <w:bottom w:val="single" w:sz="8" w:color="2251A3"/>
            </w:tcBorders>
          </w:tcPr>
          <w:p>
            <w:pPr>
              <w:spacing w:after="0" w:line="20" w:lineRule="exact"/>
              <w:rPr>
                <w:sz w:val="1"/>
                <w:szCs w:val="1"/>
                <w:color w:val="auto"/>
              </w:rPr>
            </w:pPr>
          </w:p>
        </w:tc>
        <w:tc>
          <w:tcPr>
            <w:tcW w:w="360" w:type="dxa"/>
            <w:vAlign w:val="bottom"/>
            <w:tcBorders>
              <w:top w:val="single" w:sz="8" w:color="2251A3"/>
              <w:bottom w:val="single" w:sz="8" w:color="2251A3"/>
            </w:tcBorders>
          </w:tcPr>
          <w:p>
            <w:pPr>
              <w:spacing w:after="0" w:line="20" w:lineRule="exact"/>
              <w:rPr>
                <w:sz w:val="1"/>
                <w:szCs w:val="1"/>
                <w:color w:val="auto"/>
              </w:rPr>
            </w:pPr>
          </w:p>
        </w:tc>
        <w:tc>
          <w:tcPr>
            <w:tcW w:w="400" w:type="dxa"/>
            <w:vAlign w:val="bottom"/>
            <w:tcBorders>
              <w:top w:val="single" w:sz="8" w:color="2251A3"/>
              <w:bottom w:val="single" w:sz="8" w:color="2251A3"/>
            </w:tcBorders>
          </w:tcPr>
          <w:p>
            <w:pPr>
              <w:spacing w:after="0" w:line="20" w:lineRule="exact"/>
              <w:rPr>
                <w:sz w:val="1"/>
                <w:szCs w:val="1"/>
                <w:color w:val="auto"/>
              </w:rPr>
            </w:pPr>
          </w:p>
        </w:tc>
        <w:tc>
          <w:tcPr>
            <w:tcW w:w="120" w:type="dxa"/>
            <w:vAlign w:val="bottom"/>
            <w:tcBorders>
              <w:top w:val="single" w:sz="8" w:color="2251A3"/>
              <w:bottom w:val="single" w:sz="8" w:color="2251A3"/>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2251A3"/>
              <w:bottom w:val="single" w:sz="8" w:color="2251A3"/>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24"/>
        </w:trPr>
        <w:tc>
          <w:tcPr>
            <w:tcW w:w="346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ARTICLE VII EVENTS OF DEFAULT</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91</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4220" w:type="dxa"/>
            <w:vAlign w:val="bottom"/>
            <w:gridSpan w:val="9"/>
          </w:tcPr>
          <w:p>
            <w:pPr>
              <w:spacing w:after="0"/>
              <w:rPr>
                <w:sz w:val="20"/>
                <w:szCs w:val="20"/>
                <w:color w:val="auto"/>
              </w:rPr>
            </w:pPr>
            <w:r>
              <w:rPr>
                <w:rFonts w:ascii="Times New Roman" w:cs="Times New Roman" w:eastAsia="Times New Roman" w:hAnsi="Times New Roman"/>
                <w:sz w:val="20"/>
                <w:szCs w:val="20"/>
                <w:color w:val="231F20"/>
              </w:rPr>
              <w:t>ARTICLE VIII THE ADMINISTRATIVE AGENT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8.01</w:t>
            </w:r>
          </w:p>
        </w:tc>
        <w:tc>
          <w:tcPr>
            <w:tcW w:w="16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Appointment</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231F20"/>
              </w:rPr>
              <w:t>94</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8.02</w:t>
            </w:r>
          </w:p>
        </w:tc>
        <w:tc>
          <w:tcPr>
            <w:tcW w:w="16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Rights as a Lender</w:t>
            </w: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231F20"/>
              </w:rPr>
              <w:t>94</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8.03</w:t>
            </w:r>
          </w:p>
        </w:tc>
        <w:tc>
          <w:tcPr>
            <w:tcW w:w="160" w:type="dxa"/>
            <w:vAlign w:val="bottom"/>
          </w:tcPr>
          <w:p>
            <w:pPr>
              <w:spacing w:after="0"/>
              <w:rPr>
                <w:sz w:val="24"/>
                <w:szCs w:val="24"/>
                <w:color w:val="auto"/>
              </w:rPr>
            </w:pPr>
          </w:p>
        </w:tc>
        <w:tc>
          <w:tcPr>
            <w:tcW w:w="19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Duties and Obligations</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94</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5067300</wp:posOffset>
            </wp:positionH>
            <wp:positionV relativeFrom="paragraph">
              <wp:posOffset>-5902960</wp:posOffset>
            </wp:positionV>
            <wp:extent cx="8890" cy="127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-5902960</wp:posOffset>
            </wp:positionV>
            <wp:extent cx="8890" cy="127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-5902960</wp:posOffset>
            </wp:positionV>
            <wp:extent cx="8255" cy="127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5118735</wp:posOffset>
            </wp:positionH>
            <wp:positionV relativeFrom="paragraph">
              <wp:posOffset>-5902960</wp:posOffset>
            </wp:positionV>
            <wp:extent cx="8255" cy="127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-5902960</wp:posOffset>
            </wp:positionV>
            <wp:extent cx="8255" cy="127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5153025</wp:posOffset>
            </wp:positionH>
            <wp:positionV relativeFrom="paragraph">
              <wp:posOffset>-5902960</wp:posOffset>
            </wp:positionV>
            <wp:extent cx="8890" cy="127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1270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40" w:top="1085" w:right="1059" w:bottom="1440" w:gutter="0" w:footer="0" w:header="0"/>
        </w:sectPr>
      </w:pPr>
    </w:p>
    <w:bookmarkStart w:id="133" w:name="page134"/>
    <w:bookmarkEnd w:id="133"/>
    <w:p>
      <w:pPr>
        <w:jc w:val="center"/>
        <w:ind w:left="360"/>
        <w:spacing w:after="0"/>
        <w:rPr>
          <w:sz w:val="20"/>
          <w:szCs w:val="20"/>
          <w:color w:val="auto"/>
        </w:rPr>
      </w:pPr>
      <w:r>
        <w:rPr>
          <w:rFonts w:ascii="Times New Roman" w:cs="Times New Roman" w:eastAsia="Times New Roman" w:hAnsi="Times New Roman"/>
          <w:sz w:val="20"/>
          <w:szCs w:val="20"/>
          <w:b w:val="1"/>
          <w:bCs w:val="1"/>
          <w:color w:val="231F20"/>
        </w:rPr>
        <w:t>TABLE OF CONTENTS</w:t>
      </w:r>
    </w:p>
    <w:p>
      <w:pPr>
        <w:spacing w:after="0" w:line="2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231F20"/>
        </w:rPr>
        <w:t>(continued)</w:t>
      </w:r>
    </w:p>
    <w:tbl>
      <w:tblPr>
        <w:tblLayout w:type="fixed"/>
        <w:tblInd w:w="740" w:type="dxa"/>
        <w:tblCellMar>
          <w:top w:w="0" w:type="dxa"/>
          <w:left w:w="0" w:type="dxa"/>
          <w:bottom w:w="0" w:type="dxa"/>
          <w:right w:w="0" w:type="dxa"/>
        </w:tblCellMar>
      </w:tblPr>
      <w:tr>
        <w:trPr>
          <w:trHeight w:val="262"/>
        </w:trPr>
        <w:tc>
          <w:tcPr>
            <w:tcW w:w="1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Page</w:t>
            </w:r>
          </w:p>
        </w:tc>
      </w:tr>
      <w:tr>
        <w:trPr>
          <w:trHeight w:val="622"/>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8.04</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Reliance</w:t>
            </w:r>
          </w:p>
        </w:tc>
        <w:tc>
          <w:tcPr>
            <w:tcW w:w="4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95</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8.05</w:t>
            </w:r>
          </w:p>
        </w:tc>
        <w:tc>
          <w:tcPr>
            <w:tcW w:w="242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231F20"/>
              </w:rPr>
              <w:t>Actions through Sub-Agents</w:t>
            </w:r>
          </w:p>
        </w:tc>
        <w:tc>
          <w:tcPr>
            <w:tcW w:w="4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95</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7"/>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8.06</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Resignation</w:t>
            </w:r>
          </w:p>
        </w:tc>
        <w:tc>
          <w:tcPr>
            <w:tcW w:w="400" w:type="dxa"/>
            <w:vAlign w:val="bottom"/>
          </w:tcPr>
          <w:p>
            <w:pPr>
              <w:spacing w:after="0"/>
              <w:rPr>
                <w:sz w:val="20"/>
                <w:szCs w:val="20"/>
                <w:color w:val="auto"/>
              </w:rPr>
            </w:pPr>
            <w:r>
              <w:rPr>
                <w:rFonts w:ascii="Times New Roman" w:cs="Times New Roman" w:eastAsia="Times New Roman" w:hAnsi="Times New Roman"/>
                <w:sz w:val="20"/>
                <w:szCs w:val="20"/>
                <w:color w:val="231F20"/>
              </w:rPr>
              <w:t>95</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8.07</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rPr>
              <w:t>Non-Reliance 96</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09"/>
        </w:trPr>
        <w:tc>
          <w:tcPr>
            <w:tcW w:w="7040" w:type="dxa"/>
            <w:vAlign w:val="bottom"/>
            <w:gridSpan w:val="10"/>
          </w:tcPr>
          <w:p>
            <w:pPr>
              <w:ind w:left="740"/>
              <w:spacing w:after="0"/>
              <w:rPr>
                <w:sz w:val="20"/>
                <w:szCs w:val="20"/>
                <w:color w:val="auto"/>
              </w:rPr>
            </w:pPr>
            <w:r>
              <w:rPr>
                <w:rFonts w:ascii="Times New Roman" w:cs="Times New Roman" w:eastAsia="Times New Roman" w:hAnsi="Times New Roman"/>
                <w:sz w:val="20"/>
                <w:szCs w:val="20"/>
                <w:color w:val="231F20"/>
              </w:rPr>
              <w:t>Section 8.08  Not Partners or Co-Venturers; Administrative Agent as</w:t>
            </w:r>
          </w:p>
        </w:tc>
        <w:tc>
          <w:tcPr>
            <w:tcW w:w="2720" w:type="dxa"/>
            <w:vAlign w:val="bottom"/>
          </w:tcPr>
          <w:p>
            <w:pPr>
              <w:spacing w:after="0"/>
              <w:rPr>
                <w:sz w:val="24"/>
                <w:szCs w:val="24"/>
                <w:color w:val="auto"/>
              </w:rPr>
            </w:pPr>
          </w:p>
        </w:tc>
      </w:tr>
      <w:tr>
        <w:trPr>
          <w:trHeight w:val="258"/>
        </w:trPr>
        <w:tc>
          <w:tcPr>
            <w:tcW w:w="1840" w:type="dxa"/>
            <w:vAlign w:val="bottom"/>
          </w:tcPr>
          <w:p>
            <w:pPr>
              <w:spacing w:after="0"/>
              <w:rPr>
                <w:sz w:val="22"/>
                <w:szCs w:val="22"/>
                <w:color w:val="auto"/>
              </w:rPr>
            </w:pPr>
          </w:p>
        </w:tc>
        <w:tc>
          <w:tcPr>
            <w:tcW w:w="4320" w:type="dxa"/>
            <w:vAlign w:val="bottom"/>
            <w:gridSpan w:val="8"/>
          </w:tcPr>
          <w:p>
            <w:pPr>
              <w:ind w:left="780"/>
              <w:spacing w:after="0"/>
              <w:rPr>
                <w:sz w:val="20"/>
                <w:szCs w:val="20"/>
                <w:color w:val="auto"/>
              </w:rPr>
            </w:pPr>
            <w:r>
              <w:rPr>
                <w:rFonts w:ascii="Times New Roman" w:cs="Times New Roman" w:eastAsia="Times New Roman" w:hAnsi="Times New Roman"/>
                <w:sz w:val="20"/>
                <w:szCs w:val="20"/>
                <w:color w:val="231F20"/>
              </w:rPr>
              <w:t>Representative of the Secured Parties  96</w:t>
            </w:r>
          </w:p>
        </w:tc>
        <w:tc>
          <w:tcPr>
            <w:tcW w:w="88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8.09</w:t>
            </w:r>
          </w:p>
        </w:tc>
        <w:tc>
          <w:tcPr>
            <w:tcW w:w="282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231F20"/>
              </w:rPr>
              <w:t>Lenders Not Subject to ERISA</w:t>
            </w:r>
          </w:p>
        </w:tc>
        <w:tc>
          <w:tcPr>
            <w:tcW w:w="7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231F20"/>
              </w:rPr>
              <w:t>97</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8"/>
        </w:trPr>
        <w:tc>
          <w:tcPr>
            <w:tcW w:w="386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231F20"/>
              </w:rPr>
              <w:t>Section 8.10  Erroneous Payment 98</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8"/>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ARTICLE IX MISCELLANEOUS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9.01</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Notices</w:t>
            </w:r>
          </w:p>
        </w:tc>
        <w:tc>
          <w:tcPr>
            <w:tcW w:w="4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100</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9.02</w:t>
            </w:r>
          </w:p>
        </w:tc>
        <w:tc>
          <w:tcPr>
            <w:tcW w:w="20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Waivers; Amendments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9.03</w:t>
            </w:r>
          </w:p>
        </w:tc>
        <w:tc>
          <w:tcPr>
            <w:tcW w:w="36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231F20"/>
              </w:rPr>
              <w:t>Expenses; Indemnity; Damage Waiver 104</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9.04</w:t>
            </w:r>
          </w:p>
        </w:tc>
        <w:tc>
          <w:tcPr>
            <w:tcW w:w="20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w w:val="99"/>
              </w:rPr>
              <w:t>Successors and Assigns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7"/>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9.05</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Survival</w:t>
            </w:r>
          </w:p>
        </w:tc>
        <w:tc>
          <w:tcPr>
            <w:tcW w:w="4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109</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22"/>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9.06</w:t>
            </w:r>
          </w:p>
        </w:tc>
        <w:tc>
          <w:tcPr>
            <w:tcW w:w="520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231F20"/>
              </w:rPr>
              <w:t>Counterparts; Integration; Effectiveness; Electronic Execution</w:t>
            </w:r>
          </w:p>
        </w:tc>
        <w:tc>
          <w:tcPr>
            <w:tcW w:w="27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231F20"/>
              </w:rPr>
              <w:t>110 Section 9.07  Severability</w:t>
            </w:r>
          </w:p>
        </w:tc>
      </w:tr>
      <w:tr>
        <w:trPr>
          <w:trHeight w:val="230"/>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110</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5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9.08</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w w:val="96"/>
              </w:rPr>
              <w:t>Right of Setoff</w:t>
            </w:r>
          </w:p>
        </w:tc>
        <w:tc>
          <w:tcPr>
            <w:tcW w:w="4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3"/>
              </w:rPr>
              <w:t>110</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9.09</w:t>
            </w:r>
          </w:p>
        </w:tc>
        <w:tc>
          <w:tcPr>
            <w:tcW w:w="520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231F20"/>
              </w:rPr>
              <w:t>Governing Law; Jurisdiction; Consent to Service of Process</w:t>
            </w:r>
          </w:p>
        </w:tc>
        <w:tc>
          <w:tcPr>
            <w:tcW w:w="2720" w:type="dxa"/>
            <w:vAlign w:val="bottom"/>
          </w:tcPr>
          <w:p>
            <w:pPr>
              <w:jc w:val="right"/>
              <w:ind w:right="2281"/>
              <w:spacing w:after="0"/>
              <w:rPr>
                <w:sz w:val="20"/>
                <w:szCs w:val="20"/>
                <w:color w:val="auto"/>
              </w:rPr>
            </w:pPr>
            <w:r>
              <w:rPr>
                <w:rFonts w:ascii="Times New Roman" w:cs="Times New Roman" w:eastAsia="Times New Roman" w:hAnsi="Times New Roman"/>
                <w:sz w:val="20"/>
                <w:szCs w:val="20"/>
                <w:color w:val="231F20"/>
              </w:rPr>
              <w:t>110</w:t>
            </w: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9.10</w:t>
            </w:r>
          </w:p>
        </w:tc>
        <w:tc>
          <w:tcPr>
            <w:tcW w:w="282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231F20"/>
              </w:rPr>
              <w:t>WAIVER OF JURY TRIAL 111</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9.11</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Headings 111</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9.12</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rPr>
              <w:t>Confidentiality</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3"/>
              </w:rPr>
              <w:t>111</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9.13</w:t>
            </w:r>
          </w:p>
        </w:tc>
        <w:tc>
          <w:tcPr>
            <w:tcW w:w="432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231F20"/>
              </w:rPr>
              <w:t>Several Obligations; Nonreliance; Violation of Law</w:t>
            </w: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231F20"/>
              </w:rPr>
              <w:t>113</w:t>
            </w:r>
          </w:p>
        </w:tc>
        <w:tc>
          <w:tcPr>
            <w:tcW w:w="2720" w:type="dxa"/>
            <w:vAlign w:val="bottom"/>
          </w:tcPr>
          <w:p>
            <w:pPr>
              <w:spacing w:after="0"/>
              <w:rPr>
                <w:sz w:val="24"/>
                <w:szCs w:val="24"/>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9.14</w:t>
            </w:r>
          </w:p>
        </w:tc>
        <w:tc>
          <w:tcPr>
            <w:tcW w:w="20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USA PATRIOT Act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9.15</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Disclosure</w:t>
            </w:r>
          </w:p>
        </w:tc>
        <w:tc>
          <w:tcPr>
            <w:tcW w:w="400" w:type="dxa"/>
            <w:vAlign w:val="bottom"/>
          </w:tcPr>
          <w:p>
            <w:pPr>
              <w:spacing w:after="0"/>
              <w:rPr>
                <w:sz w:val="20"/>
                <w:szCs w:val="20"/>
                <w:color w:val="auto"/>
              </w:rPr>
            </w:pPr>
            <w:r>
              <w:rPr>
                <w:rFonts w:ascii="Times New Roman" w:cs="Times New Roman" w:eastAsia="Times New Roman" w:hAnsi="Times New Roman"/>
                <w:sz w:val="20"/>
                <w:szCs w:val="20"/>
                <w:color w:val="231F20"/>
              </w:rPr>
              <w:t>113</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7"/>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9.16</w:t>
            </w:r>
          </w:p>
        </w:tc>
        <w:tc>
          <w:tcPr>
            <w:tcW w:w="242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231F20"/>
              </w:rPr>
              <w:t>Appointment for Perfection</w:t>
            </w:r>
          </w:p>
        </w:tc>
        <w:tc>
          <w:tcPr>
            <w:tcW w:w="4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113</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9.17</w:t>
            </w:r>
          </w:p>
        </w:tc>
        <w:tc>
          <w:tcPr>
            <w:tcW w:w="242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231F20"/>
              </w:rPr>
              <w:t>Interest Rate Limitation 113</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9.18</w:t>
            </w:r>
          </w:p>
        </w:tc>
        <w:tc>
          <w:tcPr>
            <w:tcW w:w="36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231F20"/>
              </w:rPr>
              <w:t>No Advisory or Fiduciary Responsibility</w:t>
            </w:r>
          </w:p>
        </w:tc>
        <w:tc>
          <w:tcPr>
            <w:tcW w:w="7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231F20"/>
              </w:rPr>
              <w:t>113</w:t>
            </w: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09"/>
        </w:trPr>
        <w:tc>
          <w:tcPr>
            <w:tcW w:w="7040" w:type="dxa"/>
            <w:vAlign w:val="bottom"/>
            <w:gridSpan w:val="10"/>
          </w:tcPr>
          <w:p>
            <w:pPr>
              <w:ind w:left="740"/>
              <w:spacing w:after="0"/>
              <w:rPr>
                <w:sz w:val="20"/>
                <w:szCs w:val="20"/>
                <w:color w:val="auto"/>
              </w:rPr>
            </w:pPr>
            <w:r>
              <w:rPr>
                <w:rFonts w:ascii="Times New Roman" w:cs="Times New Roman" w:eastAsia="Times New Roman" w:hAnsi="Times New Roman"/>
                <w:sz w:val="20"/>
                <w:szCs w:val="20"/>
                <w:color w:val="231F20"/>
              </w:rPr>
              <w:t>Section 9.19  Acknowledgement and Consent to Bail-In of Affected Financial</w:t>
            </w:r>
          </w:p>
        </w:tc>
        <w:tc>
          <w:tcPr>
            <w:tcW w:w="2720" w:type="dxa"/>
            <w:vAlign w:val="bottom"/>
          </w:tcPr>
          <w:p>
            <w:pPr>
              <w:spacing w:after="0"/>
              <w:rPr>
                <w:sz w:val="24"/>
                <w:szCs w:val="24"/>
                <w:color w:val="auto"/>
              </w:rPr>
            </w:pPr>
          </w:p>
        </w:tc>
      </w:tr>
      <w:tr>
        <w:trPr>
          <w:trHeight w:val="258"/>
        </w:trPr>
        <w:tc>
          <w:tcPr>
            <w:tcW w:w="1840" w:type="dxa"/>
            <w:vAlign w:val="bottom"/>
          </w:tcPr>
          <w:p>
            <w:pPr>
              <w:spacing w:after="0"/>
              <w:rPr>
                <w:sz w:val="22"/>
                <w:szCs w:val="22"/>
                <w:color w:val="auto"/>
              </w:rPr>
            </w:pPr>
          </w:p>
        </w:tc>
        <w:tc>
          <w:tcPr>
            <w:tcW w:w="1680" w:type="dxa"/>
            <w:vAlign w:val="bottom"/>
            <w:gridSpan w:val="3"/>
          </w:tcPr>
          <w:p>
            <w:pPr>
              <w:ind w:left="780"/>
              <w:spacing w:after="0"/>
              <w:rPr>
                <w:sz w:val="20"/>
                <w:szCs w:val="20"/>
                <w:color w:val="auto"/>
              </w:rPr>
            </w:pPr>
            <w:r>
              <w:rPr>
                <w:rFonts w:ascii="Times New Roman" w:cs="Times New Roman" w:eastAsia="Times New Roman" w:hAnsi="Times New Roman"/>
                <w:sz w:val="20"/>
                <w:szCs w:val="20"/>
                <w:color w:val="231F20"/>
                <w:w w:val="97"/>
              </w:rPr>
              <w:t>Institutions</w:t>
            </w: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231F20"/>
              </w:rPr>
              <w:t>114</w:t>
            </w: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9.20</w:t>
            </w:r>
          </w:p>
        </w:tc>
        <w:tc>
          <w:tcPr>
            <w:tcW w:w="432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231F20"/>
              </w:rPr>
              <w:t>Acknowledgment Regarding any Supported QFCs</w:t>
            </w: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231F20"/>
              </w:rPr>
              <w:t>114</w:t>
            </w:r>
          </w:p>
        </w:tc>
        <w:tc>
          <w:tcPr>
            <w:tcW w:w="2720" w:type="dxa"/>
            <w:vAlign w:val="bottom"/>
          </w:tcPr>
          <w:p>
            <w:pPr>
              <w:spacing w:after="0"/>
              <w:rPr>
                <w:sz w:val="24"/>
                <w:szCs w:val="24"/>
                <w:color w:val="auto"/>
              </w:rPr>
            </w:pPr>
          </w:p>
        </w:tc>
      </w:tr>
      <w:tr>
        <w:trPr>
          <w:trHeight w:val="338"/>
        </w:trPr>
        <w:tc>
          <w:tcPr>
            <w:tcW w:w="184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Section 9.21</w:t>
            </w:r>
          </w:p>
        </w:tc>
        <w:tc>
          <w:tcPr>
            <w:tcW w:w="520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231F20"/>
              </w:rPr>
              <w:t>Amendment and Restatement of Existing Credit Agreement</w:t>
            </w:r>
          </w:p>
        </w:tc>
        <w:tc>
          <w:tcPr>
            <w:tcW w:w="2720" w:type="dxa"/>
            <w:vAlign w:val="bottom"/>
          </w:tcPr>
          <w:p>
            <w:pPr>
              <w:jc w:val="right"/>
              <w:ind w:right="2281"/>
              <w:spacing w:after="0"/>
              <w:rPr>
                <w:sz w:val="20"/>
                <w:szCs w:val="20"/>
                <w:color w:val="auto"/>
              </w:rPr>
            </w:pPr>
            <w:r>
              <w:rPr>
                <w:rFonts w:ascii="Times New Roman" w:cs="Times New Roman" w:eastAsia="Times New Roman" w:hAnsi="Times New Roman"/>
                <w:sz w:val="20"/>
                <w:szCs w:val="20"/>
                <w:color w:val="231F20"/>
              </w:rPr>
              <w:t>115</w:t>
            </w:r>
          </w:p>
        </w:tc>
      </w:tr>
      <w:tr>
        <w:trPr>
          <w:trHeight w:val="338"/>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ARTICLE X  LOAN GUARANTY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4827270</wp:posOffset>
            </wp:positionH>
            <wp:positionV relativeFrom="paragraph">
              <wp:posOffset>-3468370</wp:posOffset>
            </wp:positionV>
            <wp:extent cx="8890" cy="127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-3468370</wp:posOffset>
            </wp:positionV>
            <wp:extent cx="8890" cy="127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4861560</wp:posOffset>
            </wp:positionH>
            <wp:positionV relativeFrom="paragraph">
              <wp:posOffset>-3468370</wp:posOffset>
            </wp:positionV>
            <wp:extent cx="8255" cy="127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-3468370</wp:posOffset>
            </wp:positionV>
            <wp:extent cx="8255" cy="127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-3468370</wp:posOffset>
            </wp:positionV>
            <wp:extent cx="8255" cy="127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-3468370</wp:posOffset>
            </wp:positionV>
            <wp:extent cx="8890" cy="127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-3468370</wp:posOffset>
            </wp:positionV>
            <wp:extent cx="8890" cy="127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-3468370</wp:posOffset>
            </wp:positionV>
            <wp:extent cx="8255" cy="127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-3468370</wp:posOffset>
            </wp:positionV>
            <wp:extent cx="8255" cy="127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1270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40" w:top="1085" w:right="1059" w:bottom="1440" w:gutter="0" w:footer="0" w:header="0"/>
        </w:sectPr>
      </w:pPr>
    </w:p>
    <w:bookmarkStart w:id="134" w:name="page135"/>
    <w:bookmarkEnd w:id="134"/>
    <w:p>
      <w:pPr>
        <w:jc w:val="right"/>
        <w:ind w:right="6359"/>
        <w:spacing w:after="0"/>
        <w:rPr>
          <w:sz w:val="20"/>
          <w:szCs w:val="20"/>
          <w:color w:val="auto"/>
        </w:rPr>
      </w:pPr>
      <w:r>
        <w:rPr>
          <w:rFonts w:ascii="Times New Roman" w:cs="Times New Roman" w:eastAsia="Times New Roman" w:hAnsi="Times New Roman"/>
          <w:sz w:val="20"/>
          <w:szCs w:val="20"/>
          <w:color w:val="231F20"/>
        </w:rPr>
        <w:t>Section 10.01 Guaranty 116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16" w:right="1440" w:bottom="1440" w:gutter="0" w:footer="0" w:header="0"/>
        </w:sectPr>
      </w:pPr>
    </w:p>
    <w:bookmarkStart w:id="135" w:name="page136"/>
    <w:bookmarkEnd w:id="135"/>
    <w:p>
      <w:pPr>
        <w:jc w:val="center"/>
        <w:ind w:left="360"/>
        <w:spacing w:after="0"/>
        <w:rPr>
          <w:sz w:val="20"/>
          <w:szCs w:val="20"/>
          <w:color w:val="auto"/>
        </w:rPr>
      </w:pPr>
      <w:r>
        <w:rPr>
          <w:rFonts w:ascii="Times New Roman" w:cs="Times New Roman" w:eastAsia="Times New Roman" w:hAnsi="Times New Roman"/>
          <w:sz w:val="20"/>
          <w:szCs w:val="20"/>
          <w:b w:val="1"/>
          <w:bCs w:val="1"/>
          <w:color w:val="231F20"/>
        </w:rPr>
        <w:t>TABLE OF CONTENTS</w:t>
      </w:r>
    </w:p>
    <w:p>
      <w:pPr>
        <w:spacing w:after="0" w:line="2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231F20"/>
        </w:rPr>
        <w:t>(continued)</w:t>
      </w:r>
    </w:p>
    <w:tbl>
      <w:tblPr>
        <w:tblLayout w:type="fixed"/>
        <w:tblInd w:w="1480" w:type="dxa"/>
        <w:tblCellMar>
          <w:top w:w="0" w:type="dxa"/>
          <w:left w:w="0" w:type="dxa"/>
          <w:bottom w:w="0" w:type="dxa"/>
          <w:right w:w="0" w:type="dxa"/>
        </w:tblCellMar>
      </w:tblPr>
      <w:tr>
        <w:trPr>
          <w:trHeight w:val="262"/>
        </w:trPr>
        <w:tc>
          <w:tcPr>
            <w:tcW w:w="1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Page</w:t>
            </w:r>
          </w:p>
        </w:tc>
      </w:tr>
      <w:tr>
        <w:trPr>
          <w:trHeight w:val="622"/>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Section 10.02 Guaranty of Payment</w:t>
            </w:r>
          </w:p>
        </w:tc>
        <w:tc>
          <w:tcPr>
            <w:tcW w:w="108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231F20"/>
              </w:rPr>
              <w:t>116</w:t>
            </w:r>
          </w:p>
        </w:tc>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38"/>
        </w:trPr>
        <w:tc>
          <w:tcPr>
            <w:tcW w:w="534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Section 10.03 No Discharge or Diminishment of Loan Guaranty</w:t>
            </w:r>
          </w:p>
        </w:tc>
        <w:tc>
          <w:tcPr>
            <w:tcW w:w="3680" w:type="dxa"/>
            <w:vAlign w:val="bottom"/>
          </w:tcPr>
          <w:p>
            <w:pPr>
              <w:jc w:val="right"/>
              <w:ind w:right="3081"/>
              <w:spacing w:after="0"/>
              <w:rPr>
                <w:sz w:val="20"/>
                <w:szCs w:val="20"/>
                <w:color w:val="auto"/>
              </w:rPr>
            </w:pPr>
            <w:r>
              <w:rPr>
                <w:rFonts w:ascii="Times New Roman" w:cs="Times New Roman" w:eastAsia="Times New Roman" w:hAnsi="Times New Roman"/>
                <w:sz w:val="20"/>
                <w:szCs w:val="20"/>
                <w:color w:val="231F20"/>
              </w:rPr>
              <w:t>116</w:t>
            </w:r>
          </w:p>
        </w:tc>
      </w:tr>
      <w:tr>
        <w:trPr>
          <w:trHeight w:val="338"/>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Section 10.04 Defenses Waived  117</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231F20"/>
              </w:rPr>
              <w:t>Section 10.05</w:t>
            </w: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Rights of Subrogation</w:t>
            </w:r>
          </w:p>
        </w:tc>
        <w:tc>
          <w:tcPr>
            <w:tcW w:w="108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231F20"/>
              </w:rPr>
              <w:t>117</w:t>
            </w:r>
          </w:p>
        </w:tc>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3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231F20"/>
              </w:rPr>
              <w:t>Section 10.06</w:t>
            </w: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231F20"/>
              </w:rPr>
              <w:t>Reinstatement; Stay of Acceleration</w:t>
            </w:r>
          </w:p>
        </w:tc>
        <w:tc>
          <w:tcPr>
            <w:tcW w:w="114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231F20"/>
              </w:rPr>
              <w:t>117</w:t>
            </w:r>
          </w:p>
        </w:tc>
        <w:tc>
          <w:tcPr>
            <w:tcW w:w="3680" w:type="dxa"/>
            <w:vAlign w:val="bottom"/>
          </w:tcPr>
          <w:p>
            <w:pPr>
              <w:spacing w:after="0"/>
              <w:rPr>
                <w:sz w:val="24"/>
                <w:szCs w:val="24"/>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231F20"/>
              </w:rPr>
              <w:t>Section 10.07</w:t>
            </w:r>
          </w:p>
        </w:tc>
        <w:tc>
          <w:tcPr>
            <w:tcW w:w="11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Information</w:t>
            </w:r>
          </w:p>
        </w:tc>
        <w:tc>
          <w:tcPr>
            <w:tcW w:w="8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231F20"/>
              </w:rPr>
              <w:t>118</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231F20"/>
              </w:rPr>
              <w:t>Section 10.08</w:t>
            </w:r>
          </w:p>
        </w:tc>
        <w:tc>
          <w:tcPr>
            <w:tcW w:w="11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Termination</w:t>
            </w:r>
          </w:p>
        </w:tc>
        <w:tc>
          <w:tcPr>
            <w:tcW w:w="8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231F20"/>
              </w:rPr>
              <w:t>118</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231F20"/>
              </w:rPr>
              <w:t>Section 10.09</w:t>
            </w:r>
          </w:p>
        </w:tc>
        <w:tc>
          <w:tcPr>
            <w:tcW w:w="11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[Reserved]</w:t>
            </w:r>
          </w:p>
        </w:tc>
        <w:tc>
          <w:tcPr>
            <w:tcW w:w="8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231F20"/>
              </w:rPr>
              <w:t>118</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38"/>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Section 10.10 Maximum Liability 118</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231F20"/>
              </w:rPr>
              <w:t>Section 10.11</w:t>
            </w:r>
          </w:p>
        </w:tc>
        <w:tc>
          <w:tcPr>
            <w:tcW w:w="11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Contribution</w:t>
            </w:r>
          </w:p>
        </w:tc>
        <w:tc>
          <w:tcPr>
            <w:tcW w:w="8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231F20"/>
              </w:rPr>
              <w:t>118</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231F20"/>
              </w:rPr>
              <w:t>Section 10.12</w:t>
            </w: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Liability Cumulative</w:t>
            </w:r>
          </w:p>
        </w:tc>
        <w:tc>
          <w:tcPr>
            <w:tcW w:w="108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231F20"/>
              </w:rPr>
              <w:t>119</w:t>
            </w:r>
          </w:p>
        </w:tc>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7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Section 10.13 Keepwell 119</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40" w:top="1085" w:right="1059" w:bottom="1440" w:gutter="0" w:footer="0" w:header="0"/>
        </w:sectPr>
      </w:pPr>
    </w:p>
    <w:bookmarkStart w:id="136" w:name="page137"/>
    <w:bookmarkEnd w:id="136"/>
    <w:p>
      <w:pPr>
        <w:ind w:left="760"/>
        <w:spacing w:after="0"/>
        <w:rPr>
          <w:sz w:val="20"/>
          <w:szCs w:val="20"/>
          <w:color w:val="auto"/>
        </w:rPr>
      </w:pPr>
      <w:r>
        <w:rPr>
          <w:rFonts w:ascii="Times New Roman" w:cs="Times New Roman" w:eastAsia="Times New Roman" w:hAnsi="Times New Roman"/>
          <w:sz w:val="20"/>
          <w:szCs w:val="20"/>
          <w:u w:val="single" w:color="auto"/>
          <w:color w:val="231F20"/>
        </w:rPr>
        <w:t>SCHEDULES</w:t>
      </w:r>
      <w:r>
        <w:rPr>
          <w:rFonts w:ascii="Times New Roman" w:cs="Times New Roman" w:eastAsia="Times New Roman" w:hAnsi="Times New Roman"/>
          <w:sz w:val="20"/>
          <w:szCs w:val="20"/>
          <w:color w:val="231F20"/>
        </w:rPr>
        <w:t>:</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Commitment Schedule</w:t>
      </w:r>
    </w:p>
    <w:p>
      <w:pPr>
        <w:spacing w:after="0" w:line="194"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231F20"/>
        </w:rPr>
        <w:t>Schedule 3.12 —</w:t>
      </w:r>
      <w:r>
        <w:rPr>
          <w:sz w:val="20"/>
          <w:szCs w:val="20"/>
          <w:color w:val="auto"/>
        </w:rPr>
        <w:tab/>
      </w:r>
      <w:r>
        <w:rPr>
          <w:rFonts w:ascii="Times New Roman" w:cs="Times New Roman" w:eastAsia="Times New Roman" w:hAnsi="Times New Roman"/>
          <w:sz w:val="19"/>
          <w:szCs w:val="19"/>
          <w:color w:val="231F20"/>
        </w:rPr>
        <w:t>Capitalization and Subsidiaries Schedule 5.09</w:t>
      </w:r>
    </w:p>
    <w:p>
      <w:pPr>
        <w:spacing w:after="0" w:line="22" w:lineRule="exact"/>
        <w:rPr>
          <w:sz w:val="20"/>
          <w:szCs w:val="20"/>
          <w:color w:val="auto"/>
        </w:rPr>
      </w:pPr>
    </w:p>
    <w:p>
      <w:pPr>
        <w:ind w:left="760" w:right="5480"/>
        <w:spacing w:after="0" w:line="239" w:lineRule="auto"/>
        <w:rPr>
          <w:sz w:val="20"/>
          <w:szCs w:val="20"/>
          <w:color w:val="auto"/>
        </w:rPr>
      </w:pPr>
      <w:r>
        <w:rPr>
          <w:rFonts w:ascii="Times New Roman" w:cs="Times New Roman" w:eastAsia="Times New Roman" w:hAnsi="Times New Roman"/>
          <w:sz w:val="20"/>
          <w:szCs w:val="20"/>
          <w:color w:val="231F20"/>
        </w:rPr>
        <w:t>— Post-Closing Deliverables Schedule 6.01 — Existing Indebtedness Schedule 6.02 — Existing Liens</w:t>
      </w:r>
    </w:p>
    <w:p>
      <w:pPr>
        <w:ind w:left="760" w:right="5540"/>
        <w:spacing w:after="0" w:line="242" w:lineRule="auto"/>
        <w:rPr>
          <w:sz w:val="20"/>
          <w:szCs w:val="20"/>
          <w:color w:val="auto"/>
        </w:rPr>
      </w:pPr>
      <w:r>
        <w:rPr>
          <w:rFonts w:ascii="Times New Roman" w:cs="Times New Roman" w:eastAsia="Times New Roman" w:hAnsi="Times New Roman"/>
          <w:sz w:val="20"/>
          <w:szCs w:val="20"/>
          <w:color w:val="231F20"/>
        </w:rPr>
        <w:t>Schedule 6.04 — Existing Investments Schedule 6.08 — Transactions with Affiliates Schedule 6.09 — Restrictive Agreements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EXHIBITS:</w:t>
            </w:r>
          </w:p>
        </w:tc>
        <w:tc>
          <w:tcPr>
            <w:tcW w:w="400" w:type="dxa"/>
            <w:vAlign w:val="bottom"/>
          </w:tcPr>
          <w:p>
            <w:pPr>
              <w:spacing w:after="0"/>
              <w:rPr>
                <w:sz w:val="19"/>
                <w:szCs w:val="19"/>
                <w:color w:val="auto"/>
              </w:rPr>
            </w:pPr>
          </w:p>
        </w:tc>
        <w:tc>
          <w:tcPr>
            <w:tcW w:w="898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r>
      <w:tr>
        <w:trPr>
          <w:trHeight w:val="443"/>
        </w:trPr>
        <w:tc>
          <w:tcPr>
            <w:tcW w:w="186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231F20"/>
              </w:rPr>
              <w:t>Exhibit A</w:t>
            </w: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898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Form of Assignment and Assumption Exhibit B —</w:t>
            </w:r>
          </w:p>
        </w:tc>
      </w:tr>
      <w:tr>
        <w:trPr>
          <w:trHeight w:val="229"/>
        </w:trPr>
        <w:tc>
          <w:tcPr>
            <w:tcW w:w="11240" w:type="dxa"/>
            <w:vAlign w:val="bottom"/>
            <w:gridSpan w:val="5"/>
          </w:tcPr>
          <w:p>
            <w:pPr>
              <w:ind w:left="760"/>
              <w:spacing w:after="0"/>
              <w:rPr>
                <w:sz w:val="20"/>
                <w:szCs w:val="20"/>
                <w:color w:val="auto"/>
              </w:rPr>
            </w:pPr>
            <w:r>
              <w:rPr>
                <w:rFonts w:ascii="Times New Roman" w:cs="Times New Roman" w:eastAsia="Times New Roman" w:hAnsi="Times New Roman"/>
                <w:sz w:val="20"/>
                <w:szCs w:val="20"/>
                <w:color w:val="231F20"/>
              </w:rPr>
              <w:t>Form of Compliance Certificate Exhibit C  —   Form of Joinder</w:t>
            </w:r>
          </w:p>
        </w:tc>
      </w:tr>
      <w:tr>
        <w:trPr>
          <w:trHeight w:val="229"/>
        </w:trPr>
        <w:tc>
          <w:tcPr>
            <w:tcW w:w="186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231F20"/>
              </w:rPr>
              <w:t>Agreement</w:t>
            </w:r>
          </w:p>
        </w:tc>
        <w:tc>
          <w:tcPr>
            <w:tcW w:w="400" w:type="dxa"/>
            <w:vAlign w:val="bottom"/>
          </w:tcPr>
          <w:p>
            <w:pPr>
              <w:spacing w:after="0"/>
              <w:rPr>
                <w:sz w:val="19"/>
                <w:szCs w:val="19"/>
                <w:color w:val="auto"/>
              </w:rPr>
            </w:pPr>
          </w:p>
        </w:tc>
        <w:tc>
          <w:tcPr>
            <w:tcW w:w="8980" w:type="dxa"/>
            <w:vAlign w:val="bottom"/>
          </w:tcPr>
          <w:p>
            <w:pPr>
              <w:spacing w:after="0"/>
              <w:rPr>
                <w:sz w:val="19"/>
                <w:szCs w:val="19"/>
                <w:color w:val="auto"/>
              </w:rPr>
            </w:pPr>
          </w:p>
        </w:tc>
      </w:tr>
      <w:tr>
        <w:trPr>
          <w:trHeight w:val="230"/>
        </w:trPr>
        <w:tc>
          <w:tcPr>
            <w:tcW w:w="186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231F20"/>
              </w:rPr>
              <w:t>Exhibit D</w:t>
            </w: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89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Form of Solvency Certificate</w:t>
            </w:r>
          </w:p>
        </w:tc>
      </w:tr>
      <w:tr>
        <w:trPr>
          <w:trHeight w:val="229"/>
        </w:trPr>
        <w:tc>
          <w:tcPr>
            <w:tcW w:w="186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231F20"/>
              </w:rPr>
              <w:t>Exhibit E - 1</w:t>
            </w: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89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U.S. Tax Certificate (For Foreign Lenders that are not Partnerships for U.S. Federal Income Tax</w:t>
            </w:r>
          </w:p>
        </w:tc>
      </w:tr>
      <w:tr>
        <w:trPr>
          <w:trHeight w:val="229"/>
        </w:trPr>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98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Purposes)</w:t>
            </w:r>
          </w:p>
        </w:tc>
      </w:tr>
      <w:tr>
        <w:trPr>
          <w:trHeight w:val="230"/>
        </w:trPr>
        <w:tc>
          <w:tcPr>
            <w:tcW w:w="186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231F20"/>
              </w:rPr>
              <w:t>Exhibit E - 2</w:t>
            </w: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89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U.S. Tax Certificate (For Foreign Participants that are not Partnerships for U.S. Federal Income Tax</w:t>
            </w:r>
          </w:p>
        </w:tc>
      </w:tr>
      <w:tr>
        <w:trPr>
          <w:trHeight w:val="229"/>
        </w:trPr>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98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Purposes)</w:t>
            </w:r>
          </w:p>
        </w:tc>
      </w:tr>
      <w:tr>
        <w:trPr>
          <w:trHeight w:val="230"/>
        </w:trPr>
        <w:tc>
          <w:tcPr>
            <w:tcW w:w="186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231F20"/>
              </w:rPr>
              <w:t>Exhibit E - 3</w:t>
            </w: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89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U.S. Tax Certificate (For Foreign Participants that are Partnerships for U.S. Federal Income Tax</w:t>
            </w:r>
          </w:p>
        </w:tc>
      </w:tr>
      <w:tr>
        <w:trPr>
          <w:trHeight w:val="229"/>
        </w:trPr>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98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Purposes)</w:t>
            </w:r>
          </w:p>
        </w:tc>
      </w:tr>
      <w:tr>
        <w:trPr>
          <w:trHeight w:val="229"/>
        </w:trPr>
        <w:tc>
          <w:tcPr>
            <w:tcW w:w="186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231F20"/>
              </w:rPr>
              <w:t>Exhibit E - 4</w:t>
            </w:r>
          </w:p>
        </w:tc>
        <w:tc>
          <w:tcPr>
            <w:tcW w:w="40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89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U.S. Tax Certificate (For Foreign Lenders that are Partnerships for U.S. Federal Income Tax Purposes)</w:t>
            </w:r>
          </w:p>
        </w:tc>
      </w:tr>
      <w:tr>
        <w:trPr>
          <w:trHeight w:val="229"/>
        </w:trPr>
        <w:tc>
          <w:tcPr>
            <w:tcW w:w="186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231F20"/>
              </w:rPr>
              <w:t>Exhibit F —</w:t>
            </w:r>
          </w:p>
        </w:tc>
        <w:tc>
          <w:tcPr>
            <w:tcW w:w="93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Form of Borrowing Request</w:t>
            </w:r>
          </w:p>
        </w:tc>
      </w:tr>
      <w:tr>
        <w:trPr>
          <w:trHeight w:val="230"/>
        </w:trPr>
        <w:tc>
          <w:tcPr>
            <w:tcW w:w="186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231F20"/>
              </w:rPr>
              <w:t>Exhibit G</w:t>
            </w:r>
          </w:p>
        </w:tc>
        <w:tc>
          <w:tcPr>
            <w:tcW w:w="4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w:t>
            </w:r>
          </w:p>
        </w:tc>
        <w:tc>
          <w:tcPr>
            <w:tcW w:w="89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Form of Notice of Continuation/Conversion Exhibit H —</w:t>
            </w:r>
          </w:p>
        </w:tc>
      </w:tr>
      <w:tr>
        <w:trPr>
          <w:trHeight w:val="230"/>
        </w:trPr>
        <w:tc>
          <w:tcPr>
            <w:tcW w:w="11240" w:type="dxa"/>
            <w:vAlign w:val="bottom"/>
            <w:gridSpan w:val="5"/>
          </w:tcPr>
          <w:p>
            <w:pPr>
              <w:ind w:left="760"/>
              <w:spacing w:after="0"/>
              <w:rPr>
                <w:sz w:val="20"/>
                <w:szCs w:val="20"/>
                <w:color w:val="auto"/>
              </w:rPr>
            </w:pPr>
            <w:r>
              <w:rPr>
                <w:rFonts w:ascii="Times New Roman" w:cs="Times New Roman" w:eastAsia="Times New Roman" w:hAnsi="Times New Roman"/>
                <w:sz w:val="20"/>
                <w:szCs w:val="20"/>
                <w:color w:val="231F20"/>
              </w:rPr>
              <w:t>Form of Swingline Request</w:t>
            </w:r>
          </w:p>
        </w:tc>
      </w:tr>
      <w:tr>
        <w:trPr>
          <w:trHeight w:val="258"/>
        </w:trPr>
        <w:tc>
          <w:tcPr>
            <w:tcW w:w="186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231F20"/>
              </w:rPr>
              <w:t>Exhibit I —</w:t>
            </w:r>
          </w:p>
        </w:tc>
        <w:tc>
          <w:tcPr>
            <w:tcW w:w="93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Form of Promissory Note</w:t>
            </w:r>
          </w:p>
        </w:tc>
      </w:tr>
      <w:tr>
        <w:trPr>
          <w:trHeight w:val="1742"/>
        </w:trPr>
        <w:tc>
          <w:tcPr>
            <w:tcW w:w="7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ind w:left="1480"/>
        <w:spacing w:after="0"/>
        <w:rPr>
          <w:sz w:val="20"/>
          <w:szCs w:val="20"/>
          <w:color w:val="auto"/>
        </w:rPr>
      </w:pPr>
      <w:r>
        <w:rPr>
          <w:rFonts w:ascii="Times New Roman" w:cs="Times New Roman" w:eastAsia="Times New Roman" w:hAnsi="Times New Roman"/>
          <w:sz w:val="20"/>
          <w:szCs w:val="20"/>
          <w:color w:val="231F20"/>
        </w:rPr>
        <w:t>THIS AMENDED AND RESTATED CREDIT AGREEMENT, dated as of February 23, 2024</w:t>
      </w:r>
    </w:p>
    <w:p>
      <w:pPr>
        <w:spacing w:after="0" w:line="22" w:lineRule="exact"/>
        <w:rPr>
          <w:sz w:val="20"/>
          <w:szCs w:val="20"/>
          <w:color w:val="auto"/>
        </w:rPr>
      </w:pPr>
    </w:p>
    <w:p>
      <w:pPr>
        <w:jc w:val="both"/>
        <w:ind w:left="740"/>
        <w:spacing w:after="0" w:line="241" w:lineRule="auto"/>
        <w:rPr>
          <w:sz w:val="20"/>
          <w:szCs w:val="20"/>
          <w:color w:val="auto"/>
        </w:rPr>
      </w:pPr>
      <w:r>
        <w:rPr>
          <w:rFonts w:ascii="Times New Roman" w:cs="Times New Roman" w:eastAsia="Times New Roman" w:hAnsi="Times New Roman"/>
          <w:sz w:val="20"/>
          <w:szCs w:val="20"/>
          <w:color w:val="231F20"/>
        </w:rPr>
        <w:t>(as it may be amended, restated, amended and restated, supplemented, and/or otherwise modified from time to time, this “</w:t>
      </w:r>
      <w:r>
        <w:rPr>
          <w:rFonts w:ascii="Times New Roman" w:cs="Times New Roman" w:eastAsia="Times New Roman" w:hAnsi="Times New Roman"/>
          <w:sz w:val="20"/>
          <w:szCs w:val="20"/>
          <w:u w:val="single" w:color="auto"/>
          <w:color w:val="231F20"/>
        </w:rPr>
        <w:t>Agreement</w:t>
      </w:r>
      <w:r>
        <w:rPr>
          <w:rFonts w:ascii="Times New Roman" w:cs="Times New Roman" w:eastAsia="Times New Roman" w:hAnsi="Times New Roman"/>
          <w:sz w:val="20"/>
          <w:szCs w:val="20"/>
          <w:color w:val="231F20"/>
        </w:rPr>
        <w:t>”), among FLYWIRE CORPORATION, a Delaware corporation, as the Borrower, the other Loan Parties party hereto from time to time, the Lenders party hereto from time to time, the Issuing Banks party hereto from time to time and CITIBANK, N.A., as the Administrative Agent.</w:t>
      </w:r>
    </w:p>
    <w:p>
      <w:pPr>
        <w:spacing w:after="0" w:line="1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The parties hereto agree as follows:</w:t>
      </w:r>
    </w:p>
    <w:p>
      <w:pPr>
        <w:spacing w:after="0" w:line="21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231F20"/>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-10795</wp:posOffset>
            </wp:positionV>
            <wp:extent cx="1498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49860" cy="8255"/>
                    </a:xfrm>
                    <a:prstGeom prst="rect">
                      <a:avLst/>
                    </a:prstGeom>
                    <a:noFill/>
                  </pic:spPr>
                </pic:pic>
              </a:graphicData>
            </a:graphic>
          </wp:anchor>
        </w:drawing>
      </w:r>
    </w:p>
    <w:p>
      <w:pPr>
        <w:spacing w:after="0" w:line="20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u w:val="single" w:color="auto"/>
          <w:color w:val="231F20"/>
        </w:rPr>
        <w:t>DEFINITIONS</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 xml:space="preserve">SECTION 1.01 </w:t>
      </w:r>
      <w:r>
        <w:rPr>
          <w:rFonts w:ascii="Times New Roman" w:cs="Times New Roman" w:eastAsia="Times New Roman" w:hAnsi="Times New Roman"/>
          <w:sz w:val="20"/>
          <w:szCs w:val="20"/>
          <w:u w:val="single" w:color="auto"/>
          <w:color w:val="231F20"/>
        </w:rPr>
        <w:t>Defined Terms</w:t>
      </w:r>
      <w:r>
        <w:rPr>
          <w:rFonts w:ascii="Times New Roman" w:cs="Times New Roman" w:eastAsia="Times New Roman" w:hAnsi="Times New Roman"/>
          <w:sz w:val="20"/>
          <w:szCs w:val="20"/>
          <w:color w:val="231F20"/>
        </w:rPr>
        <w:t>. As used in this Agreement, the following terms have the meanings specified below:</w:t>
      </w:r>
    </w:p>
    <w:p>
      <w:pPr>
        <w:spacing w:after="0" w:line="216"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ABR</w:t>
      </w:r>
      <w:r>
        <w:rPr>
          <w:rFonts w:ascii="Times New Roman" w:cs="Times New Roman" w:eastAsia="Times New Roman" w:hAnsi="Times New Roman"/>
          <w:sz w:val="20"/>
          <w:szCs w:val="20"/>
          <w:color w:val="231F20"/>
        </w:rPr>
        <w:t>”, when used in reference to any Loan or Borrowing, refers to whether such Loan, or the Loans comprising such Borrowing, are bearing interest at a rate determined by reference to the Alternate Base Rate.</w:t>
      </w:r>
    </w:p>
    <w:p>
      <w:pPr>
        <w:spacing w:after="0" w:line="159"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Accounting Firm</w:t>
      </w:r>
      <w:r>
        <w:rPr>
          <w:rFonts w:ascii="Times New Roman" w:cs="Times New Roman" w:eastAsia="Times New Roman" w:hAnsi="Times New Roman"/>
          <w:sz w:val="20"/>
          <w:szCs w:val="20"/>
          <w:color w:val="231F20"/>
        </w:rPr>
        <w:t>” means PricewaterhouseCoopers LLP, or any other independent registered public accounting firm of nationally recognized standing.</w:t>
      </w:r>
    </w:p>
    <w:p>
      <w:pPr>
        <w:spacing w:after="0" w:line="159" w:lineRule="exact"/>
        <w:rPr>
          <w:sz w:val="20"/>
          <w:szCs w:val="20"/>
          <w:color w:val="auto"/>
        </w:rPr>
      </w:pPr>
    </w:p>
    <w:p>
      <w:pPr>
        <w:jc w:val="both"/>
        <w:ind w:left="740" w:firstLine="749"/>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Acquisition</w:t>
      </w:r>
      <w:r>
        <w:rPr>
          <w:rFonts w:ascii="Times New Roman" w:cs="Times New Roman" w:eastAsia="Times New Roman" w:hAnsi="Times New Roman"/>
          <w:sz w:val="20"/>
          <w:szCs w:val="20"/>
          <w:color w:val="231F20"/>
        </w:rPr>
        <w:t>” means any transaction or series of related transactions for the purpose of or resulting, directly or indirectly, in (a) the acquisition of all or substantially all of the assets of a Person, or of any business or division of a Person,</w:t>
      </w:r>
    </w:p>
    <w:p>
      <w:pPr>
        <w:spacing w:after="0" w:line="2" w:lineRule="exact"/>
        <w:rPr>
          <w:sz w:val="20"/>
          <w:szCs w:val="20"/>
          <w:color w:val="auto"/>
        </w:rPr>
      </w:pPr>
    </w:p>
    <w:p>
      <w:pPr>
        <w:jc w:val="both"/>
        <w:ind w:left="740" w:right="20" w:hanging="3"/>
        <w:spacing w:after="0" w:line="242" w:lineRule="auto"/>
        <w:tabs>
          <w:tab w:leader="none" w:pos="1038" w:val="left"/>
        </w:tabs>
        <w:numPr>
          <w:ilvl w:val="0"/>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acquisition of in excess of 50% of the Equity Interests of any Person, or otherwise causing any Person to become a Subsidiary, or (c) a merger, amalgamation or consolidation or any other combination with another Person (other than a Person that is a Subsidiary);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the Borrower or the applicable Subsidiary of the Borrower is the surviving entity.</w:t>
      </w:r>
    </w:p>
    <w:p>
      <w:pPr>
        <w:spacing w:after="0" w:line="1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Additional Lender</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2.22(a)(ii)</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Adjusted Term SOFR</w:t>
      </w:r>
      <w:r>
        <w:rPr>
          <w:rFonts w:ascii="Times New Roman" w:cs="Times New Roman" w:eastAsia="Times New Roman" w:hAnsi="Times New Roman"/>
          <w:sz w:val="20"/>
          <w:szCs w:val="20"/>
          <w:color w:val="231F20"/>
        </w:rPr>
        <w:t xml:space="preserve">” means, for the purposes of any calculation, a rate per annum equal to the sum of (a) Term SOFR for such Interest Period </w:t>
      </w:r>
      <w:r>
        <w:rPr>
          <w:rFonts w:ascii="Times New Roman" w:cs="Times New Roman" w:eastAsia="Times New Roman" w:hAnsi="Times New Roman"/>
          <w:sz w:val="20"/>
          <w:szCs w:val="20"/>
          <w:i w:val="1"/>
          <w:iCs w:val="1"/>
          <w:u w:val="single" w:color="auto"/>
          <w:color w:val="231F20"/>
        </w:rPr>
        <w:t>plus</w:t>
      </w:r>
      <w:r>
        <w:rPr>
          <w:rFonts w:ascii="Times New Roman" w:cs="Times New Roman" w:eastAsia="Times New Roman" w:hAnsi="Times New Roman"/>
          <w:sz w:val="20"/>
          <w:szCs w:val="20"/>
          <w:color w:val="231F20"/>
        </w:rPr>
        <w:t xml:space="preserve"> (b) the SOFR Adjustment;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if Adjusted Term SOFR as so determined shall ever be less than 0.00%, then Adjusted Term SOFR shall be deemed to be 0.00%.</w:t>
      </w:r>
    </w:p>
    <w:p>
      <w:pPr>
        <w:spacing w:after="0" w:line="174"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Administrative Agent</w:t>
      </w:r>
      <w:r>
        <w:rPr>
          <w:rFonts w:ascii="Times New Roman" w:cs="Times New Roman" w:eastAsia="Times New Roman" w:hAnsi="Times New Roman"/>
          <w:sz w:val="20"/>
          <w:szCs w:val="20"/>
          <w:color w:val="231F20"/>
        </w:rPr>
        <w:t>” means Citibank, N.A., in its capacities as administrative agent and collateral agent for the Lenders hereunder, or any successor administrative agent.</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Administrative Questionnaire</w:t>
      </w:r>
      <w:r>
        <w:rPr>
          <w:rFonts w:ascii="Times New Roman" w:cs="Times New Roman" w:eastAsia="Times New Roman" w:hAnsi="Times New Roman"/>
          <w:sz w:val="20"/>
          <w:szCs w:val="20"/>
          <w:color w:val="231F20"/>
        </w:rPr>
        <w:t>” means an administrative questionnaire in a form supplied by the Administrative</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31F20"/>
        </w:rPr>
        <w:t>Agent.</w:t>
      </w:r>
    </w:p>
    <w:p>
      <w:pPr>
        <w:spacing w:after="0" w:line="1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Affected Financial Institution</w:t>
      </w:r>
      <w:r>
        <w:rPr>
          <w:rFonts w:ascii="Times New Roman" w:cs="Times New Roman" w:eastAsia="Times New Roman" w:hAnsi="Times New Roman"/>
          <w:sz w:val="20"/>
          <w:szCs w:val="20"/>
          <w:color w:val="231F20"/>
        </w:rPr>
        <w:t>” means (a) any EEA Financial Institution or (b) any UK Financial Institution.</w:t>
      </w:r>
    </w:p>
    <w:p>
      <w:pPr>
        <w:spacing w:after="0" w:line="216"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Affiliate</w:t>
      </w:r>
      <w:r>
        <w:rPr>
          <w:rFonts w:ascii="Times New Roman" w:cs="Times New Roman" w:eastAsia="Times New Roman" w:hAnsi="Times New Roman"/>
          <w:sz w:val="20"/>
          <w:szCs w:val="20"/>
          <w:color w:val="231F20"/>
        </w:rPr>
        <w:t>” means, with respect to a specified Person, another Person that directly, or indirectly through one or more intermediaries, Controls or is Controlled by or is under common Control with the specified Person.</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Agent Parties</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9.01(d)(ii)</w:t>
      </w:r>
      <w:r>
        <w:rPr>
          <w:rFonts w:ascii="Times New Roman" w:cs="Times New Roman" w:eastAsia="Times New Roman" w:hAnsi="Times New Roman"/>
          <w:sz w:val="20"/>
          <w:szCs w:val="20"/>
          <w:color w:val="231F20"/>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291" w:right="759" w:bottom="1440" w:gutter="0" w:footer="0" w:header="0"/>
        </w:sectPr>
      </w:pPr>
    </w:p>
    <w:bookmarkStart w:id="138" w:name="page139"/>
    <w:bookmarkEnd w:id="138"/>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Aggregate Credit Exposure</w:t>
      </w:r>
      <w:r>
        <w:rPr>
          <w:rFonts w:ascii="Times New Roman" w:cs="Times New Roman" w:eastAsia="Times New Roman" w:hAnsi="Times New Roman"/>
          <w:sz w:val="20"/>
          <w:szCs w:val="20"/>
          <w:color w:val="231F20"/>
        </w:rPr>
        <w:t>” means, at any time, the aggregate Credit Exposure of all the Lenders at such time.</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Agreement</w:t>
      </w:r>
      <w:r>
        <w:rPr>
          <w:rFonts w:ascii="Times New Roman" w:cs="Times New Roman" w:eastAsia="Times New Roman" w:hAnsi="Times New Roman"/>
          <w:sz w:val="20"/>
          <w:szCs w:val="20"/>
          <w:color w:val="231F20"/>
        </w:rPr>
        <w:t>” has the meaning assigned to such term in the introductory paragraph.</w:t>
      </w:r>
    </w:p>
    <w:p>
      <w:pPr>
        <w:spacing w:after="0" w:line="212" w:lineRule="exact"/>
        <w:rPr>
          <w:sz w:val="20"/>
          <w:szCs w:val="20"/>
          <w:color w:val="auto"/>
        </w:rPr>
      </w:pPr>
    </w:p>
    <w:p>
      <w:pPr>
        <w:ind w:left="740" w:right="60" w:firstLine="747"/>
        <w:spacing w:after="0" w:line="253"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Alternate Base Rate</w:t>
      </w:r>
      <w:r>
        <w:rPr>
          <w:rFonts w:ascii="Times New Roman" w:cs="Times New Roman" w:eastAsia="Times New Roman" w:hAnsi="Times New Roman"/>
          <w:sz w:val="20"/>
          <w:szCs w:val="20"/>
          <w:color w:val="231F20"/>
        </w:rPr>
        <w:t xml:space="preserve">” means, for any day, a rate </w:t>
      </w:r>
      <w:r>
        <w:rPr>
          <w:rFonts w:ascii="Times New Roman" w:cs="Times New Roman" w:eastAsia="Times New Roman" w:hAnsi="Times New Roman"/>
          <w:sz w:val="20"/>
          <w:szCs w:val="20"/>
          <w:i w:val="1"/>
          <w:iCs w:val="1"/>
          <w:color w:val="231F20"/>
        </w:rPr>
        <w:t>per annum</w:t>
      </w:r>
      <w:r>
        <w:rPr>
          <w:rFonts w:ascii="Times New Roman" w:cs="Times New Roman" w:eastAsia="Times New Roman" w:hAnsi="Times New Roman"/>
          <w:sz w:val="20"/>
          <w:szCs w:val="20"/>
          <w:color w:val="231F20"/>
        </w:rPr>
        <w:t xml:space="preserve"> equal to the greatest of (a) the Prime Rate in effect on such day, (b) the Federal Funds Effective Rate in effect on such day plus ½ of 1% and</w:t>
      </w:r>
    </w:p>
    <w:p>
      <w:pPr>
        <w:jc w:val="both"/>
        <w:ind w:left="740" w:right="40" w:hanging="3"/>
        <w:spacing w:after="0"/>
        <w:tabs>
          <w:tab w:leader="none" w:pos="1011" w:val="left"/>
        </w:tabs>
        <w:numPr>
          <w:ilvl w:val="0"/>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Adjusted Term SOFR for a one month tenor in effect on such day plus 1%. Any change in the Alternate Base Rate due to a change in the Prime Rate, the Federal Funds Effective Rate or Adjusted Term SOFR shall be effective from and including the effective date of such change in the Prime Rate, the Federal Funds Effective Rate or Adjusted Term SOFR, respectively. If the Alternate Base Rate is being used as an alternate rate of interest pursuant to </w:t>
      </w:r>
      <w:r>
        <w:rPr>
          <w:rFonts w:ascii="Times New Roman" w:cs="Times New Roman" w:eastAsia="Times New Roman" w:hAnsi="Times New Roman"/>
          <w:sz w:val="20"/>
          <w:szCs w:val="20"/>
          <w:u w:val="single" w:color="auto"/>
          <w:color w:val="231F20"/>
        </w:rPr>
        <w:t>Section 2.14</w:t>
      </w:r>
      <w:r>
        <w:rPr>
          <w:rFonts w:ascii="Times New Roman" w:cs="Times New Roman" w:eastAsia="Times New Roman" w:hAnsi="Times New Roman"/>
          <w:sz w:val="20"/>
          <w:szCs w:val="20"/>
          <w:color w:val="231F20"/>
        </w:rPr>
        <w:t xml:space="preserve"> hereof, then the Alternate Base Rate shall be the greater of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(b)</w:t>
      </w:r>
      <w:r>
        <w:rPr>
          <w:rFonts w:ascii="Times New Roman" w:cs="Times New Roman" w:eastAsia="Times New Roman" w:hAnsi="Times New Roman"/>
          <w:sz w:val="20"/>
          <w:szCs w:val="20"/>
          <w:color w:val="231F20"/>
        </w:rPr>
        <w:t xml:space="preserve"> above and shall be determined without reference to </w:t>
      </w:r>
      <w:r>
        <w:rPr>
          <w:rFonts w:ascii="Times New Roman" w:cs="Times New Roman" w:eastAsia="Times New Roman" w:hAnsi="Times New Roman"/>
          <w:sz w:val="20"/>
          <w:szCs w:val="20"/>
          <w:u w:val="single" w:color="auto"/>
          <w:color w:val="231F20"/>
        </w:rPr>
        <w:t>clause (c)</w:t>
      </w:r>
      <w:r>
        <w:rPr>
          <w:rFonts w:ascii="Times New Roman" w:cs="Times New Roman" w:eastAsia="Times New Roman" w:hAnsi="Times New Roman"/>
          <w:sz w:val="20"/>
          <w:szCs w:val="20"/>
          <w:color w:val="231F20"/>
        </w:rPr>
        <w:t xml:space="preserve"> above. In the event that that the Alternate Base Rate is less than zero, it shall be deemed to be zero for purposes of this Agreement.</w:t>
      </w:r>
    </w:p>
    <w:p>
      <w:pPr>
        <w:spacing w:after="0" w:line="191"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Anti-Corruption Laws</w:t>
      </w:r>
      <w:r>
        <w:rPr>
          <w:rFonts w:ascii="Times New Roman" w:cs="Times New Roman" w:eastAsia="Times New Roman" w:hAnsi="Times New Roman"/>
          <w:sz w:val="20"/>
          <w:szCs w:val="20"/>
          <w:color w:val="231F20"/>
        </w:rPr>
        <w:t>” means all laws, rules and regulations of any jurisdiction applicable to the Borrower or any of its Subsidiaries from time to time concerning or relating to (a) bribery and/or corruption and (b) terrorism financing and/or money laundering, including any applicable provision of the USA PATRIOT Act and The Currency and Foreign Transactions Reporting Act (also known as the “Bank Secrecy Act,” 31 U.S.C. §§ 5311-5330 and 12 U.S.C. §§ 1818(s), 1820(b) and 1951-1959).</w:t>
      </w:r>
    </w:p>
    <w:p>
      <w:pPr>
        <w:spacing w:after="0" w:line="185"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Applicable Percentage</w:t>
      </w:r>
      <w:r>
        <w:rPr>
          <w:rFonts w:ascii="Times New Roman" w:cs="Times New Roman" w:eastAsia="Times New Roman" w:hAnsi="Times New Roman"/>
          <w:sz w:val="20"/>
          <w:szCs w:val="20"/>
          <w:color w:val="231F20"/>
        </w:rPr>
        <w:t xml:space="preserve">” means, with respect to any Lender, (a) with respect to Loans and LC Exposure, a percentage equal to a fraction the numerator of which is such Lender’s Commitment and the denominator of which is the aggregate Commitment of all Lenders (if the Commitments have terminated or expired, the Applicable Percentage shall be determined based upon such Lender’s share of the Aggregate Credit Exposure at that time);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in the case of </w:t>
      </w:r>
      <w:r>
        <w:rPr>
          <w:rFonts w:ascii="Times New Roman" w:cs="Times New Roman" w:eastAsia="Times New Roman" w:hAnsi="Times New Roman"/>
          <w:sz w:val="20"/>
          <w:szCs w:val="20"/>
          <w:u w:val="single" w:color="auto"/>
          <w:color w:val="231F20"/>
        </w:rPr>
        <w:t>Section 2.20</w:t>
      </w:r>
      <w:r>
        <w:rPr>
          <w:rFonts w:ascii="Times New Roman" w:cs="Times New Roman" w:eastAsia="Times New Roman" w:hAnsi="Times New Roman"/>
          <w:sz w:val="20"/>
          <w:szCs w:val="20"/>
          <w:color w:val="231F20"/>
        </w:rPr>
        <w:t xml:space="preserve"> when a Defaulting Lender shall exist, any such Defaulting Lender’s Commitment shall be disregarded in the calculation, and</w:t>
      </w:r>
    </w:p>
    <w:p>
      <w:pPr>
        <w:spacing w:after="0" w:line="2" w:lineRule="exact"/>
        <w:rPr>
          <w:sz w:val="20"/>
          <w:szCs w:val="20"/>
          <w:color w:val="auto"/>
        </w:rPr>
      </w:pPr>
    </w:p>
    <w:p>
      <w:pPr>
        <w:jc w:val="both"/>
        <w:ind w:left="740" w:right="20" w:hanging="3"/>
        <w:spacing w:after="0" w:line="242" w:lineRule="auto"/>
        <w:tabs>
          <w:tab w:leader="none" w:pos="1022" w:val="left"/>
        </w:tabs>
        <w:numPr>
          <w:ilvl w:val="0"/>
          <w:numId w:val="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with respect to the Aggregate Credit Exposure, a percentage based upon its share of the Aggregate Credit Exposure and the unused Commitments;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in the case of </w:t>
      </w:r>
      <w:r>
        <w:rPr>
          <w:rFonts w:ascii="Times New Roman" w:cs="Times New Roman" w:eastAsia="Times New Roman" w:hAnsi="Times New Roman"/>
          <w:sz w:val="20"/>
          <w:szCs w:val="20"/>
          <w:u w:val="single" w:color="auto"/>
          <w:color w:val="231F20"/>
        </w:rPr>
        <w:t>Section 2.20</w:t>
      </w:r>
      <w:r>
        <w:rPr>
          <w:rFonts w:ascii="Times New Roman" w:cs="Times New Roman" w:eastAsia="Times New Roman" w:hAnsi="Times New Roman"/>
          <w:sz w:val="20"/>
          <w:szCs w:val="20"/>
          <w:color w:val="231F20"/>
        </w:rPr>
        <w:t xml:space="preserve"> when a Defaulting Lender shall exist, any such Defaulting Lender’s Aggregate Credit Exposure and Commitment shall be disregarded in the calculation.</w:t>
      </w:r>
    </w:p>
    <w:p>
      <w:pPr>
        <w:spacing w:after="0" w:line="187" w:lineRule="exact"/>
        <w:rPr>
          <w:sz w:val="20"/>
          <w:szCs w:val="20"/>
          <w:color w:val="auto"/>
        </w:rPr>
      </w:pPr>
    </w:p>
    <w:p>
      <w:pPr>
        <w:jc w:val="both"/>
        <w:ind w:left="740" w:right="40" w:firstLine="749"/>
        <w:spacing w:after="0" w:line="24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Applicable Rate</w:t>
      </w:r>
      <w:r>
        <w:rPr>
          <w:rFonts w:ascii="Times New Roman" w:cs="Times New Roman" w:eastAsia="Times New Roman" w:hAnsi="Times New Roman"/>
          <w:sz w:val="20"/>
          <w:szCs w:val="20"/>
          <w:color w:val="231F20"/>
        </w:rPr>
        <w:t xml:space="preserve">” means, for any day, with respect to any ABR Loan or Term SOFR Loan, or with respect to the commitment fees or letter of credit fees payable hereunder, as the case may be, the applicable rate </w:t>
      </w:r>
      <w:r>
        <w:rPr>
          <w:rFonts w:ascii="Times New Roman" w:cs="Times New Roman" w:eastAsia="Times New Roman" w:hAnsi="Times New Roman"/>
          <w:sz w:val="20"/>
          <w:szCs w:val="20"/>
          <w:i w:val="1"/>
          <w:iCs w:val="1"/>
          <w:color w:val="231F20"/>
        </w:rPr>
        <w:t>per annum</w:t>
      </w:r>
      <w:r>
        <w:rPr>
          <w:rFonts w:ascii="Times New Roman" w:cs="Times New Roman" w:eastAsia="Times New Roman" w:hAnsi="Times New Roman"/>
          <w:sz w:val="20"/>
          <w:szCs w:val="20"/>
          <w:color w:val="231F20"/>
        </w:rPr>
        <w:t xml:space="preserve"> set forth below under the caption “Applicable Rate for Term SOFR Loans”, “Applicable Rate for ABR Loans” or “Commitment Fee Rate”, as the case may be, based upon the Borrower’s Consolidated Total Net Leverage Ratio as of the most recent determination date;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until the delivery to the Administrative Agent, pursuant to </w:t>
      </w:r>
      <w:r>
        <w:rPr>
          <w:rFonts w:ascii="Times New Roman" w:cs="Times New Roman" w:eastAsia="Times New Roman" w:hAnsi="Times New Roman"/>
          <w:sz w:val="20"/>
          <w:szCs w:val="20"/>
          <w:u w:val="single" w:color="auto"/>
          <w:color w:val="231F20"/>
        </w:rPr>
        <w:t>Section 5.01</w:t>
      </w:r>
      <w:r>
        <w:rPr>
          <w:rFonts w:ascii="Times New Roman" w:cs="Times New Roman" w:eastAsia="Times New Roman" w:hAnsi="Times New Roman"/>
          <w:sz w:val="20"/>
          <w:szCs w:val="20"/>
          <w:color w:val="231F20"/>
        </w:rPr>
        <w:t xml:space="preserve">, of the Borrower’s consolidated financial information for the Borrower’s first fiscal quarter ending after the Effective Date, the “Applicable Rate” shall be the applicable rate </w:t>
      </w:r>
      <w:r>
        <w:rPr>
          <w:rFonts w:ascii="Times New Roman" w:cs="Times New Roman" w:eastAsia="Times New Roman" w:hAnsi="Times New Roman"/>
          <w:sz w:val="20"/>
          <w:szCs w:val="20"/>
          <w:i w:val="1"/>
          <w:iCs w:val="1"/>
          <w:color w:val="231F20"/>
        </w:rPr>
        <w:t>per annum</w:t>
      </w:r>
      <w:r>
        <w:rPr>
          <w:rFonts w:ascii="Times New Roman" w:cs="Times New Roman" w:eastAsia="Times New Roman" w:hAnsi="Times New Roman"/>
          <w:sz w:val="20"/>
          <w:szCs w:val="20"/>
          <w:color w:val="231F20"/>
        </w:rPr>
        <w:t xml:space="preserve"> set forth below in Level I:</w:t>
      </w:r>
    </w:p>
    <w:p>
      <w:pPr>
        <w:spacing w:after="0" w:line="212" w:lineRule="exact"/>
        <w:rPr>
          <w:sz w:val="20"/>
          <w:szCs w:val="20"/>
          <w:color w:val="auto"/>
        </w:rPr>
      </w:pPr>
    </w:p>
    <w:tbl>
      <w:tblPr>
        <w:tblLayout w:type="fixed"/>
        <w:tblInd w:w="750" w:type="dxa"/>
        <w:tblCellMar>
          <w:top w:w="0" w:type="dxa"/>
          <w:left w:w="0" w:type="dxa"/>
          <w:bottom w:w="0" w:type="dxa"/>
          <w:right w:w="0" w:type="dxa"/>
        </w:tblCellMar>
      </w:tblPr>
      <w:tr>
        <w:trPr>
          <w:trHeight w:val="277"/>
        </w:trPr>
        <w:tc>
          <w:tcPr>
            <w:tcW w:w="1340" w:type="dxa"/>
            <w:vAlign w:val="bottom"/>
            <w:tcBorders>
              <w:top w:val="single" w:sz="8" w:color="242021"/>
              <w:left w:val="single" w:sz="8" w:color="242021"/>
              <w:right w:val="single" w:sz="8" w:color="242021"/>
            </w:tcBorders>
            <w:shd w:val="clear" w:color="auto" w:fill="DCDDDF"/>
          </w:tcPr>
          <w:p>
            <w:pPr>
              <w:spacing w:after="0"/>
              <w:rPr>
                <w:sz w:val="24"/>
                <w:szCs w:val="24"/>
                <w:color w:val="auto"/>
              </w:rPr>
            </w:pPr>
          </w:p>
        </w:tc>
        <w:tc>
          <w:tcPr>
            <w:tcW w:w="1940" w:type="dxa"/>
            <w:vAlign w:val="bottom"/>
            <w:tcBorders>
              <w:top w:val="single" w:sz="8" w:color="242021"/>
              <w:right w:val="single" w:sz="8" w:color="242021"/>
            </w:tcBorders>
            <w:shd w:val="clear" w:color="auto" w:fill="DCDDDF"/>
          </w:tcPr>
          <w:p>
            <w:pPr>
              <w:spacing w:after="0"/>
              <w:rPr>
                <w:sz w:val="20"/>
                <w:szCs w:val="20"/>
                <w:color w:val="auto"/>
              </w:rPr>
            </w:pPr>
            <w:r>
              <w:rPr>
                <w:rFonts w:ascii="Times New Roman" w:cs="Times New Roman" w:eastAsia="Times New Roman" w:hAnsi="Times New Roman"/>
                <w:sz w:val="20"/>
                <w:szCs w:val="20"/>
                <w:color w:val="231F20"/>
              </w:rPr>
              <w:t>Consolidated Total Net</w:t>
            </w:r>
          </w:p>
        </w:tc>
        <w:tc>
          <w:tcPr>
            <w:tcW w:w="2220" w:type="dxa"/>
            <w:vAlign w:val="bottom"/>
            <w:tcBorders>
              <w:top w:val="single" w:sz="8" w:color="242021"/>
              <w:right w:val="single" w:sz="8" w:color="242021"/>
            </w:tcBorders>
            <w:shd w:val="clear" w:color="auto" w:fill="DCDDDF"/>
          </w:tcPr>
          <w:p>
            <w:pPr>
              <w:spacing w:after="0"/>
              <w:rPr>
                <w:sz w:val="24"/>
                <w:szCs w:val="24"/>
                <w:color w:val="auto"/>
              </w:rPr>
            </w:pPr>
          </w:p>
        </w:tc>
        <w:tc>
          <w:tcPr>
            <w:tcW w:w="2200" w:type="dxa"/>
            <w:vAlign w:val="bottom"/>
            <w:tcBorders>
              <w:top w:val="single" w:sz="8" w:color="242021"/>
              <w:right w:val="single" w:sz="8" w:color="242021"/>
            </w:tcBorders>
            <w:shd w:val="clear" w:color="auto" w:fill="DCDDDF"/>
          </w:tcPr>
          <w:p>
            <w:pPr>
              <w:spacing w:after="0"/>
              <w:rPr>
                <w:sz w:val="24"/>
                <w:szCs w:val="24"/>
                <w:color w:val="auto"/>
              </w:rPr>
            </w:pPr>
          </w:p>
        </w:tc>
        <w:tc>
          <w:tcPr>
            <w:tcW w:w="2300" w:type="dxa"/>
            <w:vAlign w:val="bottom"/>
            <w:tcBorders>
              <w:top w:val="single" w:sz="8" w:color="242021"/>
              <w:right w:val="single" w:sz="8" w:color="242021"/>
            </w:tcBorders>
            <w:shd w:val="clear" w:color="auto" w:fill="DCDDDF"/>
          </w:tcPr>
          <w:p>
            <w:pPr>
              <w:spacing w:after="0"/>
              <w:rPr>
                <w:sz w:val="24"/>
                <w:szCs w:val="24"/>
                <w:color w:val="auto"/>
              </w:rPr>
            </w:pPr>
          </w:p>
        </w:tc>
      </w:tr>
      <w:tr>
        <w:trPr>
          <w:trHeight w:val="230"/>
        </w:trPr>
        <w:tc>
          <w:tcPr>
            <w:tcW w:w="1340" w:type="dxa"/>
            <w:vAlign w:val="bottom"/>
            <w:tcBorders>
              <w:left w:val="single" w:sz="8" w:color="242021"/>
              <w:right w:val="single" w:sz="8" w:color="242021"/>
            </w:tcBorders>
            <w:shd w:val="clear" w:color="auto" w:fill="DCDDDF"/>
          </w:tcPr>
          <w:p>
            <w:pPr>
              <w:spacing w:after="0"/>
              <w:rPr>
                <w:sz w:val="19"/>
                <w:szCs w:val="19"/>
                <w:color w:val="auto"/>
              </w:rPr>
            </w:pPr>
          </w:p>
        </w:tc>
        <w:tc>
          <w:tcPr>
            <w:tcW w:w="1940" w:type="dxa"/>
            <w:vAlign w:val="bottom"/>
            <w:tcBorders>
              <w:right w:val="single" w:sz="8" w:color="242021"/>
            </w:tcBorders>
            <w:shd w:val="clear" w:color="auto" w:fill="DCDDDF"/>
          </w:tcPr>
          <w:p>
            <w:pPr>
              <w:spacing w:after="0"/>
              <w:rPr>
                <w:sz w:val="20"/>
                <w:szCs w:val="20"/>
                <w:color w:val="auto"/>
              </w:rPr>
            </w:pPr>
            <w:r>
              <w:rPr>
                <w:rFonts w:ascii="Times New Roman" w:cs="Times New Roman" w:eastAsia="Times New Roman" w:hAnsi="Times New Roman"/>
                <w:sz w:val="20"/>
                <w:szCs w:val="20"/>
                <w:color w:val="231F20"/>
              </w:rPr>
              <w:t>Leverage Ratio</w:t>
            </w:r>
          </w:p>
        </w:tc>
        <w:tc>
          <w:tcPr>
            <w:tcW w:w="2220" w:type="dxa"/>
            <w:vAlign w:val="bottom"/>
            <w:tcBorders>
              <w:right w:val="single" w:sz="8" w:color="242021"/>
            </w:tcBorders>
            <w:shd w:val="clear" w:color="auto" w:fill="DCDDDF"/>
          </w:tcPr>
          <w:p>
            <w:pPr>
              <w:ind w:left="40"/>
              <w:spacing w:after="0"/>
              <w:rPr>
                <w:sz w:val="20"/>
                <w:szCs w:val="20"/>
                <w:color w:val="auto"/>
              </w:rPr>
            </w:pPr>
            <w:r>
              <w:rPr>
                <w:rFonts w:ascii="Times New Roman" w:cs="Times New Roman" w:eastAsia="Times New Roman" w:hAnsi="Times New Roman"/>
                <w:sz w:val="20"/>
                <w:szCs w:val="20"/>
                <w:color w:val="231F20"/>
              </w:rPr>
              <w:t>Applicable Rate for Term</w:t>
            </w:r>
          </w:p>
        </w:tc>
        <w:tc>
          <w:tcPr>
            <w:tcW w:w="2200" w:type="dxa"/>
            <w:vAlign w:val="bottom"/>
            <w:tcBorders>
              <w:right w:val="single" w:sz="8" w:color="242021"/>
            </w:tcBorders>
            <w:shd w:val="clear" w:color="auto" w:fill="DCDDDF"/>
          </w:tcPr>
          <w:p>
            <w:pPr>
              <w:ind w:left="40"/>
              <w:spacing w:after="0"/>
              <w:rPr>
                <w:sz w:val="20"/>
                <w:szCs w:val="20"/>
                <w:color w:val="auto"/>
              </w:rPr>
            </w:pPr>
            <w:r>
              <w:rPr>
                <w:rFonts w:ascii="Times New Roman" w:cs="Times New Roman" w:eastAsia="Times New Roman" w:hAnsi="Times New Roman"/>
                <w:sz w:val="20"/>
                <w:szCs w:val="20"/>
                <w:color w:val="231F20"/>
              </w:rPr>
              <w:t>Applicable Rate for ABR</w:t>
            </w:r>
          </w:p>
        </w:tc>
        <w:tc>
          <w:tcPr>
            <w:tcW w:w="2300" w:type="dxa"/>
            <w:vAlign w:val="bottom"/>
            <w:tcBorders>
              <w:right w:val="single" w:sz="8" w:color="242021"/>
            </w:tcBorders>
            <w:shd w:val="clear" w:color="auto" w:fill="DCDDDF"/>
          </w:tcPr>
          <w:p>
            <w:pPr>
              <w:spacing w:after="0"/>
              <w:rPr>
                <w:sz w:val="19"/>
                <w:szCs w:val="19"/>
                <w:color w:val="auto"/>
              </w:rPr>
            </w:pPr>
          </w:p>
        </w:tc>
      </w:tr>
      <w:tr>
        <w:trPr>
          <w:trHeight w:val="303"/>
        </w:trPr>
        <w:tc>
          <w:tcPr>
            <w:tcW w:w="1340" w:type="dxa"/>
            <w:vAlign w:val="bottom"/>
            <w:tcBorders>
              <w:left w:val="single" w:sz="8" w:color="242021"/>
              <w:bottom w:val="single" w:sz="8" w:color="242021"/>
              <w:right w:val="single" w:sz="8" w:color="242021"/>
            </w:tcBorders>
            <w:shd w:val="clear" w:color="auto" w:fill="DCDDDF"/>
          </w:tcPr>
          <w:p>
            <w:pPr>
              <w:ind w:left="40"/>
              <w:spacing w:after="0"/>
              <w:rPr>
                <w:sz w:val="20"/>
                <w:szCs w:val="20"/>
                <w:color w:val="auto"/>
              </w:rPr>
            </w:pPr>
            <w:r>
              <w:rPr>
                <w:rFonts w:ascii="Times New Roman" w:cs="Times New Roman" w:eastAsia="Times New Roman" w:hAnsi="Times New Roman"/>
                <w:sz w:val="20"/>
                <w:szCs w:val="20"/>
                <w:color w:val="231F20"/>
              </w:rPr>
              <w:t>Level</w:t>
            </w:r>
          </w:p>
        </w:tc>
        <w:tc>
          <w:tcPr>
            <w:tcW w:w="1940" w:type="dxa"/>
            <w:vAlign w:val="bottom"/>
            <w:tcBorders>
              <w:bottom w:val="single" w:sz="8" w:color="242021"/>
              <w:right w:val="single" w:sz="8" w:color="242021"/>
            </w:tcBorders>
            <w:shd w:val="clear" w:color="auto" w:fill="DCDDDF"/>
          </w:tcPr>
          <w:p>
            <w:pPr>
              <w:spacing w:after="0"/>
              <w:rPr>
                <w:sz w:val="24"/>
                <w:szCs w:val="24"/>
                <w:color w:val="auto"/>
              </w:rPr>
            </w:pPr>
          </w:p>
        </w:tc>
        <w:tc>
          <w:tcPr>
            <w:tcW w:w="2220" w:type="dxa"/>
            <w:vAlign w:val="bottom"/>
            <w:tcBorders>
              <w:bottom w:val="single" w:sz="8" w:color="242021"/>
              <w:right w:val="single" w:sz="8" w:color="242021"/>
            </w:tcBorders>
            <w:shd w:val="clear" w:color="auto" w:fill="DCDDDF"/>
          </w:tcPr>
          <w:p>
            <w:pPr>
              <w:ind w:left="40"/>
              <w:spacing w:after="0"/>
              <w:rPr>
                <w:sz w:val="20"/>
                <w:szCs w:val="20"/>
                <w:color w:val="auto"/>
              </w:rPr>
            </w:pPr>
            <w:r>
              <w:rPr>
                <w:rFonts w:ascii="Times New Roman" w:cs="Times New Roman" w:eastAsia="Times New Roman" w:hAnsi="Times New Roman"/>
                <w:sz w:val="20"/>
                <w:szCs w:val="20"/>
                <w:color w:val="231F20"/>
              </w:rPr>
              <w:t>SOFR Loans</w:t>
            </w:r>
          </w:p>
        </w:tc>
        <w:tc>
          <w:tcPr>
            <w:tcW w:w="2200" w:type="dxa"/>
            <w:vAlign w:val="bottom"/>
            <w:tcBorders>
              <w:bottom w:val="single" w:sz="8" w:color="242021"/>
              <w:right w:val="single" w:sz="8" w:color="242021"/>
            </w:tcBorders>
            <w:shd w:val="clear" w:color="auto" w:fill="DCDDDF"/>
          </w:tcPr>
          <w:p>
            <w:pPr>
              <w:ind w:left="100"/>
              <w:spacing w:after="0"/>
              <w:rPr>
                <w:sz w:val="20"/>
                <w:szCs w:val="20"/>
                <w:color w:val="auto"/>
              </w:rPr>
            </w:pPr>
            <w:r>
              <w:rPr>
                <w:rFonts w:ascii="Times New Roman" w:cs="Times New Roman" w:eastAsia="Times New Roman" w:hAnsi="Times New Roman"/>
                <w:sz w:val="20"/>
                <w:szCs w:val="20"/>
                <w:color w:val="231F20"/>
              </w:rPr>
              <w:t>Loans</w:t>
            </w:r>
          </w:p>
        </w:tc>
        <w:tc>
          <w:tcPr>
            <w:tcW w:w="2300" w:type="dxa"/>
            <w:vAlign w:val="bottom"/>
            <w:tcBorders>
              <w:bottom w:val="single" w:sz="8" w:color="242021"/>
              <w:right w:val="single" w:sz="8" w:color="242021"/>
            </w:tcBorders>
            <w:shd w:val="clear" w:color="auto" w:fill="DCDDDF"/>
          </w:tcPr>
          <w:p>
            <w:pPr>
              <w:ind w:left="20"/>
              <w:spacing w:after="0"/>
              <w:rPr>
                <w:sz w:val="20"/>
                <w:szCs w:val="20"/>
                <w:color w:val="auto"/>
              </w:rPr>
            </w:pPr>
            <w:r>
              <w:rPr>
                <w:rFonts w:ascii="Times New Roman" w:cs="Times New Roman" w:eastAsia="Times New Roman" w:hAnsi="Times New Roman"/>
                <w:sz w:val="20"/>
                <w:szCs w:val="20"/>
                <w:color w:val="231F20"/>
              </w:rPr>
              <w:t>Commitment Fee Rate</w:t>
            </w:r>
          </w:p>
        </w:tc>
      </w:tr>
      <w:tr>
        <w:trPr>
          <w:trHeight w:val="286"/>
        </w:trPr>
        <w:tc>
          <w:tcPr>
            <w:tcW w:w="1340" w:type="dxa"/>
            <w:vAlign w:val="bottom"/>
            <w:tcBorders>
              <w:left w:val="single" w:sz="8" w:color="242021"/>
              <w:right w:val="single" w:sz="8" w:color="242021"/>
            </w:tcBorders>
          </w:tcPr>
          <w:p>
            <w:pPr>
              <w:ind w:left="40"/>
              <w:spacing w:after="0"/>
              <w:rPr>
                <w:sz w:val="20"/>
                <w:szCs w:val="20"/>
                <w:color w:val="auto"/>
              </w:rPr>
            </w:pPr>
            <w:r>
              <w:rPr>
                <w:rFonts w:ascii="Times New Roman" w:cs="Times New Roman" w:eastAsia="Times New Roman" w:hAnsi="Times New Roman"/>
                <w:sz w:val="20"/>
                <w:szCs w:val="20"/>
                <w:color w:val="231F20"/>
              </w:rPr>
              <w:t>Level I</w:t>
            </w:r>
          </w:p>
        </w:tc>
        <w:tc>
          <w:tcPr>
            <w:tcW w:w="1940" w:type="dxa"/>
            <w:vAlign w:val="bottom"/>
            <w:tcBorders>
              <w:right w:val="single" w:sz="8" w:color="242021"/>
            </w:tcBorders>
          </w:tcPr>
          <w:p>
            <w:pPr>
              <w:ind w:left="780"/>
              <w:spacing w:after="0"/>
              <w:rPr>
                <w:sz w:val="20"/>
                <w:szCs w:val="20"/>
                <w:color w:val="auto"/>
              </w:rPr>
            </w:pPr>
            <w:r>
              <w:rPr>
                <w:rFonts w:ascii="Times New Roman" w:cs="Times New Roman" w:eastAsia="Times New Roman" w:hAnsi="Times New Roman"/>
                <w:sz w:val="20"/>
                <w:szCs w:val="20"/>
                <w:color w:val="231F20"/>
              </w:rPr>
              <w:t>:: 1.50 to 1.00</w:t>
            </w:r>
          </w:p>
        </w:tc>
        <w:tc>
          <w:tcPr>
            <w:tcW w:w="2220" w:type="dxa"/>
            <w:vAlign w:val="bottom"/>
            <w:tcBorders>
              <w:right w:val="single" w:sz="8" w:color="242021"/>
            </w:tcBorders>
          </w:tcPr>
          <w:p>
            <w:pPr>
              <w:ind w:left="20"/>
              <w:spacing w:after="0"/>
              <w:rPr>
                <w:sz w:val="20"/>
                <w:szCs w:val="20"/>
                <w:color w:val="auto"/>
              </w:rPr>
            </w:pPr>
            <w:r>
              <w:rPr>
                <w:rFonts w:ascii="Times New Roman" w:cs="Times New Roman" w:eastAsia="Times New Roman" w:hAnsi="Times New Roman"/>
                <w:sz w:val="20"/>
                <w:szCs w:val="20"/>
                <w:color w:val="231F20"/>
              </w:rPr>
              <w:t>2.000%</w:t>
            </w:r>
          </w:p>
        </w:tc>
        <w:tc>
          <w:tcPr>
            <w:tcW w:w="2200" w:type="dxa"/>
            <w:vAlign w:val="bottom"/>
            <w:tcBorders>
              <w:right w:val="single" w:sz="8" w:color="242021"/>
            </w:tcBorders>
          </w:tcPr>
          <w:p>
            <w:pPr>
              <w:ind w:left="20"/>
              <w:spacing w:after="0"/>
              <w:rPr>
                <w:sz w:val="20"/>
                <w:szCs w:val="20"/>
                <w:color w:val="auto"/>
              </w:rPr>
            </w:pPr>
            <w:r>
              <w:rPr>
                <w:rFonts w:ascii="Times New Roman" w:cs="Times New Roman" w:eastAsia="Times New Roman" w:hAnsi="Times New Roman"/>
                <w:sz w:val="20"/>
                <w:szCs w:val="20"/>
                <w:color w:val="231F20"/>
              </w:rPr>
              <w:t>1.000%</w:t>
            </w:r>
          </w:p>
        </w:tc>
        <w:tc>
          <w:tcPr>
            <w:tcW w:w="2300" w:type="dxa"/>
            <w:vAlign w:val="bottom"/>
            <w:tcBorders>
              <w:right w:val="single" w:sz="8" w:color="242021"/>
            </w:tcBorders>
          </w:tcPr>
          <w:p>
            <w:pPr>
              <w:ind w:left="20"/>
              <w:spacing w:after="0"/>
              <w:rPr>
                <w:sz w:val="20"/>
                <w:szCs w:val="20"/>
                <w:color w:val="auto"/>
              </w:rPr>
            </w:pPr>
            <w:r>
              <w:rPr>
                <w:rFonts w:ascii="Times New Roman" w:cs="Times New Roman" w:eastAsia="Times New Roman" w:hAnsi="Times New Roman"/>
                <w:sz w:val="20"/>
                <w:szCs w:val="20"/>
                <w:color w:val="231F20"/>
              </w:rPr>
              <w:t>0.250%</w:t>
            </w:r>
          </w:p>
        </w:tc>
      </w:tr>
      <w:tr>
        <w:trPr>
          <w:trHeight w:val="35"/>
        </w:trPr>
        <w:tc>
          <w:tcPr>
            <w:tcW w:w="1340" w:type="dxa"/>
            <w:vAlign w:val="bottom"/>
            <w:tcBorders>
              <w:left w:val="single" w:sz="8" w:color="242021"/>
              <w:bottom w:val="single" w:sz="8" w:color="242021"/>
              <w:right w:val="single" w:sz="8" w:color="242021"/>
            </w:tcBorders>
          </w:tcPr>
          <w:p>
            <w:pPr>
              <w:spacing w:after="0"/>
              <w:rPr>
                <w:sz w:val="3"/>
                <w:szCs w:val="3"/>
                <w:color w:val="auto"/>
              </w:rPr>
            </w:pPr>
          </w:p>
        </w:tc>
        <w:tc>
          <w:tcPr>
            <w:tcW w:w="1940" w:type="dxa"/>
            <w:vAlign w:val="bottom"/>
            <w:tcBorders>
              <w:bottom w:val="single" w:sz="8" w:color="242021"/>
              <w:right w:val="single" w:sz="8" w:color="242021"/>
            </w:tcBorders>
          </w:tcPr>
          <w:p>
            <w:pPr>
              <w:spacing w:after="0"/>
              <w:rPr>
                <w:sz w:val="3"/>
                <w:szCs w:val="3"/>
                <w:color w:val="auto"/>
              </w:rPr>
            </w:pPr>
          </w:p>
        </w:tc>
        <w:tc>
          <w:tcPr>
            <w:tcW w:w="2220" w:type="dxa"/>
            <w:vAlign w:val="bottom"/>
            <w:tcBorders>
              <w:bottom w:val="single" w:sz="8" w:color="242021"/>
              <w:right w:val="single" w:sz="8" w:color="242021"/>
            </w:tcBorders>
          </w:tcPr>
          <w:p>
            <w:pPr>
              <w:spacing w:after="0"/>
              <w:rPr>
                <w:sz w:val="3"/>
                <w:szCs w:val="3"/>
                <w:color w:val="auto"/>
              </w:rPr>
            </w:pPr>
          </w:p>
        </w:tc>
        <w:tc>
          <w:tcPr>
            <w:tcW w:w="2200" w:type="dxa"/>
            <w:vAlign w:val="bottom"/>
            <w:tcBorders>
              <w:bottom w:val="single" w:sz="8" w:color="242021"/>
              <w:right w:val="single" w:sz="8" w:color="242021"/>
            </w:tcBorders>
          </w:tcPr>
          <w:p>
            <w:pPr>
              <w:spacing w:after="0"/>
              <w:rPr>
                <w:sz w:val="3"/>
                <w:szCs w:val="3"/>
                <w:color w:val="auto"/>
              </w:rPr>
            </w:pPr>
          </w:p>
        </w:tc>
        <w:tc>
          <w:tcPr>
            <w:tcW w:w="2300" w:type="dxa"/>
            <w:vAlign w:val="bottom"/>
            <w:tcBorders>
              <w:bottom w:val="single" w:sz="8" w:color="242021"/>
              <w:right w:val="single" w:sz="8" w:color="242021"/>
            </w:tcBorders>
          </w:tcPr>
          <w:p>
            <w:pPr>
              <w:spacing w:after="0"/>
              <w:rPr>
                <w:sz w:val="3"/>
                <w:szCs w:val="3"/>
                <w:color w:val="auto"/>
              </w:rPr>
            </w:pPr>
          </w:p>
        </w:tc>
      </w:tr>
      <w:tr>
        <w:trPr>
          <w:trHeight w:val="283"/>
        </w:trPr>
        <w:tc>
          <w:tcPr>
            <w:tcW w:w="1340" w:type="dxa"/>
            <w:vAlign w:val="bottom"/>
            <w:tcBorders>
              <w:left w:val="single" w:sz="8" w:color="242021"/>
              <w:right w:val="single" w:sz="8" w:color="242021"/>
            </w:tcBorders>
          </w:tcPr>
          <w:p>
            <w:pPr>
              <w:ind w:left="40"/>
              <w:spacing w:after="0"/>
              <w:rPr>
                <w:sz w:val="20"/>
                <w:szCs w:val="20"/>
                <w:color w:val="auto"/>
              </w:rPr>
            </w:pPr>
            <w:r>
              <w:rPr>
                <w:rFonts w:ascii="Times New Roman" w:cs="Times New Roman" w:eastAsia="Times New Roman" w:hAnsi="Times New Roman"/>
                <w:sz w:val="20"/>
                <w:szCs w:val="20"/>
                <w:color w:val="231F20"/>
              </w:rPr>
              <w:t>Level II</w:t>
            </w:r>
          </w:p>
        </w:tc>
        <w:tc>
          <w:tcPr>
            <w:tcW w:w="1940" w:type="dxa"/>
            <w:vAlign w:val="bottom"/>
            <w:tcBorders>
              <w:right w:val="single" w:sz="8" w:color="242021"/>
            </w:tcBorders>
          </w:tcPr>
          <w:p>
            <w:pPr>
              <w:spacing w:after="0"/>
              <w:rPr>
                <w:sz w:val="20"/>
                <w:szCs w:val="20"/>
                <w:color w:val="auto"/>
              </w:rPr>
            </w:pPr>
            <w:r>
              <w:rPr>
                <w:rFonts w:ascii="Times New Roman" w:cs="Times New Roman" w:eastAsia="Times New Roman" w:hAnsi="Times New Roman"/>
                <w:sz w:val="20"/>
                <w:szCs w:val="20"/>
                <w:color w:val="231F20"/>
              </w:rPr>
              <w:t>:: 2.50 to 1.00, but</w:t>
            </w:r>
          </w:p>
        </w:tc>
        <w:tc>
          <w:tcPr>
            <w:tcW w:w="2220" w:type="dxa"/>
            <w:vAlign w:val="bottom"/>
            <w:tcBorders>
              <w:right w:val="single" w:sz="8" w:color="242021"/>
            </w:tcBorders>
          </w:tcPr>
          <w:p>
            <w:pPr>
              <w:ind w:left="20"/>
              <w:spacing w:after="0"/>
              <w:rPr>
                <w:sz w:val="20"/>
                <w:szCs w:val="20"/>
                <w:color w:val="auto"/>
              </w:rPr>
            </w:pPr>
            <w:r>
              <w:rPr>
                <w:rFonts w:ascii="Times New Roman" w:cs="Times New Roman" w:eastAsia="Times New Roman" w:hAnsi="Times New Roman"/>
                <w:sz w:val="20"/>
                <w:szCs w:val="20"/>
                <w:color w:val="231F20"/>
              </w:rPr>
              <w:t>2.250%</w:t>
            </w:r>
          </w:p>
        </w:tc>
        <w:tc>
          <w:tcPr>
            <w:tcW w:w="2200" w:type="dxa"/>
            <w:vAlign w:val="bottom"/>
            <w:tcBorders>
              <w:right w:val="single" w:sz="8" w:color="242021"/>
            </w:tcBorders>
          </w:tcPr>
          <w:p>
            <w:pPr>
              <w:ind w:left="20"/>
              <w:spacing w:after="0"/>
              <w:rPr>
                <w:sz w:val="20"/>
                <w:szCs w:val="20"/>
                <w:color w:val="auto"/>
              </w:rPr>
            </w:pPr>
            <w:r>
              <w:rPr>
                <w:rFonts w:ascii="Times New Roman" w:cs="Times New Roman" w:eastAsia="Times New Roman" w:hAnsi="Times New Roman"/>
                <w:sz w:val="20"/>
                <w:szCs w:val="20"/>
                <w:color w:val="231F20"/>
              </w:rPr>
              <w:t>1.250%</w:t>
            </w:r>
          </w:p>
        </w:tc>
        <w:tc>
          <w:tcPr>
            <w:tcW w:w="2300" w:type="dxa"/>
            <w:vAlign w:val="bottom"/>
            <w:tcBorders>
              <w:right w:val="single" w:sz="8" w:color="242021"/>
            </w:tcBorders>
          </w:tcPr>
          <w:p>
            <w:pPr>
              <w:ind w:left="20"/>
              <w:spacing w:after="0"/>
              <w:rPr>
                <w:sz w:val="20"/>
                <w:szCs w:val="20"/>
                <w:color w:val="auto"/>
              </w:rPr>
            </w:pPr>
            <w:r>
              <w:rPr>
                <w:rFonts w:ascii="Times New Roman" w:cs="Times New Roman" w:eastAsia="Times New Roman" w:hAnsi="Times New Roman"/>
                <w:sz w:val="20"/>
                <w:szCs w:val="20"/>
                <w:color w:val="231F20"/>
              </w:rPr>
              <w:t>0.300%</w:t>
            </w:r>
          </w:p>
        </w:tc>
      </w:tr>
      <w:tr>
        <w:trPr>
          <w:trHeight w:val="283"/>
        </w:trPr>
        <w:tc>
          <w:tcPr>
            <w:tcW w:w="1340" w:type="dxa"/>
            <w:vAlign w:val="bottom"/>
            <w:tcBorders>
              <w:left w:val="single" w:sz="8" w:color="242021"/>
              <w:right w:val="single" w:sz="8" w:color="242021"/>
            </w:tcBorders>
          </w:tcPr>
          <w:p>
            <w:pPr>
              <w:spacing w:after="0"/>
              <w:rPr>
                <w:sz w:val="24"/>
                <w:szCs w:val="24"/>
                <w:color w:val="auto"/>
              </w:rPr>
            </w:pPr>
          </w:p>
        </w:tc>
        <w:tc>
          <w:tcPr>
            <w:tcW w:w="1940" w:type="dxa"/>
            <w:vAlign w:val="bottom"/>
            <w:tcBorders>
              <w:right w:val="single" w:sz="8" w:color="242021"/>
            </w:tcBorders>
          </w:tcPr>
          <w:p>
            <w:pPr>
              <w:spacing w:after="0"/>
              <w:rPr>
                <w:sz w:val="20"/>
                <w:szCs w:val="20"/>
                <w:color w:val="auto"/>
              </w:rPr>
            </w:pPr>
            <w:r>
              <w:rPr>
                <w:rFonts w:ascii="Times New Roman" w:cs="Times New Roman" w:eastAsia="Times New Roman" w:hAnsi="Times New Roman"/>
                <w:sz w:val="20"/>
                <w:szCs w:val="20"/>
                <w:color w:val="231F20"/>
              </w:rPr>
              <w:t>&gt; 1.50 to 1.00</w:t>
            </w:r>
          </w:p>
        </w:tc>
        <w:tc>
          <w:tcPr>
            <w:tcW w:w="2220" w:type="dxa"/>
            <w:vAlign w:val="bottom"/>
            <w:tcBorders>
              <w:right w:val="single" w:sz="8" w:color="242021"/>
            </w:tcBorders>
          </w:tcPr>
          <w:p>
            <w:pPr>
              <w:spacing w:after="0"/>
              <w:rPr>
                <w:sz w:val="24"/>
                <w:szCs w:val="24"/>
                <w:color w:val="auto"/>
              </w:rPr>
            </w:pPr>
          </w:p>
        </w:tc>
        <w:tc>
          <w:tcPr>
            <w:tcW w:w="2200" w:type="dxa"/>
            <w:vAlign w:val="bottom"/>
            <w:tcBorders>
              <w:right w:val="single" w:sz="8" w:color="242021"/>
            </w:tcBorders>
          </w:tcPr>
          <w:p>
            <w:pPr>
              <w:spacing w:after="0"/>
              <w:rPr>
                <w:sz w:val="24"/>
                <w:szCs w:val="24"/>
                <w:color w:val="auto"/>
              </w:rPr>
            </w:pPr>
          </w:p>
        </w:tc>
        <w:tc>
          <w:tcPr>
            <w:tcW w:w="2300" w:type="dxa"/>
            <w:vAlign w:val="bottom"/>
            <w:tcBorders>
              <w:right w:val="single" w:sz="8" w:color="242021"/>
            </w:tcBorders>
          </w:tcPr>
          <w:p>
            <w:pPr>
              <w:spacing w:after="0"/>
              <w:rPr>
                <w:sz w:val="24"/>
                <w:szCs w:val="24"/>
                <w:color w:val="auto"/>
              </w:rPr>
            </w:pPr>
          </w:p>
        </w:tc>
      </w:tr>
      <w:tr>
        <w:trPr>
          <w:trHeight w:val="35"/>
        </w:trPr>
        <w:tc>
          <w:tcPr>
            <w:tcW w:w="1340" w:type="dxa"/>
            <w:vAlign w:val="bottom"/>
            <w:tcBorders>
              <w:left w:val="single" w:sz="8" w:color="242021"/>
              <w:bottom w:val="single" w:sz="8" w:color="242021"/>
              <w:right w:val="single" w:sz="8" w:color="242021"/>
            </w:tcBorders>
          </w:tcPr>
          <w:p>
            <w:pPr>
              <w:spacing w:after="0"/>
              <w:rPr>
                <w:sz w:val="3"/>
                <w:szCs w:val="3"/>
                <w:color w:val="auto"/>
              </w:rPr>
            </w:pPr>
          </w:p>
        </w:tc>
        <w:tc>
          <w:tcPr>
            <w:tcW w:w="1940" w:type="dxa"/>
            <w:vAlign w:val="bottom"/>
            <w:tcBorders>
              <w:bottom w:val="single" w:sz="8" w:color="242021"/>
              <w:right w:val="single" w:sz="8" w:color="242021"/>
            </w:tcBorders>
          </w:tcPr>
          <w:p>
            <w:pPr>
              <w:spacing w:after="0"/>
              <w:rPr>
                <w:sz w:val="3"/>
                <w:szCs w:val="3"/>
                <w:color w:val="auto"/>
              </w:rPr>
            </w:pPr>
          </w:p>
        </w:tc>
        <w:tc>
          <w:tcPr>
            <w:tcW w:w="2220" w:type="dxa"/>
            <w:vAlign w:val="bottom"/>
            <w:tcBorders>
              <w:bottom w:val="single" w:sz="8" w:color="242021"/>
              <w:right w:val="single" w:sz="8" w:color="242021"/>
            </w:tcBorders>
          </w:tcPr>
          <w:p>
            <w:pPr>
              <w:spacing w:after="0"/>
              <w:rPr>
                <w:sz w:val="3"/>
                <w:szCs w:val="3"/>
                <w:color w:val="auto"/>
              </w:rPr>
            </w:pPr>
          </w:p>
        </w:tc>
        <w:tc>
          <w:tcPr>
            <w:tcW w:w="2200" w:type="dxa"/>
            <w:vAlign w:val="bottom"/>
            <w:tcBorders>
              <w:bottom w:val="single" w:sz="8" w:color="242021"/>
              <w:right w:val="single" w:sz="8" w:color="242021"/>
            </w:tcBorders>
          </w:tcPr>
          <w:p>
            <w:pPr>
              <w:spacing w:after="0"/>
              <w:rPr>
                <w:sz w:val="3"/>
                <w:szCs w:val="3"/>
                <w:color w:val="auto"/>
              </w:rPr>
            </w:pPr>
          </w:p>
        </w:tc>
        <w:tc>
          <w:tcPr>
            <w:tcW w:w="2300" w:type="dxa"/>
            <w:vAlign w:val="bottom"/>
            <w:tcBorders>
              <w:bottom w:val="single" w:sz="8" w:color="242021"/>
              <w:right w:val="single" w:sz="8" w:color="242021"/>
            </w:tcBorders>
          </w:tcPr>
          <w:p>
            <w:pPr>
              <w:spacing w:after="0"/>
              <w:rPr>
                <w:sz w:val="3"/>
                <w:szCs w:val="3"/>
                <w:color w:val="auto"/>
              </w:rPr>
            </w:pPr>
          </w:p>
        </w:tc>
      </w:tr>
      <w:tr>
        <w:trPr>
          <w:trHeight w:val="283"/>
        </w:trPr>
        <w:tc>
          <w:tcPr>
            <w:tcW w:w="1340" w:type="dxa"/>
            <w:vAlign w:val="bottom"/>
            <w:tcBorders>
              <w:left w:val="single" w:sz="8" w:color="242021"/>
              <w:right w:val="single" w:sz="8" w:color="242021"/>
            </w:tcBorders>
          </w:tcPr>
          <w:p>
            <w:pPr>
              <w:ind w:left="40"/>
              <w:spacing w:after="0"/>
              <w:rPr>
                <w:sz w:val="20"/>
                <w:szCs w:val="20"/>
                <w:color w:val="auto"/>
              </w:rPr>
            </w:pPr>
            <w:r>
              <w:rPr>
                <w:rFonts w:ascii="Times New Roman" w:cs="Times New Roman" w:eastAsia="Times New Roman" w:hAnsi="Times New Roman"/>
                <w:sz w:val="20"/>
                <w:szCs w:val="20"/>
                <w:color w:val="231F20"/>
              </w:rPr>
              <w:t>Level III</w:t>
            </w:r>
          </w:p>
        </w:tc>
        <w:tc>
          <w:tcPr>
            <w:tcW w:w="1940" w:type="dxa"/>
            <w:vAlign w:val="bottom"/>
            <w:tcBorders>
              <w:right w:val="single" w:sz="8" w:color="242021"/>
            </w:tcBorders>
          </w:tcPr>
          <w:p>
            <w:pPr>
              <w:ind w:left="780"/>
              <w:spacing w:after="0"/>
              <w:rPr>
                <w:sz w:val="20"/>
                <w:szCs w:val="20"/>
                <w:color w:val="auto"/>
              </w:rPr>
            </w:pPr>
            <w:r>
              <w:rPr>
                <w:rFonts w:ascii="Times New Roman" w:cs="Times New Roman" w:eastAsia="Times New Roman" w:hAnsi="Times New Roman"/>
                <w:sz w:val="20"/>
                <w:szCs w:val="20"/>
                <w:color w:val="231F20"/>
              </w:rPr>
              <w:t>&gt; 2.50 to 1.00</w:t>
            </w:r>
          </w:p>
        </w:tc>
        <w:tc>
          <w:tcPr>
            <w:tcW w:w="2220" w:type="dxa"/>
            <w:vAlign w:val="bottom"/>
            <w:tcBorders>
              <w:right w:val="single" w:sz="8" w:color="242021"/>
            </w:tcBorders>
          </w:tcPr>
          <w:p>
            <w:pPr>
              <w:ind w:left="20"/>
              <w:spacing w:after="0"/>
              <w:rPr>
                <w:sz w:val="20"/>
                <w:szCs w:val="20"/>
                <w:color w:val="auto"/>
              </w:rPr>
            </w:pPr>
            <w:r>
              <w:rPr>
                <w:rFonts w:ascii="Times New Roman" w:cs="Times New Roman" w:eastAsia="Times New Roman" w:hAnsi="Times New Roman"/>
                <w:sz w:val="20"/>
                <w:szCs w:val="20"/>
                <w:color w:val="231F20"/>
              </w:rPr>
              <w:t>2.500%</w:t>
            </w:r>
          </w:p>
        </w:tc>
        <w:tc>
          <w:tcPr>
            <w:tcW w:w="2200" w:type="dxa"/>
            <w:vAlign w:val="bottom"/>
            <w:tcBorders>
              <w:right w:val="single" w:sz="8" w:color="242021"/>
            </w:tcBorders>
          </w:tcPr>
          <w:p>
            <w:pPr>
              <w:ind w:left="20"/>
              <w:spacing w:after="0"/>
              <w:rPr>
                <w:sz w:val="20"/>
                <w:szCs w:val="20"/>
                <w:color w:val="auto"/>
              </w:rPr>
            </w:pPr>
            <w:r>
              <w:rPr>
                <w:rFonts w:ascii="Times New Roman" w:cs="Times New Roman" w:eastAsia="Times New Roman" w:hAnsi="Times New Roman"/>
                <w:sz w:val="20"/>
                <w:szCs w:val="20"/>
                <w:color w:val="231F20"/>
              </w:rPr>
              <w:t>1.500%</w:t>
            </w:r>
          </w:p>
        </w:tc>
        <w:tc>
          <w:tcPr>
            <w:tcW w:w="2300" w:type="dxa"/>
            <w:vAlign w:val="bottom"/>
            <w:tcBorders>
              <w:right w:val="single" w:sz="8" w:color="242021"/>
            </w:tcBorders>
          </w:tcPr>
          <w:p>
            <w:pPr>
              <w:ind w:left="20"/>
              <w:spacing w:after="0"/>
              <w:rPr>
                <w:sz w:val="20"/>
                <w:szCs w:val="20"/>
                <w:color w:val="auto"/>
              </w:rPr>
            </w:pPr>
            <w:r>
              <w:rPr>
                <w:rFonts w:ascii="Times New Roman" w:cs="Times New Roman" w:eastAsia="Times New Roman" w:hAnsi="Times New Roman"/>
                <w:sz w:val="20"/>
                <w:szCs w:val="20"/>
                <w:color w:val="231F20"/>
              </w:rPr>
              <w:t>0.350%</w:t>
            </w:r>
          </w:p>
        </w:tc>
      </w:tr>
      <w:tr>
        <w:trPr>
          <w:trHeight w:val="250"/>
        </w:trPr>
        <w:tc>
          <w:tcPr>
            <w:tcW w:w="1340" w:type="dxa"/>
            <w:vAlign w:val="bottom"/>
            <w:tcBorders>
              <w:left w:val="single" w:sz="8" w:color="242021"/>
              <w:bottom w:val="single" w:sz="8" w:color="242021"/>
              <w:right w:val="single" w:sz="8" w:color="242021"/>
            </w:tcBorders>
          </w:tcPr>
          <w:p>
            <w:pPr>
              <w:spacing w:after="0"/>
              <w:rPr>
                <w:sz w:val="21"/>
                <w:szCs w:val="21"/>
                <w:color w:val="auto"/>
              </w:rPr>
            </w:pPr>
          </w:p>
        </w:tc>
        <w:tc>
          <w:tcPr>
            <w:tcW w:w="1940" w:type="dxa"/>
            <w:vAlign w:val="bottom"/>
            <w:tcBorders>
              <w:bottom w:val="single" w:sz="8" w:color="242021"/>
              <w:right w:val="single" w:sz="8" w:color="242021"/>
            </w:tcBorders>
          </w:tcPr>
          <w:p>
            <w:pPr>
              <w:spacing w:after="0"/>
              <w:rPr>
                <w:sz w:val="21"/>
                <w:szCs w:val="21"/>
                <w:color w:val="auto"/>
              </w:rPr>
            </w:pPr>
          </w:p>
        </w:tc>
        <w:tc>
          <w:tcPr>
            <w:tcW w:w="2220" w:type="dxa"/>
            <w:vAlign w:val="bottom"/>
            <w:tcBorders>
              <w:bottom w:val="single" w:sz="8" w:color="242021"/>
              <w:right w:val="single" w:sz="8" w:color="242021"/>
            </w:tcBorders>
          </w:tcPr>
          <w:p>
            <w:pPr>
              <w:spacing w:after="0"/>
              <w:rPr>
                <w:sz w:val="21"/>
                <w:szCs w:val="21"/>
                <w:color w:val="auto"/>
              </w:rPr>
            </w:pPr>
          </w:p>
        </w:tc>
        <w:tc>
          <w:tcPr>
            <w:tcW w:w="2200" w:type="dxa"/>
            <w:vAlign w:val="bottom"/>
            <w:tcBorders>
              <w:bottom w:val="single" w:sz="8" w:color="242021"/>
              <w:right w:val="single" w:sz="8" w:color="242021"/>
            </w:tcBorders>
          </w:tcPr>
          <w:p>
            <w:pPr>
              <w:spacing w:after="0"/>
              <w:rPr>
                <w:sz w:val="21"/>
                <w:szCs w:val="21"/>
                <w:color w:val="auto"/>
              </w:rPr>
            </w:pPr>
          </w:p>
        </w:tc>
        <w:tc>
          <w:tcPr>
            <w:tcW w:w="2300" w:type="dxa"/>
            <w:vAlign w:val="bottom"/>
            <w:tcBorders>
              <w:bottom w:val="single" w:sz="8" w:color="242021"/>
              <w:right w:val="single" w:sz="8" w:color="242021"/>
            </w:tcBorders>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39" w:name="page140"/>
    <w:bookmarkEnd w:id="139"/>
    <w:p>
      <w:pPr>
        <w:spacing w:after="0" w:line="54"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color w:val="231F20"/>
        </w:rPr>
        <w:t xml:space="preserve">For purposes of the foregoing, (a) the Applicable Rate shall be determined as of the end of each fiscal quarter of the Borrower based upon the Borrower’s annual or quarterly consolidated financial statements delivered pursuant to </w:t>
      </w:r>
      <w:r>
        <w:rPr>
          <w:rFonts w:ascii="Times New Roman" w:cs="Times New Roman" w:eastAsia="Times New Roman" w:hAnsi="Times New Roman"/>
          <w:sz w:val="20"/>
          <w:szCs w:val="20"/>
          <w:u w:val="single" w:color="auto"/>
          <w:color w:val="231F20"/>
        </w:rPr>
        <w:t>Section 5.01</w:t>
      </w:r>
      <w:r>
        <w:rPr>
          <w:rFonts w:ascii="Times New Roman" w:cs="Times New Roman" w:eastAsia="Times New Roman" w:hAnsi="Times New Roman"/>
          <w:sz w:val="20"/>
          <w:szCs w:val="20"/>
          <w:color w:val="231F20"/>
        </w:rPr>
        <w:t xml:space="preserve"> and (b) each change in the Applicable Rate resulting from a change in the Consolidated Total Net Leverage Ratio shall be effective five (5) Business Days after the date of delivery to the Administrative Agent of such consolidated financial statements indicating such change and ending on the date immediately preceding the effective date of the next such change;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the Consolidated Total Net Leverage Ratio shall be deemed to be in Level III for the period commencing five</w:t>
      </w:r>
    </w:p>
    <w:p>
      <w:pPr>
        <w:spacing w:after="0" w:line="2" w:lineRule="exact"/>
        <w:rPr>
          <w:sz w:val="20"/>
          <w:szCs w:val="20"/>
          <w:color w:val="auto"/>
        </w:rPr>
      </w:pPr>
    </w:p>
    <w:p>
      <w:pPr>
        <w:jc w:val="both"/>
        <w:ind w:left="740" w:hanging="3"/>
        <w:spacing w:after="0" w:line="242" w:lineRule="auto"/>
        <w:tabs>
          <w:tab w:leader="none" w:pos="1035" w:val="left"/>
        </w:tabs>
        <w:numPr>
          <w:ilvl w:val="0"/>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Business Days after the Borrower fails to deliver the annual or quarterly consolidated financial statements required to be delivered by it pursuant to </w:t>
      </w:r>
      <w:r>
        <w:rPr>
          <w:rFonts w:ascii="Times New Roman" w:cs="Times New Roman" w:eastAsia="Times New Roman" w:hAnsi="Times New Roman"/>
          <w:sz w:val="20"/>
          <w:szCs w:val="20"/>
          <w:u w:val="single" w:color="auto"/>
          <w:color w:val="231F20"/>
        </w:rPr>
        <w:t>Section 5.01</w:t>
      </w:r>
      <w:r>
        <w:rPr>
          <w:rFonts w:ascii="Times New Roman" w:cs="Times New Roman" w:eastAsia="Times New Roman" w:hAnsi="Times New Roman"/>
          <w:sz w:val="20"/>
          <w:szCs w:val="20"/>
          <w:color w:val="231F20"/>
        </w:rPr>
        <w:t>, and ending on the date which is five (5) Business Days after such statements or certificates are actually delivered.</w:t>
      </w:r>
    </w:p>
    <w:p>
      <w:pPr>
        <w:spacing w:after="0" w:line="187" w:lineRule="exact"/>
        <w:rPr>
          <w:sz w:val="20"/>
          <w:szCs w:val="20"/>
          <w:color w:val="auto"/>
        </w:rPr>
      </w:pPr>
    </w:p>
    <w:p>
      <w:pPr>
        <w:jc w:val="both"/>
        <w:ind w:left="740" w:right="20" w:firstLine="749"/>
        <w:spacing w:after="0" w:line="241" w:lineRule="auto"/>
        <w:rPr>
          <w:sz w:val="20"/>
          <w:szCs w:val="20"/>
          <w:color w:val="auto"/>
        </w:rPr>
      </w:pPr>
      <w:r>
        <w:rPr>
          <w:rFonts w:ascii="Times New Roman" w:cs="Times New Roman" w:eastAsia="Times New Roman" w:hAnsi="Times New Roman"/>
          <w:sz w:val="20"/>
          <w:szCs w:val="20"/>
          <w:color w:val="231F20"/>
        </w:rPr>
        <w:t xml:space="preserve">In the event that any financial statement delivered pursuant to </w:t>
      </w:r>
      <w:r>
        <w:rPr>
          <w:rFonts w:ascii="Times New Roman" w:cs="Times New Roman" w:eastAsia="Times New Roman" w:hAnsi="Times New Roman"/>
          <w:sz w:val="20"/>
          <w:szCs w:val="20"/>
          <w:u w:val="single" w:color="auto"/>
          <w:color w:val="231F20"/>
        </w:rPr>
        <w:t>Section 5.01(a)</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(b)</w:t>
      </w:r>
      <w:r>
        <w:rPr>
          <w:rFonts w:ascii="Times New Roman" w:cs="Times New Roman" w:eastAsia="Times New Roman" w:hAnsi="Times New Roman"/>
          <w:sz w:val="20"/>
          <w:szCs w:val="20"/>
          <w:color w:val="231F20"/>
        </w:rPr>
        <w:t xml:space="preserve"> or any compliance certificate delivered pursuant to </w:t>
      </w:r>
      <w:r>
        <w:rPr>
          <w:rFonts w:ascii="Times New Roman" w:cs="Times New Roman" w:eastAsia="Times New Roman" w:hAnsi="Times New Roman"/>
          <w:sz w:val="20"/>
          <w:szCs w:val="20"/>
          <w:u w:val="single" w:color="auto"/>
          <w:color w:val="231F20"/>
        </w:rPr>
        <w:t>Section 5.01(c)</w:t>
      </w:r>
      <w:r>
        <w:rPr>
          <w:rFonts w:ascii="Times New Roman" w:cs="Times New Roman" w:eastAsia="Times New Roman" w:hAnsi="Times New Roman"/>
          <w:sz w:val="20"/>
          <w:szCs w:val="20"/>
          <w:color w:val="231F20"/>
        </w:rPr>
        <w:t>, as applicable, is inaccurate, and such inaccuracy, if corrected, would have led to the imposition of a higher Applicable Rate for any period than the Applicable Rate applied for that period, then (i) Borrower shall promptly deliver to Administrative Agent a corrected financial statement and a corrected compliance certificate for that period (the “</w:t>
      </w:r>
      <w:r>
        <w:rPr>
          <w:rFonts w:ascii="Times New Roman" w:cs="Times New Roman" w:eastAsia="Times New Roman" w:hAnsi="Times New Roman"/>
          <w:sz w:val="20"/>
          <w:szCs w:val="20"/>
          <w:u w:val="single" w:color="auto"/>
          <w:color w:val="231F20"/>
        </w:rPr>
        <w:t>Corrected Financials Date</w:t>
      </w:r>
      <w:r>
        <w:rPr>
          <w:rFonts w:ascii="Times New Roman" w:cs="Times New Roman" w:eastAsia="Times New Roman" w:hAnsi="Times New Roman"/>
          <w:sz w:val="20"/>
          <w:szCs w:val="20"/>
          <w:color w:val="231F20"/>
        </w:rPr>
        <w:t xml:space="preserve">”), (ii) the Applicable Rate shall be determined based on the corrected compliance certificate for that period, and (iii) Borrower shall promptly pay to Administrative Agent (for the account of the Lenders that hold the Commitments and Loans at the time such payment is received, regardless of whether those Lenders held the Commitments and Loans during the relevant period) the accrued additional interest owing as a result of such increased Applicable Rate for that period;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for the avoidance of doubt, such deficiency shall be due and payable as at such Corrected Financials Date and no Default or Event of Default under clause (b) of </w:t>
      </w:r>
      <w:r>
        <w:rPr>
          <w:rFonts w:ascii="Times New Roman" w:cs="Times New Roman" w:eastAsia="Times New Roman" w:hAnsi="Times New Roman"/>
          <w:sz w:val="20"/>
          <w:szCs w:val="20"/>
          <w:u w:val="single" w:color="auto"/>
          <w:color w:val="231F20"/>
        </w:rPr>
        <w:t>Article VII</w:t>
      </w:r>
      <w:r>
        <w:rPr>
          <w:rFonts w:ascii="Times New Roman" w:cs="Times New Roman" w:eastAsia="Times New Roman" w:hAnsi="Times New Roman"/>
          <w:sz w:val="20"/>
          <w:szCs w:val="20"/>
          <w:color w:val="231F20"/>
        </w:rPr>
        <w:t xml:space="preserve"> shall be deemed to have occurred with respect to such deficiency prior to such date (but if not so paid on such date, shall constitute an Event of Default immediately thereafter). This paragraph shall not limit the rights of Administrative Agent or the Lenders with respect to </w:t>
      </w:r>
      <w:r>
        <w:rPr>
          <w:rFonts w:ascii="Times New Roman" w:cs="Times New Roman" w:eastAsia="Times New Roman" w:hAnsi="Times New Roman"/>
          <w:sz w:val="20"/>
          <w:szCs w:val="20"/>
          <w:u w:val="single" w:color="auto"/>
          <w:color w:val="231F20"/>
        </w:rPr>
        <w:t>Section 2.13(c)</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Article VII</w:t>
      </w:r>
      <w:r>
        <w:rPr>
          <w:rFonts w:ascii="Times New Roman" w:cs="Times New Roman" w:eastAsia="Times New Roman" w:hAnsi="Times New Roman"/>
          <w:sz w:val="20"/>
          <w:szCs w:val="20"/>
          <w:color w:val="231F20"/>
        </w:rPr>
        <w:t xml:space="preserve"> hereof, and shall survive the termination of this Agreement until Payment in Full.</w:t>
      </w:r>
    </w:p>
    <w:p>
      <w:pPr>
        <w:spacing w:after="0" w:line="197"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Approved Fund</w:t>
      </w:r>
      <w:r>
        <w:rPr>
          <w:rFonts w:ascii="Times New Roman" w:cs="Times New Roman" w:eastAsia="Times New Roman" w:hAnsi="Times New Roman"/>
          <w:sz w:val="20"/>
          <w:szCs w:val="20"/>
          <w:color w:val="231F20"/>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0"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Assignment and Assumption</w:t>
      </w:r>
      <w:r>
        <w:rPr>
          <w:rFonts w:ascii="Times New Roman" w:cs="Times New Roman" w:eastAsia="Times New Roman" w:hAnsi="Times New Roman"/>
          <w:sz w:val="20"/>
          <w:szCs w:val="20"/>
          <w:color w:val="231F20"/>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 xml:space="preserve">), and accepted by the Administrative Agent, in the form of </w:t>
      </w:r>
      <w:r>
        <w:rPr>
          <w:rFonts w:ascii="Times New Roman" w:cs="Times New Roman" w:eastAsia="Times New Roman" w:hAnsi="Times New Roman"/>
          <w:sz w:val="20"/>
          <w:szCs w:val="20"/>
          <w:u w:val="single" w:color="auto"/>
          <w:color w:val="231F20"/>
        </w:rPr>
        <w:t>Exhibit A</w:t>
      </w:r>
      <w:r>
        <w:rPr>
          <w:rFonts w:ascii="Times New Roman" w:cs="Times New Roman" w:eastAsia="Times New Roman" w:hAnsi="Times New Roman"/>
          <w:sz w:val="20"/>
          <w:szCs w:val="20"/>
          <w:color w:val="231F20"/>
        </w:rPr>
        <w:t xml:space="preserve"> or any other form (including electronic records generated by the use of an electronic platform) approved by the Administrative Agent.</w:t>
      </w:r>
    </w:p>
    <w:p>
      <w:pPr>
        <w:spacing w:after="0" w:line="180" w:lineRule="exact"/>
        <w:rPr>
          <w:sz w:val="20"/>
          <w:szCs w:val="20"/>
          <w:color w:val="auto"/>
        </w:rPr>
      </w:pPr>
    </w:p>
    <w:p>
      <w:pPr>
        <w:jc w:val="both"/>
        <w:ind w:left="740" w:right="4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Availability Period</w:t>
      </w:r>
      <w:r>
        <w:rPr>
          <w:rFonts w:ascii="Times New Roman" w:cs="Times New Roman" w:eastAsia="Times New Roman" w:hAnsi="Times New Roman"/>
          <w:sz w:val="20"/>
          <w:szCs w:val="20"/>
          <w:color w:val="231F20"/>
        </w:rPr>
        <w:t>” means the period from and including the Effective Date to but excluding the earlier of the Maturity Date and the date of termination of the Commitments.</w:t>
      </w:r>
    </w:p>
    <w:p>
      <w:pPr>
        <w:spacing w:after="0" w:line="155" w:lineRule="exact"/>
        <w:rPr>
          <w:sz w:val="20"/>
          <w:szCs w:val="20"/>
          <w:color w:val="auto"/>
        </w:rPr>
      </w:pPr>
    </w:p>
    <w:p>
      <w:pPr>
        <w:jc w:val="both"/>
        <w:ind w:left="740" w:right="20" w:firstLine="747"/>
        <w:spacing w:after="0" w:line="273"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Available Commitment</w:t>
      </w:r>
      <w:r>
        <w:rPr>
          <w:rFonts w:ascii="Times New Roman" w:cs="Times New Roman" w:eastAsia="Times New Roman" w:hAnsi="Times New Roman"/>
          <w:sz w:val="20"/>
          <w:szCs w:val="20"/>
          <w:color w:val="231F20"/>
        </w:rPr>
        <w:t xml:space="preserve">” means, at any time, the aggregate Commitments of all Lenders then in effect </w:t>
      </w:r>
      <w:r>
        <w:rPr>
          <w:rFonts w:ascii="Times New Roman" w:cs="Times New Roman" w:eastAsia="Times New Roman" w:hAnsi="Times New Roman"/>
          <w:sz w:val="20"/>
          <w:szCs w:val="20"/>
          <w:i w:val="1"/>
          <w:iCs w:val="1"/>
          <w:u w:val="single" w:color="auto"/>
          <w:color w:val="231F20"/>
        </w:rPr>
        <w:t>minus</w:t>
      </w:r>
      <w:r>
        <w:rPr>
          <w:rFonts w:ascii="Times New Roman" w:cs="Times New Roman" w:eastAsia="Times New Roman" w:hAnsi="Times New Roman"/>
          <w:sz w:val="20"/>
          <w:szCs w:val="20"/>
          <w:color w:val="231F20"/>
        </w:rPr>
        <w:t xml:space="preserve"> the Aggregate Credit Exposure at such time.</w:t>
      </w:r>
    </w:p>
    <w:p>
      <w:pPr>
        <w:spacing w:after="0" w:line="15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Available Tenor</w:t>
      </w:r>
      <w:r>
        <w:rPr>
          <w:rFonts w:ascii="Times New Roman" w:cs="Times New Roman" w:eastAsia="Times New Roman" w:hAnsi="Times New Roman"/>
          <w:sz w:val="20"/>
          <w:szCs w:val="20"/>
          <w:color w:val="231F20"/>
        </w:rPr>
        <w:t>” means, as of any date of determination with respect to the then-current Benchmark, as applicable,</w:t>
      </w:r>
    </w:p>
    <w:p>
      <w:pPr>
        <w:spacing w:after="0" w:line="22" w:lineRule="exact"/>
        <w:rPr>
          <w:sz w:val="20"/>
          <w:szCs w:val="20"/>
          <w:color w:val="auto"/>
        </w:rPr>
      </w:pPr>
    </w:p>
    <w:p>
      <w:pPr>
        <w:jc w:val="both"/>
        <w:ind w:left="740" w:hanging="5"/>
        <w:spacing w:after="0" w:line="241" w:lineRule="auto"/>
        <w:tabs>
          <w:tab w:leader="none" w:pos="1056" w:val="left"/>
        </w:tabs>
        <w:numPr>
          <w:ilvl w:val="0"/>
          <w:numId w:val="6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40" w:right="739" w:bottom="1440" w:gutter="0" w:footer="0" w:header="0"/>
        </w:sectPr>
      </w:pPr>
    </w:p>
    <w:bookmarkStart w:id="140" w:name="page141"/>
    <w:bookmarkEnd w:id="140"/>
    <w:p>
      <w:pPr>
        <w:ind w:left="740" w:right="20"/>
        <w:spacing w:after="0" w:line="269" w:lineRule="auto"/>
        <w:rPr>
          <w:sz w:val="20"/>
          <w:szCs w:val="20"/>
          <w:color w:val="auto"/>
        </w:rPr>
      </w:pPr>
      <w:r>
        <w:rPr>
          <w:rFonts w:ascii="Times New Roman" w:cs="Times New Roman" w:eastAsia="Times New Roman" w:hAnsi="Times New Roman"/>
          <w:sz w:val="20"/>
          <w:szCs w:val="20"/>
          <w:color w:val="231F20"/>
        </w:rPr>
        <w:t xml:space="preserve">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231F20"/>
        </w:rPr>
        <w:t>Section 2.25(d)</w:t>
      </w:r>
      <w:r>
        <w:rPr>
          <w:rFonts w:ascii="Times New Roman" w:cs="Times New Roman" w:eastAsia="Times New Roman" w:hAnsi="Times New Roman"/>
          <w:sz w:val="20"/>
          <w:szCs w:val="20"/>
          <w:color w:val="231F20"/>
        </w:rPr>
        <w:t>.</w:t>
      </w:r>
    </w:p>
    <w:p>
      <w:pPr>
        <w:spacing w:after="0" w:line="159" w:lineRule="exact"/>
        <w:rPr>
          <w:sz w:val="20"/>
          <w:szCs w:val="20"/>
          <w:color w:val="auto"/>
        </w:rPr>
      </w:pPr>
    </w:p>
    <w:p>
      <w:pPr>
        <w:ind w:left="740" w:right="4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Bail-In Action</w:t>
      </w:r>
      <w:r>
        <w:rPr>
          <w:rFonts w:ascii="Times New Roman" w:cs="Times New Roman" w:eastAsia="Times New Roman" w:hAnsi="Times New Roman"/>
          <w:sz w:val="20"/>
          <w:szCs w:val="20"/>
          <w:color w:val="231F20"/>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left="740" w:firstLine="747"/>
        <w:spacing w:after="0" w:line="247"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Bail-In Legislation</w:t>
      </w:r>
      <w:r>
        <w:rPr>
          <w:rFonts w:ascii="Times New Roman" w:cs="Times New Roman" w:eastAsia="Times New Roman" w:hAnsi="Times New Roman"/>
          <w:sz w:val="20"/>
          <w:szCs w:val="20"/>
          <w:color w:val="231F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w:t>
      </w:r>
    </w:p>
    <w:p>
      <w:pPr>
        <w:jc w:val="both"/>
        <w:ind w:left="740" w:hanging="3"/>
        <w:spacing w:after="0" w:line="241" w:lineRule="auto"/>
        <w:tabs>
          <w:tab w:leader="none" w:pos="1027" w:val="left"/>
        </w:tabs>
        <w:numPr>
          <w:ilvl w:val="0"/>
          <w:numId w:val="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8" w:lineRule="exact"/>
        <w:rPr>
          <w:sz w:val="20"/>
          <w:szCs w:val="20"/>
          <w:color w:val="auto"/>
        </w:rPr>
      </w:pPr>
    </w:p>
    <w:p>
      <w:pPr>
        <w:jc w:val="both"/>
        <w:ind w:left="740" w:right="20" w:firstLine="749"/>
        <w:spacing w:after="0" w:line="245"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Banking Services</w:t>
      </w:r>
      <w:r>
        <w:rPr>
          <w:rFonts w:ascii="Times New Roman" w:cs="Times New Roman" w:eastAsia="Times New Roman" w:hAnsi="Times New Roman"/>
          <w:sz w:val="20"/>
          <w:szCs w:val="20"/>
          <w:color w:val="231F20"/>
        </w:rPr>
        <w:t>” means each and any of the following bank, payment and treasury services provided to any Loan Party or any Subsidiary: (a) credit cards for commercial customers (including, without limitation, “commercial credit cards” and purchasing cards) or for corporate purposes, (b) stored value cards, (c) treasury management services (including, without limitation, controlled disbursement, automated clearinghouse transactions and other payment processing services, return items, overdrafts and interstate depository network services), (d) documentary services and foreign currency exchange services and (e) any arrangement or services similar to, or for the purpose of effectuating, any of the foregoing.</w:t>
      </w:r>
    </w:p>
    <w:p>
      <w:pPr>
        <w:spacing w:after="0" w:line="184" w:lineRule="exact"/>
        <w:rPr>
          <w:sz w:val="20"/>
          <w:szCs w:val="20"/>
          <w:color w:val="auto"/>
        </w:rPr>
      </w:pPr>
    </w:p>
    <w:p>
      <w:pPr>
        <w:jc w:val="both"/>
        <w:ind w:left="740" w:firstLine="747"/>
        <w:spacing w:after="0" w:line="24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Banking Services Obligations</w:t>
      </w:r>
      <w:r>
        <w:rPr>
          <w:rFonts w:ascii="Times New Roman" w:cs="Times New Roman" w:eastAsia="Times New Roman" w:hAnsi="Times New Roman"/>
          <w:sz w:val="20"/>
          <w:szCs w:val="20"/>
          <w:color w:val="231F20"/>
        </w:rPr>
        <w:t>” means any and all obligations of the Loan Parties or any Subsidiary, whether absolute or contingent and howsoever and whensoever created, arising, evidenced or acquired (including all renewals, extensions and modifications thereof and substitutions therefor) in connection with Banking Services, but excluding any Swap Agreement Obligations, provided by a Person that, at the time of entering into the agreements or arrangements giving effect to the Banking Services, is the Administrative Agent, a Lender or an Affiliate of a Lender (and so long as such Person does not cease to be the Administrative Agent or a Lender or such Person’s Affiliate does not cease to be the Administrative Agent or a Lender).</w:t>
      </w:r>
    </w:p>
    <w:p>
      <w:pPr>
        <w:spacing w:after="0" w:line="186" w:lineRule="exact"/>
        <w:rPr>
          <w:sz w:val="20"/>
          <w:szCs w:val="20"/>
          <w:color w:val="auto"/>
        </w:rPr>
      </w:pPr>
    </w:p>
    <w:p>
      <w:pPr>
        <w:jc w:val="both"/>
        <w:ind w:left="740" w:right="20" w:firstLine="749"/>
        <w:spacing w:after="0" w:line="242"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Bankruptcy Event</w:t>
      </w:r>
      <w:r>
        <w:rPr>
          <w:rFonts w:ascii="Times New Roman" w:cs="Times New Roman" w:eastAsia="Times New Roman" w:hAnsi="Times New Roman"/>
          <w:sz w:val="20"/>
          <w:szCs w:val="20"/>
          <w:color w:val="231F20"/>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had had any order for relief in such proceeding entered in respect thereof;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90"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Benchmark</w:t>
      </w:r>
      <w:r>
        <w:rPr>
          <w:rFonts w:ascii="Times New Roman" w:cs="Times New Roman" w:eastAsia="Times New Roman" w:hAnsi="Times New Roman"/>
          <w:sz w:val="20"/>
          <w:szCs w:val="20"/>
          <w:color w:val="231F20"/>
        </w:rPr>
        <w:t xml:space="preserve">” means, initially, the Term SOFR Reference Rate;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231F20"/>
        </w:rPr>
        <w:t>Section 2.25(a)</w:t>
      </w:r>
      <w:r>
        <w:rPr>
          <w:rFonts w:ascii="Times New Roman" w:cs="Times New Roman" w:eastAsia="Times New Roman" w:hAnsi="Times New Roman"/>
          <w:sz w:val="20"/>
          <w:szCs w:val="20"/>
          <w:color w:val="231F20"/>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141" w:name="page142"/>
    <w:bookmarkEnd w:id="141"/>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Benchmark Replacement</w:t>
      </w:r>
      <w:r>
        <w:rPr>
          <w:rFonts w:ascii="Times New Roman" w:cs="Times New Roman" w:eastAsia="Times New Roman" w:hAnsi="Times New Roman"/>
          <w:sz w:val="20"/>
          <w:szCs w:val="20"/>
          <w:color w:val="231F20"/>
        </w:rPr>
        <w:t>” means, with respect to any Benchmark Transition Event, the sum of:</w:t>
      </w:r>
    </w:p>
    <w:p>
      <w:pPr>
        <w:spacing w:after="0" w:line="22" w:lineRule="exact"/>
        <w:rPr>
          <w:sz w:val="20"/>
          <w:szCs w:val="20"/>
          <w:color w:val="auto"/>
        </w:rPr>
      </w:pPr>
    </w:p>
    <w:p>
      <w:pPr>
        <w:jc w:val="both"/>
        <w:ind w:left="740" w:hanging="3"/>
        <w:spacing w:after="0" w:line="254" w:lineRule="auto"/>
        <w:tabs>
          <w:tab w:leader="none" w:pos="999" w:val="left"/>
        </w:tabs>
        <w:numPr>
          <w:ilvl w:val="0"/>
          <w:numId w:val="7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the alternate benchmark rate that has been selected by the Administrative Agent and the Borrower giving due consideration to (i) any selection or recommendation of a replacement benchmark rate or the mechanism for determining such a rate by the Relevant Governmental Body on the applicable Benchmark Replacement Date or (ii) any evolving or then- prevailing market convention for determining a benchmark rate as a replacement to the then-current Benchmark for Dollar-denominated credit facilities and (b) the related Benchmark Replacement Adjustment;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that if such Benchmark Replacement as so determined would be less than 0.00%, such Benchmark Replacement will be deemed to be 0.00% for the purposes of this Agreement and the other Loan Documents. All parties hereto acknowledge that the establishment of any such Benchmark Replacement (together with any necessary or related changes, including Conforming Changes) is not intended to result in a deemed exchange for U.S. federal income tax purposes of any obligation of any Borrower under any Loan Document.</w:t>
      </w:r>
    </w:p>
    <w:p>
      <w:pPr>
        <w:spacing w:after="0" w:line="179"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Benchmark Replacement Adjustment</w:t>
      </w:r>
      <w:r>
        <w:rPr>
          <w:rFonts w:ascii="Times New Roman" w:cs="Times New Roman" w:eastAsia="Times New Roman" w:hAnsi="Times New Roman"/>
          <w:sz w:val="20"/>
          <w:szCs w:val="20"/>
          <w:color w:val="231F20"/>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Benchmark Replacement Date</w:t>
      </w:r>
      <w:r>
        <w:rPr>
          <w:rFonts w:ascii="Times New Roman" w:cs="Times New Roman" w:eastAsia="Times New Roman" w:hAnsi="Times New Roman"/>
          <w:sz w:val="20"/>
          <w:szCs w:val="20"/>
          <w:color w:val="231F20"/>
        </w:rPr>
        <w:t>” means the earliest to occur of the following events with respect to the then-current</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31F20"/>
        </w:rPr>
        <w:t>Benchmark:</w:t>
      </w:r>
    </w:p>
    <w:p>
      <w:pPr>
        <w:spacing w:after="0" w:line="194" w:lineRule="exact"/>
        <w:rPr>
          <w:sz w:val="20"/>
          <w:szCs w:val="20"/>
          <w:color w:val="auto"/>
        </w:rPr>
      </w:pPr>
    </w:p>
    <w:p>
      <w:pPr>
        <w:jc w:val="both"/>
        <w:ind w:left="740" w:right="20" w:firstLine="925"/>
        <w:spacing w:after="0" w:line="249" w:lineRule="auto"/>
        <w:tabs>
          <w:tab w:leader="none" w:pos="2013" w:val="left"/>
        </w:tabs>
        <w:numPr>
          <w:ilvl w:val="0"/>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the case of clause (a) or (b) of the definition of “Benchmark Transition Event,” the later of (i) the date of the public statement or publication of information referenced therein and (ii) the date on which the administrator of such Benchmark (or published component used in the calculation thereof) permanently or indefinitely ceases to provide all Available Tenors of such Benchmark (or such component thereof); or</w:t>
      </w:r>
    </w:p>
    <w:p>
      <w:pPr>
        <w:spacing w:after="0" w:line="179" w:lineRule="exact"/>
        <w:rPr>
          <w:rFonts w:ascii="Times New Roman" w:cs="Times New Roman" w:eastAsia="Times New Roman" w:hAnsi="Times New Roman"/>
          <w:sz w:val="20"/>
          <w:szCs w:val="20"/>
          <w:color w:val="231F20"/>
        </w:rPr>
      </w:pPr>
    </w:p>
    <w:p>
      <w:pPr>
        <w:jc w:val="both"/>
        <w:ind w:left="740" w:right="20" w:firstLine="940"/>
        <w:spacing w:after="0" w:line="243" w:lineRule="auto"/>
        <w:tabs>
          <w:tab w:leader="none" w:pos="2014" w:val="left"/>
        </w:tabs>
        <w:numPr>
          <w:ilvl w:val="1"/>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89"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231F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4" w:lineRule="exact"/>
        <w:rPr>
          <w:sz w:val="20"/>
          <w:szCs w:val="20"/>
          <w:color w:val="auto"/>
        </w:rPr>
      </w:pPr>
    </w:p>
    <w:p>
      <w:pPr>
        <w:ind w:left="740" w:right="4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Benchmark Transition Event</w:t>
      </w:r>
      <w:r>
        <w:rPr>
          <w:rFonts w:ascii="Times New Roman" w:cs="Times New Roman" w:eastAsia="Times New Roman" w:hAnsi="Times New Roman"/>
          <w:sz w:val="20"/>
          <w:szCs w:val="20"/>
          <w:color w:val="231F20"/>
        </w:rPr>
        <w:t>” means the occurrence of one or more of the following events with respect to the then-current Benchmark:</w:t>
      </w:r>
    </w:p>
    <w:p>
      <w:pPr>
        <w:spacing w:after="0" w:line="159" w:lineRule="exact"/>
        <w:rPr>
          <w:sz w:val="20"/>
          <w:szCs w:val="20"/>
          <w:color w:val="auto"/>
        </w:rPr>
      </w:pPr>
    </w:p>
    <w:p>
      <w:pPr>
        <w:ind w:left="2240" w:hanging="755"/>
        <w:spacing w:after="0"/>
        <w:tabs>
          <w:tab w:leader="none" w:pos="2240" w:val="left"/>
        </w:tabs>
        <w:numPr>
          <w:ilvl w:val="0"/>
          <w:numId w:val="7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public statement or publication of information by or on behalf of the administrator of</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142" w:name="page143"/>
    <w:bookmarkEnd w:id="142"/>
    <w:p>
      <w:pPr>
        <w:jc w:val="both"/>
        <w:ind w:left="740" w:right="20"/>
        <w:spacing w:after="0" w:line="249" w:lineRule="auto"/>
        <w:rPr>
          <w:sz w:val="20"/>
          <w:szCs w:val="20"/>
          <w:color w:val="auto"/>
        </w:rPr>
      </w:pPr>
      <w:r>
        <w:rPr>
          <w:rFonts w:ascii="Times New Roman" w:cs="Times New Roman" w:eastAsia="Times New Roman" w:hAnsi="Times New Roman"/>
          <w:sz w:val="20"/>
          <w:szCs w:val="20"/>
          <w:color w:val="231F20"/>
        </w:rPr>
        <w:t xml:space="preserve">such Benchmark (or the published component used in the calculation thereof) announcing that such administrator has ceased or will cease to provide all Available Tenors of such Benchmark (or such component thereof), permanently or indefinitely as of a specified future date;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at the time of such statement or publication, there is no successor administrator that will continue to provide any Available Tenor of such Benchmark (or such component thereof);</w:t>
      </w:r>
    </w:p>
    <w:p>
      <w:pPr>
        <w:spacing w:after="0" w:line="180" w:lineRule="exact"/>
        <w:rPr>
          <w:sz w:val="20"/>
          <w:szCs w:val="20"/>
          <w:color w:val="auto"/>
        </w:rPr>
      </w:pPr>
    </w:p>
    <w:p>
      <w:pPr>
        <w:jc w:val="both"/>
        <w:ind w:left="740" w:right="20" w:firstLine="745"/>
        <w:spacing w:after="0" w:line="243" w:lineRule="auto"/>
        <w:tabs>
          <w:tab w:leader="none" w:pos="2006" w:val="left"/>
        </w:tabs>
        <w:numPr>
          <w:ilvl w:val="0"/>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with jurisdiction over the administrator for such Benchmark (or such component), which states that the administrator of such Benchmark (or such component), in each case, has ceased or will cease to provide all Available Tenors of such Benchmark (or such component thereof), permanently or indefinitely as of a specified future date;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at the time of such statement or publication, there is no successor administrator that will continue to provide any Available Tenor of such Benchmark (or such component thereof); or</w:t>
      </w:r>
    </w:p>
    <w:p>
      <w:pPr>
        <w:spacing w:after="0" w:line="185" w:lineRule="exact"/>
        <w:rPr>
          <w:rFonts w:ascii="Times New Roman" w:cs="Times New Roman" w:eastAsia="Times New Roman" w:hAnsi="Times New Roman"/>
          <w:sz w:val="20"/>
          <w:szCs w:val="20"/>
          <w:color w:val="231F20"/>
        </w:rPr>
      </w:pPr>
    </w:p>
    <w:p>
      <w:pPr>
        <w:jc w:val="both"/>
        <w:ind w:left="740" w:firstLine="746"/>
        <w:spacing w:after="0" w:line="246" w:lineRule="auto"/>
        <w:tabs>
          <w:tab w:leader="none" w:pos="2007" w:val="left"/>
        </w:tabs>
        <w:numPr>
          <w:ilvl w:val="0"/>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For the avoidance of doubt, “Benchmark Transition Event” will be deemed to have occurred with respect to any</w:t>
      </w:r>
    </w:p>
    <w:p>
      <w:pPr>
        <w:spacing w:after="0" w:line="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31F20"/>
        </w:rPr>
        <w:t>Benchmark if a public statement or publication of information set forth above has occurred with respect to each then-current</w:t>
      </w:r>
    </w:p>
    <w:p>
      <w:pPr>
        <w:ind w:left="740"/>
        <w:spacing w:after="0"/>
        <w:rPr>
          <w:sz w:val="20"/>
          <w:szCs w:val="20"/>
          <w:color w:val="auto"/>
        </w:rPr>
      </w:pPr>
      <w:r>
        <w:rPr>
          <w:rFonts w:ascii="Times New Roman" w:cs="Times New Roman" w:eastAsia="Times New Roman" w:hAnsi="Times New Roman"/>
          <w:sz w:val="20"/>
          <w:szCs w:val="20"/>
          <w:color w:val="231F20"/>
        </w:rPr>
        <w:t>Available Tenor of such Benchmark (or the published component used in the calculation thereof).</w:t>
      </w:r>
    </w:p>
    <w:p>
      <w:pPr>
        <w:spacing w:after="0" w:line="194"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Benchmark Transition Start Date</w:t>
      </w:r>
      <w:r>
        <w:rPr>
          <w:rFonts w:ascii="Times New Roman" w:cs="Times New Roman" w:eastAsia="Times New Roman" w:hAnsi="Times New Roman"/>
          <w:sz w:val="20"/>
          <w:szCs w:val="20"/>
          <w:color w:val="231F20"/>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5"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Benchmark Unavailability Period</w:t>
      </w:r>
      <w:r>
        <w:rPr>
          <w:rFonts w:ascii="Times New Roman" w:cs="Times New Roman" w:eastAsia="Times New Roman" w:hAnsi="Times New Roman"/>
          <w:sz w:val="20"/>
          <w:szCs w:val="20"/>
          <w:color w:val="231F20"/>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231F20"/>
        </w:rPr>
        <w:t>Section 2.25</w:t>
      </w:r>
      <w:r>
        <w:rPr>
          <w:rFonts w:ascii="Times New Roman" w:cs="Times New Roman" w:eastAsia="Times New Roman" w:hAnsi="Times New Roman"/>
          <w:sz w:val="20"/>
          <w:szCs w:val="20"/>
          <w:color w:val="231F20"/>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231F20"/>
        </w:rPr>
        <w:t>Section 2.25</w:t>
      </w:r>
      <w:r>
        <w:rPr>
          <w:rFonts w:ascii="Times New Roman" w:cs="Times New Roman" w:eastAsia="Times New Roman" w:hAnsi="Times New Roman"/>
          <w:sz w:val="20"/>
          <w:szCs w:val="20"/>
          <w:color w:val="231F20"/>
        </w:rPr>
        <w:t>.</w:t>
      </w:r>
    </w:p>
    <w:p>
      <w:pPr>
        <w:spacing w:after="0" w:line="185"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Beneficial Owner</w:t>
      </w:r>
      <w:r>
        <w:rPr>
          <w:rFonts w:ascii="Times New Roman" w:cs="Times New Roman" w:eastAsia="Times New Roman" w:hAnsi="Times New Roman"/>
          <w:sz w:val="20"/>
          <w:szCs w:val="20"/>
          <w:color w:val="231F20"/>
        </w:rPr>
        <w:t>” means, with respect to any U.S. Federal withholding Tax, the beneficial owner, for U.S. Federal income tax purposes, to whom such Tax relates.</w:t>
      </w:r>
    </w:p>
    <w:p>
      <w:pPr>
        <w:spacing w:after="0" w:line="159"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Beneficial Ownership Certification</w:t>
      </w:r>
      <w:r>
        <w:rPr>
          <w:rFonts w:ascii="Times New Roman" w:cs="Times New Roman" w:eastAsia="Times New Roman" w:hAnsi="Times New Roman"/>
          <w:sz w:val="20"/>
          <w:szCs w:val="20"/>
          <w:color w:val="231F20"/>
        </w:rPr>
        <w:t>” means a certification regarding beneficial ownership or control as required by the Beneficial Ownership Regulation.</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Beneficial Ownership Regulation</w:t>
      </w:r>
      <w:r>
        <w:rPr>
          <w:rFonts w:ascii="Times New Roman" w:cs="Times New Roman" w:eastAsia="Times New Roman" w:hAnsi="Times New Roman"/>
          <w:sz w:val="20"/>
          <w:szCs w:val="20"/>
          <w:color w:val="231F20"/>
        </w:rPr>
        <w:t>” means 31 C.F.R. § 1010.230.</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143" w:name="page144"/>
    <w:bookmarkEnd w:id="143"/>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Benefit Plan</w:t>
      </w:r>
      <w:r>
        <w:rPr>
          <w:rFonts w:ascii="Times New Roman" w:cs="Times New Roman" w:eastAsia="Times New Roman" w:hAnsi="Times New Roman"/>
          <w:sz w:val="20"/>
          <w:szCs w:val="20"/>
          <w:color w:val="231F20"/>
        </w:rPr>
        <w:t>” means any of (a) an “employee benefit plan” (as defined in Section 3(2) of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0" w:lineRule="exact"/>
        <w:rPr>
          <w:sz w:val="20"/>
          <w:szCs w:val="20"/>
          <w:color w:val="auto"/>
        </w:rPr>
      </w:pPr>
    </w:p>
    <w:p>
      <w:pPr>
        <w:jc w:val="both"/>
        <w:ind w:left="74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BHC Act Affiliate</w:t>
      </w:r>
      <w:r>
        <w:rPr>
          <w:rFonts w:ascii="Times New Roman" w:cs="Times New Roman" w:eastAsia="Times New Roman" w:hAnsi="Times New Roman"/>
          <w:sz w:val="20"/>
          <w:szCs w:val="20"/>
          <w:color w:val="231F20"/>
        </w:rPr>
        <w:t>” means an “affiliate” (as such term is defined under, and interpreted in accordance with 12 U.S.C. 1841(k)) of a party.</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Billing Statement</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2.18(g)</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Board</w:t>
      </w:r>
      <w:r>
        <w:rPr>
          <w:rFonts w:ascii="Times New Roman" w:cs="Times New Roman" w:eastAsia="Times New Roman" w:hAnsi="Times New Roman"/>
          <w:sz w:val="20"/>
          <w:szCs w:val="20"/>
          <w:color w:val="231F20"/>
        </w:rPr>
        <w:t>” means the Board of Governors of the Federal Reserve System of the United States of America.</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Borrower</w:t>
      </w:r>
      <w:r>
        <w:rPr>
          <w:rFonts w:ascii="Times New Roman" w:cs="Times New Roman" w:eastAsia="Times New Roman" w:hAnsi="Times New Roman"/>
          <w:sz w:val="20"/>
          <w:szCs w:val="20"/>
          <w:color w:val="231F20"/>
        </w:rPr>
        <w:t>” means Flywire Corporation, a Delaware corporation.</w:t>
      </w:r>
    </w:p>
    <w:p>
      <w:pPr>
        <w:spacing w:after="0" w:line="216"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Borrowing</w:t>
      </w:r>
      <w:r>
        <w:rPr>
          <w:rFonts w:ascii="Times New Roman" w:cs="Times New Roman" w:eastAsia="Times New Roman" w:hAnsi="Times New Roman"/>
          <w:sz w:val="20"/>
          <w:szCs w:val="20"/>
          <w:color w:val="231F20"/>
        </w:rPr>
        <w:t>” means (a) Loans of the same Type, made, converted or continued on the same date and, in the case of Term SOFR Loans, as to which a single Interest Period is in effect or (b) a Swingline Loan.</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Borrowing Request</w:t>
      </w:r>
      <w:r>
        <w:rPr>
          <w:rFonts w:ascii="Times New Roman" w:cs="Times New Roman" w:eastAsia="Times New Roman" w:hAnsi="Times New Roman"/>
          <w:sz w:val="20"/>
          <w:szCs w:val="20"/>
          <w:color w:val="231F20"/>
        </w:rPr>
        <w:t xml:space="preserve">” means a request by the Borrower for a Borrowing in accordance with </w:t>
      </w:r>
      <w:r>
        <w:rPr>
          <w:rFonts w:ascii="Times New Roman" w:cs="Times New Roman" w:eastAsia="Times New Roman" w:hAnsi="Times New Roman"/>
          <w:sz w:val="20"/>
          <w:szCs w:val="20"/>
          <w:u w:val="single" w:color="auto"/>
          <w:color w:val="231F20"/>
        </w:rPr>
        <w:t>Section 2.03</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u w:val="single" w:color="auto"/>
          <w:color w:val="231F20"/>
        </w:rPr>
        <w:t>Business Day</w:t>
      </w:r>
      <w:r>
        <w:rPr>
          <w:rFonts w:ascii="Times New Roman" w:cs="Times New Roman" w:eastAsia="Times New Roman" w:hAnsi="Times New Roman"/>
          <w:sz w:val="19"/>
          <w:szCs w:val="19"/>
          <w:color w:val="231F20"/>
        </w:rPr>
        <w:t>” means any day that is not a Saturday, Sunday or other day on which commercial banks in New York</w:t>
      </w:r>
    </w:p>
    <w:p>
      <w:pPr>
        <w:spacing w:after="0" w:line="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231F20"/>
        </w:rPr>
        <w:t xml:space="preserve">City are authorized or required by law to remain closed;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that, when used in connection with a Term SOFR Loan, the</w:t>
      </w:r>
    </w:p>
    <w:p>
      <w:pPr>
        <w:spacing w:after="0" w:line="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31F20"/>
        </w:rPr>
        <w:t>term “</w:t>
      </w:r>
      <w:r>
        <w:rPr>
          <w:rFonts w:ascii="Times New Roman" w:cs="Times New Roman" w:eastAsia="Times New Roman" w:hAnsi="Times New Roman"/>
          <w:sz w:val="20"/>
          <w:szCs w:val="20"/>
          <w:u w:val="single" w:color="auto"/>
          <w:color w:val="231F20"/>
        </w:rPr>
        <w:t>Business Day</w:t>
      </w:r>
      <w:r>
        <w:rPr>
          <w:rFonts w:ascii="Times New Roman" w:cs="Times New Roman" w:eastAsia="Times New Roman" w:hAnsi="Times New Roman"/>
          <w:sz w:val="20"/>
          <w:szCs w:val="20"/>
          <w:color w:val="231F20"/>
        </w:rPr>
        <w:t>” shall also exclude any day which is not a</w:t>
      </w:r>
    </w:p>
    <w:p>
      <w:pPr>
        <w:ind w:left="740"/>
        <w:spacing w:after="0"/>
        <w:rPr>
          <w:sz w:val="20"/>
          <w:szCs w:val="20"/>
          <w:color w:val="auto"/>
        </w:rPr>
      </w:pPr>
      <w:r>
        <w:rPr>
          <w:rFonts w:ascii="Times New Roman" w:cs="Times New Roman" w:eastAsia="Times New Roman" w:hAnsi="Times New Roman"/>
          <w:sz w:val="20"/>
          <w:szCs w:val="20"/>
          <w:color w:val="231F20"/>
        </w:rPr>
        <w:t>U.S. Government Securities Business Day.</w:t>
      </w:r>
    </w:p>
    <w:p>
      <w:pPr>
        <w:spacing w:after="0" w:line="194"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Capital Lease Obligations</w:t>
      </w:r>
      <w:r>
        <w:rPr>
          <w:rFonts w:ascii="Times New Roman" w:cs="Times New Roman" w:eastAsia="Times New Roman" w:hAnsi="Times New Roman"/>
          <w:sz w:val="20"/>
          <w:szCs w:val="20"/>
          <w:color w:val="231F20"/>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it being understood that, with respect to the Borrower and its Subsidiaries, the determination of whether any lease constitutes an operating lease or capital lease shall be made on a basis consistent with that reflected in the financial statements delivered pursuant to </w:t>
      </w:r>
      <w:r>
        <w:rPr>
          <w:rFonts w:ascii="Times New Roman" w:cs="Times New Roman" w:eastAsia="Times New Roman" w:hAnsi="Times New Roman"/>
          <w:sz w:val="20"/>
          <w:szCs w:val="20"/>
          <w:u w:val="single" w:color="auto"/>
          <w:color w:val="231F20"/>
        </w:rPr>
        <w:t>Section 4.01(b)</w:t>
      </w:r>
      <w:r>
        <w:rPr>
          <w:rFonts w:ascii="Times New Roman" w:cs="Times New Roman" w:eastAsia="Times New Roman" w:hAnsi="Times New Roman"/>
          <w:sz w:val="20"/>
          <w:szCs w:val="20"/>
          <w:color w:val="231F20"/>
        </w:rPr>
        <w:t xml:space="preserve"> without regard to any classification or reclassification as an operating lease or capital lease upon the Borrower’s adoption of Accounting Standards Codification 842.</w:t>
      </w:r>
    </w:p>
    <w:p>
      <w:pPr>
        <w:spacing w:after="0" w:line="18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Cash Equivalents</w:t>
      </w:r>
      <w:r>
        <w:rPr>
          <w:rFonts w:ascii="Times New Roman" w:cs="Times New Roman" w:eastAsia="Times New Roman" w:hAnsi="Times New Roman"/>
          <w:sz w:val="20"/>
          <w:szCs w:val="20"/>
          <w:color w:val="231F20"/>
        </w:rPr>
        <w:t>” means:</w:t>
      </w:r>
    </w:p>
    <w:p>
      <w:pPr>
        <w:spacing w:after="0" w:line="216" w:lineRule="exact"/>
        <w:rPr>
          <w:sz w:val="20"/>
          <w:szCs w:val="20"/>
          <w:color w:val="auto"/>
        </w:rPr>
      </w:pPr>
    </w:p>
    <w:p>
      <w:pPr>
        <w:jc w:val="both"/>
        <w:ind w:left="740" w:right="20" w:firstLine="745"/>
        <w:spacing w:after="0" w:line="254" w:lineRule="auto"/>
        <w:tabs>
          <w:tab w:leader="none" w:pos="2005" w:val="left"/>
        </w:tabs>
        <w:numPr>
          <w:ilvl w:val="0"/>
          <w:numId w:val="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74" w:lineRule="exact"/>
        <w:rPr>
          <w:rFonts w:ascii="Times New Roman" w:cs="Times New Roman" w:eastAsia="Times New Roman" w:hAnsi="Times New Roman"/>
          <w:sz w:val="20"/>
          <w:szCs w:val="20"/>
          <w:color w:val="231F20"/>
        </w:rPr>
      </w:pPr>
    </w:p>
    <w:p>
      <w:pPr>
        <w:ind w:left="740" w:firstLine="745"/>
        <w:spacing w:after="0" w:line="269" w:lineRule="auto"/>
        <w:tabs>
          <w:tab w:leader="none" w:pos="2006" w:val="left"/>
        </w:tabs>
        <w:numPr>
          <w:ilvl w:val="0"/>
          <w:numId w:val="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investments in commercial paper maturing within one (1) year from the date of acquisition thereof and having, at such date of acquisition, the highest credit rating obtainable from S&amp;P or from Moody’s;</w:t>
      </w:r>
    </w:p>
    <w:p>
      <w:pPr>
        <w:spacing w:after="0" w:line="159" w:lineRule="exact"/>
        <w:rPr>
          <w:rFonts w:ascii="Times New Roman" w:cs="Times New Roman" w:eastAsia="Times New Roman" w:hAnsi="Times New Roman"/>
          <w:sz w:val="20"/>
          <w:szCs w:val="20"/>
          <w:color w:val="231F20"/>
        </w:rPr>
      </w:pPr>
    </w:p>
    <w:p>
      <w:pPr>
        <w:jc w:val="both"/>
        <w:ind w:left="740" w:right="20" w:firstLine="745"/>
        <w:spacing w:after="0" w:line="254" w:lineRule="auto"/>
        <w:tabs>
          <w:tab w:leader="none" w:pos="2005" w:val="left"/>
        </w:tabs>
        <w:numPr>
          <w:ilvl w:val="0"/>
          <w:numId w:val="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investments in certificates of deposit, bankers’ acceptances and time deposits maturing within one (1) year from the date of acquisition thereof issued or guaranteed by or placed with, and demand deposit accounts and money market deposit accounts issued or offered by any domestic office of</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291" w:right="759" w:bottom="1440" w:gutter="0" w:footer="0" w:header="0"/>
        </w:sectPr>
      </w:pPr>
    </w:p>
    <w:bookmarkStart w:id="144" w:name="page145"/>
    <w:bookmarkEnd w:id="144"/>
    <w:p>
      <w:pPr>
        <w:ind w:left="740"/>
        <w:spacing w:after="0" w:line="269" w:lineRule="auto"/>
        <w:rPr>
          <w:sz w:val="20"/>
          <w:szCs w:val="20"/>
          <w:color w:val="auto"/>
        </w:rPr>
      </w:pPr>
      <w:r>
        <w:rPr>
          <w:rFonts w:ascii="Times New Roman" w:cs="Times New Roman" w:eastAsia="Times New Roman" w:hAnsi="Times New Roman"/>
          <w:sz w:val="20"/>
          <w:szCs w:val="20"/>
          <w:color w:val="231F20"/>
        </w:rPr>
        <w:t>any commercial bank organized under the laws of the United States of America or any State thereof which has a combined capital and surplus and undivided profits of not less than $500.0 million;</w:t>
      </w:r>
    </w:p>
    <w:p>
      <w:pPr>
        <w:spacing w:after="0" w:line="159" w:lineRule="exact"/>
        <w:rPr>
          <w:sz w:val="20"/>
          <w:szCs w:val="20"/>
          <w:color w:val="auto"/>
        </w:rPr>
      </w:pPr>
    </w:p>
    <w:p>
      <w:pPr>
        <w:ind w:left="740" w:right="220" w:firstLine="745"/>
        <w:spacing w:after="0" w:line="269" w:lineRule="auto"/>
        <w:tabs>
          <w:tab w:leader="none" w:pos="2006"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fully collateralized repurchase agreements with a term of not more than thirty (30) days for securities described in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xml:space="preserve"> above and entered into with a financial institution satisfying the criteria described in </w:t>
      </w:r>
      <w:r>
        <w:rPr>
          <w:rFonts w:ascii="Times New Roman" w:cs="Times New Roman" w:eastAsia="Times New Roman" w:hAnsi="Times New Roman"/>
          <w:sz w:val="20"/>
          <w:szCs w:val="20"/>
          <w:u w:val="single" w:color="auto"/>
          <w:color w:val="231F20"/>
        </w:rPr>
        <w:t>clause (c)</w:t>
      </w:r>
      <w:r>
        <w:rPr>
          <w:rFonts w:ascii="Times New Roman" w:cs="Times New Roman" w:eastAsia="Times New Roman" w:hAnsi="Times New Roman"/>
          <w:sz w:val="20"/>
          <w:szCs w:val="20"/>
          <w:color w:val="231F20"/>
        </w:rPr>
        <w:t xml:space="preserve"> above;</w:t>
      </w:r>
    </w:p>
    <w:p>
      <w:pPr>
        <w:spacing w:after="0" w:line="159" w:lineRule="exact"/>
        <w:rPr>
          <w:rFonts w:ascii="Times New Roman" w:cs="Times New Roman" w:eastAsia="Times New Roman" w:hAnsi="Times New Roman"/>
          <w:sz w:val="20"/>
          <w:szCs w:val="20"/>
          <w:color w:val="231F20"/>
        </w:rPr>
      </w:pPr>
    </w:p>
    <w:p>
      <w:pPr>
        <w:ind w:left="740" w:right="220" w:firstLine="746"/>
        <w:spacing w:after="0" w:line="269" w:lineRule="auto"/>
        <w:tabs>
          <w:tab w:leader="none" w:pos="2007"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money market funds that (i) comply with the criteria set forth in SEC Rule 2a-7 under the Investment Company Act of 1940, (ii) are rated AAA by S&amp;P and Aaa by Moody’s and (iii) have portfolio assets of at least $5.0 billion;</w:t>
      </w:r>
    </w:p>
    <w:p>
      <w:pPr>
        <w:spacing w:after="0" w:line="159" w:lineRule="exact"/>
        <w:rPr>
          <w:rFonts w:ascii="Times New Roman" w:cs="Times New Roman" w:eastAsia="Times New Roman" w:hAnsi="Times New Roman"/>
          <w:sz w:val="20"/>
          <w:szCs w:val="20"/>
          <w:color w:val="231F20"/>
        </w:rPr>
      </w:pPr>
    </w:p>
    <w:p>
      <w:pPr>
        <w:jc w:val="both"/>
        <w:ind w:left="740" w:right="200" w:firstLine="746"/>
        <w:spacing w:after="0" w:line="254" w:lineRule="auto"/>
        <w:tabs>
          <w:tab w:leader="none" w:pos="2007"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marketable direct obligations issued by any state of the United States or any political subdivision of any such state or any public instrumentality thereof maturing within one (1) year from the date of acquisition thereof and, at the time of acquisition, having one of the two highest ratings obtainable from either S&amp;P or Moody’s; and</w:t>
      </w:r>
    </w:p>
    <w:p>
      <w:pPr>
        <w:spacing w:after="0" w:line="174" w:lineRule="exact"/>
        <w:rPr>
          <w:rFonts w:ascii="Times New Roman" w:cs="Times New Roman" w:eastAsia="Times New Roman" w:hAnsi="Times New Roman"/>
          <w:sz w:val="20"/>
          <w:szCs w:val="20"/>
          <w:color w:val="231F20"/>
        </w:rPr>
      </w:pPr>
    </w:p>
    <w:p>
      <w:pPr>
        <w:jc w:val="both"/>
        <w:ind w:left="740" w:right="240" w:firstLine="745"/>
        <w:spacing w:after="0" w:line="254" w:lineRule="auto"/>
        <w:tabs>
          <w:tab w:leader="none" w:pos="2005"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the case of any Foreign Subsidiary, other short-term investments that are analogous to the foregoing, are of comparable credit quality and are customarily used in the jurisdiction of such Foreign Subsidiary for cash management purposes.</w:t>
      </w:r>
    </w:p>
    <w:p>
      <w:pPr>
        <w:spacing w:after="0" w:line="174" w:lineRule="exact"/>
        <w:rPr>
          <w:sz w:val="20"/>
          <w:szCs w:val="20"/>
          <w:color w:val="auto"/>
        </w:rPr>
      </w:pPr>
    </w:p>
    <w:p>
      <w:pPr>
        <w:jc w:val="both"/>
        <w:ind w:left="740" w:right="22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Cash Pooling Arrangement</w:t>
      </w:r>
      <w:r>
        <w:rPr>
          <w:rFonts w:ascii="Times New Roman" w:cs="Times New Roman" w:eastAsia="Times New Roman" w:hAnsi="Times New Roman"/>
          <w:sz w:val="20"/>
          <w:szCs w:val="20"/>
          <w:color w:val="231F20"/>
        </w:rPr>
        <w:t>” means any centralized cash pooling arrangement among the Borrower and/or any group of its Subsidiaries with a Cash Pooling Bank under which the Borrower and/or such Subsidiaries make deposits with and receive advances from such Cash Pooling Bank or similar arrangements, in each case, in the ordinary course of business.</w:t>
      </w:r>
    </w:p>
    <w:p>
      <w:pPr>
        <w:spacing w:after="0" w:line="174" w:lineRule="exact"/>
        <w:rPr>
          <w:sz w:val="20"/>
          <w:szCs w:val="20"/>
          <w:color w:val="auto"/>
        </w:rPr>
      </w:pPr>
    </w:p>
    <w:p>
      <w:pPr>
        <w:jc w:val="both"/>
        <w:ind w:left="740" w:right="24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Cash Pooling Bank</w:t>
      </w:r>
      <w:r>
        <w:rPr>
          <w:rFonts w:ascii="Times New Roman" w:cs="Times New Roman" w:eastAsia="Times New Roman" w:hAnsi="Times New Roman"/>
          <w:sz w:val="20"/>
          <w:szCs w:val="20"/>
          <w:color w:val="231F20"/>
        </w:rPr>
        <w:t>” means each bank that is a provider of Cash Pooling Arrangements to the Borrower and/or any group of its Subsidiaries and reasonably acceptable to the Administrative Agent.</w:t>
      </w:r>
    </w:p>
    <w:p>
      <w:pPr>
        <w:spacing w:after="0" w:line="159" w:lineRule="exact"/>
        <w:rPr>
          <w:sz w:val="20"/>
          <w:szCs w:val="20"/>
          <w:color w:val="auto"/>
        </w:rPr>
      </w:pPr>
    </w:p>
    <w:p>
      <w:pPr>
        <w:jc w:val="both"/>
        <w:ind w:left="740" w:right="24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Cash Pooling Guaranty Obligations</w:t>
      </w:r>
      <w:r>
        <w:rPr>
          <w:rFonts w:ascii="Times New Roman" w:cs="Times New Roman" w:eastAsia="Times New Roman" w:hAnsi="Times New Roman"/>
          <w:sz w:val="20"/>
          <w:szCs w:val="20"/>
          <w:color w:val="231F20"/>
        </w:rPr>
        <w:t>” means the obligations of the Borrower and/or its Subsidiaries to guaranty the Cash Pooling Obligations under any Cash Pooling Arrangement.</w:t>
      </w:r>
    </w:p>
    <w:p>
      <w:pPr>
        <w:spacing w:after="0" w:line="159" w:lineRule="exact"/>
        <w:rPr>
          <w:sz w:val="20"/>
          <w:szCs w:val="20"/>
          <w:color w:val="auto"/>
        </w:rPr>
      </w:pPr>
    </w:p>
    <w:p>
      <w:pPr>
        <w:jc w:val="both"/>
        <w:ind w:left="740" w:right="22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Cash Pooling Obligations</w:t>
      </w:r>
      <w:r>
        <w:rPr>
          <w:rFonts w:ascii="Times New Roman" w:cs="Times New Roman" w:eastAsia="Times New Roman" w:hAnsi="Times New Roman"/>
          <w:sz w:val="20"/>
          <w:szCs w:val="20"/>
          <w:color w:val="231F20"/>
        </w:rPr>
        <w:t>” means, with respect to any Cash Pooling Arrangement, the aggregate outstanding amount of borrowings by the Borrower and/or its Subsidiaries under such Cash Pooling Arrangement.</w:t>
      </w:r>
    </w:p>
    <w:p>
      <w:pPr>
        <w:spacing w:after="0" w:line="15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CFC</w:t>
      </w:r>
      <w:r>
        <w:rPr>
          <w:rFonts w:ascii="Times New Roman" w:cs="Times New Roman" w:eastAsia="Times New Roman" w:hAnsi="Times New Roman"/>
          <w:sz w:val="20"/>
          <w:szCs w:val="20"/>
          <w:color w:val="231F20"/>
        </w:rPr>
        <w:t>” means a “controlled foreign corporation” as defined in Section 957 of the Code.</w:t>
      </w:r>
    </w:p>
    <w:p>
      <w:pPr>
        <w:spacing w:after="0" w:line="216" w:lineRule="exact"/>
        <w:rPr>
          <w:sz w:val="20"/>
          <w:szCs w:val="20"/>
          <w:color w:val="auto"/>
        </w:rPr>
      </w:pPr>
    </w:p>
    <w:p>
      <w:pPr>
        <w:jc w:val="both"/>
        <w:ind w:left="740" w:right="22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CFPB</w:t>
      </w:r>
      <w:r>
        <w:rPr>
          <w:rFonts w:ascii="Times New Roman" w:cs="Times New Roman" w:eastAsia="Times New Roman" w:hAnsi="Times New Roman"/>
          <w:sz w:val="20"/>
          <w:szCs w:val="20"/>
          <w:color w:val="231F20"/>
        </w:rPr>
        <w:t>” means the Consumer Financial Protection Bureau or any Governmental Authority succeeding to any or all of the functions of the Consumer Financial Protection Bureau.</w:t>
      </w:r>
    </w:p>
    <w:p>
      <w:pPr>
        <w:spacing w:after="0" w:line="159" w:lineRule="exact"/>
        <w:rPr>
          <w:sz w:val="20"/>
          <w:szCs w:val="20"/>
          <w:color w:val="auto"/>
        </w:rPr>
      </w:pPr>
    </w:p>
    <w:p>
      <w:pPr>
        <w:jc w:val="both"/>
        <w:ind w:left="740" w:right="200" w:firstLine="747"/>
        <w:spacing w:after="0" w:line="242"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Change in Control</w:t>
      </w:r>
      <w:r>
        <w:rPr>
          <w:rFonts w:ascii="Times New Roman" w:cs="Times New Roman" w:eastAsia="Times New Roman" w:hAnsi="Times New Roman"/>
          <w:sz w:val="20"/>
          <w:szCs w:val="20"/>
          <w:color w:val="231F20"/>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40% of the aggregate ordinary voting power represented by the issued and outstanding Equity Interests of the Borrower, (b) the occupation of a majority of the seats (other than vacant seats) on the board of directors of the Borrower by Persons who were neither (i) nominated or approved (either by a specific vote or by approval of a proxy statement issued by the Borrower on behalf of its board of directors (as constituted at the time of such proxy statement) in which such individual is named as a nominee for director) by the board of directors of the Borrower nor</w:t>
      </w:r>
    </w:p>
    <w:p>
      <w:pPr>
        <w:spacing w:after="0" w:line="5" w:lineRule="exact"/>
        <w:rPr>
          <w:sz w:val="20"/>
          <w:szCs w:val="20"/>
          <w:color w:val="auto"/>
        </w:rPr>
      </w:pPr>
    </w:p>
    <w:p>
      <w:pPr>
        <w:ind w:left="740" w:right="220" w:hanging="3"/>
        <w:spacing w:after="0" w:line="246" w:lineRule="auto"/>
        <w:tabs>
          <w:tab w:leader="none" w:pos="1041" w:val="left"/>
        </w:tabs>
        <w:numPr>
          <w:ilvl w:val="0"/>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appointed by directors so nominated or (c) the occurrence of any “change of control” or similar event with respect to any Material Indebtedness.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291" w:right="539" w:bottom="1440" w:gutter="0" w:footer="0" w:header="0"/>
        </w:sectPr>
      </w:pPr>
    </w:p>
    <w:bookmarkStart w:id="145" w:name="page146"/>
    <w:bookmarkEnd w:id="145"/>
    <w:p>
      <w:pPr>
        <w:ind w:left="740" w:right="180" w:firstLine="749"/>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Change in Law</w:t>
      </w:r>
      <w:r>
        <w:rPr>
          <w:rFonts w:ascii="Times New Roman" w:cs="Times New Roman" w:eastAsia="Times New Roman" w:hAnsi="Times New Roman"/>
          <w:sz w:val="20"/>
          <w:szCs w:val="20"/>
          <w:color w:val="231F20"/>
        </w:rPr>
        <w:t>” means the occurrence after the date of this Agreement (or, with respect to any Lender, such later date on which such Lender becomes a party to this Agreement) of any of the following:</w:t>
      </w:r>
    </w:p>
    <w:p>
      <w:pPr>
        <w:spacing w:after="0" w:line="2" w:lineRule="exact"/>
        <w:rPr>
          <w:sz w:val="20"/>
          <w:szCs w:val="20"/>
          <w:color w:val="auto"/>
        </w:rPr>
      </w:pPr>
    </w:p>
    <w:p>
      <w:pPr>
        <w:jc w:val="both"/>
        <w:ind w:left="740" w:right="160" w:hanging="5"/>
        <w:spacing w:after="0"/>
        <w:tabs>
          <w:tab w:leader="none" w:pos="1013" w:val="left"/>
        </w:tabs>
        <w:numPr>
          <w:ilvl w:val="0"/>
          <w:numId w:val="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adoption or taking effect of any law, rule, regulation or treaty; (b) any change in any law, rule, regulation or treaty or in the administration, interpretation, implementation or application thereof by any Governmental Authority; or (c) compliance by any Lender or any Issuing Bank (or, for purposes of </w:t>
      </w:r>
      <w:r>
        <w:rPr>
          <w:rFonts w:ascii="Times New Roman" w:cs="Times New Roman" w:eastAsia="Times New Roman" w:hAnsi="Times New Roman"/>
          <w:sz w:val="20"/>
          <w:szCs w:val="20"/>
          <w:u w:val="single" w:color="auto"/>
          <w:color w:val="231F20"/>
        </w:rPr>
        <w:t>Section 2.15(b)</w:t>
      </w:r>
      <w:r>
        <w:rPr>
          <w:rFonts w:ascii="Times New Roman" w:cs="Times New Roman" w:eastAsia="Times New Roman" w:hAnsi="Times New Roman"/>
          <w:sz w:val="20"/>
          <w:szCs w:val="20"/>
          <w:color w:val="231F20"/>
        </w:rPr>
        <w:t xml:space="preserve">, by any lending office of such Lender or by such Lender’s or such Issuing Bank’s holding company, if any) with any request, guideline, requirement or directive (whether or not having the force of law) of any Governmental Authority made or issued after the date of this Agreement;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Charges</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9.17</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Citi</w:t>
      </w:r>
      <w:r>
        <w:rPr>
          <w:rFonts w:ascii="Times New Roman" w:cs="Times New Roman" w:eastAsia="Times New Roman" w:hAnsi="Times New Roman"/>
          <w:sz w:val="20"/>
          <w:szCs w:val="20"/>
          <w:color w:val="231F20"/>
        </w:rPr>
        <w:t>” means Citibank, N.A., a national banking association, in its individual capacity, and its successors.</w:t>
      </w:r>
    </w:p>
    <w:p>
      <w:pPr>
        <w:spacing w:after="0" w:line="216" w:lineRule="exact"/>
        <w:rPr>
          <w:sz w:val="20"/>
          <w:szCs w:val="20"/>
          <w:color w:val="auto"/>
        </w:rPr>
      </w:pPr>
    </w:p>
    <w:p>
      <w:pPr>
        <w:ind w:left="1480" w:right="1420"/>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Code</w:t>
      </w:r>
      <w:r>
        <w:rPr>
          <w:rFonts w:ascii="Times New Roman" w:cs="Times New Roman" w:eastAsia="Times New Roman" w:hAnsi="Times New Roman"/>
          <w:sz w:val="20"/>
          <w:szCs w:val="20"/>
          <w:color w:val="231F20"/>
        </w:rPr>
        <w:t>” means the Internal Revenue Code of 1986, as amended from time to time. “</w:t>
      </w:r>
      <w:r>
        <w:rPr>
          <w:rFonts w:ascii="Times New Roman" w:cs="Times New Roman" w:eastAsia="Times New Roman" w:hAnsi="Times New Roman"/>
          <w:sz w:val="20"/>
          <w:szCs w:val="20"/>
          <w:u w:val="single" w:color="auto"/>
          <w:color w:val="231F20"/>
        </w:rPr>
        <w:t>Collateral</w:t>
      </w:r>
      <w:r>
        <w:rPr>
          <w:rFonts w:ascii="Times New Roman" w:cs="Times New Roman" w:eastAsia="Times New Roman" w:hAnsi="Times New Roman"/>
          <w:sz w:val="20"/>
          <w:szCs w:val="20"/>
          <w:color w:val="231F20"/>
        </w:rPr>
        <w:t>” has the meaning given to “Collateral” in the Security Agreement.</w:t>
      </w:r>
    </w:p>
    <w:p>
      <w:pPr>
        <w:spacing w:after="0" w:line="2" w:lineRule="exact"/>
        <w:rPr>
          <w:sz w:val="20"/>
          <w:szCs w:val="20"/>
          <w:color w:val="auto"/>
        </w:rPr>
      </w:pPr>
    </w:p>
    <w:p>
      <w:pPr>
        <w:ind w:left="740" w:right="2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Collateral Documents</w:t>
      </w:r>
      <w:r>
        <w:rPr>
          <w:rFonts w:ascii="Times New Roman" w:cs="Times New Roman" w:eastAsia="Times New Roman" w:hAnsi="Times New Roman"/>
          <w:sz w:val="20"/>
          <w:szCs w:val="20"/>
          <w:color w:val="231F20"/>
        </w:rPr>
        <w:t>” means, collectively, the Security Agreement and any other documents granting a Lien upon the Collateral as security for payment of the Secured Obligations.</w:t>
      </w:r>
    </w:p>
    <w:p>
      <w:pPr>
        <w:spacing w:after="0" w:line="182" w:lineRule="exact"/>
        <w:rPr>
          <w:sz w:val="20"/>
          <w:szCs w:val="20"/>
          <w:color w:val="auto"/>
        </w:rPr>
      </w:pPr>
    </w:p>
    <w:p>
      <w:pPr>
        <w:jc w:val="both"/>
        <w:ind w:left="740" w:right="200" w:firstLine="749"/>
        <w:spacing w:after="0" w:line="245"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Commitment</w:t>
      </w:r>
      <w:r>
        <w:rPr>
          <w:rFonts w:ascii="Times New Roman" w:cs="Times New Roman" w:eastAsia="Times New Roman" w:hAnsi="Times New Roman"/>
          <w:sz w:val="20"/>
          <w:szCs w:val="20"/>
          <w:color w:val="231F20"/>
        </w:rPr>
        <w:t xml:space="preserve">” means, with respect to each Lender, the commitment, if any, of such Lender to make Loans and to acquire participations in Letters of Credit and Swingline Loans hereunder, expressed as an amount representing the maximum possible aggregate amount of such Lender’s Credit Exposure hereunder, as such commitment may be reduced or increased from time to time pursuant to (a) </w:t>
      </w:r>
      <w:r>
        <w:rPr>
          <w:rFonts w:ascii="Times New Roman" w:cs="Times New Roman" w:eastAsia="Times New Roman" w:hAnsi="Times New Roman"/>
          <w:sz w:val="20"/>
          <w:szCs w:val="20"/>
          <w:u w:val="single" w:color="auto"/>
          <w:color w:val="231F20"/>
        </w:rPr>
        <w:t>Section</w:t>
      </w:r>
    </w:p>
    <w:p>
      <w:pPr>
        <w:spacing w:after="0" w:line="1" w:lineRule="exact"/>
        <w:rPr>
          <w:sz w:val="20"/>
          <w:szCs w:val="20"/>
          <w:color w:val="auto"/>
        </w:rPr>
      </w:pPr>
    </w:p>
    <w:p>
      <w:pPr>
        <w:jc w:val="both"/>
        <w:ind w:left="740" w:right="160"/>
        <w:spacing w:after="0" w:line="241" w:lineRule="auto"/>
        <w:rPr>
          <w:sz w:val="20"/>
          <w:szCs w:val="20"/>
          <w:color w:val="auto"/>
        </w:rPr>
      </w:pPr>
      <w:r>
        <w:rPr>
          <w:rFonts w:ascii="Times New Roman" w:cs="Times New Roman" w:eastAsia="Times New Roman" w:hAnsi="Times New Roman"/>
          <w:sz w:val="20"/>
          <w:szCs w:val="20"/>
          <w:u w:val="single" w:color="auto"/>
          <w:color w:val="231F20"/>
        </w:rPr>
        <w:t>2.09 or 2.22</w:t>
      </w:r>
      <w:r>
        <w:rPr>
          <w:rFonts w:ascii="Times New Roman" w:cs="Times New Roman" w:eastAsia="Times New Roman" w:hAnsi="Times New Roman"/>
          <w:sz w:val="20"/>
          <w:szCs w:val="20"/>
          <w:color w:val="231F20"/>
        </w:rPr>
        <w:t xml:space="preserve"> and (b) assignments by or to such Lender pursuant to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 xml:space="preserve">. The </w:t>
      </w:r>
      <w:r>
        <w:rPr>
          <w:rFonts w:ascii="Times New Roman" w:cs="Times New Roman" w:eastAsia="Times New Roman" w:hAnsi="Times New Roman"/>
          <w:sz w:val="20"/>
          <w:szCs w:val="20"/>
          <w:color w:val="ED1C24"/>
          <w:strike w:val="1"/>
        </w:rPr>
        <w:t>initial</w:t>
      </w:r>
      <w:r>
        <w:rPr>
          <w:rFonts w:ascii="Times New Roman" w:cs="Times New Roman" w:eastAsia="Times New Roman" w:hAnsi="Times New Roman"/>
          <w:sz w:val="20"/>
          <w:szCs w:val="20"/>
          <w:color w:val="231F20"/>
        </w:rPr>
        <w:t xml:space="preserve"> amount of each Lender’s Commitment </w:t>
      </w:r>
      <w:r>
        <w:rPr>
          <w:rFonts w:ascii="Times New Roman" w:cs="Times New Roman" w:eastAsia="Times New Roman" w:hAnsi="Times New Roman"/>
          <w:sz w:val="20"/>
          <w:szCs w:val="20"/>
          <w:u w:val="single" w:color="auto"/>
          <w:color w:val="2251A3"/>
        </w:rPr>
        <w:t>as of the First Amendment Effective Date</w:t>
      </w:r>
      <w:r>
        <w:rPr>
          <w:rFonts w:ascii="Times New Roman" w:cs="Times New Roman" w:eastAsia="Times New Roman" w:hAnsi="Times New Roman"/>
          <w:sz w:val="20"/>
          <w:szCs w:val="20"/>
          <w:color w:val="231F20"/>
        </w:rPr>
        <w:t xml:space="preserve"> is set forth on the </w:t>
      </w:r>
      <w:r>
        <w:rPr>
          <w:rFonts w:ascii="Times New Roman" w:cs="Times New Roman" w:eastAsia="Times New Roman" w:hAnsi="Times New Roman"/>
          <w:sz w:val="20"/>
          <w:szCs w:val="20"/>
          <w:u w:val="single" w:color="auto"/>
          <w:color w:val="231F20"/>
        </w:rPr>
        <w:t>Commitment Schedule</w:t>
      </w:r>
      <w:r>
        <w:rPr>
          <w:rFonts w:ascii="Times New Roman" w:cs="Times New Roman" w:eastAsia="Times New Roman" w:hAnsi="Times New Roman"/>
          <w:sz w:val="20"/>
          <w:szCs w:val="20"/>
          <w:color w:val="ED1C24"/>
          <w:strike w:val="1"/>
        </w:rPr>
        <w:t>, or in the Assignment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ED1C24"/>
          <w:strike w:val="1"/>
        </w:rPr>
        <w:t>Assumption pursuant to which such Lender shall have assumed its Commitment, as applicable. The initial</w:t>
      </w:r>
      <w:r>
        <w:rPr>
          <w:rFonts w:ascii="Times New Roman" w:cs="Times New Roman" w:eastAsia="Times New Roman" w:hAnsi="Times New Roman"/>
          <w:sz w:val="20"/>
          <w:szCs w:val="20"/>
          <w:u w:val="single" w:color="auto"/>
          <w:color w:val="2251A3"/>
        </w:rPr>
        <w:t>. The</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231F20"/>
        </w:rPr>
        <w:t>aggregate</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231F20"/>
        </w:rPr>
        <w:t xml:space="preserve">amount of the Lenders’ Commitments as of the </w:t>
      </w:r>
      <w:r>
        <w:rPr>
          <w:rFonts w:ascii="Times New Roman" w:cs="Times New Roman" w:eastAsia="Times New Roman" w:hAnsi="Times New Roman"/>
          <w:sz w:val="20"/>
          <w:szCs w:val="20"/>
          <w:u w:val="single" w:color="auto"/>
          <w:color w:val="2251A3"/>
        </w:rPr>
        <w:t>First Amendment</w:t>
      </w:r>
      <w:r>
        <w:rPr>
          <w:rFonts w:ascii="Times New Roman" w:cs="Times New Roman" w:eastAsia="Times New Roman" w:hAnsi="Times New Roman"/>
          <w:sz w:val="20"/>
          <w:szCs w:val="20"/>
          <w:color w:val="231F20"/>
        </w:rPr>
        <w:t xml:space="preserve"> Effective Date is $</w:t>
      </w:r>
      <w:r>
        <w:rPr>
          <w:rFonts w:ascii="Times New Roman" w:cs="Times New Roman" w:eastAsia="Times New Roman" w:hAnsi="Times New Roman"/>
          <w:sz w:val="20"/>
          <w:szCs w:val="20"/>
          <w:color w:val="ED1C24"/>
          <w:strike w:val="1"/>
        </w:rPr>
        <w:t>125.0</w:t>
      </w:r>
      <w:r>
        <w:rPr>
          <w:rFonts w:ascii="Times New Roman" w:cs="Times New Roman" w:eastAsia="Times New Roman" w:hAnsi="Times New Roman"/>
          <w:sz w:val="20"/>
          <w:szCs w:val="20"/>
          <w:u w:val="single" w:color="auto"/>
          <w:color w:val="2251A3"/>
        </w:rPr>
        <w:t>300.0</w:t>
      </w:r>
      <w:r>
        <w:rPr>
          <w:rFonts w:ascii="Times New Roman" w:cs="Times New Roman" w:eastAsia="Times New Roman" w:hAnsi="Times New Roman"/>
          <w:sz w:val="20"/>
          <w:szCs w:val="20"/>
          <w:color w:val="231F20"/>
        </w:rPr>
        <w:t xml:space="preserve"> million.</w:t>
      </w:r>
    </w:p>
    <w:p>
      <w:pPr>
        <w:spacing w:after="0" w:line="188" w:lineRule="exact"/>
        <w:rPr>
          <w:sz w:val="20"/>
          <w:szCs w:val="20"/>
          <w:color w:val="auto"/>
        </w:rPr>
      </w:pPr>
    </w:p>
    <w:p>
      <w:pPr>
        <w:ind w:left="1480" w:right="800"/>
        <w:spacing w:after="0" w:line="247"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Commitment Date</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2.22(a)(i)</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u w:val="single" w:color="auto"/>
          <w:color w:val="231F20"/>
        </w:rPr>
        <w:t>Commitment Increase</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2.22(a)</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u w:val="single" w:color="auto"/>
          <w:color w:val="231F20"/>
        </w:rPr>
        <w:t>Commitment Schedule</w:t>
      </w:r>
      <w:r>
        <w:rPr>
          <w:rFonts w:ascii="Times New Roman" w:cs="Times New Roman" w:eastAsia="Times New Roman" w:hAnsi="Times New Roman"/>
          <w:sz w:val="20"/>
          <w:szCs w:val="20"/>
          <w:color w:val="231F20"/>
        </w:rPr>
        <w:t>” means the Schedule attached hereto identified as such.</w:t>
      </w:r>
    </w:p>
    <w:p>
      <w:pPr>
        <w:ind w:left="740" w:firstLine="747"/>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Commodity Exchange Act</w:t>
      </w:r>
      <w:r>
        <w:rPr>
          <w:rFonts w:ascii="Times New Roman" w:cs="Times New Roman" w:eastAsia="Times New Roman" w:hAnsi="Times New Roman"/>
          <w:sz w:val="20"/>
          <w:szCs w:val="20"/>
          <w:color w:val="231F20"/>
        </w:rPr>
        <w:t>” means the Commodity Exchange Act (7 U.S.C. § 1 et seq.), as amended from time to time, and any successor statute.</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Communications</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9.01(d)</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22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Conforming Changes</w:t>
      </w:r>
      <w:r>
        <w:rPr>
          <w:rFonts w:ascii="Times New Roman" w:cs="Times New Roman" w:eastAsia="Times New Roman" w:hAnsi="Times New Roman"/>
          <w:sz w:val="20"/>
          <w:szCs w:val="20"/>
          <w:color w:val="231F20"/>
        </w:rPr>
        <w:t>” means, with respect to either the use or administration of Adjusted Term SOFR or the use, administration, adoption or implementation of any Benchmark Replacement, any technical, administrative or operational changes (including changes to the definition of “ABR”, the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291" w:right="559" w:bottom="1440" w:gutter="0" w:footer="0" w:header="0"/>
        </w:sectPr>
      </w:pPr>
    </w:p>
    <w:bookmarkStart w:id="146" w:name="page147"/>
    <w:bookmarkEnd w:id="146"/>
    <w:p>
      <w:pPr>
        <w:jc w:val="both"/>
        <w:ind w:left="740"/>
        <w:spacing w:after="0" w:line="242" w:lineRule="auto"/>
        <w:rPr>
          <w:sz w:val="20"/>
          <w:szCs w:val="20"/>
          <w:color w:val="auto"/>
        </w:rPr>
      </w:pPr>
      <w:r>
        <w:rPr>
          <w:rFonts w:ascii="Times New Roman" w:cs="Times New Roman" w:eastAsia="Times New Roman" w:hAnsi="Times New Roman"/>
          <w:sz w:val="20"/>
          <w:szCs w:val="20"/>
          <w:color w:val="231F20"/>
        </w:rPr>
        <w:t xml:space="preserve">definition of “Business Day,” the definition of “U.S. Government Securities Business Day,” the definition of “Interest Period” or “Interest Payment Date”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231F20"/>
        </w:rPr>
        <w:t>Section 2.16</w:t>
      </w:r>
      <w:r>
        <w:rPr>
          <w:rFonts w:ascii="Times New Roman" w:cs="Times New Roman" w:eastAsia="Times New Roman" w:hAnsi="Times New Roman"/>
          <w:sz w:val="20"/>
          <w:szCs w:val="20"/>
          <w:color w:val="231F20"/>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92" w:lineRule="exact"/>
        <w:rPr>
          <w:sz w:val="20"/>
          <w:szCs w:val="20"/>
          <w:color w:val="auto"/>
        </w:rPr>
      </w:pPr>
    </w:p>
    <w:p>
      <w:pPr>
        <w:ind w:left="740" w:right="76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Connection Income Taxes</w:t>
      </w:r>
      <w:r>
        <w:rPr>
          <w:rFonts w:ascii="Times New Roman" w:cs="Times New Roman" w:eastAsia="Times New Roman" w:hAnsi="Times New Roman"/>
          <w:sz w:val="20"/>
          <w:szCs w:val="20"/>
          <w:color w:val="231F20"/>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Consolidated Adjusted EBITDA</w:t>
      </w:r>
      <w:r>
        <w:rPr>
          <w:rFonts w:ascii="Times New Roman" w:cs="Times New Roman" w:eastAsia="Times New Roman" w:hAnsi="Times New Roman"/>
          <w:sz w:val="20"/>
          <w:szCs w:val="20"/>
          <w:color w:val="231F20"/>
        </w:rPr>
        <w:t>” means, for any period, the sum of:</w:t>
      </w:r>
    </w:p>
    <w:p>
      <w:pPr>
        <w:spacing w:after="0" w:line="212" w:lineRule="exact"/>
        <w:rPr>
          <w:sz w:val="20"/>
          <w:szCs w:val="20"/>
          <w:color w:val="auto"/>
        </w:rPr>
      </w:pPr>
    </w:p>
    <w:p>
      <w:pPr>
        <w:ind w:left="2240" w:hanging="380"/>
        <w:spacing w:after="0"/>
        <w:tabs>
          <w:tab w:leader="none" w:pos="2240" w:val="left"/>
        </w:tabs>
        <w:numPr>
          <w:ilvl w:val="0"/>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Net Income for such period; </w:t>
      </w:r>
      <w:r>
        <w:rPr>
          <w:rFonts w:ascii="Times New Roman" w:cs="Times New Roman" w:eastAsia="Times New Roman" w:hAnsi="Times New Roman"/>
          <w:sz w:val="20"/>
          <w:szCs w:val="20"/>
          <w:i w:val="1"/>
          <w:iCs w:val="1"/>
          <w:u w:val="single" w:color="auto"/>
          <w:color w:val="231F20"/>
        </w:rPr>
        <w:t>plus</w:t>
      </w:r>
    </w:p>
    <w:p>
      <w:pPr>
        <w:spacing w:after="0" w:line="219" w:lineRule="exact"/>
        <w:rPr>
          <w:rFonts w:ascii="Times New Roman" w:cs="Times New Roman" w:eastAsia="Times New Roman" w:hAnsi="Times New Roman"/>
          <w:sz w:val="20"/>
          <w:szCs w:val="20"/>
          <w:color w:val="231F20"/>
        </w:rPr>
      </w:pPr>
    </w:p>
    <w:p>
      <w:pPr>
        <w:ind w:left="2220" w:hanging="360"/>
        <w:spacing w:after="0"/>
        <w:tabs>
          <w:tab w:leader="none" w:pos="2220" w:val="left"/>
        </w:tabs>
        <w:numPr>
          <w:ilvl w:val="0"/>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without duplication and to the extent deducted in determining Net Income for such period, the sum of:</w:t>
      </w:r>
    </w:p>
    <w:p>
      <w:pPr>
        <w:spacing w:after="0" w:line="211" w:lineRule="exact"/>
        <w:rPr>
          <w:rFonts w:ascii="Times New Roman" w:cs="Times New Roman" w:eastAsia="Times New Roman" w:hAnsi="Times New Roman"/>
          <w:sz w:val="20"/>
          <w:szCs w:val="20"/>
          <w:color w:val="231F20"/>
        </w:rPr>
      </w:pPr>
    </w:p>
    <w:p>
      <w:pPr>
        <w:ind w:left="3360" w:hanging="751"/>
        <w:spacing w:after="0"/>
        <w:tabs>
          <w:tab w:leader="none" w:pos="3360" w:val="left"/>
        </w:tabs>
        <w:numPr>
          <w:ilvl w:val="1"/>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Interest Expense for such period; </w:t>
      </w:r>
      <w:r>
        <w:rPr>
          <w:rFonts w:ascii="Times New Roman" w:cs="Times New Roman" w:eastAsia="Times New Roman" w:hAnsi="Times New Roman"/>
          <w:sz w:val="20"/>
          <w:szCs w:val="20"/>
          <w:i w:val="1"/>
          <w:iCs w:val="1"/>
          <w:u w:val="single" w:color="auto"/>
          <w:color w:val="231F20"/>
        </w:rPr>
        <w:t>plus</w:t>
      </w:r>
    </w:p>
    <w:p>
      <w:pPr>
        <w:spacing w:after="0" w:line="215" w:lineRule="exact"/>
        <w:rPr>
          <w:rFonts w:ascii="Times New Roman" w:cs="Times New Roman" w:eastAsia="Times New Roman" w:hAnsi="Times New Roman"/>
          <w:sz w:val="20"/>
          <w:szCs w:val="20"/>
          <w:color w:val="231F20"/>
        </w:rPr>
      </w:pPr>
    </w:p>
    <w:p>
      <w:pPr>
        <w:ind w:left="3320" w:hanging="711"/>
        <w:spacing w:after="0"/>
        <w:tabs>
          <w:tab w:leader="none" w:pos="3320" w:val="left"/>
        </w:tabs>
        <w:numPr>
          <w:ilvl w:val="1"/>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federal, state, local and foreign income tax expense for such period net of tax refunds; </w:t>
      </w:r>
      <w:r>
        <w:rPr>
          <w:rFonts w:ascii="Times New Roman" w:cs="Times New Roman" w:eastAsia="Times New Roman" w:hAnsi="Times New Roman"/>
          <w:sz w:val="20"/>
          <w:szCs w:val="20"/>
          <w:i w:val="1"/>
          <w:iCs w:val="1"/>
          <w:u w:val="single" w:color="auto"/>
          <w:color w:val="231F20"/>
        </w:rPr>
        <w:t>plus</w:t>
      </w:r>
    </w:p>
    <w:p>
      <w:pPr>
        <w:spacing w:after="0" w:line="215" w:lineRule="exact"/>
        <w:rPr>
          <w:rFonts w:ascii="Times New Roman" w:cs="Times New Roman" w:eastAsia="Times New Roman" w:hAnsi="Times New Roman"/>
          <w:sz w:val="20"/>
          <w:szCs w:val="20"/>
          <w:color w:val="231F20"/>
        </w:rPr>
      </w:pPr>
    </w:p>
    <w:p>
      <w:pPr>
        <w:ind w:left="3320" w:hanging="711"/>
        <w:spacing w:after="0"/>
        <w:tabs>
          <w:tab w:leader="none" w:pos="3320" w:val="left"/>
        </w:tabs>
        <w:numPr>
          <w:ilvl w:val="1"/>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all amounts attributable to depreciation and amortization expense for such period; </w:t>
      </w:r>
      <w:r>
        <w:rPr>
          <w:rFonts w:ascii="Times New Roman" w:cs="Times New Roman" w:eastAsia="Times New Roman" w:hAnsi="Times New Roman"/>
          <w:sz w:val="20"/>
          <w:szCs w:val="20"/>
          <w:i w:val="1"/>
          <w:iCs w:val="1"/>
          <w:u w:val="single" w:color="auto"/>
          <w:color w:val="231F20"/>
        </w:rPr>
        <w:t>plus</w:t>
      </w:r>
    </w:p>
    <w:p>
      <w:pPr>
        <w:spacing w:after="0" w:line="215" w:lineRule="exact"/>
        <w:rPr>
          <w:rFonts w:ascii="Times New Roman" w:cs="Times New Roman" w:eastAsia="Times New Roman" w:hAnsi="Times New Roman"/>
          <w:sz w:val="20"/>
          <w:szCs w:val="20"/>
          <w:color w:val="231F20"/>
        </w:rPr>
      </w:pPr>
    </w:p>
    <w:p>
      <w:pPr>
        <w:ind w:left="3320" w:hanging="711"/>
        <w:spacing w:after="0"/>
        <w:tabs>
          <w:tab w:leader="none" w:pos="3320" w:val="left"/>
        </w:tabs>
        <w:numPr>
          <w:ilvl w:val="1"/>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amortization of intangibles (including, but not limited to, goodwill) for such period; </w:t>
      </w:r>
      <w:r>
        <w:rPr>
          <w:rFonts w:ascii="Times New Roman" w:cs="Times New Roman" w:eastAsia="Times New Roman" w:hAnsi="Times New Roman"/>
          <w:sz w:val="20"/>
          <w:szCs w:val="20"/>
          <w:i w:val="1"/>
          <w:iCs w:val="1"/>
          <w:u w:val="single" w:color="auto"/>
          <w:color w:val="231F20"/>
        </w:rPr>
        <w:t>plus</w:t>
      </w:r>
    </w:p>
    <w:p>
      <w:pPr>
        <w:spacing w:after="0" w:line="215" w:lineRule="exact"/>
        <w:rPr>
          <w:rFonts w:ascii="Times New Roman" w:cs="Times New Roman" w:eastAsia="Times New Roman" w:hAnsi="Times New Roman"/>
          <w:sz w:val="20"/>
          <w:szCs w:val="20"/>
          <w:color w:val="231F20"/>
        </w:rPr>
      </w:pPr>
    </w:p>
    <w:p>
      <w:pPr>
        <w:ind w:left="3360" w:hanging="751"/>
        <w:spacing w:after="0"/>
        <w:tabs>
          <w:tab w:leader="none" w:pos="3360" w:val="left"/>
        </w:tabs>
        <w:numPr>
          <w:ilvl w:val="1"/>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any extraordinary non-cash charges, expenses or losses for such period; </w:t>
      </w:r>
      <w:r>
        <w:rPr>
          <w:rFonts w:ascii="Times New Roman" w:cs="Times New Roman" w:eastAsia="Times New Roman" w:hAnsi="Times New Roman"/>
          <w:sz w:val="20"/>
          <w:szCs w:val="20"/>
          <w:i w:val="1"/>
          <w:iCs w:val="1"/>
          <w:u w:val="single" w:color="auto"/>
          <w:color w:val="231F20"/>
        </w:rPr>
        <w:t>plus</w:t>
      </w:r>
    </w:p>
    <w:p>
      <w:pPr>
        <w:spacing w:after="0" w:line="219" w:lineRule="exact"/>
        <w:rPr>
          <w:rFonts w:ascii="Times New Roman" w:cs="Times New Roman" w:eastAsia="Times New Roman" w:hAnsi="Times New Roman"/>
          <w:sz w:val="20"/>
          <w:szCs w:val="20"/>
          <w:color w:val="231F20"/>
        </w:rPr>
      </w:pPr>
    </w:p>
    <w:p>
      <w:pPr>
        <w:ind w:left="3320" w:right="400" w:hanging="711"/>
        <w:spacing w:after="0" w:line="269" w:lineRule="auto"/>
        <w:tabs>
          <w:tab w:leader="none" w:pos="3320" w:val="left"/>
        </w:tabs>
        <w:numPr>
          <w:ilvl w:val="1"/>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non-cash compensation expenses, including as a result of any grant of equity or options to employees, officers, directors or contractors; </w:t>
      </w:r>
      <w:r>
        <w:rPr>
          <w:rFonts w:ascii="Times New Roman" w:cs="Times New Roman" w:eastAsia="Times New Roman" w:hAnsi="Times New Roman"/>
          <w:sz w:val="20"/>
          <w:szCs w:val="20"/>
          <w:i w:val="1"/>
          <w:iCs w:val="1"/>
          <w:u w:val="single" w:color="auto"/>
          <w:color w:val="231F20"/>
        </w:rPr>
        <w:t>plus</w:t>
      </w:r>
    </w:p>
    <w:p>
      <w:pPr>
        <w:spacing w:after="0" w:line="159" w:lineRule="exact"/>
        <w:rPr>
          <w:rFonts w:ascii="Times New Roman" w:cs="Times New Roman" w:eastAsia="Times New Roman" w:hAnsi="Times New Roman"/>
          <w:sz w:val="20"/>
          <w:szCs w:val="20"/>
          <w:color w:val="231F20"/>
        </w:rPr>
      </w:pPr>
    </w:p>
    <w:p>
      <w:pPr>
        <w:ind w:left="3320" w:right="100" w:hanging="711"/>
        <w:spacing w:after="0" w:line="269" w:lineRule="auto"/>
        <w:tabs>
          <w:tab w:leader="none" w:pos="3320" w:val="left"/>
        </w:tabs>
        <w:numPr>
          <w:ilvl w:val="1"/>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costs and expenses incurred on or prior to the Effective Date with respect to the Transactions; </w:t>
      </w:r>
      <w:r>
        <w:rPr>
          <w:rFonts w:ascii="Times New Roman" w:cs="Times New Roman" w:eastAsia="Times New Roman" w:hAnsi="Times New Roman"/>
          <w:sz w:val="20"/>
          <w:szCs w:val="20"/>
          <w:i w:val="1"/>
          <w:iCs w:val="1"/>
          <w:u w:val="single" w:color="auto"/>
          <w:color w:val="231F20"/>
        </w:rPr>
        <w:t>plus</w:t>
      </w:r>
    </w:p>
    <w:p>
      <w:pPr>
        <w:spacing w:after="0" w:line="159" w:lineRule="exact"/>
        <w:rPr>
          <w:rFonts w:ascii="Times New Roman" w:cs="Times New Roman" w:eastAsia="Times New Roman" w:hAnsi="Times New Roman"/>
          <w:sz w:val="20"/>
          <w:szCs w:val="20"/>
          <w:color w:val="231F20"/>
        </w:rPr>
      </w:pPr>
    </w:p>
    <w:p>
      <w:pPr>
        <w:jc w:val="both"/>
        <w:ind w:left="3320" w:right="20" w:hanging="711"/>
        <w:spacing w:after="0" w:line="254" w:lineRule="auto"/>
        <w:tabs>
          <w:tab w:leader="none" w:pos="3320" w:val="left"/>
        </w:tabs>
        <w:numPr>
          <w:ilvl w:val="1"/>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expenses, charges and losses incurred in such period and which are reimbursed in cash during such period by Persons (other than the Borrower and its Subsidiaries) so long as such payments were not added in determining Net Income for such period; </w:t>
      </w:r>
      <w:r>
        <w:rPr>
          <w:rFonts w:ascii="Times New Roman" w:cs="Times New Roman" w:eastAsia="Times New Roman" w:hAnsi="Times New Roman"/>
          <w:sz w:val="20"/>
          <w:szCs w:val="20"/>
          <w:i w:val="1"/>
          <w:iCs w:val="1"/>
          <w:u w:val="single" w:color="auto"/>
          <w:color w:val="231F20"/>
        </w:rPr>
        <w:t>plus</w:t>
      </w:r>
    </w:p>
    <w:p>
      <w:pPr>
        <w:spacing w:after="0" w:line="174" w:lineRule="exact"/>
        <w:rPr>
          <w:rFonts w:ascii="Times New Roman" w:cs="Times New Roman" w:eastAsia="Times New Roman" w:hAnsi="Times New Roman"/>
          <w:sz w:val="20"/>
          <w:szCs w:val="20"/>
          <w:color w:val="231F20"/>
        </w:rPr>
      </w:pPr>
    </w:p>
    <w:p>
      <w:pPr>
        <w:jc w:val="both"/>
        <w:ind w:left="3320" w:right="40" w:hanging="711"/>
        <w:spacing w:after="0" w:line="266" w:lineRule="auto"/>
        <w:tabs>
          <w:tab w:leader="none" w:pos="3320" w:val="left"/>
        </w:tabs>
        <w:numPr>
          <w:ilvl w:val="1"/>
          <w:numId w:val="7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non-recurring fees, costs and expenses directly incurred during such period in connection with any of the following which are attempted, whether or not consummated: any Permitted Acquisition and any related debt or equity offering undertaken in connection therewith (in respect of which all or substantially all of the proceeds are intended to be used to pay the cash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47" w:name="page148"/>
    <w:bookmarkEnd w:id="147"/>
    <w:p>
      <w:pPr>
        <w:jc w:val="right"/>
        <w:ind w:right="859"/>
        <w:spacing w:after="0"/>
        <w:rPr>
          <w:sz w:val="20"/>
          <w:szCs w:val="20"/>
          <w:color w:val="auto"/>
        </w:rPr>
      </w:pPr>
      <w:r>
        <w:rPr>
          <w:rFonts w:ascii="Times New Roman" w:cs="Times New Roman" w:eastAsia="Times New Roman" w:hAnsi="Times New Roman"/>
          <w:sz w:val="20"/>
          <w:szCs w:val="20"/>
          <w:color w:val="231F20"/>
        </w:rPr>
        <w:t xml:space="preserve">consideration for such Permitted Acquisition);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such addback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48" w:name="page149"/>
    <w:bookmarkEnd w:id="148"/>
    <w:p>
      <w:pPr>
        <w:ind w:left="3360" w:right="380"/>
        <w:spacing w:after="0" w:line="269" w:lineRule="auto"/>
        <w:rPr>
          <w:sz w:val="20"/>
          <w:szCs w:val="20"/>
          <w:color w:val="auto"/>
        </w:rPr>
      </w:pPr>
      <w:r>
        <w:rPr>
          <w:rFonts w:ascii="Times New Roman" w:cs="Times New Roman" w:eastAsia="Times New Roman" w:hAnsi="Times New Roman"/>
          <w:sz w:val="20"/>
          <w:szCs w:val="20"/>
          <w:color w:val="231F20"/>
        </w:rPr>
        <w:t xml:space="preserve">shall be limited to $1,000,000 for any period for such fees, costs and expenses incurred in connection with non-consummated transactions; </w:t>
      </w:r>
      <w:r>
        <w:rPr>
          <w:rFonts w:ascii="Times New Roman" w:cs="Times New Roman" w:eastAsia="Times New Roman" w:hAnsi="Times New Roman"/>
          <w:sz w:val="20"/>
          <w:szCs w:val="20"/>
          <w:i w:val="1"/>
          <w:iCs w:val="1"/>
          <w:u w:val="single" w:color="auto"/>
          <w:color w:val="231F20"/>
        </w:rPr>
        <w:t>plus</w:t>
      </w:r>
    </w:p>
    <w:p>
      <w:pPr>
        <w:spacing w:after="0" w:line="155" w:lineRule="exact"/>
        <w:rPr>
          <w:sz w:val="20"/>
          <w:szCs w:val="20"/>
          <w:color w:val="auto"/>
        </w:rPr>
      </w:pPr>
    </w:p>
    <w:p>
      <w:pPr>
        <w:ind w:left="3360" w:hanging="751"/>
        <w:spacing w:after="0"/>
        <w:tabs>
          <w:tab w:leader="none" w:pos="3360" w:val="left"/>
        </w:tabs>
        <w:numPr>
          <w:ilvl w:val="0"/>
          <w:numId w:val="7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non-cash purchase accounting adjustments made during such period; </w:t>
      </w:r>
      <w:r>
        <w:rPr>
          <w:rFonts w:ascii="Times New Roman" w:cs="Times New Roman" w:eastAsia="Times New Roman" w:hAnsi="Times New Roman"/>
          <w:sz w:val="20"/>
          <w:szCs w:val="20"/>
          <w:i w:val="1"/>
          <w:iCs w:val="1"/>
          <w:u w:val="single" w:color="auto"/>
          <w:color w:val="231F20"/>
        </w:rPr>
        <w:t>plus</w:t>
      </w:r>
    </w:p>
    <w:p>
      <w:pPr>
        <w:spacing w:after="0" w:line="219" w:lineRule="exact"/>
        <w:rPr>
          <w:rFonts w:ascii="Times New Roman" w:cs="Times New Roman" w:eastAsia="Times New Roman" w:hAnsi="Times New Roman"/>
          <w:sz w:val="20"/>
          <w:szCs w:val="20"/>
          <w:color w:val="231F20"/>
        </w:rPr>
      </w:pPr>
    </w:p>
    <w:p>
      <w:pPr>
        <w:jc w:val="both"/>
        <w:ind w:left="3320" w:right="40" w:hanging="711"/>
        <w:spacing w:after="0" w:line="242" w:lineRule="auto"/>
        <w:tabs>
          <w:tab w:leader="none" w:pos="3320" w:val="left"/>
        </w:tabs>
        <w:numPr>
          <w:ilvl w:val="0"/>
          <w:numId w:val="7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amount of any “run-rate” cost savings, operating expense reductions and other cost synergies (collectively, “</w:t>
      </w:r>
      <w:r>
        <w:rPr>
          <w:rFonts w:ascii="Times New Roman" w:cs="Times New Roman" w:eastAsia="Times New Roman" w:hAnsi="Times New Roman"/>
          <w:sz w:val="20"/>
          <w:szCs w:val="20"/>
          <w:u w:val="single" w:color="auto"/>
          <w:color w:val="231F20"/>
        </w:rPr>
        <w:t>Expected Cost Savings</w:t>
      </w:r>
      <w:r>
        <w:rPr>
          <w:rFonts w:ascii="Times New Roman" w:cs="Times New Roman" w:eastAsia="Times New Roman" w:hAnsi="Times New Roman"/>
          <w:sz w:val="20"/>
          <w:szCs w:val="20"/>
          <w:color w:val="231F20"/>
        </w:rPr>
        <w:t xml:space="preserve">”) (net of actual amounts realized) that are reasonably projected in good faith to result from actions taken (including those taken prior to the Effective Date) within 12 months and permitted as an adjustment pursuant to Article 11 of Regulation S-X under the Securities Act of 1933;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(A) a Responsible Officer shall have certified to the Administrative Agent in writing that such Expected Cost Savings are reasonably identifiable, reasonably attributable to the actions specified and reasonably anticipated to result from the actions specified and (B) the aggregate amount of Expected Cost Savings, together with the addback in clause (xii) for such period, shall not exceed, in the aggregate, 25% of Consolidated Adjusted EBITDA for the relevant period (calculated prior to giving effect to such addbacks); </w:t>
      </w:r>
      <w:r>
        <w:rPr>
          <w:rFonts w:ascii="Times New Roman" w:cs="Times New Roman" w:eastAsia="Times New Roman" w:hAnsi="Times New Roman"/>
          <w:sz w:val="20"/>
          <w:szCs w:val="20"/>
          <w:i w:val="1"/>
          <w:iCs w:val="1"/>
          <w:u w:val="single" w:color="auto"/>
          <w:color w:val="231F20"/>
        </w:rPr>
        <w:t>plus</w:t>
      </w:r>
    </w:p>
    <w:p>
      <w:pPr>
        <w:spacing w:after="0" w:line="189" w:lineRule="exact"/>
        <w:rPr>
          <w:rFonts w:ascii="Times New Roman" w:cs="Times New Roman" w:eastAsia="Times New Roman" w:hAnsi="Times New Roman"/>
          <w:sz w:val="20"/>
          <w:szCs w:val="20"/>
          <w:color w:val="231F20"/>
        </w:rPr>
      </w:pPr>
    </w:p>
    <w:p>
      <w:pPr>
        <w:jc w:val="both"/>
        <w:ind w:left="3320" w:right="40" w:hanging="711"/>
        <w:spacing w:after="0" w:line="246" w:lineRule="auto"/>
        <w:tabs>
          <w:tab w:leader="none" w:pos="3320" w:val="left"/>
        </w:tabs>
        <w:numPr>
          <w:ilvl w:val="0"/>
          <w:numId w:val="7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extraordinary, unusual, infrequent or non-recurring items, in each case, as reasonably acceptable to the Administrative Agent;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the aggregate amount added back pursuant to this clause (xii), together with the addback in clause (xi) for such period, shall not exceed, in the aggregate, 25% of Consolidated Adjusted EBITDA for the relevant period (calculated prior to giving effect to such addbacks); </w:t>
      </w:r>
      <w:r>
        <w:rPr>
          <w:rFonts w:ascii="Times New Roman" w:cs="Times New Roman" w:eastAsia="Times New Roman" w:hAnsi="Times New Roman"/>
          <w:sz w:val="20"/>
          <w:szCs w:val="20"/>
          <w:i w:val="1"/>
          <w:iCs w:val="1"/>
          <w:u w:val="single" w:color="auto"/>
          <w:color w:val="231F20"/>
        </w:rPr>
        <w:t>plus</w:t>
      </w:r>
    </w:p>
    <w:p>
      <w:pPr>
        <w:spacing w:after="0" w:line="184" w:lineRule="exact"/>
        <w:rPr>
          <w:rFonts w:ascii="Times New Roman" w:cs="Times New Roman" w:eastAsia="Times New Roman" w:hAnsi="Times New Roman"/>
          <w:sz w:val="20"/>
          <w:szCs w:val="20"/>
          <w:color w:val="231F20"/>
        </w:rPr>
      </w:pPr>
    </w:p>
    <w:p>
      <w:pPr>
        <w:ind w:left="3320" w:right="560" w:hanging="711"/>
        <w:spacing w:after="0" w:line="269" w:lineRule="auto"/>
        <w:tabs>
          <w:tab w:leader="none" w:pos="3320" w:val="left"/>
        </w:tabs>
        <w:numPr>
          <w:ilvl w:val="0"/>
          <w:numId w:val="7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all proceeds of business interruption insurance received during such period to the extent actually received and not already included in Net Income; </w:t>
      </w:r>
      <w:r>
        <w:rPr>
          <w:rFonts w:ascii="Times New Roman" w:cs="Times New Roman" w:eastAsia="Times New Roman" w:hAnsi="Times New Roman"/>
          <w:sz w:val="20"/>
          <w:szCs w:val="20"/>
          <w:i w:val="1"/>
          <w:iCs w:val="1"/>
          <w:u w:val="single" w:color="auto"/>
          <w:color w:val="231F20"/>
        </w:rPr>
        <w:t>minus</w:t>
      </w:r>
    </w:p>
    <w:p>
      <w:pPr>
        <w:spacing w:after="0" w:line="159" w:lineRule="exact"/>
        <w:rPr>
          <w:sz w:val="20"/>
          <w:szCs w:val="20"/>
          <w:color w:val="auto"/>
        </w:rPr>
      </w:pPr>
    </w:p>
    <w:p>
      <w:pPr>
        <w:ind w:left="2200" w:right="420" w:hanging="340"/>
        <w:spacing w:after="0" w:line="269" w:lineRule="auto"/>
        <w:tabs>
          <w:tab w:leader="none" w:pos="2200" w:val="left"/>
        </w:tabs>
        <w:numPr>
          <w:ilvl w:val="0"/>
          <w:numId w:val="8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without duplication and to the extent included in Net Income, any extraordinary gains and any non-cash items of income for such period;</w:t>
      </w:r>
    </w:p>
    <w:p>
      <w:pPr>
        <w:spacing w:after="0" w:line="159" w:lineRule="exact"/>
        <w:rPr>
          <w:sz w:val="20"/>
          <w:szCs w:val="20"/>
          <w:color w:val="auto"/>
        </w:rPr>
      </w:pPr>
    </w:p>
    <w:p>
      <w:pPr>
        <w:jc w:val="both"/>
        <w:ind w:left="740"/>
        <w:spacing w:after="0" w:line="243" w:lineRule="auto"/>
        <w:rPr>
          <w:sz w:val="20"/>
          <w:szCs w:val="20"/>
          <w:color w:val="auto"/>
        </w:rPr>
      </w:pPr>
      <w:r>
        <w:rPr>
          <w:rFonts w:ascii="Times New Roman" w:cs="Times New Roman" w:eastAsia="Times New Roman" w:hAnsi="Times New Roman"/>
          <w:sz w:val="20"/>
          <w:szCs w:val="20"/>
          <w:color w:val="231F20"/>
        </w:rPr>
        <w:t>all calculated for the Borrower and its Subsidiaries on a consolidated basis in accordance with GAAP. For the purposes of calculating Consolidated Adjusted EBITDA for any Reference Period, (i) if at any time during such Reference Period the Borrower or any Subsidiary shall have made any sale, transfer, or disposition of property, Consolidated Adjusted EBITDA for such Reference Period shall be reduced by an amount equal to the Consolidated Adjusted EBITDA (if positive) attributable to the property that is the subject of such sale, transfer, or disposition, as applicable, for such Reference Period or increased by an amount equal to the Consolidated Adjusted EBITDA (if negative) attributable thereto for such Reference Period, and (ii) if during such Reference Period the Borrower or any of its Subsidiaries shall have made a Permitted Acquisition, Consolidated Adjusted EBITDA for such Reference Period shall be calculated after giving effect thereto on a pro forma basis as if such Permitted Acquisition occurred on the first day of such Reference Period.</w:t>
      </w:r>
    </w:p>
    <w:p>
      <w:pPr>
        <w:spacing w:after="0" w:line="186" w:lineRule="exact"/>
        <w:rPr>
          <w:sz w:val="20"/>
          <w:szCs w:val="20"/>
          <w:color w:val="auto"/>
        </w:rPr>
      </w:pPr>
    </w:p>
    <w:p>
      <w:pPr>
        <w:jc w:val="both"/>
        <w:ind w:left="740" w:right="60" w:firstLine="747"/>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Consolidated Interest Coverage Ratio</w:t>
      </w:r>
      <w:r>
        <w:rPr>
          <w:rFonts w:ascii="Times New Roman" w:cs="Times New Roman" w:eastAsia="Times New Roman" w:hAnsi="Times New Roman"/>
          <w:sz w:val="20"/>
          <w:szCs w:val="20"/>
          <w:color w:val="231F20"/>
        </w:rPr>
        <w:t>” means, as of any date of determination, the ratio of (a) Consolidated Adjusted EBITDA to (b) cash Interest Expense, all calculated for the Borrower and its Subsidiaries on a consolidated basis for the period of four consecutive fiscal quarters ended on such date (or, if such date is not the last day of a fiscal quarter, ended on the last day of the fiscal quarter most recently ended prior to such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49" w:name="page150"/>
    <w:bookmarkEnd w:id="149"/>
    <w:p>
      <w:pPr>
        <w:jc w:val="both"/>
        <w:ind w:left="740" w:right="60" w:firstLine="747"/>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Consolidated Total Assets</w:t>
      </w:r>
      <w:r>
        <w:rPr>
          <w:rFonts w:ascii="Times New Roman" w:cs="Times New Roman" w:eastAsia="Times New Roman" w:hAnsi="Times New Roman"/>
          <w:sz w:val="20"/>
          <w:szCs w:val="20"/>
          <w:color w:val="231F20"/>
        </w:rPr>
        <w:t xml:space="preserve">” means the consolidated total assets of the Borrower and its Subsidiaries, determined in accordance with GAAP, as of the date of the financial statements most recently delivered pursuant to </w:t>
      </w:r>
      <w:r>
        <w:rPr>
          <w:rFonts w:ascii="Times New Roman" w:cs="Times New Roman" w:eastAsia="Times New Roman" w:hAnsi="Times New Roman"/>
          <w:sz w:val="20"/>
          <w:szCs w:val="20"/>
          <w:u w:val="single" w:color="auto"/>
          <w:color w:val="231F20"/>
        </w:rPr>
        <w:t>Section 4.01(b)</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Section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5.01(a)</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Section 5.01(b)</w:t>
      </w:r>
      <w:r>
        <w:rPr>
          <w:rFonts w:ascii="Times New Roman" w:cs="Times New Roman" w:eastAsia="Times New Roman" w:hAnsi="Times New Roman"/>
          <w:sz w:val="20"/>
          <w:szCs w:val="20"/>
          <w:color w:val="231F20"/>
        </w:rPr>
        <w:t>, as applicable.</w:t>
      </w:r>
    </w:p>
    <w:p>
      <w:pPr>
        <w:spacing w:after="0" w:line="174"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Consolidated Total Debt</w:t>
      </w:r>
      <w:r>
        <w:rPr>
          <w:rFonts w:ascii="Times New Roman" w:cs="Times New Roman" w:eastAsia="Times New Roman" w:hAnsi="Times New Roman"/>
          <w:sz w:val="20"/>
          <w:szCs w:val="20"/>
          <w:color w:val="231F20"/>
        </w:rPr>
        <w:t xml:space="preserve">” means, as of any date of determination, (a) the aggregate principal amount of Indebtedness (other than Indebtedness pursuant to </w:t>
      </w:r>
      <w:r>
        <w:rPr>
          <w:rFonts w:ascii="Times New Roman" w:cs="Times New Roman" w:eastAsia="Times New Roman" w:hAnsi="Times New Roman"/>
          <w:sz w:val="20"/>
          <w:szCs w:val="20"/>
          <w:u w:val="single" w:color="auto"/>
          <w:color w:val="231F20"/>
        </w:rPr>
        <w:t>clauses (c)</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(j)</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(k)</w:t>
      </w:r>
      <w:r>
        <w:rPr>
          <w:rFonts w:ascii="Times New Roman" w:cs="Times New Roman" w:eastAsia="Times New Roman" w:hAnsi="Times New Roman"/>
          <w:sz w:val="20"/>
          <w:szCs w:val="20"/>
          <w:color w:val="231F20"/>
        </w:rPr>
        <w:t xml:space="preserve"> of the definition thereof) of the Borrower and its Subsidiaries outstanding on such date, determined on a consolidated basis in accordance with GAAP and (b) Indebtedness of the type referred to in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xml:space="preserve"> hereof of another Person guaranteed by the Borrower or any of its Subsidiaries.</w:t>
      </w:r>
    </w:p>
    <w:p>
      <w:pPr>
        <w:spacing w:after="0" w:line="180"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Consolidated Total Net Leverage Ratio</w:t>
      </w:r>
      <w:r>
        <w:rPr>
          <w:rFonts w:ascii="Times New Roman" w:cs="Times New Roman" w:eastAsia="Times New Roman" w:hAnsi="Times New Roman"/>
          <w:sz w:val="20"/>
          <w:szCs w:val="20"/>
          <w:color w:val="231F20"/>
        </w:rPr>
        <w:t xml:space="preserve">” means, as of any date of determination, the ratio of (a) Consolidated Total Debt as of such date </w:t>
      </w:r>
      <w:r>
        <w:rPr>
          <w:rFonts w:ascii="Times New Roman" w:cs="Times New Roman" w:eastAsia="Times New Roman" w:hAnsi="Times New Roman"/>
          <w:sz w:val="20"/>
          <w:szCs w:val="20"/>
          <w:i w:val="1"/>
          <w:iCs w:val="1"/>
          <w:u w:val="single" w:color="auto"/>
          <w:color w:val="231F20"/>
        </w:rPr>
        <w:t>minus</w:t>
      </w:r>
      <w:r>
        <w:rPr>
          <w:rFonts w:ascii="Times New Roman" w:cs="Times New Roman" w:eastAsia="Times New Roman" w:hAnsi="Times New Roman"/>
          <w:sz w:val="20"/>
          <w:szCs w:val="20"/>
          <w:color w:val="231F20"/>
        </w:rPr>
        <w:t xml:space="preserve"> Unrestricted Domestic Cash and Cash Equivalents as of such date up to an aggregate amount equal to the Domestic Cash Netting Cap to (b) Consolidated Adjusted EBITDA of the Borrower and its Subsidiaries on a consolidated basis for the period of four consecutive fiscal quarters ended on such date (or, if such date is not the last day of a fiscal quarter, ended on the last day of the fiscal quarter most recently ended prior to such date).</w:t>
      </w:r>
    </w:p>
    <w:p>
      <w:pPr>
        <w:spacing w:after="0" w:line="185" w:lineRule="exact"/>
        <w:rPr>
          <w:sz w:val="20"/>
          <w:szCs w:val="20"/>
          <w:color w:val="auto"/>
        </w:rPr>
      </w:pPr>
    </w:p>
    <w:p>
      <w:pPr>
        <w:jc w:val="both"/>
        <w:ind w:left="740" w:right="20" w:firstLine="749"/>
        <w:spacing w:after="0" w:line="247"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Control</w:t>
      </w:r>
      <w:r>
        <w:rPr>
          <w:rFonts w:ascii="Times New Roman" w:cs="Times New Roman" w:eastAsia="Times New Roman" w:hAnsi="Times New Roman"/>
          <w:sz w:val="20"/>
          <w:szCs w:val="20"/>
          <w:color w:val="231F20"/>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231F20"/>
        </w:rPr>
        <w:t>Controlling</w:t>
      </w:r>
      <w:r>
        <w:rPr>
          <w:rFonts w:ascii="Times New Roman" w:cs="Times New Roman" w:eastAsia="Times New Roman" w:hAnsi="Times New Roman"/>
          <w:sz w:val="20"/>
          <w:szCs w:val="20"/>
          <w:color w:val="231F20"/>
        </w:rPr>
        <w:t>” and “</w:t>
      </w:r>
      <w:r>
        <w:rPr>
          <w:rFonts w:ascii="Times New Roman" w:cs="Times New Roman" w:eastAsia="Times New Roman" w:hAnsi="Times New Roman"/>
          <w:sz w:val="20"/>
          <w:szCs w:val="20"/>
          <w:u w:val="single" w:color="auto"/>
          <w:color w:val="231F20"/>
        </w:rPr>
        <w:t>Controlled</w:t>
      </w:r>
      <w:r>
        <w:rPr>
          <w:rFonts w:ascii="Times New Roman" w:cs="Times New Roman" w:eastAsia="Times New Roman" w:hAnsi="Times New Roman"/>
          <w:sz w:val="20"/>
          <w:szCs w:val="20"/>
          <w:color w:val="231F20"/>
        </w:rPr>
        <w:t>” have meanings correlative thereto.</w:t>
      </w:r>
    </w:p>
    <w:p>
      <w:pPr>
        <w:ind w:left="1480" w:right="60"/>
        <w:spacing w:after="0" w:line="23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Control Agreement</w:t>
      </w:r>
      <w:r>
        <w:rPr>
          <w:rFonts w:ascii="Times New Roman" w:cs="Times New Roman" w:eastAsia="Times New Roman" w:hAnsi="Times New Roman"/>
          <w:sz w:val="20"/>
          <w:szCs w:val="20"/>
          <w:color w:val="231F20"/>
        </w:rPr>
        <w:t>” has the meaning assigned to such term in the Security Agreement. “</w:t>
      </w:r>
      <w:r>
        <w:rPr>
          <w:rFonts w:ascii="Times New Roman" w:cs="Times New Roman" w:eastAsia="Times New Roman" w:hAnsi="Times New Roman"/>
          <w:sz w:val="20"/>
          <w:szCs w:val="20"/>
          <w:u w:val="single" w:color="auto"/>
          <w:color w:val="231F20"/>
        </w:rPr>
        <w:t>Convertible Debt</w:t>
      </w:r>
      <w:r>
        <w:rPr>
          <w:rFonts w:ascii="Times New Roman" w:cs="Times New Roman" w:eastAsia="Times New Roman" w:hAnsi="Times New Roman"/>
          <w:sz w:val="20"/>
          <w:szCs w:val="20"/>
          <w:color w:val="231F20"/>
        </w:rPr>
        <w:t>” means debt securities or other Indebtedness, the terms of which provide for</w:t>
      </w:r>
    </w:p>
    <w:p>
      <w:pPr>
        <w:spacing w:after="0" w:line="1" w:lineRule="exact"/>
        <w:rPr>
          <w:sz w:val="20"/>
          <w:szCs w:val="20"/>
          <w:color w:val="auto"/>
        </w:rPr>
      </w:pPr>
    </w:p>
    <w:p>
      <w:pPr>
        <w:jc w:val="both"/>
        <w:ind w:left="740"/>
        <w:spacing w:after="0" w:line="246" w:lineRule="auto"/>
        <w:rPr>
          <w:sz w:val="20"/>
          <w:szCs w:val="20"/>
          <w:color w:val="auto"/>
        </w:rPr>
      </w:pPr>
      <w:r>
        <w:rPr>
          <w:rFonts w:ascii="Times New Roman" w:cs="Times New Roman" w:eastAsia="Times New Roman" w:hAnsi="Times New Roman"/>
          <w:sz w:val="20"/>
          <w:szCs w:val="20"/>
          <w:color w:val="231F20"/>
        </w:rPr>
        <w:t>conversion into, or exchange for, Equity Interests (other than Disqualified Equity Interests) of the Borrower</w:t>
      </w:r>
      <w:r>
        <w:rPr>
          <w:rFonts w:ascii="Times New Roman" w:cs="Times New Roman" w:eastAsia="Times New Roman" w:hAnsi="Times New Roman"/>
          <w:sz w:val="20"/>
          <w:szCs w:val="20"/>
          <w:color w:val="ED1C24"/>
        </w:rPr>
        <w: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or</w:t>
      </w:r>
      <w:r>
        <w:rPr>
          <w:rFonts w:ascii="Times New Roman" w:cs="Times New Roman" w:eastAsia="Times New Roman" w:hAnsi="Times New Roman"/>
          <w:sz w:val="20"/>
          <w:szCs w:val="20"/>
          <w:color w:val="231F20"/>
        </w:rPr>
        <w:t xml:space="preserve"> cash in lieu </w:t>
      </w:r>
      <w:r>
        <w:rPr>
          <w:rFonts w:ascii="Times New Roman" w:cs="Times New Roman" w:eastAsia="Times New Roman" w:hAnsi="Times New Roman"/>
          <w:sz w:val="20"/>
          <w:szCs w:val="20"/>
          <w:color w:val="ED1C24"/>
          <w:strike w:val="1"/>
        </w:rPr>
        <w:t>thereof or a combination of such Equity Interests and cash</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i w:val="1"/>
          <w:iCs w:val="1"/>
          <w:color w:val="ED1C24"/>
          <w:strike w:val="1"/>
        </w:rPr>
        <w:t>in lieu</w:t>
      </w:r>
      <w:r>
        <w:rPr>
          <w:rFonts w:ascii="Times New Roman" w:cs="Times New Roman" w:eastAsia="Times New Roman" w:hAnsi="Times New Roman"/>
          <w:sz w:val="20"/>
          <w:szCs w:val="20"/>
          <w:u w:val="single" w:color="auto"/>
          <w:color w:val="2251A3"/>
        </w:rPr>
        <w:t>of fractional shares</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231F20"/>
        </w:rPr>
        <w:t>thereof.</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Corrected Financials Date</w:t>
      </w:r>
      <w:r>
        <w:rPr>
          <w:rFonts w:ascii="Times New Roman" w:cs="Times New Roman" w:eastAsia="Times New Roman" w:hAnsi="Times New Roman"/>
          <w:sz w:val="20"/>
          <w:szCs w:val="20"/>
          <w:color w:val="231F20"/>
        </w:rPr>
        <w:t>” has the meaning assigned to such term in the definition of “Applicable Rate”.</w:t>
      </w:r>
    </w:p>
    <w:p>
      <w:pPr>
        <w:spacing w:after="0" w:line="216" w:lineRule="exact"/>
        <w:rPr>
          <w:sz w:val="20"/>
          <w:szCs w:val="20"/>
          <w:color w:val="auto"/>
        </w:rPr>
      </w:pPr>
    </w:p>
    <w:p>
      <w:pPr>
        <w:jc w:val="both"/>
        <w:ind w:left="740" w:firstLine="749"/>
        <w:spacing w:after="0" w:line="274" w:lineRule="auto"/>
        <w:rPr>
          <w:sz w:val="20"/>
          <w:szCs w:val="20"/>
          <w:color w:val="auto"/>
        </w:rPr>
      </w:pP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u w:val="single" w:color="auto"/>
          <w:color w:val="231F20"/>
        </w:rPr>
        <w:t>Covered Entity</w:t>
      </w:r>
      <w:r>
        <w:rPr>
          <w:rFonts w:ascii="Times New Roman" w:cs="Times New Roman" w:eastAsia="Times New Roman" w:hAnsi="Times New Roman"/>
          <w:sz w:val="19"/>
          <w:szCs w:val="19"/>
          <w:color w:val="231F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56" w:lineRule="exact"/>
        <w:rPr>
          <w:sz w:val="20"/>
          <w:szCs w:val="20"/>
          <w:color w:val="auto"/>
        </w:rPr>
      </w:pPr>
    </w:p>
    <w:p>
      <w:pPr>
        <w:ind w:left="1480" w:right="1960"/>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Covered Liabilities</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9.19</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u w:val="single" w:color="auto"/>
          <w:color w:val="231F20"/>
        </w:rPr>
        <w:t>Covered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Party</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9.20</w:t>
      </w:r>
      <w:r>
        <w:rPr>
          <w:rFonts w:ascii="Times New Roman" w:cs="Times New Roman" w:eastAsia="Times New Roman" w:hAnsi="Times New Roman"/>
          <w:sz w:val="20"/>
          <w:szCs w:val="20"/>
          <w:color w:val="231F20"/>
        </w:rPr>
        <w:t>.</w:t>
      </w:r>
    </w:p>
    <w:p>
      <w:pPr>
        <w:spacing w:after="0" w:line="2" w:lineRule="exact"/>
        <w:rPr>
          <w:sz w:val="20"/>
          <w:szCs w:val="20"/>
          <w:color w:val="auto"/>
        </w:rPr>
      </w:pPr>
    </w:p>
    <w:p>
      <w:pPr>
        <w:jc w:val="both"/>
        <w:ind w:left="740" w:right="6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Credit Exposure</w:t>
      </w:r>
      <w:r>
        <w:rPr>
          <w:rFonts w:ascii="Times New Roman" w:cs="Times New Roman" w:eastAsia="Times New Roman" w:hAnsi="Times New Roman"/>
          <w:sz w:val="20"/>
          <w:szCs w:val="20"/>
          <w:color w:val="231F20"/>
        </w:rPr>
        <w:t>” means, with respect to any Lender at any time, the sum of the outstanding principal amount of such Lender’s Loans (including any Swingline Loans) and its LC Exposure at such time.</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Credit Party</w:t>
      </w:r>
      <w:r>
        <w:rPr>
          <w:rFonts w:ascii="Times New Roman" w:cs="Times New Roman" w:eastAsia="Times New Roman" w:hAnsi="Times New Roman"/>
          <w:sz w:val="20"/>
          <w:szCs w:val="20"/>
          <w:color w:val="231F20"/>
        </w:rPr>
        <w:t>” means the Administrative Agent, any Issuing Bank, any Swingline Lender or any</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31F20"/>
        </w:rPr>
        <w:t>Lender.</w:t>
      </w:r>
    </w:p>
    <w:p>
      <w:pPr>
        <w:spacing w:after="0" w:line="194"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Data Protection Laws</w:t>
      </w:r>
      <w:r>
        <w:rPr>
          <w:rFonts w:ascii="Times New Roman" w:cs="Times New Roman" w:eastAsia="Times New Roman" w:hAnsi="Times New Roman"/>
          <w:sz w:val="20"/>
          <w:szCs w:val="20"/>
          <w:color w:val="231F20"/>
        </w:rPr>
        <w:t>” shall mean any and all applicable national/federal or state/provincial data protection and privacy laws and regulations covering the processing of Personal Information, including but not limited to U.S. federal and state laws, the EU General Data Protection Regulation (“</w:t>
      </w:r>
      <w:r>
        <w:rPr>
          <w:rFonts w:ascii="Times New Roman" w:cs="Times New Roman" w:eastAsia="Times New Roman" w:hAnsi="Times New Roman"/>
          <w:sz w:val="20"/>
          <w:szCs w:val="20"/>
          <w:u w:val="single" w:color="auto"/>
          <w:color w:val="231F20"/>
        </w:rPr>
        <w:t>GDPR</w:t>
      </w:r>
      <w:r>
        <w:rPr>
          <w:rFonts w:ascii="Times New Roman" w:cs="Times New Roman" w:eastAsia="Times New Roman" w:hAnsi="Times New Roman"/>
          <w:sz w:val="20"/>
          <w:szCs w:val="20"/>
          <w:color w:val="231F20"/>
        </w:rPr>
        <w:t>”), any national implementing laws of the GDPR, and the e-Privacy Directive 2002/58/EC.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50" w:name="page151"/>
    <w:bookmarkEnd w:id="150"/>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Default</w:t>
      </w:r>
      <w:r>
        <w:rPr>
          <w:rFonts w:ascii="Times New Roman" w:cs="Times New Roman" w:eastAsia="Times New Roman" w:hAnsi="Times New Roman"/>
          <w:sz w:val="20"/>
          <w:szCs w:val="20"/>
          <w:color w:val="231F20"/>
        </w:rPr>
        <w:t>” means any event or condition which constitutes an Event of Default or which upon notice, lapse of time or both would, unless cured or waived, become an Event of Default.</w:t>
      </w:r>
    </w:p>
    <w:p>
      <w:pPr>
        <w:spacing w:after="0" w:line="159" w:lineRule="exact"/>
        <w:rPr>
          <w:sz w:val="20"/>
          <w:szCs w:val="20"/>
          <w:color w:val="auto"/>
        </w:rPr>
      </w:pPr>
    </w:p>
    <w:p>
      <w:pPr>
        <w:ind w:left="740" w:right="60" w:firstLine="747"/>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Default Right</w:t>
      </w:r>
      <w:r>
        <w:rPr>
          <w:rFonts w:ascii="Times New Roman" w:cs="Times New Roman" w:eastAsia="Times New Roman" w:hAnsi="Times New Roman"/>
          <w:sz w:val="20"/>
          <w:szCs w:val="20"/>
          <w:color w:val="231F20"/>
        </w:rPr>
        <w:t>” has the meaning assigned to such term in, and shall be interpreted in accordance with, 12 C.F.R. §§ 252.81, 47.2 or 382.1, as applicable.</w:t>
      </w:r>
    </w:p>
    <w:p>
      <w:pPr>
        <w:spacing w:after="0" w:line="159"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Defaulting Lender</w:t>
      </w:r>
      <w:r>
        <w:rPr>
          <w:rFonts w:ascii="Times New Roman" w:cs="Times New Roman" w:eastAsia="Times New Roman" w:hAnsi="Times New Roman"/>
          <w:sz w:val="20"/>
          <w:szCs w:val="20"/>
          <w:color w:val="231F20"/>
        </w:rPr>
        <w:t xml:space="preserve">” 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w:t>
      </w:r>
      <w:r>
        <w:rPr>
          <w:rFonts w:ascii="Times New Roman" w:cs="Times New Roman" w:eastAsia="Times New Roman" w:hAnsi="Times New Roman"/>
          <w:sz w:val="20"/>
          <w:szCs w:val="20"/>
          <w:u w:val="single" w:color="auto"/>
          <w:color w:val="231F20"/>
        </w:rPr>
        <w:t>clause (i)</w:t>
      </w:r>
      <w:r>
        <w:rPr>
          <w:rFonts w:ascii="Times New Roman" w:cs="Times New Roman" w:eastAsia="Times New Roman" w:hAnsi="Times New Roman"/>
          <w:sz w:val="20"/>
          <w:szCs w:val="20"/>
          <w:color w:val="231F20"/>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such Lender shall cease to be a Defaulting Lender pursuant to this </w:t>
      </w:r>
      <w:r>
        <w:rPr>
          <w:rFonts w:ascii="Times New Roman" w:cs="Times New Roman" w:eastAsia="Times New Roman" w:hAnsi="Times New Roman"/>
          <w:sz w:val="20"/>
          <w:szCs w:val="20"/>
          <w:u w:val="single" w:color="auto"/>
          <w:color w:val="231F20"/>
        </w:rPr>
        <w:t>clause (c)</w:t>
      </w:r>
      <w:r>
        <w:rPr>
          <w:rFonts w:ascii="Times New Roman" w:cs="Times New Roman" w:eastAsia="Times New Roman" w:hAnsi="Times New Roman"/>
          <w:sz w:val="20"/>
          <w:szCs w:val="20"/>
          <w:color w:val="231F20"/>
        </w:rPr>
        <w:t xml:space="preserve"> upon such Credit Party’s receipt of such certification in form and substance satisfactory to it and the Administrative Agent, (d) has become the subject of a Bankruptcy Event, or (e) has become (or whose direct or indirect parent company has become) subject to a Bail-In Action.</w:t>
      </w:r>
    </w:p>
    <w:p>
      <w:pPr>
        <w:spacing w:after="0" w:line="193"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Deferred Acquisition Consideration</w:t>
      </w:r>
      <w:r>
        <w:rPr>
          <w:rFonts w:ascii="Times New Roman" w:cs="Times New Roman" w:eastAsia="Times New Roman" w:hAnsi="Times New Roman"/>
          <w:sz w:val="20"/>
          <w:szCs w:val="20"/>
          <w:color w:val="231F20"/>
        </w:rPr>
        <w:t>” means any purchase price adjustments, royalty, earn-out, milestone payments, contingent or other deferred payments of a similar nature (including any non-compete payments and consulting payments) made in connection with any Permitted Acquisition or other Acquisition permitted under this Agreement.</w:t>
      </w:r>
    </w:p>
    <w:p>
      <w:pPr>
        <w:spacing w:after="0" w:line="174" w:lineRule="exact"/>
        <w:rPr>
          <w:sz w:val="20"/>
          <w:szCs w:val="20"/>
          <w:color w:val="auto"/>
        </w:rPr>
      </w:pPr>
    </w:p>
    <w:p>
      <w:pPr>
        <w:jc w:val="both"/>
        <w:ind w:left="740" w:right="60" w:firstLine="747"/>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Deferred Revenue</w:t>
      </w:r>
      <w:r>
        <w:rPr>
          <w:rFonts w:ascii="Times New Roman" w:cs="Times New Roman" w:eastAsia="Times New Roman" w:hAnsi="Times New Roman"/>
          <w:sz w:val="20"/>
          <w:szCs w:val="20"/>
          <w:color w:val="231F20"/>
        </w:rPr>
        <w:t>” means, with respect to the Borrower and its Domestic Subsidiaries on any date, all amounts received or invoiced in advance of performance under contracts and not yet recognized as revenue on such date.</w:t>
      </w:r>
    </w:p>
    <w:p>
      <w:pPr>
        <w:spacing w:after="0" w:line="159"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Department of the Treasury</w:t>
      </w:r>
      <w:r>
        <w:rPr>
          <w:rFonts w:ascii="Times New Roman" w:cs="Times New Roman" w:eastAsia="Times New Roman" w:hAnsi="Times New Roman"/>
          <w:sz w:val="20"/>
          <w:szCs w:val="20"/>
          <w:color w:val="231F20"/>
        </w:rPr>
        <w:t>” means the United States Department of the Treasury or any Governmental Authority succeeding to any or all of the functions of the United States Department of the Treasury.</w:t>
      </w:r>
    </w:p>
    <w:p>
      <w:pPr>
        <w:spacing w:after="0" w:line="159"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Disposition</w:t>
      </w:r>
      <w:r>
        <w:rPr>
          <w:rFonts w:ascii="Times New Roman" w:cs="Times New Roman" w:eastAsia="Times New Roman" w:hAnsi="Times New Roman"/>
          <w:sz w:val="20"/>
          <w:szCs w:val="20"/>
          <w:color w:val="231F20"/>
        </w:rPr>
        <w:t>” or “</w:t>
      </w:r>
      <w:r>
        <w:rPr>
          <w:rFonts w:ascii="Times New Roman" w:cs="Times New Roman" w:eastAsia="Times New Roman" w:hAnsi="Times New Roman"/>
          <w:sz w:val="20"/>
          <w:szCs w:val="20"/>
          <w:u w:val="single" w:color="auto"/>
          <w:color w:val="231F20"/>
        </w:rPr>
        <w:t>Dispose</w:t>
      </w:r>
      <w:r>
        <w:rPr>
          <w:rFonts w:ascii="Times New Roman" w:cs="Times New Roman" w:eastAsia="Times New Roman" w:hAnsi="Times New Roman"/>
          <w:sz w:val="20"/>
          <w:szCs w:val="20"/>
          <w:color w:val="231F20"/>
        </w:rPr>
        <w:t>” means the sale, transfer, license, lease or other disposition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74" w:lineRule="exact"/>
        <w:rPr>
          <w:sz w:val="20"/>
          <w:szCs w:val="20"/>
          <w:color w:val="auto"/>
        </w:rPr>
      </w:pPr>
    </w:p>
    <w:p>
      <w:pPr>
        <w:jc w:val="both"/>
        <w:ind w:left="740" w:right="40" w:firstLine="749"/>
        <w:spacing w:after="0" w:line="260" w:lineRule="auto"/>
        <w:rPr>
          <w:sz w:val="20"/>
          <w:szCs w:val="20"/>
          <w:color w:val="auto"/>
        </w:rPr>
      </w:pP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u w:val="single" w:color="auto"/>
          <w:color w:val="231F20"/>
        </w:rPr>
        <w:t>Disqualified Equity Interest</w:t>
      </w:r>
      <w:r>
        <w:rPr>
          <w:rFonts w:ascii="Times New Roman" w:cs="Times New Roman" w:eastAsia="Times New Roman" w:hAnsi="Times New Roman"/>
          <w:sz w:val="19"/>
          <w:szCs w:val="19"/>
          <w:color w:val="231F20"/>
        </w:rPr>
        <w:t>” means any Equity Interest that, by its terms (or by the terms of any security into which it is convertible or for which it is exchangeable) or upon the happening of any event, matures or is mandatorily redeemable for any consideration other than another Equity Interest (which would not constitute a Disqualified Equity Interest), pursuant to a sinking fund obligation or otherwise (except as a result of a change of control or asset sale so long as any rights of the holders thereof upon the occurrence of such change of control or asset sale event shall be subject to prior Payment in Full), or is convertible or exchangeable for Indebtedness or redeemable for any consideration other than any Equity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51" w:name="page152"/>
    <w:bookmarkEnd w:id="151"/>
    <w:p>
      <w:pPr>
        <w:jc w:val="both"/>
        <w:ind w:left="740" w:right="40"/>
        <w:spacing w:after="0" w:line="245" w:lineRule="auto"/>
        <w:rPr>
          <w:sz w:val="20"/>
          <w:szCs w:val="20"/>
          <w:color w:val="auto"/>
        </w:rPr>
      </w:pPr>
      <w:r>
        <w:rPr>
          <w:rFonts w:ascii="Times New Roman" w:cs="Times New Roman" w:eastAsia="Times New Roman" w:hAnsi="Times New Roman"/>
          <w:sz w:val="20"/>
          <w:szCs w:val="20"/>
          <w:color w:val="231F20"/>
        </w:rPr>
        <w:t>Interest (which would not constitute a Disqualified Equity Interest) at the option of the holder thereof, in whole or in part, on or prior to the date that is ninety-one (91) days after the Maturity Date; provided that if such Equity Interest is issued pursuant to any plan for the benefit of the Borrower or its Subsidiaries or their officers or employees, such Equity Interest shall not constitute a Disqualified Equity Interest solely because it may be required to be repurchased by the Borrower or any of its Subsidiaries in order to satisfy applicable statutory or regulatory obligations, or as a result of such employee’s or officer’s termination, death or disability.</w:t>
      </w:r>
    </w:p>
    <w:p>
      <w:pPr>
        <w:spacing w:after="0" w:line="1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Dividing Person</w:t>
      </w:r>
      <w:r>
        <w:rPr>
          <w:rFonts w:ascii="Times New Roman" w:cs="Times New Roman" w:eastAsia="Times New Roman" w:hAnsi="Times New Roman"/>
          <w:sz w:val="20"/>
          <w:szCs w:val="20"/>
          <w:color w:val="231F20"/>
        </w:rPr>
        <w:t>” has the meaning assigned to it in the definition of “Division.”</w:t>
      </w:r>
    </w:p>
    <w:p>
      <w:pPr>
        <w:spacing w:after="0" w:line="216"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Division</w:t>
      </w:r>
      <w:r>
        <w:rPr>
          <w:rFonts w:ascii="Times New Roman" w:cs="Times New Roman" w:eastAsia="Times New Roman" w:hAnsi="Times New Roman"/>
          <w:sz w:val="20"/>
          <w:szCs w:val="20"/>
          <w:color w:val="231F20"/>
        </w:rPr>
        <w:t>” means the division of the assets, liabilities and/or obligations of a Person (the “</w:t>
      </w:r>
      <w:r>
        <w:rPr>
          <w:rFonts w:ascii="Times New Roman" w:cs="Times New Roman" w:eastAsia="Times New Roman" w:hAnsi="Times New Roman"/>
          <w:sz w:val="20"/>
          <w:szCs w:val="20"/>
          <w:u w:val="single" w:color="auto"/>
          <w:color w:val="231F20"/>
        </w:rPr>
        <w:t>Dividing Person</w:t>
      </w:r>
      <w:r>
        <w:rPr>
          <w:rFonts w:ascii="Times New Roman" w:cs="Times New Roman" w:eastAsia="Times New Roman" w:hAnsi="Times New Roman"/>
          <w:sz w:val="20"/>
          <w:szCs w:val="20"/>
          <w:color w:val="231F20"/>
        </w:rPr>
        <w:t>”) among two or more Persons (whether pursuant to a “plan of division” or similar arrangement), which may or may not include the Dividing Person and pursuant to which the Dividing Person may or may not survive.</w:t>
      </w:r>
    </w:p>
    <w:p>
      <w:pPr>
        <w:spacing w:after="0" w:line="174" w:lineRule="exact"/>
        <w:rPr>
          <w:sz w:val="20"/>
          <w:szCs w:val="20"/>
          <w:color w:val="auto"/>
        </w:rPr>
      </w:pPr>
    </w:p>
    <w:p>
      <w:pPr>
        <w:jc w:val="both"/>
        <w:ind w:left="740" w:right="60" w:firstLine="747"/>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Division Successor</w:t>
      </w:r>
      <w:r>
        <w:rPr>
          <w:rFonts w:ascii="Times New Roman" w:cs="Times New Roman" w:eastAsia="Times New Roman" w:hAnsi="Times New Roman"/>
          <w:sz w:val="20"/>
          <w:szCs w:val="20"/>
          <w:color w:val="231F20"/>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Dollars</w:t>
      </w:r>
      <w:r>
        <w:rPr>
          <w:rFonts w:ascii="Times New Roman" w:cs="Times New Roman" w:eastAsia="Times New Roman" w:hAnsi="Times New Roman"/>
          <w:sz w:val="20"/>
          <w:szCs w:val="20"/>
          <w:color w:val="231F20"/>
        </w:rPr>
        <w:t>” or “</w:t>
      </w:r>
      <w:r>
        <w:rPr>
          <w:rFonts w:ascii="Times New Roman" w:cs="Times New Roman" w:eastAsia="Times New Roman" w:hAnsi="Times New Roman"/>
          <w:sz w:val="20"/>
          <w:szCs w:val="20"/>
          <w:u w:val="single" w:color="auto"/>
          <w:color w:val="231F20"/>
        </w:rPr>
        <w:t>$</w:t>
      </w:r>
      <w:r>
        <w:rPr>
          <w:rFonts w:ascii="Times New Roman" w:cs="Times New Roman" w:eastAsia="Times New Roman" w:hAnsi="Times New Roman"/>
          <w:sz w:val="20"/>
          <w:szCs w:val="20"/>
          <w:color w:val="231F20"/>
        </w:rPr>
        <w:t>” refers to lawful money of the United States of America.</w:t>
      </w:r>
    </w:p>
    <w:p>
      <w:pPr>
        <w:spacing w:after="0" w:line="216" w:lineRule="exact"/>
        <w:rPr>
          <w:sz w:val="20"/>
          <w:szCs w:val="20"/>
          <w:color w:val="auto"/>
        </w:rPr>
      </w:pPr>
    </w:p>
    <w:p>
      <w:pPr>
        <w:ind w:left="740" w:firstLine="747"/>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Domestic Cash Netting Cap</w:t>
      </w:r>
      <w:r>
        <w:rPr>
          <w:rFonts w:ascii="Times New Roman" w:cs="Times New Roman" w:eastAsia="Times New Roman" w:hAnsi="Times New Roman"/>
          <w:sz w:val="20"/>
          <w:szCs w:val="20"/>
          <w:color w:val="231F20"/>
        </w:rPr>
        <w:t>” means an amount equal to 50% of Consolidated Adjusted EBITDA for the most recently ended Reference Period.</w:t>
      </w:r>
    </w:p>
    <w:p>
      <w:pPr>
        <w:spacing w:after="0" w:line="159"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Domestic Subsidiary</w:t>
      </w:r>
      <w:r>
        <w:rPr>
          <w:rFonts w:ascii="Times New Roman" w:cs="Times New Roman" w:eastAsia="Times New Roman" w:hAnsi="Times New Roman"/>
          <w:sz w:val="20"/>
          <w:szCs w:val="20"/>
          <w:color w:val="231F20"/>
        </w:rPr>
        <w:t>” means any Subsidiary of the Borrower organized under the laws of any state of the United States of America or the District of Columbia or any entity disregarded for U.S. tax purposes that is wholly owned by the Borrower or a Domestic Subsidiary.</w:t>
      </w:r>
    </w:p>
    <w:p>
      <w:pPr>
        <w:spacing w:after="0" w:line="174" w:lineRule="exact"/>
        <w:rPr>
          <w:sz w:val="20"/>
          <w:szCs w:val="20"/>
          <w:color w:val="auto"/>
        </w:rPr>
      </w:pPr>
    </w:p>
    <w:p>
      <w:pPr>
        <w:jc w:val="both"/>
        <w:ind w:left="740" w:right="60" w:firstLine="747"/>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ECP</w:t>
      </w:r>
      <w:r>
        <w:rPr>
          <w:rFonts w:ascii="Times New Roman" w:cs="Times New Roman" w:eastAsia="Times New Roman" w:hAnsi="Times New Roman"/>
          <w:sz w:val="20"/>
          <w:szCs w:val="20"/>
          <w:color w:val="231F20"/>
        </w:rPr>
        <w:t>” means an “eligible contract participant” as defined in Section 1(a)(18) of the Commodity Exchange Act or any regulations promulgated thereunder and the applicable rules issued by the Commodity Futures Trading Commission and/or the SEC.</w:t>
      </w:r>
    </w:p>
    <w:p>
      <w:pPr>
        <w:spacing w:after="0" w:line="174"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EEA Financial Institution</w:t>
      </w:r>
      <w:r>
        <w:rPr>
          <w:rFonts w:ascii="Times New Roman" w:cs="Times New Roman" w:eastAsia="Times New Roman" w:hAnsi="Times New Roman"/>
          <w:sz w:val="20"/>
          <w:szCs w:val="20"/>
          <w:color w:val="231F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(b)</w:t>
      </w:r>
      <w:r>
        <w:rPr>
          <w:rFonts w:ascii="Times New Roman" w:cs="Times New Roman" w:eastAsia="Times New Roman" w:hAnsi="Times New Roman"/>
          <w:sz w:val="20"/>
          <w:szCs w:val="20"/>
          <w:color w:val="231F20"/>
        </w:rPr>
        <w:t xml:space="preserve"> of this definition and is subject to consolidated supervision with its parent.</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EEA Member Country</w:t>
      </w:r>
      <w:r>
        <w:rPr>
          <w:rFonts w:ascii="Times New Roman" w:cs="Times New Roman" w:eastAsia="Times New Roman" w:hAnsi="Times New Roman"/>
          <w:sz w:val="20"/>
          <w:szCs w:val="20"/>
          <w:color w:val="231F20"/>
        </w:rPr>
        <w:t>” means any of the member states of the European Union, Iceland, Liechtenstein and</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31F20"/>
        </w:rPr>
        <w:t>Norway.</w:t>
      </w:r>
    </w:p>
    <w:p>
      <w:pPr>
        <w:spacing w:after="0" w:line="194" w:lineRule="exact"/>
        <w:rPr>
          <w:sz w:val="20"/>
          <w:szCs w:val="20"/>
          <w:color w:val="auto"/>
        </w:rPr>
      </w:pPr>
    </w:p>
    <w:p>
      <w:pPr>
        <w:jc w:val="both"/>
        <w:ind w:left="740" w:right="60" w:firstLine="747"/>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EEA Resolution Authority</w:t>
      </w:r>
      <w:r>
        <w:rPr>
          <w:rFonts w:ascii="Times New Roman" w:cs="Times New Roman" w:eastAsia="Times New Roman" w:hAnsi="Times New Roman"/>
          <w:sz w:val="20"/>
          <w:szCs w:val="20"/>
          <w:color w:val="231F20"/>
        </w:rPr>
        <w:t>” means any public administrative authority or any person entrusted with public administrative authority of any EEA Member Country (including any delegee) having responsibility for the resolution of any EEA Financial Institution.</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Effective Date</w:t>
      </w:r>
      <w:r>
        <w:rPr>
          <w:rFonts w:ascii="Times New Roman" w:cs="Times New Roman" w:eastAsia="Times New Roman" w:hAnsi="Times New Roman"/>
          <w:sz w:val="20"/>
          <w:szCs w:val="20"/>
          <w:color w:val="231F20"/>
        </w:rPr>
        <w:t>” means February 23, 2024.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52" w:name="page153"/>
    <w:bookmarkEnd w:id="152"/>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Electronic Signature</w:t>
      </w:r>
      <w:r>
        <w:rPr>
          <w:rFonts w:ascii="Times New Roman" w:cs="Times New Roman" w:eastAsia="Times New Roman" w:hAnsi="Times New Roman"/>
          <w:sz w:val="20"/>
          <w:szCs w:val="20"/>
          <w:color w:val="231F20"/>
        </w:rPr>
        <w:t>” means an electronic sound, symbol, or process attached to, or associated with, a contract or other record and adopted by a Person with the intent to sign, authenticate or accept such contract or record.</w:t>
      </w:r>
    </w:p>
    <w:p>
      <w:pPr>
        <w:spacing w:after="0" w:line="159" w:lineRule="exact"/>
        <w:rPr>
          <w:sz w:val="20"/>
          <w:szCs w:val="20"/>
          <w:color w:val="auto"/>
        </w:rPr>
      </w:pPr>
    </w:p>
    <w:p>
      <w:pPr>
        <w:jc w:val="both"/>
        <w:ind w:left="740" w:right="40" w:firstLine="747"/>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Electronic System</w:t>
      </w:r>
      <w:r>
        <w:rPr>
          <w:rFonts w:ascii="Times New Roman" w:cs="Times New Roman" w:eastAsia="Times New Roman" w:hAnsi="Times New Roman"/>
          <w:sz w:val="20"/>
          <w:szCs w:val="20"/>
          <w:color w:val="231F20"/>
        </w:rPr>
        <w:t>” means any electronic system, including e-mail, e-fax, Intralinks</w:t>
      </w:r>
      <w:r>
        <w:rPr>
          <w:rFonts w:ascii="Times New Roman" w:cs="Times New Roman" w:eastAsia="Times New Roman" w:hAnsi="Times New Roman"/>
          <w:sz w:val="12"/>
          <w:szCs w:val="12"/>
          <w:color w:val="231F20"/>
        </w:rPr>
        <w:t>®</w:t>
      </w:r>
      <w:r>
        <w:rPr>
          <w:rFonts w:ascii="Times New Roman" w:cs="Times New Roman" w:eastAsia="Times New Roman" w:hAnsi="Times New Roman"/>
          <w:sz w:val="20"/>
          <w:szCs w:val="20"/>
          <w:color w:val="231F20"/>
        </w:rPr>
        <w:t>, ClearPar</w:t>
      </w:r>
      <w:r>
        <w:rPr>
          <w:rFonts w:ascii="Times New Roman" w:cs="Times New Roman" w:eastAsia="Times New Roman" w:hAnsi="Times New Roman"/>
          <w:sz w:val="12"/>
          <w:szCs w:val="12"/>
          <w:color w:val="231F20"/>
        </w:rPr>
        <w:t>®</w:t>
      </w:r>
      <w:r>
        <w:rPr>
          <w:rFonts w:ascii="Times New Roman" w:cs="Times New Roman" w:eastAsia="Times New Roman" w:hAnsi="Times New Roman"/>
          <w:sz w:val="20"/>
          <w:szCs w:val="20"/>
          <w:color w:val="231F20"/>
        </w:rPr>
        <w:t>, Debt Domain, Syndtrak and any other Internet or extranet-based site, whether such electronic system is owned, operated or hosted by the Administrative Agent and the Issuing Banks and any of its respective Related Parties or any other Person, providing for access to data protected by passcodes or other security system.</w:t>
      </w:r>
    </w:p>
    <w:p>
      <w:pPr>
        <w:spacing w:after="0" w:line="180"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Eligible Assignee</w:t>
      </w:r>
      <w:r>
        <w:rPr>
          <w:rFonts w:ascii="Times New Roman" w:cs="Times New Roman" w:eastAsia="Times New Roman" w:hAnsi="Times New Roman"/>
          <w:sz w:val="20"/>
          <w:szCs w:val="20"/>
          <w:color w:val="231F20"/>
        </w:rPr>
        <w:t xml:space="preserve">” means any Person that meets the requirements to be an assignee under </w:t>
      </w:r>
      <w:r>
        <w:rPr>
          <w:rFonts w:ascii="Times New Roman" w:cs="Times New Roman" w:eastAsia="Times New Roman" w:hAnsi="Times New Roman"/>
          <w:sz w:val="20"/>
          <w:szCs w:val="20"/>
          <w:u w:val="single" w:color="auto"/>
          <w:color w:val="231F20"/>
        </w:rPr>
        <w:t>Section 9.04(b)</w:t>
      </w:r>
      <w:r>
        <w:rPr>
          <w:rFonts w:ascii="Times New Roman" w:cs="Times New Roman" w:eastAsia="Times New Roman" w:hAnsi="Times New Roman"/>
          <w:sz w:val="20"/>
          <w:szCs w:val="20"/>
          <w:color w:val="231F20"/>
        </w:rPr>
        <w:t xml:space="preserve"> (subject to such consents, if any, as may be required thereunder).</w:t>
      </w:r>
    </w:p>
    <w:p>
      <w:pPr>
        <w:spacing w:after="0" w:line="159" w:lineRule="exact"/>
        <w:rPr>
          <w:sz w:val="20"/>
          <w:szCs w:val="20"/>
          <w:color w:val="auto"/>
        </w:rPr>
      </w:pPr>
    </w:p>
    <w:p>
      <w:pPr>
        <w:jc w:val="both"/>
        <w:ind w:left="740" w:right="60" w:firstLine="749"/>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Environmental Laws</w:t>
      </w:r>
      <w:r>
        <w:rPr>
          <w:rFonts w:ascii="Times New Roman" w:cs="Times New Roman" w:eastAsia="Times New Roman" w:hAnsi="Times New Roman"/>
          <w:sz w:val="20"/>
          <w:szCs w:val="20"/>
          <w:color w:val="231F20"/>
        </w:rPr>
        <w:t>” means all laws, rules, regulations, codes, ordinances, orders, decrees, judgments, injunctions, notices or binding agreements issued, promulgated, or entered into by any Governmental Authority, relating in any way to the environment, the preservation or reclamation of natural resources, the management, Release or threatened Release of any Hazardous Material or relating to employee health and safety matters.</w:t>
      </w:r>
    </w:p>
    <w:p>
      <w:pPr>
        <w:spacing w:after="0" w:line="180" w:lineRule="exact"/>
        <w:rPr>
          <w:sz w:val="20"/>
          <w:szCs w:val="20"/>
          <w:color w:val="auto"/>
        </w:rPr>
      </w:pPr>
    </w:p>
    <w:p>
      <w:pPr>
        <w:jc w:val="both"/>
        <w:ind w:left="740" w:firstLine="747"/>
        <w:spacing w:after="0" w:line="245"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Environmental Liability</w:t>
      </w:r>
      <w:r>
        <w:rPr>
          <w:rFonts w:ascii="Times New Roman" w:cs="Times New Roman" w:eastAsia="Times New Roman" w:hAnsi="Times New Roman"/>
          <w:sz w:val="20"/>
          <w:szCs w:val="20"/>
          <w:color w:val="231F20"/>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4" w:lineRule="exact"/>
        <w:rPr>
          <w:sz w:val="20"/>
          <w:szCs w:val="20"/>
          <w:color w:val="auto"/>
        </w:rPr>
      </w:pPr>
    </w:p>
    <w:p>
      <w:pPr>
        <w:jc w:val="both"/>
        <w:ind w:left="740" w:firstLine="747"/>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Equity Interests</w:t>
      </w:r>
      <w:r>
        <w:rPr>
          <w:rFonts w:ascii="Times New Roman" w:cs="Times New Roman" w:eastAsia="Times New Roman" w:hAnsi="Times New Roman"/>
          <w:sz w:val="20"/>
          <w:szCs w:val="20"/>
          <w:color w:val="231F20"/>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Indebtedness convertible for, or exchangeable into, any of the foregoing</w:t>
      </w:r>
      <w:r>
        <w:rPr>
          <w:rFonts w:ascii="Times New Roman" w:cs="Times New Roman" w:eastAsia="Times New Roman" w:hAnsi="Times New Roman"/>
          <w:sz w:val="20"/>
          <w:szCs w:val="20"/>
          <w:u w:val="single" w:color="auto"/>
          <w:color w:val="2251A3"/>
        </w:rPr>
        <w:t>; provided, that, for the avoidance of doubt, Equity Interests shall not include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Convertible Debt</w:t>
      </w:r>
      <w:r>
        <w:rPr>
          <w:rFonts w:ascii="Times New Roman" w:cs="Times New Roman" w:eastAsia="Times New Roman" w:hAnsi="Times New Roman"/>
          <w:sz w:val="20"/>
          <w:szCs w:val="20"/>
          <w:color w:val="231F20"/>
        </w:rPr>
        <w:t>.</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ERISA</w:t>
      </w:r>
      <w:r>
        <w:rPr>
          <w:rFonts w:ascii="Times New Roman" w:cs="Times New Roman" w:eastAsia="Times New Roman" w:hAnsi="Times New Roman"/>
          <w:sz w:val="20"/>
          <w:szCs w:val="20"/>
          <w:color w:val="231F20"/>
        </w:rPr>
        <w:t>” means the Employee Retirement Income Security Act of 1974, as amended from time</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31F20"/>
        </w:rPr>
        <w:t>to time.</w:t>
      </w:r>
    </w:p>
    <w:p>
      <w:pPr>
        <w:spacing w:after="0" w:line="194"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ERISA Affiliate</w:t>
      </w:r>
      <w:r>
        <w:rPr>
          <w:rFonts w:ascii="Times New Roman" w:cs="Times New Roman" w:eastAsia="Times New Roman" w:hAnsi="Times New Roman"/>
          <w:sz w:val="20"/>
          <w:szCs w:val="20"/>
          <w:color w:val="231F20"/>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74" w:lineRule="exact"/>
        <w:rPr>
          <w:sz w:val="20"/>
          <w:szCs w:val="20"/>
          <w:color w:val="auto"/>
        </w:rPr>
      </w:pPr>
    </w:p>
    <w:p>
      <w:pPr>
        <w:jc w:val="both"/>
        <w:ind w:left="740" w:right="40" w:firstLine="749"/>
        <w:spacing w:after="0" w:line="242"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ERISA Event</w:t>
      </w:r>
      <w:r>
        <w:rPr>
          <w:rFonts w:ascii="Times New Roman" w:cs="Times New Roman" w:eastAsia="Times New Roman" w:hAnsi="Times New Roman"/>
          <w:sz w:val="20"/>
          <w:szCs w:val="20"/>
          <w:color w:val="231F20"/>
        </w:rPr>
        <w:t>” means (a) any “reportable event”, as defined in Section 4043 of ERISA or the regulations issued thereunder with respect to a Plan (other than an event for which the 30 day notice period is waived); (b) the failure to make any “minimum required contribution” (as defined in Section 430(a) of the Code) with respect to any Plan, at the time and in the amount provided for in Section 430 of the Code;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(other than a standard termination to which Section 4041(b) of ERISA applies);</w:t>
      </w:r>
    </w:p>
    <w:p>
      <w:pPr>
        <w:spacing w:after="0" w:line="5" w:lineRule="exact"/>
        <w:rPr>
          <w:sz w:val="20"/>
          <w:szCs w:val="20"/>
          <w:color w:val="auto"/>
        </w:rPr>
      </w:pPr>
    </w:p>
    <w:p>
      <w:pPr>
        <w:jc w:val="both"/>
        <w:ind w:left="740" w:right="40" w:hanging="3"/>
        <w:spacing w:after="0" w:line="242" w:lineRule="auto"/>
        <w:tabs>
          <w:tab w:leader="none" w:pos="1027"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receipt by the Borrower or any ERISA Affiliate from the PBGC or a plan administrator of any notice relating to an intention to terminate any Plan or Plans in a distress termination described in Section 4041(c) of ERISA or to appoint a trustee to administer any Plan; (f) the incurrence by the Borrower or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53" w:name="page154"/>
    <w:bookmarkEnd w:id="153"/>
    <w:p>
      <w:pPr>
        <w:jc w:val="both"/>
        <w:ind w:left="740" w:right="40"/>
        <w:spacing w:after="0" w:line="249" w:lineRule="auto"/>
        <w:rPr>
          <w:sz w:val="20"/>
          <w:szCs w:val="20"/>
          <w:color w:val="auto"/>
        </w:rPr>
      </w:pPr>
      <w:r>
        <w:rPr>
          <w:rFonts w:ascii="Times New Roman" w:cs="Times New Roman" w:eastAsia="Times New Roman" w:hAnsi="Times New Roman"/>
          <w:sz w:val="20"/>
          <w:szCs w:val="20"/>
          <w:color w:val="231F20"/>
        </w:rPr>
        <w:t>any of its ERISA Affiliates of any liability with respect to the withdrawal or partial withdrawal from any Plan or Multiemployer Plan; or (g) the receipt by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Erroneous Payment</w:t>
      </w:r>
      <w:r>
        <w:rPr>
          <w:rFonts w:ascii="Times New Roman" w:cs="Times New Roman" w:eastAsia="Times New Roman" w:hAnsi="Times New Roman"/>
          <w:sz w:val="20"/>
          <w:szCs w:val="20"/>
          <w:color w:val="231F20"/>
        </w:rPr>
        <w:t xml:space="preserve">” has the meaning assigned to it in </w:t>
      </w:r>
      <w:r>
        <w:rPr>
          <w:rFonts w:ascii="Times New Roman" w:cs="Times New Roman" w:eastAsia="Times New Roman" w:hAnsi="Times New Roman"/>
          <w:sz w:val="20"/>
          <w:szCs w:val="20"/>
          <w:u w:val="single" w:color="auto"/>
          <w:color w:val="231F20"/>
        </w:rPr>
        <w:t>Section 8.10(a)</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ind w:left="1480" w:right="60"/>
        <w:spacing w:after="0" w:line="245"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Erroneous Payment Deficiency Assignmen</w:t>
      </w:r>
      <w:r>
        <w:rPr>
          <w:rFonts w:ascii="Times New Roman" w:cs="Times New Roman" w:eastAsia="Times New Roman" w:hAnsi="Times New Roman"/>
          <w:sz w:val="20"/>
          <w:szCs w:val="20"/>
          <w:color w:val="231F20"/>
        </w:rPr>
        <w:t xml:space="preserve">t” has the meaning assigned to it in </w:t>
      </w:r>
      <w:r>
        <w:rPr>
          <w:rFonts w:ascii="Times New Roman" w:cs="Times New Roman" w:eastAsia="Times New Roman" w:hAnsi="Times New Roman"/>
          <w:sz w:val="20"/>
          <w:szCs w:val="20"/>
          <w:u w:val="single" w:color="auto"/>
          <w:color w:val="231F20"/>
        </w:rPr>
        <w:t>Section 8.10(d)</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u w:val="single" w:color="auto"/>
          <w:color w:val="231F20"/>
        </w:rPr>
        <w:t>Erroneous Payment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Impacted Class</w:t>
      </w:r>
      <w:r>
        <w:rPr>
          <w:rFonts w:ascii="Times New Roman" w:cs="Times New Roman" w:eastAsia="Times New Roman" w:hAnsi="Times New Roman"/>
          <w:sz w:val="20"/>
          <w:szCs w:val="20"/>
          <w:color w:val="231F20"/>
        </w:rPr>
        <w:t xml:space="preserve">” has the meaning assigned to it in </w:t>
      </w:r>
      <w:r>
        <w:rPr>
          <w:rFonts w:ascii="Times New Roman" w:cs="Times New Roman" w:eastAsia="Times New Roman" w:hAnsi="Times New Roman"/>
          <w:sz w:val="20"/>
          <w:szCs w:val="20"/>
          <w:u w:val="single" w:color="auto"/>
          <w:color w:val="231F20"/>
        </w:rPr>
        <w:t>Section 8.10(d)</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u w:val="single" w:color="auto"/>
          <w:color w:val="231F20"/>
        </w:rPr>
        <w:t>Erroneous Payment Return Deficiency</w:t>
      </w:r>
      <w:r>
        <w:rPr>
          <w:rFonts w:ascii="Times New Roman" w:cs="Times New Roman" w:eastAsia="Times New Roman" w:hAnsi="Times New Roman"/>
          <w:sz w:val="20"/>
          <w:szCs w:val="20"/>
          <w:color w:val="231F20"/>
        </w:rPr>
        <w:t xml:space="preserve">” has the meaning assigned to it in </w:t>
      </w:r>
      <w:r>
        <w:rPr>
          <w:rFonts w:ascii="Times New Roman" w:cs="Times New Roman" w:eastAsia="Times New Roman" w:hAnsi="Times New Roman"/>
          <w:sz w:val="20"/>
          <w:szCs w:val="20"/>
          <w:u w:val="single" w:color="auto"/>
          <w:color w:val="231F20"/>
        </w:rPr>
        <w:t>Section 8.10(d)</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u w:val="single" w:color="auto"/>
          <w:color w:val="231F20"/>
        </w:rPr>
        <w:t>Erroneous Payment Subrogation Rights</w:t>
      </w:r>
      <w:r>
        <w:rPr>
          <w:rFonts w:ascii="Times New Roman" w:cs="Times New Roman" w:eastAsia="Times New Roman" w:hAnsi="Times New Roman"/>
          <w:sz w:val="20"/>
          <w:szCs w:val="20"/>
          <w:color w:val="231F20"/>
        </w:rPr>
        <w:t xml:space="preserve">” has the meaning assigned to it in </w:t>
      </w:r>
      <w:r>
        <w:rPr>
          <w:rFonts w:ascii="Times New Roman" w:cs="Times New Roman" w:eastAsia="Times New Roman" w:hAnsi="Times New Roman"/>
          <w:sz w:val="20"/>
          <w:szCs w:val="20"/>
          <w:u w:val="single" w:color="auto"/>
          <w:color w:val="231F20"/>
        </w:rPr>
        <w:t>Section 8.10(e)</w:t>
      </w:r>
      <w:r>
        <w:rPr>
          <w:rFonts w:ascii="Times New Roman" w:cs="Times New Roman" w:eastAsia="Times New Roman" w:hAnsi="Times New Roman"/>
          <w:sz w:val="20"/>
          <w:szCs w:val="20"/>
          <w:color w:val="231F20"/>
        </w:rPr>
        <w:t>.</w:t>
      </w:r>
    </w:p>
    <w:p>
      <w:pPr>
        <w:spacing w:after="0" w:line="20" w:lineRule="exact"/>
        <w:rPr>
          <w:sz w:val="20"/>
          <w:szCs w:val="20"/>
          <w:color w:val="auto"/>
        </w:rPr>
      </w:pPr>
    </w:p>
    <w:p>
      <w:pPr>
        <w:ind w:left="740" w:right="68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EU Bail-In Legislation Schedule</w:t>
      </w:r>
      <w:r>
        <w:rPr>
          <w:rFonts w:ascii="Times New Roman" w:cs="Times New Roman" w:eastAsia="Times New Roman" w:hAnsi="Times New Roman"/>
          <w:sz w:val="20"/>
          <w:szCs w:val="20"/>
          <w:color w:val="231F20"/>
        </w:rPr>
        <w:t>” means the EU Bail-In Legislation Schedule published by the Loan Market Association (or any successor person), as in effect from time to time.</w:t>
      </w:r>
    </w:p>
    <w:p>
      <w:pPr>
        <w:spacing w:after="0" w:line="182" w:lineRule="exact"/>
        <w:rPr>
          <w:sz w:val="20"/>
          <w:szCs w:val="20"/>
          <w:color w:val="auto"/>
        </w:rPr>
      </w:pPr>
    </w:p>
    <w:p>
      <w:pPr>
        <w:ind w:left="1480" w:right="1420"/>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Event of Default</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Article VII</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u w:val="single" w:color="auto"/>
          <w:color w:val="231F20"/>
        </w:rPr>
        <w:t>Excluded Person</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9.03(d)</w:t>
      </w:r>
      <w:r>
        <w:rPr>
          <w:rFonts w:ascii="Times New Roman" w:cs="Times New Roman" w:eastAsia="Times New Roman" w:hAnsi="Times New Roman"/>
          <w:sz w:val="20"/>
          <w:szCs w:val="20"/>
          <w:color w:val="231F20"/>
        </w:rPr>
        <w:t>.</w:t>
      </w:r>
    </w:p>
    <w:p>
      <w:pPr>
        <w:spacing w:after="0" w:line="2" w:lineRule="exact"/>
        <w:rPr>
          <w:sz w:val="20"/>
          <w:szCs w:val="20"/>
          <w:color w:val="auto"/>
        </w:rPr>
      </w:pPr>
    </w:p>
    <w:p>
      <w:pPr>
        <w:jc w:val="both"/>
        <w:ind w:left="740" w:firstLine="749"/>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Excluded Swap Obligation</w:t>
      </w:r>
      <w:r>
        <w:rPr>
          <w:rFonts w:ascii="Times New Roman" w:cs="Times New Roman" w:eastAsia="Times New Roman" w:hAnsi="Times New Roman"/>
          <w:sz w:val="20"/>
          <w:szCs w:val="20"/>
          <w:color w:val="231F20"/>
        </w:rPr>
        <w:t>” means, with respect to any Loan Guarantor, any Swap Obligation if, and to the extent that, all or a portion of the Guarantee of such Loan Guarantor of, or the grant by such Loan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ECP at the time the Guarantee of such Loan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0"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Excluded Taxes</w:t>
      </w:r>
      <w:r>
        <w:rPr>
          <w:rFonts w:ascii="Times New Roman" w:cs="Times New Roman" w:eastAsia="Times New Roman" w:hAnsi="Times New Roman"/>
          <w:sz w:val="20"/>
          <w:szCs w:val="20"/>
          <w:color w:val="231F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a resident of, being organized under the laws of, or having its principal office or, in the case of any Lender, its applicable lending office located in, the jurisdiction imposing such Taxes (or any political subdivision thereof) or (ii) that are Other Connection Taxes; (b) in the case of a Lender, U.S. federal withholding Taxes imposed on amounts payable to or for the account of such Lender with respect to an applicable interest in a Loan, Note, Letter of Credit, Commitment or other Loan Document pursuant to a law in effect on the date on which (i) such Lender acquires such interest in the Loan, Note, Letter of Credit, Commitment or other Loan Document (other than pursuant to an assignment request by the Borrower under </w:t>
      </w:r>
      <w:r>
        <w:rPr>
          <w:rFonts w:ascii="Times New Roman" w:cs="Times New Roman" w:eastAsia="Times New Roman" w:hAnsi="Times New Roman"/>
          <w:sz w:val="20"/>
          <w:szCs w:val="20"/>
          <w:u w:val="single" w:color="auto"/>
          <w:color w:val="231F20"/>
        </w:rPr>
        <w:t>Section 2.19(b)</w:t>
      </w:r>
      <w:r>
        <w:rPr>
          <w:rFonts w:ascii="Times New Roman" w:cs="Times New Roman" w:eastAsia="Times New Roman" w:hAnsi="Times New Roman"/>
          <w:sz w:val="20"/>
          <w:szCs w:val="20"/>
          <w:color w:val="231F20"/>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231F20"/>
        </w:rPr>
        <w:t>Section 2.17</w:t>
      </w:r>
      <w:r>
        <w:rPr>
          <w:rFonts w:ascii="Times New Roman" w:cs="Times New Roman" w:eastAsia="Times New Roman" w:hAnsi="Times New Roman"/>
          <w:sz w:val="20"/>
          <w:szCs w:val="20"/>
          <w:color w:val="231F20"/>
        </w:rPr>
        <w:t xml:space="preserve">, amounts with respect to such Taxes were payable either to such Lender’s assignor immediately before such Lender acquired the applicable interest in a Loan, Note, Letter of Credit, Commitment or other Loan Document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231F20"/>
        </w:rPr>
        <w:t>Section 2.17(f)</w:t>
      </w:r>
      <w:r>
        <w:rPr>
          <w:rFonts w:ascii="Times New Roman" w:cs="Times New Roman" w:eastAsia="Times New Roman" w:hAnsi="Times New Roman"/>
          <w:sz w:val="20"/>
          <w:szCs w:val="20"/>
          <w:color w:val="231F20"/>
        </w:rPr>
        <w:t>; and (d) any U.S. federal withholding Taxes imposed under FATCA.</w:t>
      </w:r>
    </w:p>
    <w:p>
      <w:pPr>
        <w:spacing w:after="0" w:line="196"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Existing Credit Agreement</w:t>
      </w:r>
      <w:r>
        <w:rPr>
          <w:rFonts w:ascii="Times New Roman" w:cs="Times New Roman" w:eastAsia="Times New Roman" w:hAnsi="Times New Roman"/>
          <w:sz w:val="20"/>
          <w:szCs w:val="20"/>
          <w:color w:val="231F20"/>
        </w:rPr>
        <w:t>” means that certain Credit Agreement, dated as of July 29, 2021, by and among the Borrower, the other Loan Parties party thereto and Citi, as administrative agent, as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54" w:name="page155"/>
    <w:bookmarkEnd w:id="154"/>
    <w:p>
      <w:pPr>
        <w:ind w:left="740"/>
        <w:spacing w:after="0"/>
        <w:rPr>
          <w:sz w:val="20"/>
          <w:szCs w:val="20"/>
          <w:color w:val="auto"/>
        </w:rPr>
      </w:pPr>
      <w:r>
        <w:rPr>
          <w:rFonts w:ascii="Times New Roman" w:cs="Times New Roman" w:eastAsia="Times New Roman" w:hAnsi="Times New Roman"/>
          <w:sz w:val="20"/>
          <w:szCs w:val="20"/>
          <w:color w:val="231F20"/>
        </w:rPr>
        <w:t>amended, restated, amended and restated, supplemented or otherwise modified from time to time prior to the Effective Date.</w:t>
      </w:r>
    </w:p>
    <w:p>
      <w:pPr>
        <w:spacing w:after="0" w:line="216" w:lineRule="exact"/>
        <w:rPr>
          <w:sz w:val="20"/>
          <w:szCs w:val="20"/>
          <w:color w:val="auto"/>
        </w:rPr>
      </w:pPr>
    </w:p>
    <w:p>
      <w:pPr>
        <w:jc w:val="both"/>
        <w:ind w:left="740" w:right="38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Extended Commitment</w:t>
      </w:r>
      <w:r>
        <w:rPr>
          <w:rFonts w:ascii="Times New Roman" w:cs="Times New Roman" w:eastAsia="Times New Roman" w:hAnsi="Times New Roman"/>
          <w:sz w:val="20"/>
          <w:szCs w:val="20"/>
          <w:color w:val="231F20"/>
        </w:rPr>
        <w:t xml:space="preserve">” means the Commitments, the maturity of which shall have been extended pursuant to </w:t>
      </w:r>
      <w:r>
        <w:rPr>
          <w:rFonts w:ascii="Times New Roman" w:cs="Times New Roman" w:eastAsia="Times New Roman" w:hAnsi="Times New Roman"/>
          <w:sz w:val="20"/>
          <w:szCs w:val="20"/>
          <w:u w:val="single" w:color="auto"/>
          <w:color w:val="231F20"/>
        </w:rPr>
        <w:t>Section 2.24</w:t>
      </w:r>
      <w:r>
        <w:rPr>
          <w:rFonts w:ascii="Times New Roman" w:cs="Times New Roman" w:eastAsia="Times New Roman" w:hAnsi="Times New Roman"/>
          <w:sz w:val="20"/>
          <w:szCs w:val="20"/>
          <w:color w:val="231F20"/>
        </w:rPr>
        <w:t>.</w:t>
      </w:r>
    </w:p>
    <w:p>
      <w:pPr>
        <w:spacing w:after="0" w:line="159" w:lineRule="exact"/>
        <w:rPr>
          <w:sz w:val="20"/>
          <w:szCs w:val="20"/>
          <w:color w:val="auto"/>
        </w:rPr>
      </w:pPr>
    </w:p>
    <w:p>
      <w:pPr>
        <w:ind w:left="1480" w:right="1680"/>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Extended Loans</w:t>
      </w:r>
      <w:r>
        <w:rPr>
          <w:rFonts w:ascii="Times New Roman" w:cs="Times New Roman" w:eastAsia="Times New Roman" w:hAnsi="Times New Roman"/>
          <w:sz w:val="20"/>
          <w:szCs w:val="20"/>
          <w:color w:val="231F20"/>
        </w:rPr>
        <w:t>” means any Loans made pursuant to the Extended Commitments. “</w:t>
      </w:r>
      <w:r>
        <w:rPr>
          <w:rFonts w:ascii="Times New Roman" w:cs="Times New Roman" w:eastAsia="Times New Roman" w:hAnsi="Times New Roman"/>
          <w:sz w:val="20"/>
          <w:szCs w:val="20"/>
          <w:u w:val="single" w:color="auto"/>
          <w:color w:val="231F20"/>
        </w:rPr>
        <w:t>Extension</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2.24(a)</w:t>
      </w:r>
      <w:r>
        <w:rPr>
          <w:rFonts w:ascii="Times New Roman" w:cs="Times New Roman" w:eastAsia="Times New Roman" w:hAnsi="Times New Roman"/>
          <w:sz w:val="20"/>
          <w:szCs w:val="20"/>
          <w:color w:val="231F20"/>
        </w:rPr>
        <w:t>.</w:t>
      </w:r>
    </w:p>
    <w:p>
      <w:pPr>
        <w:spacing w:after="0" w:line="2" w:lineRule="exact"/>
        <w:rPr>
          <w:sz w:val="20"/>
          <w:szCs w:val="20"/>
          <w:color w:val="auto"/>
        </w:rPr>
      </w:pPr>
    </w:p>
    <w:p>
      <w:pPr>
        <w:jc w:val="both"/>
        <w:ind w:left="740" w:right="360" w:firstLine="749"/>
        <w:spacing w:after="0" w:line="241"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Extension Amendment</w:t>
      </w:r>
      <w:r>
        <w:rPr>
          <w:rFonts w:ascii="Times New Roman" w:cs="Times New Roman" w:eastAsia="Times New Roman" w:hAnsi="Times New Roman"/>
          <w:sz w:val="20"/>
          <w:szCs w:val="20"/>
          <w:color w:val="231F20"/>
        </w:rPr>
        <w:t xml:space="preserve">” means an amendment to this Agreement (which may, at the option of the Administrative Agent and Borrower, be in the form of an amendment and restatement of this Agreement) among the Loan Parties, the applicable extending Lenders, the Administrative Agent and, to the extent required by </w:t>
      </w:r>
      <w:r>
        <w:rPr>
          <w:rFonts w:ascii="Times New Roman" w:cs="Times New Roman" w:eastAsia="Times New Roman" w:hAnsi="Times New Roman"/>
          <w:sz w:val="20"/>
          <w:szCs w:val="20"/>
          <w:u w:val="single" w:color="auto"/>
          <w:color w:val="231F20"/>
        </w:rPr>
        <w:t>Section 2.24</w:t>
      </w:r>
      <w:r>
        <w:rPr>
          <w:rFonts w:ascii="Times New Roman" w:cs="Times New Roman" w:eastAsia="Times New Roman" w:hAnsi="Times New Roman"/>
          <w:sz w:val="20"/>
          <w:szCs w:val="20"/>
          <w:color w:val="231F20"/>
        </w:rPr>
        <w:t xml:space="preserve">, the Issuing Bank implementing an Extension in accordance with </w:t>
      </w:r>
      <w:r>
        <w:rPr>
          <w:rFonts w:ascii="Times New Roman" w:cs="Times New Roman" w:eastAsia="Times New Roman" w:hAnsi="Times New Roman"/>
          <w:sz w:val="20"/>
          <w:szCs w:val="20"/>
          <w:u w:val="single" w:color="auto"/>
          <w:color w:val="231F20"/>
        </w:rPr>
        <w:t>Section 2.24</w:t>
      </w:r>
      <w:r>
        <w:rPr>
          <w:rFonts w:ascii="Times New Roman" w:cs="Times New Roman" w:eastAsia="Times New Roman" w:hAnsi="Times New Roman"/>
          <w:sz w:val="20"/>
          <w:szCs w:val="20"/>
          <w:color w:val="231F20"/>
        </w:rPr>
        <w:t>.</w:t>
      </w:r>
    </w:p>
    <w:p>
      <w:pPr>
        <w:spacing w:after="0" w:line="1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Extension Offer</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2.24(a)</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360" w:firstLine="749"/>
        <w:spacing w:after="0" w:line="245"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FATCA</w:t>
      </w:r>
      <w:r>
        <w:rPr>
          <w:rFonts w:ascii="Times New Roman" w:cs="Times New Roman" w:eastAsia="Times New Roman" w:hAnsi="Times New Roman"/>
          <w:sz w:val="20"/>
          <w:szCs w:val="20"/>
          <w:color w:val="231F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any intergovernmental agreements entered into in connection with the implementation of such sections of the Code and any fiscal or regulatory legislation, rules or official practices adopted pursuant to such intergovernmental agreement or pursuant to any treaty or convention among Governmental Authorities and implementing such Sections of the Code.</w:t>
      </w:r>
    </w:p>
    <w:p>
      <w:pPr>
        <w:spacing w:after="0" w:line="184" w:lineRule="exact"/>
        <w:rPr>
          <w:sz w:val="20"/>
          <w:szCs w:val="20"/>
          <w:color w:val="auto"/>
        </w:rPr>
      </w:pPr>
    </w:p>
    <w:p>
      <w:pPr>
        <w:jc w:val="both"/>
        <w:ind w:left="740" w:right="38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FDIC</w:t>
      </w:r>
      <w:r>
        <w:rPr>
          <w:rFonts w:ascii="Times New Roman" w:cs="Times New Roman" w:eastAsia="Times New Roman" w:hAnsi="Times New Roman"/>
          <w:sz w:val="20"/>
          <w:szCs w:val="20"/>
          <w:color w:val="231F20"/>
        </w:rPr>
        <w:t>” means the Federal Deposit Insurance Corporation or any Governmental Authority succeeding to any or all of the functions of the Federal Deposit Insurance Corporation.</w:t>
      </w:r>
    </w:p>
    <w:p>
      <w:pPr>
        <w:spacing w:after="0" w:line="159" w:lineRule="exact"/>
        <w:rPr>
          <w:sz w:val="20"/>
          <w:szCs w:val="20"/>
          <w:color w:val="auto"/>
        </w:rPr>
      </w:pPr>
    </w:p>
    <w:p>
      <w:pPr>
        <w:jc w:val="both"/>
        <w:ind w:left="740" w:right="360" w:firstLine="749"/>
        <w:spacing w:after="0" w:line="245"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Federal Funds Effective Rate</w:t>
      </w:r>
      <w:r>
        <w:rPr>
          <w:rFonts w:ascii="Times New Roman" w:cs="Times New Roman" w:eastAsia="Times New Roman" w:hAnsi="Times New Roman"/>
          <w:sz w:val="20"/>
          <w:szCs w:val="20"/>
          <w:color w:val="231F20"/>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(3) Federal funds brokers of recognized standing selected by it.</w:t>
      </w:r>
    </w:p>
    <w:p>
      <w:pPr>
        <w:spacing w:after="0" w:line="184" w:lineRule="exact"/>
        <w:rPr>
          <w:sz w:val="20"/>
          <w:szCs w:val="20"/>
          <w:color w:val="auto"/>
        </w:rPr>
      </w:pPr>
    </w:p>
    <w:p>
      <w:pPr>
        <w:jc w:val="both"/>
        <w:ind w:left="740" w:right="38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Fee Letter</w:t>
      </w:r>
      <w:r>
        <w:rPr>
          <w:rFonts w:ascii="Times New Roman" w:cs="Times New Roman" w:eastAsia="Times New Roman" w:hAnsi="Times New Roman"/>
          <w:sz w:val="20"/>
          <w:szCs w:val="20"/>
          <w:color w:val="231F20"/>
        </w:rPr>
        <w:t>” means that certain Fee Letter, dated as of January 19, 2024, by and between the Borrower and Citi, as the same may be amended, restated, amended and restated, supplemented or otherwise modified from time to time.</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Financial Covenants</w:t>
      </w:r>
      <w:r>
        <w:rPr>
          <w:rFonts w:ascii="Times New Roman" w:cs="Times New Roman" w:eastAsia="Times New Roman" w:hAnsi="Times New Roman"/>
          <w:sz w:val="20"/>
          <w:szCs w:val="20"/>
          <w:color w:val="231F20"/>
        </w:rPr>
        <w:t xml:space="preserve">” means the covenants set forth in </w:t>
      </w:r>
      <w:r>
        <w:rPr>
          <w:rFonts w:ascii="Times New Roman" w:cs="Times New Roman" w:eastAsia="Times New Roman" w:hAnsi="Times New Roman"/>
          <w:sz w:val="20"/>
          <w:szCs w:val="20"/>
          <w:u w:val="single" w:color="auto"/>
          <w:color w:val="231F20"/>
        </w:rPr>
        <w:t>Section 6.11</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38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Financial Officer</w:t>
      </w:r>
      <w:r>
        <w:rPr>
          <w:rFonts w:ascii="Times New Roman" w:cs="Times New Roman" w:eastAsia="Times New Roman" w:hAnsi="Times New Roman"/>
          <w:sz w:val="20"/>
          <w:szCs w:val="20"/>
          <w:color w:val="231F20"/>
        </w:rPr>
        <w:t>” means the chief financial officer, president, principal accounting officer, treasurer, controller or officer of equivalent duties of the Borrower.</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u w:val="single" w:color="auto"/>
          <w:color w:val="2251A3"/>
        </w:rPr>
        <w:t>“First Amendment Effective Date” means August 1, 2025.</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Foreign Lender</w:t>
      </w:r>
      <w:r>
        <w:rPr>
          <w:rFonts w:ascii="Times New Roman" w:cs="Times New Roman" w:eastAsia="Times New Roman" w:hAnsi="Times New Roman"/>
          <w:sz w:val="20"/>
          <w:szCs w:val="20"/>
          <w:color w:val="231F20"/>
        </w:rPr>
        <w:t>” means any Lender that is not a “United States person” as defined in Section 7701(a)(30) of the Code.</w:t>
      </w:r>
    </w:p>
    <w:p>
      <w:pPr>
        <w:spacing w:after="0" w:line="216" w:lineRule="exact"/>
        <w:rPr>
          <w:sz w:val="20"/>
          <w:szCs w:val="20"/>
          <w:color w:val="auto"/>
        </w:rPr>
      </w:pPr>
    </w:p>
    <w:p>
      <w:pPr>
        <w:ind w:left="74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Foreign Pension Plan</w:t>
      </w:r>
      <w:r>
        <w:rPr>
          <w:rFonts w:ascii="Times New Roman" w:cs="Times New Roman" w:eastAsia="Times New Roman" w:hAnsi="Times New Roman"/>
          <w:sz w:val="20"/>
          <w:szCs w:val="20"/>
          <w:color w:val="231F20"/>
        </w:rPr>
        <w:t>” means any plan, fund (including any superannuation fund) or other similar program established or maintained outside the United States by the Borrower or any one or more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291" w:right="399" w:bottom="1440" w:gutter="0" w:footer="0" w:header="0"/>
        </w:sectPr>
      </w:pPr>
    </w:p>
    <w:bookmarkStart w:id="155" w:name="page156"/>
    <w:bookmarkEnd w:id="155"/>
    <w:p>
      <w:pPr>
        <w:jc w:val="both"/>
        <w:ind w:left="740" w:right="60"/>
        <w:spacing w:after="0" w:line="245" w:lineRule="auto"/>
        <w:rPr>
          <w:sz w:val="20"/>
          <w:szCs w:val="20"/>
          <w:color w:val="auto"/>
        </w:rPr>
      </w:pPr>
      <w:r>
        <w:rPr>
          <w:rFonts w:ascii="Times New Roman" w:cs="Times New Roman" w:eastAsia="Times New Roman" w:hAnsi="Times New Roman"/>
          <w:sz w:val="20"/>
          <w:szCs w:val="20"/>
          <w:color w:val="231F20"/>
        </w:rPr>
        <w:t>of its Subsidiaries primarily for the benefit of employees of the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 w:lineRule="exact"/>
        <w:rPr>
          <w:sz w:val="20"/>
          <w:szCs w:val="20"/>
          <w:color w:val="auto"/>
        </w:rPr>
      </w:pPr>
    </w:p>
    <w:p>
      <w:pPr>
        <w:ind w:left="1480" w:right="60"/>
        <w:spacing w:after="0" w:line="23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Foreign Subsidiary</w:t>
      </w:r>
      <w:r>
        <w:rPr>
          <w:rFonts w:ascii="Times New Roman" w:cs="Times New Roman" w:eastAsia="Times New Roman" w:hAnsi="Times New Roman"/>
          <w:sz w:val="20"/>
          <w:szCs w:val="20"/>
          <w:color w:val="231F20"/>
        </w:rPr>
        <w:t>” means any Subsidiary of the Borrower that is not a Domestic Subsidiary. “</w:t>
      </w:r>
      <w:r>
        <w:rPr>
          <w:rFonts w:ascii="Times New Roman" w:cs="Times New Roman" w:eastAsia="Times New Roman" w:hAnsi="Times New Roman"/>
          <w:sz w:val="20"/>
          <w:szCs w:val="20"/>
          <w:u w:val="single" w:color="auto"/>
          <w:color w:val="231F20"/>
        </w:rPr>
        <w:t>Foreign Subsidiary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Holding Company</w:t>
      </w:r>
      <w:r>
        <w:rPr>
          <w:rFonts w:ascii="Times New Roman" w:cs="Times New Roman" w:eastAsia="Times New Roman" w:hAnsi="Times New Roman"/>
          <w:sz w:val="20"/>
          <w:szCs w:val="20"/>
          <w:color w:val="231F20"/>
        </w:rPr>
        <w:t>” means any Domestic Subsidiary that owns no material</w:t>
      </w:r>
    </w:p>
    <w:p>
      <w:pPr>
        <w:spacing w:after="0" w:line="1" w:lineRule="exact"/>
        <w:rPr>
          <w:sz w:val="20"/>
          <w:szCs w:val="20"/>
          <w:color w:val="auto"/>
        </w:rPr>
      </w:pPr>
    </w:p>
    <w:p>
      <w:pPr>
        <w:jc w:val="both"/>
        <w:ind w:left="740"/>
        <w:spacing w:after="0" w:line="242" w:lineRule="auto"/>
        <w:rPr>
          <w:sz w:val="20"/>
          <w:szCs w:val="20"/>
          <w:color w:val="auto"/>
        </w:rPr>
      </w:pPr>
      <w:r>
        <w:rPr>
          <w:rFonts w:ascii="Times New Roman" w:cs="Times New Roman" w:eastAsia="Times New Roman" w:hAnsi="Times New Roman"/>
          <w:sz w:val="20"/>
          <w:szCs w:val="20"/>
          <w:color w:val="231F20"/>
        </w:rPr>
        <w:t>assets (whether held directly or through one or more entities disregarded for U.S. federal income tax purposes) other than capital stock (including any debt instrument treated as equity for U.S. federal income tax purposes) of one or more Foreign Subsidiaries that are CFCs and engages in no material activities other than the ownership of such capital stock.</w:t>
      </w:r>
    </w:p>
    <w:p>
      <w:pPr>
        <w:spacing w:after="0" w:line="187" w:lineRule="exact"/>
        <w:rPr>
          <w:sz w:val="20"/>
          <w:szCs w:val="20"/>
          <w:color w:val="auto"/>
        </w:rPr>
      </w:pPr>
    </w:p>
    <w:p>
      <w:pPr>
        <w:jc w:val="both"/>
        <w:ind w:left="740" w:right="60" w:firstLine="749"/>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FTC</w:t>
      </w:r>
      <w:r>
        <w:rPr>
          <w:rFonts w:ascii="Times New Roman" w:cs="Times New Roman" w:eastAsia="Times New Roman" w:hAnsi="Times New Roman"/>
          <w:sz w:val="20"/>
          <w:szCs w:val="20"/>
          <w:color w:val="231F20"/>
        </w:rPr>
        <w:t>” means the Federal Trade Commission or any Governmental Authority succeeding to any or all of the functions of the Federal Trade Commission.</w:t>
      </w:r>
    </w:p>
    <w:p>
      <w:pPr>
        <w:spacing w:after="0" w:line="2" w:lineRule="exact"/>
        <w:rPr>
          <w:sz w:val="20"/>
          <w:szCs w:val="20"/>
          <w:color w:val="auto"/>
        </w:rPr>
      </w:pPr>
    </w:p>
    <w:p>
      <w:pPr>
        <w:ind w:left="1480" w:right="60"/>
        <w:spacing w:after="0" w:line="243"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GAAP</w:t>
      </w:r>
      <w:r>
        <w:rPr>
          <w:rFonts w:ascii="Times New Roman" w:cs="Times New Roman" w:eastAsia="Times New Roman" w:hAnsi="Times New Roman"/>
          <w:sz w:val="20"/>
          <w:szCs w:val="20"/>
          <w:color w:val="231F20"/>
        </w:rPr>
        <w:t>” means generally accepted accounting principles in the United States of America. “</w:t>
      </w:r>
      <w:r>
        <w:rPr>
          <w:rFonts w:ascii="Times New Roman" w:cs="Times New Roman" w:eastAsia="Times New Roman" w:hAnsi="Times New Roman"/>
          <w:sz w:val="20"/>
          <w:szCs w:val="20"/>
          <w:u w:val="single" w:color="auto"/>
          <w:color w:val="231F20"/>
        </w:rPr>
        <w:t>Governmental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Authority</w:t>
      </w:r>
      <w:r>
        <w:rPr>
          <w:rFonts w:ascii="Times New Roman" w:cs="Times New Roman" w:eastAsia="Times New Roman" w:hAnsi="Times New Roman"/>
          <w:sz w:val="20"/>
          <w:szCs w:val="20"/>
          <w:color w:val="231F20"/>
        </w:rPr>
        <w:t>” means the government of the United States of America, any other</w:t>
      </w:r>
    </w:p>
    <w:p>
      <w:pPr>
        <w:jc w:val="both"/>
        <w:ind w:left="740" w:right="40"/>
        <w:spacing w:after="0" w:line="246" w:lineRule="auto"/>
        <w:rPr>
          <w:sz w:val="20"/>
          <w:szCs w:val="20"/>
          <w:color w:val="auto"/>
        </w:rPr>
      </w:pPr>
      <w:r>
        <w:rPr>
          <w:rFonts w:ascii="Times New Roman" w:cs="Times New Roman" w:eastAsia="Times New Roman" w:hAnsi="Times New Roman"/>
          <w:sz w:val="20"/>
          <w:szCs w:val="20"/>
          <w:color w:val="231F20"/>
        </w:rPr>
        <w:t>nation or any political subdivision of any of the foregoing, whether state or local, and any agency, authority, instrumentality, regulatory or self-regulatory body, court, central bank or other entity exercising executive, legislative, judicial, taxing, regulatory or administrative powers or functions of or pertaining to government.</w:t>
      </w:r>
    </w:p>
    <w:p>
      <w:pPr>
        <w:spacing w:after="0" w:line="182"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Guarantee</w:t>
      </w:r>
      <w:r>
        <w:rPr>
          <w:rFonts w:ascii="Times New Roman" w:cs="Times New Roman" w:eastAsia="Times New Roman" w:hAnsi="Times New Roman"/>
          <w:sz w:val="20"/>
          <w:szCs w:val="20"/>
          <w:color w:val="231F20"/>
        </w:rPr>
        <w:t>” of or by any Person (the “</w:t>
      </w:r>
      <w:r>
        <w:rPr>
          <w:rFonts w:ascii="Times New Roman" w:cs="Times New Roman" w:eastAsia="Times New Roman" w:hAnsi="Times New Roman"/>
          <w:sz w:val="20"/>
          <w:szCs w:val="20"/>
          <w:u w:val="single" w:color="auto"/>
          <w:color w:val="231F20"/>
        </w:rPr>
        <w:t>guarantor</w:t>
      </w:r>
      <w:r>
        <w:rPr>
          <w:rFonts w:ascii="Times New Roman" w:cs="Times New Roman" w:eastAsia="Times New Roman" w:hAnsi="Times New Roman"/>
          <w:sz w:val="20"/>
          <w:szCs w:val="20"/>
          <w:color w:val="231F20"/>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231F20"/>
        </w:rPr>
        <w:t>primary obligor</w:t>
      </w:r>
      <w:r>
        <w:rPr>
          <w:rFonts w:ascii="Times New Roman" w:cs="Times New Roman" w:eastAsia="Times New Roman" w:hAnsi="Times New Roman"/>
          <w:sz w:val="20"/>
          <w:szCs w:val="20"/>
          <w:color w:val="231F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the term Guarantee shall not include endorsements for collection or deposit in the ordinary course of business.</w:t>
      </w:r>
    </w:p>
    <w:p>
      <w:pPr>
        <w:spacing w:after="0" w:line="192" w:lineRule="exact"/>
        <w:rPr>
          <w:sz w:val="20"/>
          <w:szCs w:val="20"/>
          <w:color w:val="auto"/>
        </w:rPr>
      </w:pPr>
    </w:p>
    <w:p>
      <w:pPr>
        <w:ind w:left="1480" w:right="1420"/>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Guaranteed Obligations</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10.01</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u w:val="single" w:color="auto"/>
          <w:color w:val="231F20"/>
        </w:rPr>
        <w:t>Guarantor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Payment</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10.11</w:t>
      </w:r>
      <w:r>
        <w:rPr>
          <w:rFonts w:ascii="Times New Roman" w:cs="Times New Roman" w:eastAsia="Times New Roman" w:hAnsi="Times New Roman"/>
          <w:sz w:val="20"/>
          <w:szCs w:val="20"/>
          <w:color w:val="231F20"/>
        </w:rPr>
        <w:t>.</w:t>
      </w:r>
    </w:p>
    <w:p>
      <w:pPr>
        <w:spacing w:after="0" w:line="2" w:lineRule="exact"/>
        <w:rPr>
          <w:sz w:val="20"/>
          <w:szCs w:val="20"/>
          <w:color w:val="auto"/>
        </w:rPr>
      </w:pPr>
    </w:p>
    <w:p>
      <w:pPr>
        <w:jc w:val="both"/>
        <w:ind w:left="740" w:right="40" w:firstLine="749"/>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Hazardous Materials</w:t>
      </w:r>
      <w:r>
        <w:rPr>
          <w:rFonts w:ascii="Times New Roman" w:cs="Times New Roman" w:eastAsia="Times New Roman" w:hAnsi="Times New Roman"/>
          <w:sz w:val="20"/>
          <w:szCs w:val="20"/>
          <w:color w:val="231F20"/>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56" w:name="page157"/>
    <w:bookmarkEnd w:id="156"/>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Immaterial Subsidiary</w:t>
      </w:r>
      <w:r>
        <w:rPr>
          <w:rFonts w:ascii="Times New Roman" w:cs="Times New Roman" w:eastAsia="Times New Roman" w:hAnsi="Times New Roman"/>
          <w:sz w:val="20"/>
          <w:szCs w:val="20"/>
          <w:color w:val="231F20"/>
        </w:rPr>
        <w:t>” means any Subsidiary of the Borrower that, as of the date of determination, does not have</w:t>
      </w:r>
    </w:p>
    <w:p>
      <w:pPr>
        <w:spacing w:after="0" w:line="22" w:lineRule="exact"/>
        <w:rPr>
          <w:sz w:val="20"/>
          <w:szCs w:val="20"/>
          <w:color w:val="auto"/>
        </w:rPr>
      </w:pPr>
    </w:p>
    <w:p>
      <w:pPr>
        <w:jc w:val="both"/>
        <w:ind w:left="740" w:right="20" w:hanging="5"/>
        <w:spacing w:after="0"/>
        <w:tabs>
          <w:tab w:leader="none" w:pos="1012"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 total assets in excess of 7.50% of the Borrower’s Consolidated Total Assets or (ii) revenues for the applicable Reference Period in excess of 7.50% of consolidated revenues of the Borrower for the applicable Reference Period (provided, that if, as of the last day of or for any such Reference Period, the total assets or revenues of all Subsidiaries that under clause (i) and (ii) above would constitute Immaterial Subsidiaries shall have exceeded 10.00% of Consolidated Total Assets or revenues, as the case may be, of the Borrower and its Subsidiaries for the applicable Reference Period in the aggregate, then one or more of such Subsidiaries shall for all purposes of the Loan Documents be deemed to no longer constitute Immaterial Subsidiaries in descending order based on the amounts (determined on a consolidated basis for such Subsidiary and its Subsidiaries) of their total assets or revenues, as the case may be, until such excess shall have been eliminated), (b) Equity Interests of any Subsidiary that is not an Immaterial Subsidiary and (c) material intellectual property; provided that (x) no Subsidiary shall constitute an Immaterial Subsidiary until, and for so long as, the Borrower shall have designated such Subsidiary’s status as such in writing to the Administrative Agent and (y) the Borrower shall designate as such in writing to the Administrative Agent any Subsidiary that no longer constitutes an Immaterial Subsidiary.</w:t>
      </w:r>
    </w:p>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Increasing Lender</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2.22(a)(i)</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40" w:firstLine="749"/>
        <w:spacing w:after="0" w:line="241"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Indebtedness</w:t>
      </w:r>
      <w:r>
        <w:rPr>
          <w:rFonts w:ascii="Times New Roman" w:cs="Times New Roman" w:eastAsia="Times New Roman" w:hAnsi="Times New Roman"/>
          <w:sz w:val="20"/>
          <w:szCs w:val="20"/>
          <w:color w:val="231F20"/>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(i) accounts payable, accrued interest or other liabilities to trade creditors (including funds payable, amounts due to sellers and any amounts relating to the processing of payments on the Borrower’s and its Subsidiaries’ payments platform and any intercompany accounts payable in connection therewith) incurred in the ordinary course of business, (ii) Deferred Revenue, (iii) deferred compensation and severance, pension, health and welfare retirement and equivalent benefits to current or former employees, directors or managers of such Person and its Subsidiaries, and (iv) any Deferred Acquisition Consideration),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(j) any other Off-Balance Sheet Liability,</w:t>
      </w:r>
    </w:p>
    <w:p>
      <w:pPr>
        <w:jc w:val="both"/>
        <w:ind w:left="740" w:hanging="3"/>
        <w:spacing w:after="0" w:line="258" w:lineRule="auto"/>
        <w:tabs>
          <w:tab w:leader="none" w:pos="1062" w:val="left"/>
        </w:tabs>
        <w:numPr>
          <w:ilvl w:val="0"/>
          <w:numId w:val="8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any net obligations of such Person with respect to any Swap Agreements and (l)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3" w:lineRule="exact"/>
        <w:rPr>
          <w:sz w:val="20"/>
          <w:szCs w:val="20"/>
          <w:color w:val="auto"/>
        </w:rPr>
      </w:pPr>
    </w:p>
    <w:p>
      <w:pPr>
        <w:ind w:left="740" w:right="40" w:firstLine="749"/>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Indemnified Taxes</w:t>
      </w:r>
      <w:r>
        <w:rPr>
          <w:rFonts w:ascii="Times New Roman" w:cs="Times New Roman" w:eastAsia="Times New Roman" w:hAnsi="Times New Roman"/>
          <w:sz w:val="20"/>
          <w:szCs w:val="20"/>
          <w:color w:val="231F20"/>
        </w:rPr>
        <w:t>” means (a) Taxes, other than Excluded Taxes, imposed on or with respect to any payment made by or on account of any obligation of any Loan Party under any Loan Document and</w:t>
      </w:r>
    </w:p>
    <w:p>
      <w:pPr>
        <w:spacing w:after="0" w:line="2" w:lineRule="exact"/>
        <w:rPr>
          <w:sz w:val="20"/>
          <w:szCs w:val="20"/>
          <w:color w:val="auto"/>
        </w:rPr>
      </w:pPr>
    </w:p>
    <w:p>
      <w:pPr>
        <w:ind w:left="1480" w:right="2420" w:hanging="745"/>
        <w:spacing w:after="0" w:line="239" w:lineRule="auto"/>
        <w:tabs>
          <w:tab w:leader="none" w:pos="1018" w:val="left"/>
        </w:tabs>
        <w:numPr>
          <w:ilvl w:val="0"/>
          <w:numId w:val="8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to the extent not otherwise described in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xml:space="preserve"> above, Other Taxes. “</w:t>
      </w:r>
      <w:r>
        <w:rPr>
          <w:rFonts w:ascii="Times New Roman" w:cs="Times New Roman" w:eastAsia="Times New Roman" w:hAnsi="Times New Roman"/>
          <w:sz w:val="20"/>
          <w:szCs w:val="20"/>
          <w:u w:val="single" w:color="auto"/>
          <w:color w:val="231F20"/>
        </w:rPr>
        <w:t>Indemnitee</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9.03(b)</w:t>
      </w:r>
      <w:r>
        <w:rPr>
          <w:rFonts w:ascii="Times New Roman" w:cs="Times New Roman" w:eastAsia="Times New Roman" w:hAnsi="Times New Roman"/>
          <w:sz w:val="20"/>
          <w:szCs w:val="20"/>
          <w:color w:val="231F20"/>
        </w:rPr>
        <w:t>.</w:t>
      </w:r>
    </w:p>
    <w:p>
      <w:pPr>
        <w:ind w:left="148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Ineligible Institution</w:t>
      </w:r>
      <w:r>
        <w:rPr>
          <w:rFonts w:ascii="Times New Roman" w:cs="Times New Roman" w:eastAsia="Times New Roman" w:hAnsi="Times New Roman"/>
          <w:sz w:val="20"/>
          <w:szCs w:val="20"/>
          <w:color w:val="231F20"/>
        </w:rPr>
        <w:t>” means a (a) natural person, (b) a Defaulting Lender, (c) holding company, investment vehicle</w:t>
      </w:r>
    </w:p>
    <w:p>
      <w:pPr>
        <w:jc w:val="both"/>
        <w:ind w:left="740" w:right="40"/>
        <w:spacing w:after="0" w:line="242" w:lineRule="auto"/>
        <w:rPr>
          <w:sz w:val="20"/>
          <w:szCs w:val="20"/>
          <w:color w:val="auto"/>
        </w:rPr>
      </w:pPr>
      <w:r>
        <w:rPr>
          <w:rFonts w:ascii="Times New Roman" w:cs="Times New Roman" w:eastAsia="Times New Roman" w:hAnsi="Times New Roman"/>
          <w:sz w:val="20"/>
          <w:szCs w:val="20"/>
          <w:color w:val="231F20"/>
        </w:rPr>
        <w:t xml:space="preserve">or trust for, or owned and operated for the primary benefit of, a natural person or relative(s) thereof;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such holding company, investment vehicle or trust shall not constitute an Ineligible Institution if it (x) has not been established for the primary purpose of acquiring any Loans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57" w:name="page158"/>
    <w:bookmarkEnd w:id="157"/>
    <w:p>
      <w:pPr>
        <w:jc w:val="both"/>
        <w:ind w:left="740" w:right="20"/>
        <w:spacing w:after="0" w:line="249" w:lineRule="auto"/>
        <w:rPr>
          <w:sz w:val="20"/>
          <w:szCs w:val="20"/>
          <w:color w:val="auto"/>
        </w:rPr>
      </w:pPr>
      <w:r>
        <w:rPr>
          <w:rFonts w:ascii="Times New Roman" w:cs="Times New Roman" w:eastAsia="Times New Roman" w:hAnsi="Times New Roman"/>
          <w:sz w:val="20"/>
          <w:szCs w:val="20"/>
          <w:color w:val="231F20"/>
        </w:rPr>
        <w:t>or Commitments, (y) is managed by a professional advisor, who is not such natural person or a relative thereof, having significant experience in the business of making or purchasing commercial loans, and (z) has assets greater than $500.0 million and a significant part of its activities consist of making or purchasing commercial loans and similar extensions of credit in the ordinary course of its business or (d) a Loan Party or a Subsidiary or other Affiliate of a Loan Party.</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Information</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9.12</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Interest Election Request</w:t>
      </w:r>
      <w:r>
        <w:rPr>
          <w:rFonts w:ascii="Times New Roman" w:cs="Times New Roman" w:eastAsia="Times New Roman" w:hAnsi="Times New Roman"/>
          <w:sz w:val="20"/>
          <w:szCs w:val="20"/>
          <w:color w:val="231F20"/>
        </w:rPr>
        <w:t xml:space="preserve">” means a request by the Borrower to convert or continue a Borrowing in accordance with </w:t>
      </w:r>
      <w:r>
        <w:rPr>
          <w:rFonts w:ascii="Times New Roman" w:cs="Times New Roman" w:eastAsia="Times New Roman" w:hAnsi="Times New Roman"/>
          <w:sz w:val="20"/>
          <w:szCs w:val="20"/>
          <w:u w:val="single" w:color="auto"/>
          <w:color w:val="231F20"/>
        </w:rPr>
        <w:t>Section 2.08</w:t>
      </w:r>
      <w:r>
        <w:rPr>
          <w:rFonts w:ascii="Times New Roman" w:cs="Times New Roman" w:eastAsia="Times New Roman" w:hAnsi="Times New Roman"/>
          <w:sz w:val="20"/>
          <w:szCs w:val="20"/>
          <w:color w:val="231F20"/>
        </w:rPr>
        <w:t>.</w:t>
      </w:r>
    </w:p>
    <w:p>
      <w:pPr>
        <w:spacing w:after="0" w:line="159"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Interest Expense</w:t>
      </w:r>
      <w:r>
        <w:rPr>
          <w:rFonts w:ascii="Times New Roman" w:cs="Times New Roman" w:eastAsia="Times New Roman" w:hAnsi="Times New Roman"/>
          <w:sz w:val="20"/>
          <w:szCs w:val="20"/>
          <w:color w:val="231F20"/>
        </w:rPr>
        <w:t>” means, with reference to any period, total interest expense (including that attributable to Capital Lease Obligations) of the Borrower and its Subsidiaries for such period with respect to all outstanding Indebtedness of the Borrower and its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calculated on a consolidated basis for the Borrower and its Subsidiaries for such period in accordance with GAAP.</w:t>
      </w:r>
    </w:p>
    <w:p>
      <w:pPr>
        <w:spacing w:after="0" w:line="184" w:lineRule="exact"/>
        <w:rPr>
          <w:sz w:val="20"/>
          <w:szCs w:val="20"/>
          <w:color w:val="auto"/>
        </w:rPr>
      </w:pPr>
    </w:p>
    <w:p>
      <w:pPr>
        <w:jc w:val="both"/>
        <w:ind w:left="740" w:right="20" w:firstLine="749"/>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Interest Payment Date</w:t>
      </w:r>
      <w:r>
        <w:rPr>
          <w:rFonts w:ascii="Times New Roman" w:cs="Times New Roman" w:eastAsia="Times New Roman" w:hAnsi="Times New Roman"/>
          <w:sz w:val="20"/>
          <w:szCs w:val="20"/>
          <w:color w:val="231F20"/>
        </w:rPr>
        <w:t>” means (a) with respect to any ABR Loan (including any Swingline Loan), the last Business Day of each March, June, September and December and the Maturity Date and</w:t>
      </w:r>
    </w:p>
    <w:p>
      <w:pPr>
        <w:spacing w:after="0" w:line="2" w:lineRule="exact"/>
        <w:rPr>
          <w:sz w:val="20"/>
          <w:szCs w:val="20"/>
          <w:color w:val="auto"/>
        </w:rPr>
      </w:pPr>
    </w:p>
    <w:p>
      <w:pPr>
        <w:jc w:val="both"/>
        <w:ind w:left="740" w:right="20" w:hanging="3"/>
        <w:spacing w:after="0" w:line="261" w:lineRule="auto"/>
        <w:tabs>
          <w:tab w:leader="none" w:pos="1021" w:val="left"/>
        </w:tabs>
        <w:numPr>
          <w:ilvl w:val="0"/>
          <w:numId w:val="8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with respect to any Term SOFR Loan, the last day of the Interest Period applicable to the Borrowing of which such Loan is a part and, in the case of an Interest Period of more than three months’ duration, each day prior to the last day of such Interest Period that occurs at intervals of three months’ duration after the first day of such Interest Period and the Maturity Date.</w:t>
      </w:r>
    </w:p>
    <w:p>
      <w:pPr>
        <w:spacing w:after="0" w:line="170"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Interest Period</w:t>
      </w:r>
      <w:r>
        <w:rPr>
          <w:rFonts w:ascii="Times New Roman" w:cs="Times New Roman" w:eastAsia="Times New Roman" w:hAnsi="Times New Roman"/>
          <w:sz w:val="20"/>
          <w:szCs w:val="20"/>
          <w:color w:val="231F20"/>
        </w:rPr>
        <w:t xml:space="preserve">” means, with respect to any Term SOFR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may extend beyond the Maturity Date. For purposes hereof, the date of a Borrowing initially shall be the date on which such Borrowing is made and thereafter shall be the effective date of the most recent conversion or continuation of such Borrowing.</w:t>
      </w:r>
    </w:p>
    <w:p>
      <w:pPr>
        <w:spacing w:after="0" w:line="190" w:lineRule="exact"/>
        <w:rPr>
          <w:sz w:val="20"/>
          <w:szCs w:val="20"/>
          <w:color w:val="auto"/>
        </w:rPr>
      </w:pPr>
    </w:p>
    <w:p>
      <w:pPr>
        <w:ind w:left="1480" w:right="2660"/>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Investment</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6.04</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u w:val="single" w:color="auto"/>
          <w:color w:val="231F20"/>
        </w:rPr>
        <w:t>IRS</w:t>
      </w:r>
      <w:r>
        <w:rPr>
          <w:rFonts w:ascii="Times New Roman" w:cs="Times New Roman" w:eastAsia="Times New Roman" w:hAnsi="Times New Roman"/>
          <w:sz w:val="20"/>
          <w:szCs w:val="20"/>
          <w:color w:val="231F20"/>
        </w:rPr>
        <w:t>” means the United States Internal Revenue Service.</w:t>
      </w:r>
    </w:p>
    <w:p>
      <w:pPr>
        <w:spacing w:after="0" w:line="2" w:lineRule="exact"/>
        <w:rPr>
          <w:sz w:val="20"/>
          <w:szCs w:val="20"/>
          <w:color w:val="auto"/>
        </w:rPr>
      </w:pPr>
    </w:p>
    <w:p>
      <w:pPr>
        <w:jc w:val="both"/>
        <w:ind w:left="740" w:firstLine="749"/>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Issuing Banks</w:t>
      </w:r>
      <w:r>
        <w:rPr>
          <w:rFonts w:ascii="Times New Roman" w:cs="Times New Roman" w:eastAsia="Times New Roman" w:hAnsi="Times New Roman"/>
          <w:sz w:val="20"/>
          <w:szCs w:val="20"/>
          <w:color w:val="231F20"/>
        </w:rPr>
        <w:t>” means, individually and collectively as the context may require, (a) Citi, in its capacity as an issuer of Letters of Credit hereunder, and any successors in such capacity, and (b) and any other Lender from time to time designated by the Borrower as an Issuing Bank, with the consent of such Lender and the Administrative Agent and such Lender’s successors in such capacity. Any Issuing Bank may, in its discretion, arrange for one or more Letters of Credit to be issued by Affiliates of such Issuing Bank, in which case the term “Issuing Bank” shall include any such Affiliate with respect to Letters of Credit issued by such Affiliate. At any time there is more than one Issuing Bank, all singular references to the Issuing Bank shall mean any Issuing Bank, either Issuing Bank, each Issuing Bank, the Issuing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291" w:right="759" w:bottom="1440" w:gutter="0" w:footer="0" w:header="0"/>
        </w:sectPr>
      </w:pPr>
    </w:p>
    <w:bookmarkStart w:id="158" w:name="page159"/>
    <w:bookmarkEnd w:id="158"/>
    <w:p>
      <w:pPr>
        <w:ind w:left="740"/>
        <w:spacing w:after="0"/>
        <w:rPr>
          <w:sz w:val="20"/>
          <w:szCs w:val="20"/>
          <w:color w:val="auto"/>
        </w:rPr>
      </w:pPr>
      <w:r>
        <w:rPr>
          <w:rFonts w:ascii="Times New Roman" w:cs="Times New Roman" w:eastAsia="Times New Roman" w:hAnsi="Times New Roman"/>
          <w:sz w:val="20"/>
          <w:szCs w:val="20"/>
          <w:color w:val="231F20"/>
        </w:rPr>
        <w:t>Bank that has issued the applicable Letter of Credit, or both (or all) Issuing Banks, as the context may require.</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Joinder Agreement</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5.09(a)</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Junior Debt</w:t>
      </w:r>
      <w:r>
        <w:rPr>
          <w:rFonts w:ascii="Times New Roman" w:cs="Times New Roman" w:eastAsia="Times New Roman" w:hAnsi="Times New Roman"/>
          <w:sz w:val="20"/>
          <w:szCs w:val="20"/>
          <w:color w:val="231F20"/>
        </w:rPr>
        <w:t xml:space="preserve">” means (a) any Indebtedness of any Loan Party or any of its Subsidiaries that is secured on a junior lien basis, (b) any Subordinated Indebtedness, (c) any Indebtedness incurred or issued pursuant to </w:t>
      </w:r>
      <w:r>
        <w:rPr>
          <w:rFonts w:ascii="Times New Roman" w:cs="Times New Roman" w:eastAsia="Times New Roman" w:hAnsi="Times New Roman"/>
          <w:sz w:val="20"/>
          <w:szCs w:val="20"/>
          <w:u w:val="single" w:color="auto"/>
          <w:color w:val="231F20"/>
        </w:rPr>
        <w:t>Section 6.01(s)</w:t>
      </w:r>
      <w:r>
        <w:rPr>
          <w:rFonts w:ascii="Times New Roman" w:cs="Times New Roman" w:eastAsia="Times New Roman" w:hAnsi="Times New Roman"/>
          <w:sz w:val="20"/>
          <w:szCs w:val="20"/>
          <w:color w:val="231F20"/>
        </w:rPr>
        <w:t xml:space="preserve"> and/or (d) any Indebtedness which refinances any of the foregoing to the extent permitted by </w:t>
      </w:r>
      <w:r>
        <w:rPr>
          <w:rFonts w:ascii="Times New Roman" w:cs="Times New Roman" w:eastAsia="Times New Roman" w:hAnsi="Times New Roman"/>
          <w:sz w:val="20"/>
          <w:szCs w:val="20"/>
          <w:u w:val="single" w:color="auto"/>
          <w:color w:val="231F20"/>
        </w:rPr>
        <w:t>Section 6.01</w:t>
      </w:r>
      <w:r>
        <w:rPr>
          <w:rFonts w:ascii="Times New Roman" w:cs="Times New Roman" w:eastAsia="Times New Roman" w:hAnsi="Times New Roman"/>
          <w:sz w:val="20"/>
          <w:szCs w:val="20"/>
          <w:color w:val="231F20"/>
        </w:rPr>
        <w:t>.</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LC Collateral Account</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2.06(j)</w:t>
      </w:r>
      <w:r>
        <w:rPr>
          <w:rFonts w:ascii="Times New Roman" w:cs="Times New Roman" w:eastAsia="Times New Roman" w:hAnsi="Times New Roman"/>
          <w:sz w:val="20"/>
          <w:szCs w:val="20"/>
          <w:color w:val="231F20"/>
        </w:rPr>
        <w:t>.</w:t>
      </w:r>
    </w:p>
    <w:p>
      <w:pPr>
        <w:spacing w:after="0" w:line="22" w:lineRule="exact"/>
        <w:rPr>
          <w:sz w:val="20"/>
          <w:szCs w:val="20"/>
          <w:color w:val="auto"/>
        </w:rPr>
      </w:pPr>
    </w:p>
    <w:p>
      <w:pPr>
        <w:ind w:left="1480" w:right="60"/>
        <w:spacing w:after="0" w:line="23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LC Disbursement</w:t>
      </w:r>
      <w:r>
        <w:rPr>
          <w:rFonts w:ascii="Times New Roman" w:cs="Times New Roman" w:eastAsia="Times New Roman" w:hAnsi="Times New Roman"/>
          <w:sz w:val="20"/>
          <w:szCs w:val="20"/>
          <w:color w:val="231F20"/>
        </w:rPr>
        <w:t>” means a payment made by any Issuing Bank pursuant to a Letter of Credit. “</w:t>
      </w:r>
      <w:r>
        <w:rPr>
          <w:rFonts w:ascii="Times New Roman" w:cs="Times New Roman" w:eastAsia="Times New Roman" w:hAnsi="Times New Roman"/>
          <w:sz w:val="20"/>
          <w:szCs w:val="20"/>
          <w:u w:val="single" w:color="auto"/>
          <w:color w:val="231F20"/>
        </w:rPr>
        <w:t>LC Exposure</w:t>
      </w:r>
      <w:r>
        <w:rPr>
          <w:rFonts w:ascii="Times New Roman" w:cs="Times New Roman" w:eastAsia="Times New Roman" w:hAnsi="Times New Roman"/>
          <w:sz w:val="20"/>
          <w:szCs w:val="20"/>
          <w:color w:val="231F20"/>
        </w:rPr>
        <w:t>” means, at any time, the sum of (a) the aggregate undrawn amount of all</w:t>
      </w:r>
    </w:p>
    <w:p>
      <w:pPr>
        <w:spacing w:after="0" w:line="1" w:lineRule="exact"/>
        <w:rPr>
          <w:sz w:val="20"/>
          <w:szCs w:val="20"/>
          <w:color w:val="auto"/>
        </w:rPr>
      </w:pPr>
    </w:p>
    <w:p>
      <w:pPr>
        <w:jc w:val="both"/>
        <w:ind w:left="740" w:right="40"/>
        <w:spacing w:after="0" w:line="242" w:lineRule="auto"/>
        <w:rPr>
          <w:sz w:val="20"/>
          <w:szCs w:val="20"/>
          <w:color w:val="auto"/>
        </w:rPr>
      </w:pPr>
      <w:r>
        <w:rPr>
          <w:rFonts w:ascii="Times New Roman" w:cs="Times New Roman" w:eastAsia="Times New Roman" w:hAnsi="Times New Roman"/>
          <w:sz w:val="20"/>
          <w:szCs w:val="20"/>
          <w:color w:val="231F20"/>
        </w:rPr>
        <w:t xml:space="preserve">outstanding Letters of Credit at such time, </w:t>
      </w:r>
      <w:r>
        <w:rPr>
          <w:rFonts w:ascii="Times New Roman" w:cs="Times New Roman" w:eastAsia="Times New Roman" w:hAnsi="Times New Roman"/>
          <w:sz w:val="20"/>
          <w:szCs w:val="20"/>
          <w:i w:val="1"/>
          <w:iCs w:val="1"/>
          <w:u w:val="single" w:color="auto"/>
          <w:color w:val="231F20"/>
        </w:rPr>
        <w:t>plus</w:t>
      </w:r>
      <w:r>
        <w:rPr>
          <w:rFonts w:ascii="Times New Roman" w:cs="Times New Roman" w:eastAsia="Times New Roman" w:hAnsi="Times New Roman"/>
          <w:sz w:val="20"/>
          <w:szCs w:val="20"/>
          <w:color w:val="231F20"/>
        </w:rPr>
        <w:t xml:space="preserve"> (b) the aggregate amount of all LC Disbursements relating to Letters of Credit that have not yet been reimbursed by or on behalf of the Borrower at such time. The LC Exposure of any Lender at any time shall be its Applicable Percentage of the total LC Exposure at such time.</w:t>
      </w:r>
    </w:p>
    <w:p>
      <w:pPr>
        <w:spacing w:after="0" w:line="1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Lead Arranger</w:t>
      </w:r>
      <w:r>
        <w:rPr>
          <w:rFonts w:ascii="Times New Roman" w:cs="Times New Roman" w:eastAsia="Times New Roman" w:hAnsi="Times New Roman"/>
          <w:sz w:val="20"/>
          <w:szCs w:val="20"/>
          <w:color w:val="231F20"/>
        </w:rPr>
        <w:t>” means Citibank, N.A.</w:t>
      </w:r>
    </w:p>
    <w:p>
      <w:pPr>
        <w:spacing w:after="0" w:line="216"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Lenders</w:t>
      </w:r>
      <w:r>
        <w:rPr>
          <w:rFonts w:ascii="Times New Roman" w:cs="Times New Roman" w:eastAsia="Times New Roman" w:hAnsi="Times New Roman"/>
          <w:sz w:val="20"/>
          <w:szCs w:val="20"/>
          <w:color w:val="231F20"/>
        </w:rPr>
        <w:t>” means the Persons listed on the Commitment Schedule and any other Person that shall have become a party hereto pursuant to an Assignment and Assumption, other than any such Person that ceases to be a party hereto pursuant to an Assignment and Assumption. Unless the context otherwise requires, the term “Lenders” includes the Issuing Banks and the Swingline Lenders.</w:t>
      </w:r>
    </w:p>
    <w:p>
      <w:pPr>
        <w:spacing w:after="0" w:line="180" w:lineRule="exact"/>
        <w:rPr>
          <w:sz w:val="20"/>
          <w:szCs w:val="20"/>
          <w:color w:val="auto"/>
        </w:rPr>
      </w:pPr>
    </w:p>
    <w:p>
      <w:pPr>
        <w:jc w:val="both"/>
        <w:ind w:left="740" w:right="4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Letter of Credit</w:t>
      </w:r>
      <w:r>
        <w:rPr>
          <w:rFonts w:ascii="Times New Roman" w:cs="Times New Roman" w:eastAsia="Times New Roman" w:hAnsi="Times New Roman"/>
          <w:sz w:val="20"/>
          <w:szCs w:val="20"/>
          <w:color w:val="231F20"/>
        </w:rPr>
        <w:t>” means the standby and trade letters of credit issued pursuant to this Agreement, and the term “Letter of Credit” means any one of them or each of them singularly, as the context may require.</w:t>
      </w:r>
    </w:p>
    <w:p>
      <w:pPr>
        <w:spacing w:after="0" w:line="159"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Lien</w:t>
      </w:r>
      <w:r>
        <w:rPr>
          <w:rFonts w:ascii="Times New Roman" w:cs="Times New Roman" w:eastAsia="Times New Roman" w:hAnsi="Times New Roman"/>
          <w:sz w:val="20"/>
          <w:szCs w:val="20"/>
          <w:color w:val="231F20"/>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5" w:lineRule="exact"/>
        <w:rPr>
          <w:sz w:val="20"/>
          <w:szCs w:val="20"/>
          <w:color w:val="auto"/>
        </w:rPr>
      </w:pPr>
    </w:p>
    <w:p>
      <w:pPr>
        <w:jc w:val="both"/>
        <w:ind w:left="740" w:firstLine="749"/>
        <w:spacing w:after="0" w:line="269" w:lineRule="auto"/>
        <w:rPr>
          <w:sz w:val="20"/>
          <w:szCs w:val="20"/>
          <w:color w:val="auto"/>
        </w:rPr>
      </w:pPr>
      <w:r>
        <w:rPr>
          <w:rFonts w:ascii="Times New Roman" w:cs="Times New Roman" w:eastAsia="Times New Roman" w:hAnsi="Times New Roman"/>
          <w:sz w:val="20"/>
          <w:szCs w:val="20"/>
          <w:u w:val="single" w:color="auto"/>
          <w:color w:val="2251A3"/>
        </w:rPr>
        <w:t>“Liquidity” means, as of any date of determination, the sum of (a) the aggregate amount of Unrestricted Domestic Cash and Cash Equivalents plus (b) Available Commitments.</w:t>
      </w:r>
    </w:p>
    <w:p>
      <w:pPr>
        <w:spacing w:after="0" w:line="159"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Loan Documents</w:t>
      </w:r>
      <w:r>
        <w:rPr>
          <w:rFonts w:ascii="Times New Roman" w:cs="Times New Roman" w:eastAsia="Times New Roman" w:hAnsi="Times New Roman"/>
          <w:sz w:val="20"/>
          <w:szCs w:val="20"/>
          <w:color w:val="231F20"/>
        </w:rPr>
        <w:t xml:space="preserve">” means, collectively, this Agreement, the Notes, any Letter of Credit applications, the Collateral Documents, the Loan Guaranty, the Fee Letter, the Reaffirmation of Collateral Documents and all other agreements, instruments, documents and certificates identified in </w:t>
      </w:r>
      <w:r>
        <w:rPr>
          <w:rFonts w:ascii="Times New Roman" w:cs="Times New Roman" w:eastAsia="Times New Roman" w:hAnsi="Times New Roman"/>
          <w:sz w:val="20"/>
          <w:szCs w:val="20"/>
          <w:u w:val="single" w:color="auto"/>
          <w:color w:val="231F20"/>
        </w:rPr>
        <w:t>Section 4.01</w:t>
      </w:r>
      <w:r>
        <w:rPr>
          <w:rFonts w:ascii="Times New Roman" w:cs="Times New Roman" w:eastAsia="Times New Roman" w:hAnsi="Times New Roman"/>
          <w:sz w:val="20"/>
          <w:szCs w:val="20"/>
          <w:color w:val="231F20"/>
        </w:rPr>
        <w:t xml:space="preserve"> executed and delivered by a Loan Party to, or in favor of, the Administrative Agent or any Lenders and including all other pledges, powers of attorney, consents, assignments, contracts, notices, letter of credit agreements and all other written matter whether heretofore, now or hereafter executed by or on behalf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the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59" w:name="page160"/>
    <w:bookmarkEnd w:id="159"/>
    <w:p>
      <w:pPr>
        <w:ind w:left="740"/>
        <w:spacing w:after="0"/>
        <w:rPr>
          <w:sz w:val="20"/>
          <w:szCs w:val="20"/>
          <w:color w:val="auto"/>
        </w:rPr>
      </w:pPr>
      <w:r>
        <w:rPr>
          <w:rFonts w:ascii="Times New Roman" w:cs="Times New Roman" w:eastAsia="Times New Roman" w:hAnsi="Times New Roman"/>
          <w:sz w:val="20"/>
          <w:szCs w:val="20"/>
          <w:color w:val="231F20"/>
        </w:rPr>
        <w:t>or such Loan Document as the same may be in effect at any and all times such reference becomes operative.</w:t>
      </w:r>
    </w:p>
    <w:p>
      <w:pPr>
        <w:spacing w:after="0" w:line="216" w:lineRule="exact"/>
        <w:rPr>
          <w:sz w:val="20"/>
          <w:szCs w:val="20"/>
          <w:color w:val="auto"/>
        </w:rPr>
      </w:pPr>
    </w:p>
    <w:p>
      <w:pPr>
        <w:jc w:val="both"/>
        <w:ind w:left="740" w:right="40" w:firstLine="749"/>
        <w:spacing w:after="0" w:line="241"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Loan Guarantor</w:t>
      </w:r>
      <w:r>
        <w:rPr>
          <w:rFonts w:ascii="Times New Roman" w:cs="Times New Roman" w:eastAsia="Times New Roman" w:hAnsi="Times New Roman"/>
          <w:sz w:val="20"/>
          <w:szCs w:val="20"/>
          <w:color w:val="231F20"/>
        </w:rPr>
        <w:t xml:space="preserve">” means (a) each of the Borrower’s wholly owned Material Domestic Subsidiaries;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this definition shall not be deemed to exclude (or release) any Domestic Subsidiary which is a Loan Guarantor in the case of a disposition of a portion of the Equity Interests in such Loan Guarantor as a result of (i) the disposition or issuance of Equity Interests of such Domestic Subsidiary in either case to an Affiliate that is not the Borrower or a Subsidiary, (ii) any transaction entered into primarily in contemplation of such Domestic Subsidiary’s ceasing to constitute a Loan Party or (iii) the disposition or issuance of Equity Interests of such Domestic Subsidiary for materially less than the fair market value of such shares as reasonably determined by the Borrower; and (b) with respect to Secured Obligations owed by any other Loan Party or other Subsidiary, the Borrower;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subject to any administrative requirements of the Administrative Agent, the Borrower may elect to add additional Domestic Subsidiaries as Loan Guarantors so long as each such added Loan Guarantor complies with </w:t>
      </w:r>
      <w:r>
        <w:rPr>
          <w:rFonts w:ascii="Times New Roman" w:cs="Times New Roman" w:eastAsia="Times New Roman" w:hAnsi="Times New Roman"/>
          <w:sz w:val="20"/>
          <w:szCs w:val="20"/>
          <w:u w:val="single" w:color="auto"/>
          <w:color w:val="231F20"/>
        </w:rPr>
        <w:t>Section 5.09</w:t>
      </w:r>
      <w:r>
        <w:rPr>
          <w:rFonts w:ascii="Times New Roman" w:cs="Times New Roman" w:eastAsia="Times New Roman" w:hAnsi="Times New Roman"/>
          <w:sz w:val="20"/>
          <w:szCs w:val="20"/>
          <w:color w:val="231F20"/>
        </w:rPr>
        <w:t xml:space="preserve"> of this Agreement as if it were a newly acquired wholly-owned Material Domestic Subsidiary at the time of such designation;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further</w:t>
      </w:r>
      <w:r>
        <w:rPr>
          <w:rFonts w:ascii="Times New Roman" w:cs="Times New Roman" w:eastAsia="Times New Roman" w:hAnsi="Times New Roman"/>
          <w:sz w:val="20"/>
          <w:szCs w:val="20"/>
          <w:color w:val="231F20"/>
        </w:rPr>
        <w:t>, that the Borrower, with the consent of the Administrative Agent, may elect to make any Foreign Subsidiary become a Loan Guarantor (each, a “</w:t>
      </w:r>
      <w:r>
        <w:rPr>
          <w:rFonts w:ascii="Times New Roman" w:cs="Times New Roman" w:eastAsia="Times New Roman" w:hAnsi="Times New Roman"/>
          <w:sz w:val="20"/>
          <w:szCs w:val="20"/>
          <w:u w:val="single" w:color="auto"/>
          <w:color w:val="231F20"/>
        </w:rPr>
        <w:t>Voluntary Foreign Guarantor</w:t>
      </w:r>
      <w:r>
        <w:rPr>
          <w:rFonts w:ascii="Times New Roman" w:cs="Times New Roman" w:eastAsia="Times New Roman" w:hAnsi="Times New Roman"/>
          <w:sz w:val="20"/>
          <w:szCs w:val="20"/>
          <w:color w:val="231F20"/>
        </w:rPr>
        <w:t xml:space="preserve">”) in accordance with the terms of the Loan Documents and </w:t>
      </w:r>
      <w:r>
        <w:rPr>
          <w:rFonts w:ascii="Times New Roman" w:cs="Times New Roman" w:eastAsia="Times New Roman" w:hAnsi="Times New Roman"/>
          <w:sz w:val="20"/>
          <w:szCs w:val="20"/>
          <w:u w:val="single" w:color="auto"/>
          <w:color w:val="231F20"/>
        </w:rPr>
        <w:t>Section 5.09</w:t>
      </w:r>
      <w:r>
        <w:rPr>
          <w:rFonts w:ascii="Times New Roman" w:cs="Times New Roman" w:eastAsia="Times New Roman" w:hAnsi="Times New Roman"/>
          <w:sz w:val="20"/>
          <w:szCs w:val="20"/>
          <w:color w:val="231F20"/>
        </w:rPr>
        <w:t xml:space="preserve"> hereof, and such election and conversion shall be subject to customary conditions, including, but not limited to, (i) jurisdiction of incorporation of such potential Voluntary Foreign Guarantor being reasonably satisfactory to each Lender, (ii) any reasonable and customary local law guaranty documentation (to the extent reasonably necessary to effect such guaranty) and security documentation with respect to Voluntary Foreign Guarantors organized under the laws of any non-U.S. jurisdiction shall be governed by reasonable and customary local law security documentation acceptable to the Administrative Agent and (iii) Voluntary Foreign Guarantor Amendments to this Agreement and the other Loan Documents as may be reasonably necessary or appropriate, in the reasonable opinion of the Administrative Agent, in connection with a Foreign Subsidiary becoming a Loan Guarantor.</w:t>
      </w:r>
    </w:p>
    <w:p>
      <w:pPr>
        <w:spacing w:after="0" w:line="1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Loan Guaranty</w:t>
      </w:r>
      <w:r>
        <w:rPr>
          <w:rFonts w:ascii="Times New Roman" w:cs="Times New Roman" w:eastAsia="Times New Roman" w:hAnsi="Times New Roman"/>
          <w:sz w:val="20"/>
          <w:szCs w:val="20"/>
          <w:color w:val="231F20"/>
        </w:rPr>
        <w:t xml:space="preserve">” means </w:t>
      </w:r>
      <w:r>
        <w:rPr>
          <w:rFonts w:ascii="Times New Roman" w:cs="Times New Roman" w:eastAsia="Times New Roman" w:hAnsi="Times New Roman"/>
          <w:sz w:val="20"/>
          <w:szCs w:val="20"/>
          <w:u w:val="single" w:color="auto"/>
          <w:color w:val="231F20"/>
        </w:rPr>
        <w:t>Article X</w:t>
      </w:r>
      <w:r>
        <w:rPr>
          <w:rFonts w:ascii="Times New Roman" w:cs="Times New Roman" w:eastAsia="Times New Roman" w:hAnsi="Times New Roman"/>
          <w:sz w:val="20"/>
          <w:szCs w:val="20"/>
          <w:color w:val="231F20"/>
        </w:rPr>
        <w:t xml:space="preserve"> of this Agreement.</w:t>
      </w:r>
    </w:p>
    <w:p>
      <w:pPr>
        <w:spacing w:after="0" w:line="216"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Loan Parties</w:t>
      </w:r>
      <w:r>
        <w:rPr>
          <w:rFonts w:ascii="Times New Roman" w:cs="Times New Roman" w:eastAsia="Times New Roman" w:hAnsi="Times New Roman"/>
          <w:sz w:val="20"/>
          <w:szCs w:val="20"/>
          <w:color w:val="231F20"/>
        </w:rPr>
        <w:t>” means, collectively, the Borrower, each Loan Guarantor and any other Person who becomes a party to this Agreement pursuant to a Joinder Agreement and each of their successors and assigns, and the term “Loan Party” means any one of them or all of them individually, as the context may require.</w:t>
      </w:r>
    </w:p>
    <w:p>
      <w:pPr>
        <w:spacing w:after="0" w:line="174"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Loans</w:t>
      </w:r>
      <w:r>
        <w:rPr>
          <w:rFonts w:ascii="Times New Roman" w:cs="Times New Roman" w:eastAsia="Times New Roman" w:hAnsi="Times New Roman"/>
          <w:sz w:val="20"/>
          <w:szCs w:val="20"/>
          <w:color w:val="231F20"/>
        </w:rPr>
        <w:t>” means the loans and advances made by the Lenders pursuant to this Agreement, including Revolving Credit Loans and Swingline Loans.</w:t>
      </w:r>
    </w:p>
    <w:p>
      <w:pPr>
        <w:spacing w:after="0" w:line="159" w:lineRule="exact"/>
        <w:rPr>
          <w:sz w:val="20"/>
          <w:szCs w:val="20"/>
          <w:color w:val="auto"/>
        </w:rPr>
      </w:pPr>
    </w:p>
    <w:p>
      <w:pPr>
        <w:jc w:val="both"/>
        <w:ind w:left="740" w:right="4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Material Acquisition</w:t>
      </w:r>
      <w:r>
        <w:rPr>
          <w:rFonts w:ascii="Times New Roman" w:cs="Times New Roman" w:eastAsia="Times New Roman" w:hAnsi="Times New Roman"/>
          <w:sz w:val="20"/>
          <w:szCs w:val="20"/>
          <w:color w:val="231F20"/>
        </w:rPr>
        <w:t>” means a Permitted Acquisition the aggregate consideration with respect to which exceeds $30.0 million.</w:t>
      </w:r>
    </w:p>
    <w:p>
      <w:pPr>
        <w:spacing w:after="0" w:line="159" w:lineRule="exact"/>
        <w:rPr>
          <w:sz w:val="20"/>
          <w:szCs w:val="20"/>
          <w:color w:val="auto"/>
        </w:rPr>
      </w:pPr>
    </w:p>
    <w:p>
      <w:pPr>
        <w:jc w:val="both"/>
        <w:ind w:left="740" w:right="40" w:firstLine="747"/>
        <w:spacing w:after="0" w:line="260" w:lineRule="auto"/>
        <w:rPr>
          <w:sz w:val="20"/>
          <w:szCs w:val="20"/>
          <w:color w:val="auto"/>
        </w:rPr>
      </w:pP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u w:val="single" w:color="auto"/>
          <w:color w:val="231F20"/>
        </w:rPr>
        <w:t>Material Adverse Effect</w:t>
      </w:r>
      <w:r>
        <w:rPr>
          <w:rFonts w:ascii="Times New Roman" w:cs="Times New Roman" w:eastAsia="Times New Roman" w:hAnsi="Times New Roman"/>
          <w:sz w:val="19"/>
          <w:szCs w:val="19"/>
          <w:color w:val="231F20"/>
        </w:rPr>
        <w:t>” means a material adverse effect on (a) the business, assets, contracts, agreements, liabilities (including contingent liabilities), operations, or condition (financial or otherwise) or prospects of the Borrower and its Subsidiaries, taken as a whole, (b) the ability of the Loan Parties to perform any of their material obligations under the Loan Documents, (c) any material portion of the Collateral, or the Administrative Agent’s Liens (on behalf of itself and the Lenders) on any material portion of the Collateral or the priority of such Liens (in each case subject to Permitted Liens), or (d) the rights of or benefits available to the Administrative Agent, the Issuing Banks or the Lenders under the Loan Documents.</w:t>
      </w:r>
    </w:p>
    <w:p>
      <w:pPr>
        <w:spacing w:after="0" w:line="173"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Material Domestic Subsidiary</w:t>
      </w:r>
      <w:r>
        <w:rPr>
          <w:rFonts w:ascii="Times New Roman" w:cs="Times New Roman" w:eastAsia="Times New Roman" w:hAnsi="Times New Roman"/>
          <w:sz w:val="20"/>
          <w:szCs w:val="20"/>
          <w:color w:val="231F20"/>
        </w:rPr>
        <w:t>” means any Domestic Subsidiary of the Borrower that is not (a) directly or indirectly owned by a Foreign Subsidiary that is a CFC, unless the inclusion of such Domestic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60" w:name="page161"/>
    <w:bookmarkEnd w:id="160"/>
    <w:p>
      <w:pPr>
        <w:jc w:val="both"/>
        <w:ind w:left="740" w:right="80"/>
        <w:spacing w:after="0" w:line="266" w:lineRule="auto"/>
        <w:rPr>
          <w:sz w:val="20"/>
          <w:szCs w:val="20"/>
          <w:color w:val="auto"/>
        </w:rPr>
      </w:pPr>
      <w:r>
        <w:rPr>
          <w:rFonts w:ascii="Times New Roman" w:cs="Times New Roman" w:eastAsia="Times New Roman" w:hAnsi="Times New Roman"/>
          <w:sz w:val="19"/>
          <w:szCs w:val="19"/>
          <w:color w:val="231F20"/>
        </w:rPr>
        <w:t>Subsidiary as a Loan Guarantor would not reasonably be expected by the Borrower in consultation with the Administrative Agent to result in material adverse tax consequences for the Borrower, (b) a Foreign Subsidiary Holding Company, unless the inclusion of such Domestic Subsidiary as a Loan Guarantor would not reasonably be expected by the Borrower in consultation with the Administrative Agent to result in material adverse tax consequences for the Borrower or (c) an Immaterial Subsidiary.</w:t>
      </w:r>
    </w:p>
    <w:p>
      <w:pPr>
        <w:spacing w:after="0" w:line="16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Material Foreign Subsidiary</w:t>
      </w:r>
      <w:r>
        <w:rPr>
          <w:rFonts w:ascii="Times New Roman" w:cs="Times New Roman" w:eastAsia="Times New Roman" w:hAnsi="Times New Roman"/>
          <w:sz w:val="20"/>
          <w:szCs w:val="20"/>
          <w:color w:val="231F20"/>
        </w:rPr>
        <w:t>” means any Foreign Subsidiary of the Borrower that is not an Immaterial Subsidiary.</w:t>
      </w:r>
    </w:p>
    <w:p>
      <w:pPr>
        <w:spacing w:after="0" w:line="216" w:lineRule="exact"/>
        <w:rPr>
          <w:sz w:val="20"/>
          <w:szCs w:val="20"/>
          <w:color w:val="auto"/>
        </w:rPr>
      </w:pPr>
    </w:p>
    <w:p>
      <w:pPr>
        <w:jc w:val="both"/>
        <w:ind w:left="740" w:right="6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Material Indebtedness</w:t>
      </w:r>
      <w:r>
        <w:rPr>
          <w:rFonts w:ascii="Times New Roman" w:cs="Times New Roman" w:eastAsia="Times New Roman" w:hAnsi="Times New Roman"/>
          <w:sz w:val="20"/>
          <w:szCs w:val="20"/>
          <w:color w:val="231F20"/>
        </w:rPr>
        <w:t>” means any Indebtedness (other than the Loans, Letters of Credit and intercompany loans among the Loan Parties and their Subsidiaries), or any obligations under Swap Agreements, of any one or more of the Borrower and its Subsidiaries in an aggregate principal amount exceeding $</w:t>
      </w:r>
      <w:r>
        <w:rPr>
          <w:rFonts w:ascii="Times New Roman" w:cs="Times New Roman" w:eastAsia="Times New Roman" w:hAnsi="Times New Roman"/>
          <w:sz w:val="20"/>
          <w:szCs w:val="20"/>
          <w:color w:val="ED1C24"/>
          <w:strike w:val="1"/>
        </w:rPr>
        <w:t>10.0</w:t>
      </w:r>
      <w:r>
        <w:rPr>
          <w:rFonts w:ascii="Times New Roman" w:cs="Times New Roman" w:eastAsia="Times New Roman" w:hAnsi="Times New Roman"/>
          <w:sz w:val="20"/>
          <w:szCs w:val="20"/>
          <w:u w:val="single" w:color="auto"/>
          <w:color w:val="2251A3"/>
        </w:rPr>
        <w:t>20.0</w:t>
      </w:r>
      <w:r>
        <w:rPr>
          <w:rFonts w:ascii="Times New Roman" w:cs="Times New Roman" w:eastAsia="Times New Roman" w:hAnsi="Times New Roman"/>
          <w:sz w:val="20"/>
          <w:szCs w:val="20"/>
          <w:color w:val="231F20"/>
        </w:rPr>
        <w:t xml:space="preserve"> million. For purposes of determining Material Indebtedness, the aggregate principal amount of “obligations” of the Borrower or any Subsidiary in respect of any Swap Agreement at any time shall be the Swap Termination Value.</w:t>
      </w:r>
    </w:p>
    <w:p>
      <w:pPr>
        <w:spacing w:after="0" w:line="185"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Maturity Date</w:t>
      </w:r>
      <w:r>
        <w:rPr>
          <w:rFonts w:ascii="Times New Roman" w:cs="Times New Roman" w:eastAsia="Times New Roman" w:hAnsi="Times New Roman"/>
          <w:sz w:val="20"/>
          <w:szCs w:val="20"/>
          <w:color w:val="231F20"/>
        </w:rPr>
        <w:t xml:space="preserve">” means the earliest to occur of (a) the Revolving Credit Termination Date, (b) any earlier date on which the Commitments are reduced to zero or otherwise terminated pursuant to the terms hereof and (c) the date that the Loans, if any, are declared due and payable pursuant to </w:t>
      </w:r>
      <w:r>
        <w:rPr>
          <w:rFonts w:ascii="Times New Roman" w:cs="Times New Roman" w:eastAsia="Times New Roman" w:hAnsi="Times New Roman"/>
          <w:sz w:val="20"/>
          <w:szCs w:val="20"/>
          <w:u w:val="single" w:color="auto"/>
          <w:color w:val="231F20"/>
        </w:rPr>
        <w:t>Article VII</w:t>
      </w:r>
      <w:r>
        <w:rPr>
          <w:rFonts w:ascii="Times New Roman" w:cs="Times New Roman" w:eastAsia="Times New Roman" w:hAnsi="Times New Roman"/>
          <w:sz w:val="20"/>
          <w:szCs w:val="20"/>
          <w:color w:val="231F20"/>
        </w:rPr>
        <w:t xml:space="preserve"> hereof;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individual Lenders may elect to extend the Maturity Date applicable to their Loans and Commitments pursuant to the terms and conditions of </w:t>
      </w:r>
      <w:r>
        <w:rPr>
          <w:rFonts w:ascii="Times New Roman" w:cs="Times New Roman" w:eastAsia="Times New Roman" w:hAnsi="Times New Roman"/>
          <w:sz w:val="20"/>
          <w:szCs w:val="20"/>
          <w:u w:val="single" w:color="auto"/>
          <w:color w:val="231F20"/>
        </w:rPr>
        <w:t>Section 2.24</w:t>
      </w:r>
      <w:r>
        <w:rPr>
          <w:rFonts w:ascii="Times New Roman" w:cs="Times New Roman" w:eastAsia="Times New Roman" w:hAnsi="Times New Roman"/>
          <w:sz w:val="20"/>
          <w:szCs w:val="20"/>
          <w:color w:val="231F20"/>
        </w:rPr>
        <w:t>.</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Moody’s</w:t>
      </w:r>
      <w:r>
        <w:rPr>
          <w:rFonts w:ascii="Times New Roman" w:cs="Times New Roman" w:eastAsia="Times New Roman" w:hAnsi="Times New Roman"/>
          <w:sz w:val="20"/>
          <w:szCs w:val="20"/>
          <w:color w:val="231F20"/>
        </w:rPr>
        <w:t>” means Moody’s Investors Service, Inc.</w:t>
      </w:r>
    </w:p>
    <w:p>
      <w:pPr>
        <w:spacing w:after="0" w:line="216" w:lineRule="exact"/>
        <w:rPr>
          <w:sz w:val="20"/>
          <w:szCs w:val="20"/>
          <w:color w:val="auto"/>
        </w:rPr>
      </w:pPr>
    </w:p>
    <w:p>
      <w:pPr>
        <w:ind w:left="740" w:right="8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Multiemployer Plan</w:t>
      </w:r>
      <w:r>
        <w:rPr>
          <w:rFonts w:ascii="Times New Roman" w:cs="Times New Roman" w:eastAsia="Times New Roman" w:hAnsi="Times New Roman"/>
          <w:sz w:val="20"/>
          <w:szCs w:val="20"/>
          <w:color w:val="231F20"/>
        </w:rPr>
        <w:t>” means a multiemployer plan as defined in Section 4001(a)(3) of ERISA to which Borrower or any ERISA Affiliate is obligated to make contributions or has any liability.</w:t>
      </w:r>
    </w:p>
    <w:p>
      <w:pPr>
        <w:spacing w:after="0" w:line="159"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Net Income</w:t>
      </w:r>
      <w:r>
        <w:rPr>
          <w:rFonts w:ascii="Times New Roman" w:cs="Times New Roman" w:eastAsia="Times New Roman" w:hAnsi="Times New Roman"/>
          <w:sz w:val="20"/>
          <w:szCs w:val="20"/>
          <w:color w:val="231F20"/>
        </w:rPr>
        <w:t xml:space="preserve">” means, for any period, the consolidated net income (or loss) of the Borrower and its Subsidiaries, determined on a consolidated basis in accordance with GAAP;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there shall be excluded from such net income (to the extent otherwise included therein), without duplication: (a) the income (or deficit) of any Person accrued prior to the date it becomes a Subsidiary or is merged into or consolidated with any Loan Party or any of its Subsidiaries, (b) the income (or deficit) of any Person (other than a Subsidiary) in which any Loan Party or any of its Subsidiaries has an ownership interest, except to the extent that any such income is actually received by any Loan Party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Non-Consenting Lender</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9.02(d)</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u w:val="single" w:color="auto"/>
          <w:color w:val="2251A3"/>
        </w:rPr>
        <w:t>“Non-Loan Party Cap” means, with respect to (i) Permitted Acquisitions of Persons which do not become Loan Guarantors, (ii) Guarantees by the Borrower or Subsidiaries that are Loan Parties of Indebtedness for borrowed money of Subsidiaries that are not Loan Parties pursuant to Section 6.01(d),</w:t>
      </w:r>
    </w:p>
    <w:p>
      <w:pPr>
        <w:spacing w:after="0" w:line="174" w:lineRule="exact"/>
        <w:rPr>
          <w:sz w:val="20"/>
          <w:szCs w:val="20"/>
          <w:color w:val="auto"/>
        </w:rPr>
      </w:pPr>
    </w:p>
    <w:p>
      <w:pPr>
        <w:jc w:val="both"/>
        <w:ind w:left="740" w:hanging="3"/>
        <w:spacing w:after="0" w:line="246" w:lineRule="auto"/>
        <w:tabs>
          <w:tab w:leader="none" w:pos="1122" w:val="left"/>
        </w:tabs>
        <w:numPr>
          <w:ilvl w:val="0"/>
          <w:numId w:val="86"/>
        </w:numPr>
        <w:rPr>
          <w:rFonts w:ascii="Times New Roman" w:cs="Times New Roman" w:eastAsia="Times New Roman" w:hAnsi="Times New Roman"/>
          <w:sz w:val="20"/>
          <w:szCs w:val="20"/>
          <w:u w:val="single" w:color="auto"/>
          <w:color w:val="2251A3"/>
        </w:rPr>
      </w:pPr>
      <w:r>
        <w:rPr>
          <w:rFonts w:ascii="Times New Roman" w:cs="Times New Roman" w:eastAsia="Times New Roman" w:hAnsi="Times New Roman"/>
          <w:sz w:val="20"/>
          <w:szCs w:val="20"/>
          <w:u w:val="single" w:color="auto"/>
          <w:color w:val="2251A3"/>
        </w:rPr>
        <w:t>investments (excluding any amounts relating to the processing of payments on the Borrower’s and its Subsidiaries’ payments platform and any intercompany accounts payable in connection therewith) made by the Borrower or the other Loan Parties in Subsidiaries who are not Loan Parties pursuant to Section 6.04(d) and (iv) investments (excluding any amounts relating to the processing of payments on the Borrower’s and its Subsidiaries’ payments platform and any intercompany accounts payable in connection therewith) made by the Borrower or the other Loan Parties in Persons that are not or which do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291" w:right="699" w:bottom="1440" w:gutter="0" w:footer="0" w:header="0"/>
        </w:sectPr>
      </w:pPr>
    </w:p>
    <w:bookmarkStart w:id="161" w:name="page162"/>
    <w:bookmarkEnd w:id="161"/>
    <w:p>
      <w:pPr>
        <w:ind w:left="740"/>
        <w:spacing w:after="0"/>
        <w:rPr>
          <w:sz w:val="20"/>
          <w:szCs w:val="20"/>
          <w:color w:val="auto"/>
        </w:rPr>
      </w:pPr>
      <w:r>
        <w:rPr>
          <w:rFonts w:ascii="Times New Roman" w:cs="Times New Roman" w:eastAsia="Times New Roman" w:hAnsi="Times New Roman"/>
          <w:sz w:val="20"/>
          <w:szCs w:val="20"/>
          <w:u w:val="single" w:color="auto"/>
          <w:color w:val="2251A3"/>
        </w:rPr>
        <w:t>not become Loan Guarantors pursuant to Section 6.04(l), without duplication, an amount not to exceed</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2251A3"/>
        </w:rPr>
        <w:t>$60.0 million in the aggregate.</w:t>
      </w:r>
    </w:p>
    <w:p>
      <w:pPr>
        <w:spacing w:after="0" w:line="189" w:lineRule="exact"/>
        <w:rPr>
          <w:sz w:val="20"/>
          <w:szCs w:val="20"/>
          <w:color w:val="auto"/>
        </w:rPr>
      </w:pPr>
    </w:p>
    <w:p>
      <w:pPr>
        <w:jc w:val="both"/>
        <w:ind w:left="1480" w:right="1520"/>
        <w:spacing w:after="0" w:line="247"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Note</w:t>
      </w:r>
      <w:r>
        <w:rPr>
          <w:rFonts w:ascii="Times New Roman" w:cs="Times New Roman" w:eastAsia="Times New Roman" w:hAnsi="Times New Roman"/>
          <w:sz w:val="20"/>
          <w:szCs w:val="20"/>
          <w:color w:val="231F20"/>
        </w:rPr>
        <w:t>” and “</w:t>
      </w:r>
      <w:r>
        <w:rPr>
          <w:rFonts w:ascii="Times New Roman" w:cs="Times New Roman" w:eastAsia="Times New Roman" w:hAnsi="Times New Roman"/>
          <w:sz w:val="20"/>
          <w:szCs w:val="20"/>
          <w:u w:val="single" w:color="auto"/>
          <w:color w:val="231F20"/>
        </w:rPr>
        <w:t>Notes</w:t>
      </w:r>
      <w:r>
        <w:rPr>
          <w:rFonts w:ascii="Times New Roman" w:cs="Times New Roman" w:eastAsia="Times New Roman" w:hAnsi="Times New Roman"/>
          <w:sz w:val="20"/>
          <w:szCs w:val="20"/>
          <w:color w:val="231F20"/>
        </w:rPr>
        <w:t xml:space="preserve">” have the meanings assigned to such terms in </w:t>
      </w:r>
      <w:r>
        <w:rPr>
          <w:rFonts w:ascii="Times New Roman" w:cs="Times New Roman" w:eastAsia="Times New Roman" w:hAnsi="Times New Roman"/>
          <w:sz w:val="20"/>
          <w:szCs w:val="20"/>
          <w:u w:val="single" w:color="auto"/>
          <w:color w:val="231F20"/>
        </w:rPr>
        <w:t>Section 2.10(e)</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u w:val="single" w:color="auto"/>
          <w:color w:val="231F20"/>
        </w:rPr>
        <w:t>Notice of</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Increase</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2.22(a)(i)</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u w:val="single" w:color="auto"/>
          <w:color w:val="231F20"/>
        </w:rPr>
        <w:t>Obligated Party</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10.02</w:t>
      </w:r>
      <w:r>
        <w:rPr>
          <w:rFonts w:ascii="Times New Roman" w:cs="Times New Roman" w:eastAsia="Times New Roman" w:hAnsi="Times New Roman"/>
          <w:sz w:val="20"/>
          <w:szCs w:val="20"/>
          <w:color w:val="231F20"/>
        </w:rPr>
        <w:t>.</w:t>
      </w:r>
    </w:p>
    <w:p>
      <w:pPr>
        <w:jc w:val="both"/>
        <w:ind w:left="740" w:right="40" w:firstLine="749"/>
        <w:spacing w:after="0" w:line="254" w:lineRule="auto"/>
        <w:rPr>
          <w:sz w:val="20"/>
          <w:szCs w:val="20"/>
          <w:color w:val="auto"/>
        </w:rPr>
      </w:pP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u w:val="single" w:color="auto"/>
          <w:color w:val="231F20"/>
        </w:rPr>
        <w:t>Obligations</w:t>
      </w:r>
      <w:r>
        <w:rPr>
          <w:rFonts w:ascii="Times New Roman" w:cs="Times New Roman" w:eastAsia="Times New Roman" w:hAnsi="Times New Roman"/>
          <w:sz w:val="19"/>
          <w:szCs w:val="19"/>
          <w:color w:val="231F20"/>
        </w:rPr>
        <w:t>” means all unpaid principal of and accrued and unpaid interest on the Loans, all LC Exposure, all accrued and unpaid fees and all expenses, reimbursements, indemnities and other obligations, 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in each case arising or incurred under this Agreement or any of the other Loan Documents or in respect of any of the Loans made or reimbursement or other obligations incurred or any of the Letters of Credit or other instruments at any time evidencing any thereof. For the avoidance of doubt, the “Obligations” of any Loan Guarantor shall include the Guaranteed Obligations.</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OFAC</w:t>
      </w:r>
      <w:r>
        <w:rPr>
          <w:rFonts w:ascii="Times New Roman" w:cs="Times New Roman" w:eastAsia="Times New Roman" w:hAnsi="Times New Roman"/>
          <w:sz w:val="20"/>
          <w:szCs w:val="20"/>
          <w:color w:val="231F20"/>
        </w:rPr>
        <w:t>” means the Office of Foreign Assets Control of the United States Department of the Treasury.</w:t>
      </w:r>
    </w:p>
    <w:p>
      <w:pPr>
        <w:spacing w:after="0" w:line="216"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Off-Balance Sheet Liability</w:t>
      </w:r>
      <w:r>
        <w:rPr>
          <w:rFonts w:ascii="Times New Roman" w:cs="Times New Roman" w:eastAsia="Times New Roman" w:hAnsi="Times New Roman"/>
          <w:sz w:val="20"/>
          <w:szCs w:val="20"/>
          <w:color w:val="231F20"/>
        </w:rPr>
        <w:t>” of a Person means (a) any repurchase obligation or liability of such Person with respect to accounts or notes receivable sold by such Person (other than any customary repurchase obligations resulting from a breach of representations and warranties, covenants, servicing obligations and indemnities under a securitization facility), or (b) any Indebtedness, liability or obligation under any so-called “synthetic lease” transaction entered into by such Person.</w:t>
      </w:r>
    </w:p>
    <w:p>
      <w:pPr>
        <w:spacing w:after="0" w:line="180"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Other Connection Taxes</w:t>
      </w:r>
      <w:r>
        <w:rPr>
          <w:rFonts w:ascii="Times New Roman" w:cs="Times New Roman" w:eastAsia="Times New Roman" w:hAnsi="Times New Roman"/>
          <w:sz w:val="20"/>
          <w:szCs w:val="20"/>
          <w:color w:val="231F20"/>
        </w:rPr>
        <w:t>” means, with respect to any Recipient, Taxes imposed as a result of a present or former connection between such Recipient and the jurisdiction imposing such Taxes (other than a connection solely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98"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Other Taxes</w:t>
      </w:r>
      <w:r>
        <w:rPr>
          <w:rFonts w:ascii="Times New Roman" w:cs="Times New Roman" w:eastAsia="Times New Roman" w:hAnsi="Times New Roman"/>
          <w:sz w:val="20"/>
          <w:szCs w:val="20"/>
          <w:color w:val="231F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231F20"/>
        </w:rPr>
        <w:t>Section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2.19(b)</w:t>
      </w:r>
      <w:r>
        <w:rPr>
          <w:rFonts w:ascii="Times New Roman" w:cs="Times New Roman" w:eastAsia="Times New Roman" w:hAnsi="Times New Roman"/>
          <w:sz w:val="20"/>
          <w:szCs w:val="20"/>
          <w:color w:val="231F20"/>
        </w:rPr>
        <w:t>).</w:t>
      </w:r>
    </w:p>
    <w:p>
      <w:pPr>
        <w:spacing w:after="0" w:line="185"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u w:val="single" w:color="auto"/>
          <w:color w:val="2251A3"/>
        </w:rPr>
        <w:t>“Outbound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PA-DSS Requirements</w:t>
      </w:r>
      <w:r>
        <w:rPr>
          <w:rFonts w:ascii="Times New Roman" w:cs="Times New Roman" w:eastAsia="Times New Roman" w:hAnsi="Times New Roman"/>
          <w:sz w:val="20"/>
          <w:szCs w:val="20"/>
          <w:color w:val="231F20"/>
        </w:rPr>
        <w:t>” has the meaning assigned to such term in the definition of “PCI Compliance Program.”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62" w:name="page163"/>
    <w:bookmarkEnd w:id="162"/>
    <w:p>
      <w:pPr>
        <w:ind w:left="1480"/>
        <w:spacing w:after="0"/>
        <w:rPr>
          <w:sz w:val="20"/>
          <w:szCs w:val="20"/>
          <w:color w:val="auto"/>
        </w:rPr>
      </w:pP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u w:val="single" w:color="auto"/>
          <w:color w:val="231F20"/>
        </w:rPr>
        <w:t>Parent</w:t>
      </w:r>
      <w:r>
        <w:rPr>
          <w:rFonts w:ascii="Times New Roman" w:cs="Times New Roman" w:eastAsia="Times New Roman" w:hAnsi="Times New Roman"/>
          <w:sz w:val="19"/>
          <w:szCs w:val="19"/>
          <w:color w:val="231F20"/>
        </w:rPr>
        <w:t>” means, with respect to any Lender, any Person as to which such Lender is, directly or indirectly, a subsidiary.</w:t>
      </w:r>
    </w:p>
    <w:p>
      <w:pPr>
        <w:spacing w:after="0" w:line="227" w:lineRule="exact"/>
        <w:rPr>
          <w:sz w:val="20"/>
          <w:szCs w:val="20"/>
          <w:color w:val="auto"/>
        </w:rPr>
      </w:pPr>
    </w:p>
    <w:p>
      <w:pPr>
        <w:ind w:left="1480" w:right="1660"/>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Participant</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9.04(c)</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u w:val="single" w:color="auto"/>
          <w:color w:val="231F20"/>
        </w:rPr>
        <w:t>Participant Register</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9.04(c)</w:t>
      </w:r>
      <w:r>
        <w:rPr>
          <w:rFonts w:ascii="Times New Roman" w:cs="Times New Roman" w:eastAsia="Times New Roman" w:hAnsi="Times New Roman"/>
          <w:sz w:val="20"/>
          <w:szCs w:val="20"/>
          <w:color w:val="231F20"/>
        </w:rPr>
        <w:t>.</w:t>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Payment Brand Member</w:t>
      </w:r>
      <w:r>
        <w:rPr>
          <w:rFonts w:ascii="Times New Roman" w:cs="Times New Roman" w:eastAsia="Times New Roman" w:hAnsi="Times New Roman"/>
          <w:sz w:val="20"/>
          <w:szCs w:val="20"/>
          <w:color w:val="231F20"/>
        </w:rPr>
        <w:t>” means American Express, Discover and MasterCard or Visa.</w:t>
      </w:r>
    </w:p>
    <w:p>
      <w:pPr>
        <w:spacing w:after="0" w:line="194" w:lineRule="exact"/>
        <w:rPr>
          <w:sz w:val="20"/>
          <w:szCs w:val="20"/>
          <w:color w:val="auto"/>
        </w:rPr>
      </w:pPr>
    </w:p>
    <w:p>
      <w:pPr>
        <w:jc w:val="both"/>
        <w:ind w:left="740" w:right="60" w:firstLine="749"/>
        <w:spacing w:after="0" w:line="242"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Payment in Full</w:t>
      </w:r>
      <w:r>
        <w:rPr>
          <w:rFonts w:ascii="Times New Roman" w:cs="Times New Roman" w:eastAsia="Times New Roman" w:hAnsi="Times New Roman"/>
          <w:sz w:val="20"/>
          <w:szCs w:val="20"/>
          <w:color w:val="231F20"/>
        </w:rPr>
        <w:t>” means as of any date of determination, that: (a) the entire amount of principal of and interest due on the Loans, and all other amounts of fees, payments and other obligations due under this Agreement, the other Loan Documents and the Notes are paid in full in cash (other than contingent indemnification obligations and reimbursement obligations in respect of which no claim for payment has yet been asserted by the Person entitled thereto, and any Banking Services Obligations not then due and owing); (b) the commitments to lend under this Agreement have been terminated; (c) there are no outstanding Letters of Credit (other than Letters of Credit that have been cash collateralized in accordance with the requirements of this Agreement or other arrangements acceptable to the Issuing Bank); (d) there are no outstanding Swap Agreement Obligations (or arrangements with respect thereto have been implemented which are acceptable to the relevant counterparty); and (e) all other Obligations (other than contingent indemnification obligations and reimbursement obligations in respect of which no claim for payment has yet been asserted by the Person entitled thereto, and any Banking Services Obligations not then due and owing) have been paid in full in cash. “Paid in Full” shall have a correlative meaning.</w:t>
      </w:r>
    </w:p>
    <w:p>
      <w:pPr>
        <w:spacing w:after="0" w:line="1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Payment Recipient</w:t>
      </w:r>
      <w:r>
        <w:rPr>
          <w:rFonts w:ascii="Times New Roman" w:cs="Times New Roman" w:eastAsia="Times New Roman" w:hAnsi="Times New Roman"/>
          <w:sz w:val="20"/>
          <w:szCs w:val="20"/>
          <w:color w:val="231F20"/>
        </w:rPr>
        <w:t xml:space="preserve">” has the meaning assigned to it in </w:t>
      </w:r>
      <w:r>
        <w:rPr>
          <w:rFonts w:ascii="Times New Roman" w:cs="Times New Roman" w:eastAsia="Times New Roman" w:hAnsi="Times New Roman"/>
          <w:sz w:val="20"/>
          <w:szCs w:val="20"/>
          <w:u w:val="single" w:color="auto"/>
          <w:color w:val="231F20"/>
        </w:rPr>
        <w:t>Section 8.10(a)</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10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PBGC</w:t>
      </w:r>
      <w:r>
        <w:rPr>
          <w:rFonts w:ascii="Times New Roman" w:cs="Times New Roman" w:eastAsia="Times New Roman" w:hAnsi="Times New Roman"/>
          <w:sz w:val="20"/>
          <w:szCs w:val="20"/>
          <w:color w:val="231F20"/>
        </w:rPr>
        <w:t>” means the Pension Benefit Guaranty Corporation referred to and defined in ERISA and any successor entity performing similar functions.</w:t>
      </w:r>
    </w:p>
    <w:p>
      <w:pPr>
        <w:spacing w:after="0" w:line="159" w:lineRule="exact"/>
        <w:rPr>
          <w:sz w:val="20"/>
          <w:szCs w:val="20"/>
          <w:color w:val="auto"/>
        </w:rPr>
      </w:pPr>
    </w:p>
    <w:p>
      <w:pPr>
        <w:jc w:val="both"/>
        <w:ind w:left="740" w:right="100" w:firstLine="747"/>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PCI Compliance Program</w:t>
      </w:r>
      <w:r>
        <w:rPr>
          <w:rFonts w:ascii="Times New Roman" w:cs="Times New Roman" w:eastAsia="Times New Roman" w:hAnsi="Times New Roman"/>
          <w:sz w:val="20"/>
          <w:szCs w:val="20"/>
          <w:color w:val="231F20"/>
        </w:rPr>
        <w:t>” means the then current Payment Card Industry Data Security Standard (or any successor) requirements (“</w:t>
      </w:r>
      <w:r>
        <w:rPr>
          <w:rFonts w:ascii="Times New Roman" w:cs="Times New Roman" w:eastAsia="Times New Roman" w:hAnsi="Times New Roman"/>
          <w:sz w:val="20"/>
          <w:szCs w:val="20"/>
          <w:u w:val="single" w:color="auto"/>
          <w:color w:val="231F20"/>
        </w:rPr>
        <w:t>PCI-DSS Requirements</w:t>
      </w:r>
      <w:r>
        <w:rPr>
          <w:rFonts w:ascii="Times New Roman" w:cs="Times New Roman" w:eastAsia="Times New Roman" w:hAnsi="Times New Roman"/>
          <w:sz w:val="20"/>
          <w:szCs w:val="20"/>
          <w:color w:val="231F20"/>
        </w:rPr>
        <w:t>”) and/or Payment Application Data Security Standard (or any successor) requirements (“</w:t>
      </w:r>
      <w:r>
        <w:rPr>
          <w:rFonts w:ascii="Times New Roman" w:cs="Times New Roman" w:eastAsia="Times New Roman" w:hAnsi="Times New Roman"/>
          <w:sz w:val="20"/>
          <w:szCs w:val="20"/>
          <w:u w:val="single" w:color="auto"/>
          <w:color w:val="231F20"/>
        </w:rPr>
        <w:t>PA-DSS Requirements</w:t>
      </w:r>
      <w:r>
        <w:rPr>
          <w:rFonts w:ascii="Times New Roman" w:cs="Times New Roman" w:eastAsia="Times New Roman" w:hAnsi="Times New Roman"/>
          <w:sz w:val="20"/>
          <w:szCs w:val="20"/>
          <w:color w:val="231F20"/>
        </w:rPr>
        <w:t>”) for each of the Loan Parties’ and each of its Subsidiaries’ Payment Brand Members, as well as any mandate issued by any applicable Payment Brand Member to the extent that it implements PCI-DSS Requirements and/or PA-DSS Requirements.</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PCI-DSS Requirements</w:t>
      </w:r>
      <w:r>
        <w:rPr>
          <w:rFonts w:ascii="Times New Roman" w:cs="Times New Roman" w:eastAsia="Times New Roman" w:hAnsi="Times New Roman"/>
          <w:sz w:val="20"/>
          <w:szCs w:val="20"/>
          <w:color w:val="231F20"/>
        </w:rPr>
        <w:t>” has the meaning assigned to such term in the definition of “PCI Compliance Program.”</w:t>
      </w:r>
    </w:p>
    <w:p>
      <w:pPr>
        <w:spacing w:after="0" w:line="22" w:lineRule="exact"/>
        <w:rPr>
          <w:sz w:val="20"/>
          <w:szCs w:val="20"/>
          <w:color w:val="auto"/>
        </w:rPr>
      </w:pPr>
    </w:p>
    <w:p>
      <w:pPr>
        <w:ind w:left="1480" w:right="180"/>
        <w:spacing w:after="0" w:line="23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PCI Requirements</w:t>
      </w:r>
      <w:r>
        <w:rPr>
          <w:rFonts w:ascii="Times New Roman" w:cs="Times New Roman" w:eastAsia="Times New Roman" w:hAnsi="Times New Roman"/>
          <w:sz w:val="20"/>
          <w:szCs w:val="20"/>
          <w:color w:val="231F20"/>
        </w:rPr>
        <w:t>” means PCI-DSS Requirements or PA-DSS Requirements, as applicable. “</w:t>
      </w:r>
      <w:r>
        <w:rPr>
          <w:rFonts w:ascii="Times New Roman" w:cs="Times New Roman" w:eastAsia="Times New Roman" w:hAnsi="Times New Roman"/>
          <w:sz w:val="20"/>
          <w:szCs w:val="20"/>
          <w:u w:val="single" w:color="auto"/>
          <w:color w:val="231F20"/>
        </w:rPr>
        <w:t>Periodic Term SOFR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Determination Day</w:t>
      </w:r>
      <w:r>
        <w:rPr>
          <w:rFonts w:ascii="Times New Roman" w:cs="Times New Roman" w:eastAsia="Times New Roman" w:hAnsi="Times New Roman"/>
          <w:sz w:val="20"/>
          <w:szCs w:val="20"/>
          <w:color w:val="231F20"/>
        </w:rPr>
        <w:t>” has the meaning assigned to such term in the</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31F20"/>
        </w:rPr>
        <w:t>definition of “Term SOFR”.</w:t>
      </w:r>
    </w:p>
    <w:p>
      <w:pPr>
        <w:spacing w:after="0" w:line="194"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Permits</w:t>
      </w:r>
      <w:r>
        <w:rPr>
          <w:rFonts w:ascii="Times New Roman" w:cs="Times New Roman" w:eastAsia="Times New Roman" w:hAnsi="Times New Roman"/>
          <w:sz w:val="20"/>
          <w:szCs w:val="20"/>
          <w:color w:val="231F20"/>
        </w:rPr>
        <w:t>” means, with respect to any Person, any permit, approval, clearance, authorization, license, registration, certificate, concession, grant, franchise, variance or permission from, and any other contractual obligations with, any Governmental Authority, in each case whether or not having the force of law and applicable to or binding upon such Person or any of its property or Products or to which such Person or any of its property or Products is subject, including all registrations with Governmental Authorities.</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Permitted Acquisition</w:t>
      </w:r>
      <w:r>
        <w:rPr>
          <w:rFonts w:ascii="Times New Roman" w:cs="Times New Roman" w:eastAsia="Times New Roman" w:hAnsi="Times New Roman"/>
          <w:sz w:val="20"/>
          <w:szCs w:val="20"/>
          <w:color w:val="231F20"/>
        </w:rPr>
        <w:t>” means any Acquisition in which each of the following conditions is satisfied: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1291" w:right="679" w:bottom="1440" w:gutter="0" w:footer="0" w:header="0"/>
        </w:sectPr>
      </w:pPr>
    </w:p>
    <w:bookmarkStart w:id="163" w:name="page164"/>
    <w:bookmarkEnd w:id="163"/>
    <w:p>
      <w:pPr>
        <w:ind w:left="740" w:right="380" w:firstLine="745"/>
        <w:spacing w:after="0" w:line="269" w:lineRule="auto"/>
        <w:tabs>
          <w:tab w:leader="none" w:pos="2005" w:val="left"/>
        </w:tabs>
        <w:numPr>
          <w:ilvl w:val="0"/>
          <w:numId w:val="8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Person or business or assets which is the subject of such Acquisition is in a line of business permitted under </w:t>
      </w:r>
      <w:r>
        <w:rPr>
          <w:rFonts w:ascii="Times New Roman" w:cs="Times New Roman" w:eastAsia="Times New Roman" w:hAnsi="Times New Roman"/>
          <w:sz w:val="20"/>
          <w:szCs w:val="20"/>
          <w:u w:val="single" w:color="auto"/>
          <w:color w:val="231F20"/>
        </w:rPr>
        <w:t>Section 6.03(b)</w:t>
      </w:r>
      <w:r>
        <w:rPr>
          <w:rFonts w:ascii="Times New Roman" w:cs="Times New Roman" w:eastAsia="Times New Roman" w:hAnsi="Times New Roman"/>
          <w:sz w:val="20"/>
          <w:szCs w:val="20"/>
          <w:color w:val="231F20"/>
        </w:rPr>
        <w:t>;</w:t>
      </w:r>
    </w:p>
    <w:p>
      <w:pPr>
        <w:spacing w:after="0" w:line="159" w:lineRule="exact"/>
        <w:rPr>
          <w:rFonts w:ascii="Times New Roman" w:cs="Times New Roman" w:eastAsia="Times New Roman" w:hAnsi="Times New Roman"/>
          <w:sz w:val="20"/>
          <w:szCs w:val="20"/>
          <w:color w:val="231F20"/>
        </w:rPr>
      </w:pPr>
    </w:p>
    <w:p>
      <w:pPr>
        <w:ind w:left="740" w:right="380" w:firstLine="745"/>
        <w:spacing w:after="0" w:line="269" w:lineRule="auto"/>
        <w:tabs>
          <w:tab w:leader="none" w:pos="2005" w:val="left"/>
        </w:tabs>
        <w:numPr>
          <w:ilvl w:val="0"/>
          <w:numId w:val="8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all material governmental, corporate and third-party approvals and consents reasonably necessary in connection with such Acquisition shall have been obtained and be in full force and effect;</w:t>
      </w:r>
    </w:p>
    <w:p>
      <w:pPr>
        <w:spacing w:after="0" w:line="159" w:lineRule="exact"/>
        <w:rPr>
          <w:rFonts w:ascii="Times New Roman" w:cs="Times New Roman" w:eastAsia="Times New Roman" w:hAnsi="Times New Roman"/>
          <w:sz w:val="20"/>
          <w:szCs w:val="20"/>
          <w:color w:val="231F20"/>
        </w:rPr>
      </w:pPr>
    </w:p>
    <w:p>
      <w:pPr>
        <w:jc w:val="both"/>
        <w:ind w:left="740" w:right="380" w:firstLine="745"/>
        <w:spacing w:after="0" w:line="249" w:lineRule="auto"/>
        <w:tabs>
          <w:tab w:leader="none" w:pos="2005" w:val="left"/>
        </w:tabs>
        <w:numPr>
          <w:ilvl w:val="0"/>
          <w:numId w:val="8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if acquiring a Person, unless such Person is contemporaneously merged with and into the Borrower or a Subsidiary of the Borrower, such Person becomes a wholly-owned direct or indirect Subsidiary of the Borrower and, simultaneously with such Acquisition, a Loan Party to the extent required by </w:t>
      </w:r>
      <w:r>
        <w:rPr>
          <w:rFonts w:ascii="Times New Roman" w:cs="Times New Roman" w:eastAsia="Times New Roman" w:hAnsi="Times New Roman"/>
          <w:sz w:val="20"/>
          <w:szCs w:val="20"/>
          <w:u w:val="single" w:color="auto"/>
          <w:color w:val="231F20"/>
        </w:rPr>
        <w:t>Section 5.09</w:t>
      </w:r>
      <w:r>
        <w:rPr>
          <w:rFonts w:ascii="Times New Roman" w:cs="Times New Roman" w:eastAsia="Times New Roman" w:hAnsi="Times New Roman"/>
          <w:sz w:val="20"/>
          <w:szCs w:val="20"/>
          <w:color w:val="231F20"/>
        </w:rPr>
        <w:t xml:space="preserve">, with such Person’s Equity Interests being pledged as Collateral to the extent required by </w:t>
      </w:r>
      <w:r>
        <w:rPr>
          <w:rFonts w:ascii="Times New Roman" w:cs="Times New Roman" w:eastAsia="Times New Roman" w:hAnsi="Times New Roman"/>
          <w:sz w:val="20"/>
          <w:szCs w:val="20"/>
          <w:u w:val="single" w:color="auto"/>
          <w:color w:val="231F20"/>
        </w:rPr>
        <w:t>Section 5.09</w:t>
      </w:r>
      <w:r>
        <w:rPr>
          <w:rFonts w:ascii="Times New Roman" w:cs="Times New Roman" w:eastAsia="Times New Roman" w:hAnsi="Times New Roman"/>
          <w:sz w:val="20"/>
          <w:szCs w:val="20"/>
          <w:color w:val="231F20"/>
        </w:rPr>
        <w:t>;</w:t>
      </w:r>
    </w:p>
    <w:p>
      <w:pPr>
        <w:spacing w:after="0" w:line="179" w:lineRule="exact"/>
        <w:rPr>
          <w:rFonts w:ascii="Times New Roman" w:cs="Times New Roman" w:eastAsia="Times New Roman" w:hAnsi="Times New Roman"/>
          <w:sz w:val="20"/>
          <w:szCs w:val="20"/>
          <w:color w:val="231F20"/>
        </w:rPr>
      </w:pPr>
    </w:p>
    <w:p>
      <w:pPr>
        <w:jc w:val="both"/>
        <w:ind w:left="740" w:right="360" w:firstLine="745"/>
        <w:spacing w:after="0" w:line="274" w:lineRule="auto"/>
        <w:tabs>
          <w:tab w:leader="none" w:pos="2006" w:val="left"/>
        </w:tabs>
        <w:numPr>
          <w:ilvl w:val="0"/>
          <w:numId w:val="8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such Acquisition shall be consummated in all material respects in accordance with the terms of the purchase or acquisition agreement executed in connection therewith and with all other material agreements, instruments and documents implementing such Acquisition and in compliance in all material respects with applicable law and regulatory approvals;</w:t>
      </w:r>
    </w:p>
    <w:p>
      <w:pPr>
        <w:spacing w:after="0" w:line="156" w:lineRule="exact"/>
        <w:rPr>
          <w:rFonts w:ascii="Times New Roman" w:cs="Times New Roman" w:eastAsia="Times New Roman" w:hAnsi="Times New Roman"/>
          <w:sz w:val="19"/>
          <w:szCs w:val="19"/>
          <w:color w:val="231F20"/>
        </w:rPr>
      </w:pPr>
    </w:p>
    <w:p>
      <w:pPr>
        <w:ind w:left="740" w:right="380" w:firstLine="745"/>
        <w:spacing w:after="0" w:line="269" w:lineRule="auto"/>
        <w:tabs>
          <w:tab w:leader="none" w:pos="2005" w:val="left"/>
        </w:tabs>
        <w:numPr>
          <w:ilvl w:val="0"/>
          <w:numId w:val="8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such Acquisition shall, prior to the date of such Acquisition, have been approved by the board of directors (or similar governing body) of such Person to be acquired (and such approval shall not have been rescinded);</w:t>
      </w:r>
    </w:p>
    <w:p>
      <w:pPr>
        <w:spacing w:after="0" w:line="159" w:lineRule="exact"/>
        <w:rPr>
          <w:rFonts w:ascii="Times New Roman" w:cs="Times New Roman" w:eastAsia="Times New Roman" w:hAnsi="Times New Roman"/>
          <w:sz w:val="20"/>
          <w:szCs w:val="20"/>
          <w:color w:val="231F20"/>
        </w:rPr>
      </w:pPr>
    </w:p>
    <w:p>
      <w:pPr>
        <w:ind w:left="2000" w:hanging="515"/>
        <w:spacing w:after="0"/>
        <w:tabs>
          <w:tab w:leader="none" w:pos="2000" w:val="left"/>
        </w:tabs>
        <w:numPr>
          <w:ilvl w:val="0"/>
          <w:numId w:val="8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Default or Event of Default shall have occurred and be continuing or would result therefrom;</w:t>
      </w:r>
    </w:p>
    <w:p>
      <w:pPr>
        <w:spacing w:after="0" w:line="215" w:lineRule="exact"/>
        <w:rPr>
          <w:rFonts w:ascii="Times New Roman" w:cs="Times New Roman" w:eastAsia="Times New Roman" w:hAnsi="Times New Roman"/>
          <w:sz w:val="20"/>
          <w:szCs w:val="20"/>
          <w:color w:val="231F20"/>
        </w:rPr>
      </w:pPr>
    </w:p>
    <w:p>
      <w:pPr>
        <w:jc w:val="both"/>
        <w:ind w:left="740" w:right="320" w:firstLine="745"/>
        <w:spacing w:after="0" w:line="249" w:lineRule="auto"/>
        <w:tabs>
          <w:tab w:leader="none" w:pos="2008" w:val="left"/>
        </w:tabs>
        <w:numPr>
          <w:ilvl w:val="0"/>
          <w:numId w:val="8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after giving effect to such Acquisition (including the incurrence, assumption or acquisition of any Indebtedness in connection therewith) the Consolidated Total Net Leverage Ratio, calculated on a pro forma basis as if such Acquisition (including the incurrence, assumption or acquisition of any Indebtedness in connection therewith) had been consummated at the beginning of </w:t>
      </w:r>
      <w:r>
        <w:rPr>
          <w:rFonts w:ascii="Times New Roman" w:cs="Times New Roman" w:eastAsia="Times New Roman" w:hAnsi="Times New Roman"/>
          <w:sz w:val="20"/>
          <w:szCs w:val="20"/>
          <w:color w:val="ED1C24"/>
          <w:strike w:val="1"/>
        </w:rPr>
        <w:t>such period</w:t>
      </w:r>
      <w:r>
        <w:rPr>
          <w:rFonts w:ascii="Times New Roman" w:cs="Times New Roman" w:eastAsia="Times New Roman" w:hAnsi="Times New Roman"/>
          <w:sz w:val="20"/>
          <w:szCs w:val="20"/>
          <w:u w:val="single" w:color="auto"/>
          <w:color w:val="2251A3"/>
        </w:rPr>
        <w:t>the most recently ended Reference Period</w:t>
      </w:r>
      <w:r>
        <w:rPr>
          <w:rFonts w:ascii="Times New Roman" w:cs="Times New Roman" w:eastAsia="Times New Roman" w:hAnsi="Times New Roman"/>
          <w:sz w:val="20"/>
          <w:szCs w:val="20"/>
          <w:color w:val="231F20"/>
        </w:rPr>
        <w:t>, shall not exceed 3.25 to 1.00;</w:t>
      </w:r>
    </w:p>
    <w:p>
      <w:pPr>
        <w:spacing w:after="0" w:line="179" w:lineRule="exact"/>
        <w:rPr>
          <w:rFonts w:ascii="Times New Roman" w:cs="Times New Roman" w:eastAsia="Times New Roman" w:hAnsi="Times New Roman"/>
          <w:sz w:val="20"/>
          <w:szCs w:val="20"/>
          <w:color w:val="231F20"/>
        </w:rPr>
      </w:pPr>
    </w:p>
    <w:p>
      <w:pPr>
        <w:jc w:val="both"/>
        <w:ind w:left="740" w:right="280" w:firstLine="745"/>
        <w:spacing w:after="0" w:line="249" w:lineRule="auto"/>
        <w:tabs>
          <w:tab w:leader="none" w:pos="2010" w:val="left"/>
        </w:tabs>
        <w:numPr>
          <w:ilvl w:val="0"/>
          <w:numId w:val="8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aggregate cash purchase price for all Permitted Acquisitions of any Persons which do not become Loan Guarantors </w:t>
      </w:r>
      <w:r>
        <w:rPr>
          <w:rFonts w:ascii="Times New Roman" w:cs="Times New Roman" w:eastAsia="Times New Roman" w:hAnsi="Times New Roman"/>
          <w:sz w:val="20"/>
          <w:szCs w:val="20"/>
          <w:color w:val="ED1C24"/>
          <w:strike w:val="1"/>
        </w:rPr>
        <w:t>(together with the aggregate amount of investments, loans or advances described in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ED1C24"/>
          <w:strike w:val="1"/>
        </w:rPr>
        <w:t>Sections 6.04(c), (d)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ED1C24"/>
          <w:strike w:val="1"/>
        </w:rPr>
        <w:t>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ED1C24"/>
          <w:strike w:val="1"/>
        </w:rPr>
        <w:t>(l)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ED1C24"/>
        </w:rPr>
        <w:t>(iv)</w:t>
      </w:r>
      <w:r>
        <w:rPr>
          <w:rFonts w:ascii="Times New Roman" w:cs="Times New Roman" w:eastAsia="Times New Roman" w:hAnsi="Times New Roman"/>
          <w:sz w:val="20"/>
          <w:szCs w:val="20"/>
          <w:color w:val="ED1C24"/>
        </w:rPr>
        <w:t xml:space="preserve">) shall not exceed an amount equal to the greater of (i) $50.0 </w:t>
      </w:r>
      <w:r>
        <w:rPr>
          <w:rFonts w:ascii="Times New Roman" w:cs="Times New Roman" w:eastAsia="Times New Roman" w:hAnsi="Times New Roman"/>
          <w:sz w:val="20"/>
          <w:szCs w:val="20"/>
          <w:color w:val="ED1C24"/>
          <w:strike w:val="1"/>
        </w:rPr>
        <w:t>million and (ii) 25% of Consolidated Adjusted EBITDA for</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ED1C24"/>
          <w:strike w:val="1"/>
        </w:rPr>
        <w:t>the most recently ended Reference Period, on a pro forma basis; and</w:t>
      </w:r>
      <w:r>
        <w:rPr>
          <w:rFonts w:ascii="Times New Roman" w:cs="Times New Roman" w:eastAsia="Times New Roman" w:hAnsi="Times New Roman"/>
          <w:sz w:val="20"/>
          <w:szCs w:val="20"/>
          <w:u w:val="single" w:color="auto"/>
          <w:color w:val="2251A3"/>
          <w:strike w:val="1"/>
        </w:rPr>
        <w:t>shall not exceed the Non-Loan Party Cap; and</w:t>
      </w:r>
    </w:p>
    <w:p>
      <w:pPr>
        <w:spacing w:after="0" w:line="179" w:lineRule="exact"/>
        <w:rPr>
          <w:rFonts w:ascii="Times New Roman" w:cs="Times New Roman" w:eastAsia="Times New Roman" w:hAnsi="Times New Roman"/>
          <w:sz w:val="20"/>
          <w:szCs w:val="20"/>
          <w:color w:val="231F20"/>
        </w:rPr>
      </w:pPr>
    </w:p>
    <w:p>
      <w:pPr>
        <w:ind w:left="740" w:right="920" w:firstLine="745"/>
        <w:spacing w:after="0" w:line="269" w:lineRule="auto"/>
        <w:tabs>
          <w:tab w:leader="none" w:pos="2005" w:val="left"/>
        </w:tabs>
        <w:numPr>
          <w:ilvl w:val="0"/>
          <w:numId w:val="8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Borrower shall have delivered a notice to the Administrative Agent and the Lenders setting forth the calculations demonstrating compliance with </w:t>
      </w:r>
      <w:r>
        <w:rPr>
          <w:rFonts w:ascii="Times New Roman" w:cs="Times New Roman" w:eastAsia="Times New Roman" w:hAnsi="Times New Roman"/>
          <w:sz w:val="20"/>
          <w:szCs w:val="20"/>
          <w:u w:val="single" w:color="auto"/>
          <w:color w:val="231F20"/>
        </w:rPr>
        <w:t>clause (g)</w:t>
      </w:r>
      <w:r>
        <w:rPr>
          <w:rFonts w:ascii="Times New Roman" w:cs="Times New Roman" w:eastAsia="Times New Roman" w:hAnsi="Times New Roman"/>
          <w:sz w:val="20"/>
          <w:szCs w:val="20"/>
          <w:color w:val="231F20"/>
        </w:rPr>
        <w:t xml:space="preserve">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-672465</wp:posOffset>
            </wp:positionV>
            <wp:extent cx="333692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336925" cy="8255"/>
                    </a:xfrm>
                    <a:prstGeom prst="rect">
                      <a:avLst/>
                    </a:prstGeom>
                    <a:noFill/>
                  </pic:spPr>
                </pic:pic>
              </a:graphicData>
            </a:graphic>
          </wp:anchor>
        </w:drawing>
      </w:r>
    </w:p>
    <w:p>
      <w:pPr>
        <w:spacing w:after="0" w:line="139" w:lineRule="exact"/>
        <w:rPr>
          <w:sz w:val="20"/>
          <w:szCs w:val="20"/>
          <w:color w:val="auto"/>
        </w:rPr>
      </w:pPr>
    </w:p>
    <w:p>
      <w:pPr>
        <w:jc w:val="both"/>
        <w:ind w:left="740" w:right="320" w:firstLine="749"/>
        <w:spacing w:after="0" w:line="244" w:lineRule="auto"/>
        <w:rPr>
          <w:sz w:val="20"/>
          <w:szCs w:val="20"/>
          <w:color w:val="auto"/>
        </w:rPr>
      </w:pPr>
      <w:r>
        <w:rPr>
          <w:rFonts w:ascii="Times New Roman" w:cs="Times New Roman" w:eastAsia="Times New Roman" w:hAnsi="Times New Roman"/>
          <w:sz w:val="20"/>
          <w:szCs w:val="20"/>
          <w:u w:val="single" w:color="auto"/>
          <w:color w:val="2251A3"/>
        </w:rPr>
        <w:t>“Permitted Call Hedging Agreement” means any agreement pursuant to which a Loan Party acquires a call or a capped call option (or substantively equivalent derivative transaction requiring the counterparty thereto to deliver to the applicable Loan Party shares of common stock of such Loan Party (or other securities or property following a merger event, reclassification or other change of such common stock), the cash value of such shares (or such other securities property) or a combination thereof, or cash representing the termination value of such option from time to time upon settlement, exercise or early termination of such option, entered into by a Loan Party in connection with the issuance of Convertible Debt (including, without limitation the exercise of any over-allotment or initial purchaser’s or underwriter’s option).</w:t>
      </w:r>
    </w:p>
    <w:p>
      <w:pPr>
        <w:spacing w:after="0" w:line="186" w:lineRule="exact"/>
        <w:rPr>
          <w:sz w:val="20"/>
          <w:szCs w:val="20"/>
          <w:color w:val="auto"/>
        </w:rPr>
      </w:pPr>
    </w:p>
    <w:p>
      <w:pPr>
        <w:ind w:left="740" w:firstLine="749"/>
        <w:spacing w:after="0" w:line="269" w:lineRule="auto"/>
        <w:rPr>
          <w:sz w:val="20"/>
          <w:szCs w:val="20"/>
          <w:color w:val="auto"/>
        </w:rPr>
      </w:pPr>
      <w:r>
        <w:rPr>
          <w:rFonts w:ascii="Times New Roman" w:cs="Times New Roman" w:eastAsia="Times New Roman" w:hAnsi="Times New Roman"/>
          <w:sz w:val="20"/>
          <w:szCs w:val="20"/>
          <w:u w:val="single" w:color="auto"/>
          <w:color w:val="2251A3"/>
        </w:rPr>
        <w:t>“Permitted Warrant Transaction” means any call option, warrant or right to purchase (or similar transaction), on or linked to the Borrower’s shares of common stock, regardless of the issuer or seller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291" w:right="399" w:bottom="1440" w:gutter="0" w:footer="0" w:header="0"/>
        </w:sectPr>
      </w:pPr>
    </w:p>
    <w:bookmarkStart w:id="164" w:name="page165"/>
    <w:bookmarkEnd w:id="164"/>
    <w:p>
      <w:pPr>
        <w:ind w:left="740"/>
        <w:spacing w:after="0"/>
        <w:rPr>
          <w:sz w:val="20"/>
          <w:szCs w:val="20"/>
          <w:color w:val="auto"/>
        </w:rPr>
      </w:pPr>
      <w:r>
        <w:rPr>
          <w:rFonts w:ascii="Times New Roman" w:cs="Times New Roman" w:eastAsia="Times New Roman" w:hAnsi="Times New Roman"/>
          <w:sz w:val="20"/>
          <w:szCs w:val="20"/>
          <w:u w:val="single" w:color="auto"/>
          <w:color w:val="2251A3"/>
        </w:rPr>
        <w:t>thereof, issued substantially concurrently with any purchase of a related Permitted Call Hedging Agreement.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Permitted Encumbrances</w:t>
      </w:r>
      <w:r>
        <w:rPr>
          <w:rFonts w:ascii="Times New Roman" w:cs="Times New Roman" w:eastAsia="Times New Roman" w:hAnsi="Times New Roman"/>
          <w:sz w:val="20"/>
          <w:szCs w:val="20"/>
          <w:color w:val="231F20"/>
        </w:rPr>
        <w:t>” means:</w:t>
      </w:r>
    </w:p>
    <w:p>
      <w:pPr>
        <w:spacing w:after="0" w:line="216" w:lineRule="exact"/>
        <w:rPr>
          <w:sz w:val="20"/>
          <w:szCs w:val="20"/>
          <w:color w:val="auto"/>
        </w:rPr>
      </w:pPr>
    </w:p>
    <w:p>
      <w:pPr>
        <w:ind w:left="740" w:firstLine="745"/>
        <w:spacing w:after="0" w:line="269" w:lineRule="auto"/>
        <w:tabs>
          <w:tab w:leader="none" w:pos="2005" w:val="left"/>
        </w:tabs>
        <w:numPr>
          <w:ilvl w:val="0"/>
          <w:numId w:val="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Liens imposed by law for taxes, fees, assessments or other governmental charges that are not yet delinquent or are being contested in compliance with </w:t>
      </w:r>
      <w:r>
        <w:rPr>
          <w:rFonts w:ascii="Times New Roman" w:cs="Times New Roman" w:eastAsia="Times New Roman" w:hAnsi="Times New Roman"/>
          <w:sz w:val="20"/>
          <w:szCs w:val="20"/>
          <w:u w:val="single" w:color="auto"/>
          <w:color w:val="231F20"/>
        </w:rPr>
        <w:t>Section 5.04</w:t>
      </w:r>
      <w:r>
        <w:rPr>
          <w:rFonts w:ascii="Times New Roman" w:cs="Times New Roman" w:eastAsia="Times New Roman" w:hAnsi="Times New Roman"/>
          <w:sz w:val="20"/>
          <w:szCs w:val="20"/>
          <w:color w:val="231F20"/>
        </w:rPr>
        <w:t>;</w:t>
      </w:r>
    </w:p>
    <w:p>
      <w:pPr>
        <w:spacing w:after="0" w:line="159" w:lineRule="exact"/>
        <w:rPr>
          <w:rFonts w:ascii="Times New Roman" w:cs="Times New Roman" w:eastAsia="Times New Roman" w:hAnsi="Times New Roman"/>
          <w:sz w:val="20"/>
          <w:szCs w:val="20"/>
          <w:color w:val="231F20"/>
        </w:rPr>
      </w:pPr>
    </w:p>
    <w:p>
      <w:pPr>
        <w:jc w:val="both"/>
        <w:ind w:left="740" w:firstLine="745"/>
        <w:spacing w:after="0" w:line="254" w:lineRule="auto"/>
        <w:tabs>
          <w:tab w:leader="none" w:pos="2005" w:val="left"/>
        </w:tabs>
        <w:numPr>
          <w:ilvl w:val="0"/>
          <w:numId w:val="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carriers’, warehousemen’s, mechanics’, materialmen’s, repairmen’s and other like Liens imposed by law, arising in the ordinary course of business and securing obligations that are not overdue by more than sixty (60) days or are being contested in compliance with </w:t>
      </w:r>
      <w:r>
        <w:rPr>
          <w:rFonts w:ascii="Times New Roman" w:cs="Times New Roman" w:eastAsia="Times New Roman" w:hAnsi="Times New Roman"/>
          <w:sz w:val="20"/>
          <w:szCs w:val="20"/>
          <w:u w:val="single" w:color="auto"/>
          <w:color w:val="231F20"/>
        </w:rPr>
        <w:t>Section 5.04</w:t>
      </w:r>
      <w:r>
        <w:rPr>
          <w:rFonts w:ascii="Times New Roman" w:cs="Times New Roman" w:eastAsia="Times New Roman" w:hAnsi="Times New Roman"/>
          <w:sz w:val="20"/>
          <w:szCs w:val="20"/>
          <w:color w:val="231F20"/>
        </w:rPr>
        <w:t>;</w:t>
      </w:r>
    </w:p>
    <w:p>
      <w:pPr>
        <w:spacing w:after="0" w:line="174" w:lineRule="exact"/>
        <w:rPr>
          <w:rFonts w:ascii="Times New Roman" w:cs="Times New Roman" w:eastAsia="Times New Roman" w:hAnsi="Times New Roman"/>
          <w:sz w:val="20"/>
          <w:szCs w:val="20"/>
          <w:color w:val="231F20"/>
        </w:rPr>
      </w:pPr>
    </w:p>
    <w:p>
      <w:pPr>
        <w:ind w:left="740" w:firstLine="745"/>
        <w:spacing w:after="0" w:line="269" w:lineRule="auto"/>
        <w:tabs>
          <w:tab w:leader="none" w:pos="2005" w:val="left"/>
        </w:tabs>
        <w:numPr>
          <w:ilvl w:val="0"/>
          <w:numId w:val="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pledges and deposits made in the ordinary course of business in compliance with workers’ compensation, unemployment insurance and other social security laws or regulations;</w:t>
      </w:r>
    </w:p>
    <w:p>
      <w:pPr>
        <w:spacing w:after="0" w:line="159" w:lineRule="exact"/>
        <w:rPr>
          <w:rFonts w:ascii="Times New Roman" w:cs="Times New Roman" w:eastAsia="Times New Roman" w:hAnsi="Times New Roman"/>
          <w:sz w:val="20"/>
          <w:szCs w:val="20"/>
          <w:color w:val="231F20"/>
        </w:rPr>
      </w:pPr>
    </w:p>
    <w:p>
      <w:pPr>
        <w:ind w:left="740" w:firstLine="745"/>
        <w:spacing w:after="0" w:line="269" w:lineRule="auto"/>
        <w:tabs>
          <w:tab w:leader="none" w:pos="2005" w:val="left"/>
        </w:tabs>
        <w:numPr>
          <w:ilvl w:val="0"/>
          <w:numId w:val="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deposits to secure the performance of bids, trade contracts, leases, statutory obligations, surety and appeal bonds, performance bonds and other obligations of a like nature, in each case in the ordinary course of business;</w:t>
      </w:r>
    </w:p>
    <w:p>
      <w:pPr>
        <w:spacing w:after="0" w:line="159" w:lineRule="exact"/>
        <w:rPr>
          <w:rFonts w:ascii="Times New Roman" w:cs="Times New Roman" w:eastAsia="Times New Roman" w:hAnsi="Times New Roman"/>
          <w:sz w:val="20"/>
          <w:szCs w:val="20"/>
          <w:color w:val="231F20"/>
        </w:rPr>
      </w:pPr>
    </w:p>
    <w:p>
      <w:pPr>
        <w:ind w:left="2000" w:hanging="515"/>
        <w:spacing w:after="0"/>
        <w:tabs>
          <w:tab w:leader="none" w:pos="2000" w:val="left"/>
        </w:tabs>
        <w:numPr>
          <w:ilvl w:val="0"/>
          <w:numId w:val="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judgment liens in respect of judgments that do not constitute an Event of Default under </w:t>
      </w:r>
      <w:r>
        <w:rPr>
          <w:rFonts w:ascii="Times New Roman" w:cs="Times New Roman" w:eastAsia="Times New Roman" w:hAnsi="Times New Roman"/>
          <w:sz w:val="20"/>
          <w:szCs w:val="20"/>
          <w:u w:val="single" w:color="auto"/>
          <w:color w:val="231F20"/>
        </w:rPr>
        <w:t>clause (k)</w:t>
      </w:r>
      <w:r>
        <w:rPr>
          <w:rFonts w:ascii="Times New Roman" w:cs="Times New Roman" w:eastAsia="Times New Roman" w:hAnsi="Times New Roman"/>
          <w:sz w:val="20"/>
          <w:szCs w:val="20"/>
          <w:color w:val="231F20"/>
        </w:rPr>
        <w:t xml:space="preserve"> of </w:t>
      </w:r>
      <w:r>
        <w:rPr>
          <w:rFonts w:ascii="Times New Roman" w:cs="Times New Roman" w:eastAsia="Times New Roman" w:hAnsi="Times New Roman"/>
          <w:sz w:val="20"/>
          <w:szCs w:val="20"/>
          <w:u w:val="single" w:color="auto"/>
          <w:color w:val="231F20"/>
        </w:rPr>
        <w:t>Article</w:t>
      </w:r>
    </w:p>
    <w:p>
      <w:pPr>
        <w:spacing w:after="0" w:line="21" w:lineRule="exact"/>
        <w:rPr>
          <w:rFonts w:ascii="Times New Roman" w:cs="Times New Roman" w:eastAsia="Times New Roman" w:hAnsi="Times New Roman"/>
          <w:sz w:val="20"/>
          <w:szCs w:val="20"/>
          <w:color w:val="231F20"/>
        </w:rPr>
      </w:pPr>
    </w:p>
    <w:p>
      <w:pPr>
        <w:ind w:left="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VII</w:t>
      </w:r>
      <w:r>
        <w:rPr>
          <w:rFonts w:ascii="Times New Roman" w:cs="Times New Roman" w:eastAsia="Times New Roman" w:hAnsi="Times New Roman"/>
          <w:sz w:val="20"/>
          <w:szCs w:val="20"/>
          <w:color w:val="231F20"/>
        </w:rPr>
        <w:t>;</w:t>
      </w:r>
    </w:p>
    <w:p>
      <w:pPr>
        <w:spacing w:after="0" w:line="193" w:lineRule="exact"/>
        <w:rPr>
          <w:rFonts w:ascii="Times New Roman" w:cs="Times New Roman" w:eastAsia="Times New Roman" w:hAnsi="Times New Roman"/>
          <w:sz w:val="20"/>
          <w:szCs w:val="20"/>
          <w:color w:val="231F20"/>
        </w:rPr>
      </w:pPr>
    </w:p>
    <w:p>
      <w:pPr>
        <w:jc w:val="both"/>
        <w:ind w:left="740" w:firstLine="745"/>
        <w:spacing w:after="0" w:line="249" w:lineRule="auto"/>
        <w:tabs>
          <w:tab w:leader="none" w:pos="2005" w:val="left"/>
        </w:tabs>
        <w:numPr>
          <w:ilvl w:val="0"/>
          <w:numId w:val="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easements, covenants, conditions, zoning restrictions, rights-of-way, minor defects or other irregularities in title and/or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79" w:lineRule="exact"/>
        <w:rPr>
          <w:rFonts w:ascii="Times New Roman" w:cs="Times New Roman" w:eastAsia="Times New Roman" w:hAnsi="Times New Roman"/>
          <w:sz w:val="20"/>
          <w:szCs w:val="20"/>
          <w:color w:val="231F20"/>
        </w:rPr>
      </w:pPr>
    </w:p>
    <w:p>
      <w:pPr>
        <w:ind w:left="740" w:firstLine="745"/>
        <w:spacing w:after="0" w:line="269" w:lineRule="auto"/>
        <w:tabs>
          <w:tab w:leader="none" w:pos="2005" w:val="left"/>
        </w:tabs>
        <w:numPr>
          <w:ilvl w:val="0"/>
          <w:numId w:val="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UCC financing statements filed (or similar filings under applicable law) solely as a precautionary measure in connection with operating leases; and</w:t>
      </w:r>
    </w:p>
    <w:p>
      <w:pPr>
        <w:spacing w:after="0" w:line="159" w:lineRule="exact"/>
        <w:rPr>
          <w:rFonts w:ascii="Times New Roman" w:cs="Times New Roman" w:eastAsia="Times New Roman" w:hAnsi="Times New Roman"/>
          <w:sz w:val="20"/>
          <w:szCs w:val="20"/>
          <w:color w:val="231F20"/>
        </w:rPr>
      </w:pPr>
    </w:p>
    <w:p>
      <w:pPr>
        <w:jc w:val="both"/>
        <w:ind w:left="740" w:firstLine="745"/>
        <w:spacing w:after="0" w:line="254" w:lineRule="auto"/>
        <w:tabs>
          <w:tab w:leader="none" w:pos="2005" w:val="left"/>
        </w:tabs>
        <w:numPr>
          <w:ilvl w:val="0"/>
          <w:numId w:val="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Liens representing any interest or title of a licensor, lessor or sublicensor or sublessor, or a licensee, lessee or sublicensee or sublessee, in the property subject to any lease, license or sublicense or concession agreement, in each case to the extent permitted by this Agreement;</w:t>
      </w:r>
    </w:p>
    <w:p>
      <w:pPr>
        <w:spacing w:after="0" w:line="174" w:lineRule="exact"/>
        <w:rPr>
          <w:sz w:val="20"/>
          <w:szCs w:val="20"/>
          <w:color w:val="auto"/>
        </w:rPr>
      </w:pPr>
    </w:p>
    <w:p>
      <w:pPr>
        <w:ind w:left="1480" w:right="460" w:hanging="748"/>
        <w:spacing w:after="0" w:line="250" w:lineRule="auto"/>
        <w:rPr>
          <w:sz w:val="20"/>
          <w:szCs w:val="20"/>
          <w:color w:val="auto"/>
        </w:rPr>
      </w:pP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the term “Permitted Encumbrances” shall not include any Lien securing Indebtedness. “</w:t>
      </w:r>
      <w:r>
        <w:rPr>
          <w:rFonts w:ascii="Times New Roman" w:cs="Times New Roman" w:eastAsia="Times New Roman" w:hAnsi="Times New Roman"/>
          <w:sz w:val="20"/>
          <w:szCs w:val="20"/>
          <w:u w:val="single" w:color="auto"/>
          <w:color w:val="231F20"/>
        </w:rPr>
        <w:t>Permitted Liens</w:t>
      </w:r>
      <w:r>
        <w:rPr>
          <w:rFonts w:ascii="Times New Roman" w:cs="Times New Roman" w:eastAsia="Times New Roman" w:hAnsi="Times New Roman"/>
          <w:sz w:val="20"/>
          <w:szCs w:val="20"/>
          <w:color w:val="231F20"/>
        </w:rPr>
        <w:t xml:space="preserve">” means all Liens permitted under </w:t>
      </w:r>
      <w:r>
        <w:rPr>
          <w:rFonts w:ascii="Times New Roman" w:cs="Times New Roman" w:eastAsia="Times New Roman" w:hAnsi="Times New Roman"/>
          <w:sz w:val="20"/>
          <w:szCs w:val="20"/>
          <w:u w:val="single" w:color="auto"/>
          <w:color w:val="231F20"/>
        </w:rPr>
        <w:t>Section 6.02</w:t>
      </w:r>
      <w:r>
        <w:rPr>
          <w:rFonts w:ascii="Times New Roman" w:cs="Times New Roman" w:eastAsia="Times New Roman" w:hAnsi="Times New Roman"/>
          <w:sz w:val="20"/>
          <w:szCs w:val="20"/>
          <w:color w:val="231F20"/>
        </w:rPr>
        <w:t>.</w:t>
      </w:r>
    </w:p>
    <w:p>
      <w:pPr>
        <w:spacing w:after="0" w:line="2"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Person</w:t>
      </w:r>
      <w:r>
        <w:rPr>
          <w:rFonts w:ascii="Times New Roman" w:cs="Times New Roman" w:eastAsia="Times New Roman" w:hAnsi="Times New Roman"/>
          <w:sz w:val="20"/>
          <w:szCs w:val="20"/>
          <w:color w:val="231F20"/>
        </w:rPr>
        <w:t>” means any natural person, corporation, limited liability company, trust, joint venture, association, company, partnership, Governmental Authority or other entity.</w:t>
      </w:r>
    </w:p>
    <w:p>
      <w:pPr>
        <w:spacing w:after="0" w:line="182"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Personal Information</w:t>
      </w:r>
      <w:r>
        <w:rPr>
          <w:rFonts w:ascii="Times New Roman" w:cs="Times New Roman" w:eastAsia="Times New Roman" w:hAnsi="Times New Roman"/>
          <w:sz w:val="20"/>
          <w:szCs w:val="20"/>
          <w:color w:val="231F20"/>
        </w:rPr>
        <w:t>” shall mean (i) any information that identifies or can be used to identify, alone or in the aggregate, a natural person, or (ii) any information or data that is defined as “personal information” or “personal data” under Data Protection Laws.</w:t>
      </w:r>
    </w:p>
    <w:p>
      <w:pPr>
        <w:spacing w:after="0" w:line="174"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Plan</w:t>
      </w:r>
      <w:r>
        <w:rPr>
          <w:rFonts w:ascii="Times New Roman" w:cs="Times New Roman" w:eastAsia="Times New Roman" w:hAnsi="Times New Roman"/>
          <w:sz w:val="20"/>
          <w:szCs w:val="20"/>
          <w:color w:val="231F20"/>
        </w:rPr>
        <w:t>” means any “employee pension benefit plan” (within the meaning of Section 3(2) of ERISA) (other than a Multiemployer Plan or a Foreign Pension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291" w:right="779" w:bottom="1440" w:gutter="0" w:footer="0" w:header="0"/>
        </w:sectPr>
      </w:pPr>
    </w:p>
    <w:bookmarkStart w:id="165" w:name="page166"/>
    <w:bookmarkEnd w:id="165"/>
    <w:p>
      <w:pPr>
        <w:ind w:left="74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Plan Assets</w:t>
      </w:r>
      <w:r>
        <w:rPr>
          <w:rFonts w:ascii="Times New Roman" w:cs="Times New Roman" w:eastAsia="Times New Roman" w:hAnsi="Times New Roman"/>
          <w:sz w:val="20"/>
          <w:szCs w:val="20"/>
          <w:color w:val="231F20"/>
        </w:rPr>
        <w:t>” shall mean “plan assets” of an “employee benefit plan” subject to Title I of ERISA or a “plan” subject to Section 4975 of the Code, as determined under 29 C.F.R. § 2510.3-101, as modified by Section 3(42) of ERISA.</w:t>
      </w:r>
    </w:p>
    <w:p>
      <w:pPr>
        <w:spacing w:after="0" w:line="155" w:lineRule="exact"/>
        <w:rPr>
          <w:sz w:val="20"/>
          <w:szCs w:val="20"/>
          <w:color w:val="auto"/>
        </w:rPr>
      </w:pPr>
    </w:p>
    <w:p>
      <w:pPr>
        <w:jc w:val="both"/>
        <w:ind w:left="740" w:right="20" w:firstLine="749"/>
        <w:spacing w:after="0" w:line="25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Prime Rate</w:t>
      </w:r>
      <w:r>
        <w:rPr>
          <w:rFonts w:ascii="Times New Roman" w:cs="Times New Roman" w:eastAsia="Times New Roman" w:hAnsi="Times New Roman"/>
          <w:sz w:val="20"/>
          <w:szCs w:val="20"/>
          <w:color w:val="231F20"/>
        </w:rPr>
        <w:t xml:space="preserve">” means the rate of interest </w:t>
      </w:r>
      <w:r>
        <w:rPr>
          <w:rFonts w:ascii="Times New Roman" w:cs="Times New Roman" w:eastAsia="Times New Roman" w:hAnsi="Times New Roman"/>
          <w:sz w:val="20"/>
          <w:szCs w:val="20"/>
          <w:i w:val="1"/>
          <w:iCs w:val="1"/>
          <w:color w:val="231F20"/>
        </w:rPr>
        <w:t>per annum</w:t>
      </w:r>
      <w:r>
        <w:rPr>
          <w:rFonts w:ascii="Times New Roman" w:cs="Times New Roman" w:eastAsia="Times New Roman" w:hAnsi="Times New Roman"/>
          <w:sz w:val="20"/>
          <w:szCs w:val="20"/>
          <w:color w:val="231F20"/>
        </w:rPr>
        <w:t xml:space="preserve"> publicly announced from time to time by Citibank, N.A. as its prime rate in effect at its principal offices in New York City. Each change in the Prime Rate shall be effective from and including the date such change is publicly announced as being effective.</w:t>
      </w:r>
    </w:p>
    <w:p>
      <w:pPr>
        <w:spacing w:after="0" w:line="173"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Products</w:t>
      </w:r>
      <w:r>
        <w:rPr>
          <w:rFonts w:ascii="Times New Roman" w:cs="Times New Roman" w:eastAsia="Times New Roman" w:hAnsi="Times New Roman"/>
          <w:sz w:val="20"/>
          <w:szCs w:val="20"/>
          <w:color w:val="231F20"/>
        </w:rPr>
        <w:t>” means any item or any service that is designed, created, manufactured, managed, performed or otherwise used, offered or handled by or on behalf of the Loan Parties or any of their Subsidiaries.</w:t>
      </w:r>
    </w:p>
    <w:p>
      <w:pPr>
        <w:spacing w:after="0" w:line="159" w:lineRule="exact"/>
        <w:rPr>
          <w:sz w:val="20"/>
          <w:szCs w:val="20"/>
          <w:color w:val="auto"/>
        </w:rPr>
      </w:pPr>
    </w:p>
    <w:p>
      <w:pPr>
        <w:jc w:val="both"/>
        <w:ind w:left="740" w:right="4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Prohibited Transaction</w:t>
      </w:r>
      <w:r>
        <w:rPr>
          <w:rFonts w:ascii="Times New Roman" w:cs="Times New Roman" w:eastAsia="Times New Roman" w:hAnsi="Times New Roman"/>
          <w:sz w:val="20"/>
          <w:szCs w:val="20"/>
          <w:color w:val="231F20"/>
        </w:rPr>
        <w:t>” means the occurrence of a “prohibited transaction” within the meaning of Section 4975(c) of the Code or Section 406 of ERISA for which there is no exemption under Section 4975(d).</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Projections</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5.01(d)</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4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PTE</w:t>
      </w:r>
      <w:r>
        <w:rPr>
          <w:rFonts w:ascii="Times New Roman" w:cs="Times New Roman" w:eastAsia="Times New Roman" w:hAnsi="Times New Roman"/>
          <w:sz w:val="20"/>
          <w:szCs w:val="20"/>
          <w:color w:val="231F20"/>
        </w:rPr>
        <w:t>” means a prohibited transaction class exemption issued by the U.S. Department of Labor, as any such exemption may be amended from time to time.</w:t>
      </w:r>
    </w:p>
    <w:p>
      <w:pPr>
        <w:spacing w:after="0" w:line="159"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“QFC” has the meaning assigned to the term “qualified financial contract” in, and shall be interpreted in accordance with, 12 U.S.C. 5390(c)(8)(D).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-192405</wp:posOffset>
            </wp:positionV>
            <wp:extent cx="24447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1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QFC Credit Support</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9.20</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Qualified ECP Guarantor</w:t>
      </w:r>
      <w:r>
        <w:rPr>
          <w:rFonts w:ascii="Times New Roman" w:cs="Times New Roman" w:eastAsia="Times New Roman" w:hAnsi="Times New Roman"/>
          <w:sz w:val="20"/>
          <w:szCs w:val="20"/>
          <w:color w:val="231F20"/>
        </w:rPr>
        <w:t>” means, in respect of any Swap Obligation, each Loan Party that has total assets exceeding $10.0 million at the time the relevant Loan Guaranty or grant of the relevant security interest becomes or would become effective with respect to such Swap Obligation or such other person as constitutes an ECP and can cause another person to qualify as an ECP at such time by entering into a keepwell under Section 1a(18)(A)(v)(II) of the Commodity Exchange Act.</w:t>
      </w:r>
    </w:p>
    <w:p>
      <w:pPr>
        <w:spacing w:after="0" w:line="185"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Reaffirmation of Collateral Documents</w:t>
      </w:r>
      <w:r>
        <w:rPr>
          <w:rFonts w:ascii="Times New Roman" w:cs="Times New Roman" w:eastAsia="Times New Roman" w:hAnsi="Times New Roman"/>
          <w:sz w:val="20"/>
          <w:szCs w:val="20"/>
          <w:color w:val="231F20"/>
        </w:rPr>
        <w:t>” means that certain Reaffirmation of Collateral Documents, dated as of the Effective Date, among the Borrower, the Loan Guarantors and the Administrative Agent.</w:t>
      </w:r>
    </w:p>
    <w:p>
      <w:pPr>
        <w:spacing w:after="0" w:line="159" w:lineRule="exact"/>
        <w:rPr>
          <w:sz w:val="20"/>
          <w:szCs w:val="20"/>
          <w:color w:val="auto"/>
        </w:rPr>
      </w:pPr>
    </w:p>
    <w:p>
      <w:pPr>
        <w:jc w:val="both"/>
        <w:ind w:left="740" w:right="4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Recipient</w:t>
      </w:r>
      <w:r>
        <w:rPr>
          <w:rFonts w:ascii="Times New Roman" w:cs="Times New Roman" w:eastAsia="Times New Roman" w:hAnsi="Times New Roman"/>
          <w:sz w:val="20"/>
          <w:szCs w:val="20"/>
          <w:color w:val="231F20"/>
        </w:rPr>
        <w:t>” means, as applicable, (a) the Administrative Agent, (b) any Lender and (c) any Issuing Bank, or any combination thereof (as the context requires).</w:t>
      </w:r>
    </w:p>
    <w:p>
      <w:pPr>
        <w:spacing w:after="0" w:line="159" w:lineRule="exact"/>
        <w:rPr>
          <w:sz w:val="20"/>
          <w:szCs w:val="20"/>
          <w:color w:val="auto"/>
        </w:rPr>
      </w:pPr>
    </w:p>
    <w:p>
      <w:pPr>
        <w:jc w:val="both"/>
        <w:ind w:left="740" w:right="4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Reference Period</w:t>
      </w:r>
      <w:r>
        <w:rPr>
          <w:rFonts w:ascii="Times New Roman" w:cs="Times New Roman" w:eastAsia="Times New Roman" w:hAnsi="Times New Roman"/>
          <w:sz w:val="20"/>
          <w:szCs w:val="20"/>
          <w:color w:val="231F20"/>
        </w:rPr>
        <w:t>” means the most recently ended period of four consecutive fiscal quarters for which financial statements have been (or were required to be) delivered to the Administrative Agent.</w:t>
      </w:r>
    </w:p>
    <w:p>
      <w:pPr>
        <w:spacing w:after="0" w:line="159" w:lineRule="exact"/>
        <w:rPr>
          <w:sz w:val="20"/>
          <w:szCs w:val="20"/>
          <w:color w:val="auto"/>
        </w:rPr>
      </w:pPr>
    </w:p>
    <w:p>
      <w:pPr>
        <w:ind w:left="1480" w:right="2320"/>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Refinancing</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4.01(l)</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u w:val="single" w:color="auto"/>
          <w:color w:val="231F20"/>
        </w:rPr>
        <w:t>Register</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9.04(b)(iv)</w:t>
      </w:r>
      <w:r>
        <w:rPr>
          <w:rFonts w:ascii="Times New Roman" w:cs="Times New Roman" w:eastAsia="Times New Roman" w:hAnsi="Times New Roman"/>
          <w:sz w:val="20"/>
          <w:szCs w:val="20"/>
          <w:color w:val="231F20"/>
        </w:rPr>
        <w:t>.</w:t>
      </w:r>
    </w:p>
    <w:p>
      <w:pPr>
        <w:spacing w:after="0" w:line="2" w:lineRule="exact"/>
        <w:rPr>
          <w:sz w:val="20"/>
          <w:szCs w:val="20"/>
          <w:color w:val="auto"/>
        </w:rPr>
      </w:pPr>
    </w:p>
    <w:p>
      <w:pPr>
        <w:ind w:left="740" w:right="4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Related Parties</w:t>
      </w:r>
      <w:r>
        <w:rPr>
          <w:rFonts w:ascii="Times New Roman" w:cs="Times New Roman" w:eastAsia="Times New Roman" w:hAnsi="Times New Roman"/>
          <w:sz w:val="20"/>
          <w:szCs w:val="20"/>
          <w:color w:val="231F20"/>
        </w:rPr>
        <w:t>” means, with respect to any specified Person, such Person’s Affiliates and the respective directors, officers, employees, agents, partners and advisors of such Person and such Person’s Affiliates.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166" w:name="page167"/>
    <w:bookmarkEnd w:id="166"/>
    <w:p>
      <w:pPr>
        <w:jc w:val="both"/>
        <w:ind w:left="740" w:right="20" w:firstLine="747"/>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Release</w:t>
      </w:r>
      <w:r>
        <w:rPr>
          <w:rFonts w:ascii="Times New Roman" w:cs="Times New Roman" w:eastAsia="Times New Roman" w:hAnsi="Times New Roman"/>
          <w:sz w:val="20"/>
          <w:szCs w:val="20"/>
          <w:color w:val="231F20"/>
        </w:rPr>
        <w:t>” means any releasing, spilling, leaking, pumping, pouring, emitting, emptying, discharging, injecting, escaping, leaching, migrating, disposing or dumping of any substance into the environment.</w:t>
      </w:r>
    </w:p>
    <w:p>
      <w:pPr>
        <w:spacing w:after="0" w:line="159" w:lineRule="exact"/>
        <w:rPr>
          <w:sz w:val="20"/>
          <w:szCs w:val="20"/>
          <w:color w:val="auto"/>
        </w:rPr>
      </w:pPr>
    </w:p>
    <w:p>
      <w:pPr>
        <w:jc w:val="both"/>
        <w:ind w:left="740" w:firstLine="749"/>
        <w:spacing w:after="0" w:line="247"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Relevant Governmental Body</w:t>
      </w:r>
      <w:r>
        <w:rPr>
          <w:rFonts w:ascii="Times New Roman" w:cs="Times New Roman" w:eastAsia="Times New Roman" w:hAnsi="Times New Roman"/>
          <w:sz w:val="20"/>
          <w:szCs w:val="20"/>
          <w:color w:val="231F20"/>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ind w:left="1480" w:right="20"/>
        <w:spacing w:after="0" w:line="23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Requested Increase Date</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2.22(a)(i)</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u w:val="single" w:color="auto"/>
          <w:color w:val="231F20"/>
        </w:rPr>
        <w:t>Required Lenders</w:t>
      </w:r>
      <w:r>
        <w:rPr>
          <w:rFonts w:ascii="Times New Roman" w:cs="Times New Roman" w:eastAsia="Times New Roman" w:hAnsi="Times New Roman"/>
          <w:sz w:val="20"/>
          <w:szCs w:val="20"/>
          <w:color w:val="231F20"/>
        </w:rPr>
        <w:t>” means, at any time, Lenders (other than Defaulting Lenders) having Credit</w:t>
      </w:r>
    </w:p>
    <w:p>
      <w:pPr>
        <w:spacing w:after="0" w:line="1" w:lineRule="exact"/>
        <w:rPr>
          <w:sz w:val="20"/>
          <w:szCs w:val="20"/>
          <w:color w:val="auto"/>
        </w:rPr>
      </w:pPr>
    </w:p>
    <w:p>
      <w:pPr>
        <w:jc w:val="both"/>
        <w:ind w:left="740" w:right="20"/>
        <w:spacing w:after="0" w:line="241" w:lineRule="auto"/>
        <w:rPr>
          <w:sz w:val="20"/>
          <w:szCs w:val="20"/>
          <w:color w:val="auto"/>
        </w:rPr>
      </w:pPr>
      <w:r>
        <w:rPr>
          <w:rFonts w:ascii="Times New Roman" w:cs="Times New Roman" w:eastAsia="Times New Roman" w:hAnsi="Times New Roman"/>
          <w:sz w:val="20"/>
          <w:szCs w:val="20"/>
          <w:color w:val="231F20"/>
        </w:rPr>
        <w:t xml:space="preserve">Exposure and unused Commitments representing more than 50% of the sum of the total Credit Exposure and unused Commitments at such time;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if at any time of determination there are two (but not more than two) Lenders party hereto that are not Affiliates or Approved Funds of one another, Required Lenders shall include such two Lenders who are not Affiliates or Approved Funds of one another.</w:t>
      </w:r>
    </w:p>
    <w:p>
      <w:pPr>
        <w:spacing w:after="0" w:line="188"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Requirement of Law</w:t>
      </w:r>
      <w:r>
        <w:rPr>
          <w:rFonts w:ascii="Times New Roman" w:cs="Times New Roman" w:eastAsia="Times New Roman" w:hAnsi="Times New Roman"/>
          <w:sz w:val="20"/>
          <w:szCs w:val="20"/>
          <w:color w:val="231F20"/>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ERISA and Data Protection Laws), in each case applicable to or binding upon such Person or any of its property or to which such Person or any of its property is subject.</w:t>
      </w:r>
    </w:p>
    <w:p>
      <w:pPr>
        <w:spacing w:after="0" w:line="184" w:lineRule="exact"/>
        <w:rPr>
          <w:sz w:val="20"/>
          <w:szCs w:val="20"/>
          <w:color w:val="auto"/>
        </w:rPr>
      </w:pPr>
    </w:p>
    <w:p>
      <w:pPr>
        <w:jc w:val="both"/>
        <w:ind w:left="740" w:firstLine="747"/>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Resolution Authority</w:t>
      </w:r>
      <w:r>
        <w:rPr>
          <w:rFonts w:ascii="Times New Roman" w:cs="Times New Roman" w:eastAsia="Times New Roman" w:hAnsi="Times New Roman"/>
          <w:sz w:val="20"/>
          <w:szCs w:val="20"/>
          <w:color w:val="231F20"/>
        </w:rPr>
        <w:t>” means an EEA Resolution Authority or, with respect to any UK Financial Institution, a UK Resolution Authority.</w:t>
      </w:r>
    </w:p>
    <w:p>
      <w:pPr>
        <w:spacing w:after="0" w:line="159"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Responsible Officer</w:t>
      </w:r>
      <w:r>
        <w:rPr>
          <w:rFonts w:ascii="Times New Roman" w:cs="Times New Roman" w:eastAsia="Times New Roman" w:hAnsi="Times New Roman"/>
          <w:sz w:val="20"/>
          <w:szCs w:val="20"/>
          <w:color w:val="231F20"/>
        </w:rPr>
        <w:t>” means any Financial Officer, the chief executive officer, any executive vice president, any senior vice president, any vice president or the chief operating officer of the Borrower and any other individual or similar official thereof responsible for the administration of the obligations of the Borrower in respect of this Agreement.</w:t>
      </w:r>
    </w:p>
    <w:p>
      <w:pPr>
        <w:spacing w:after="0" w:line="174"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Restricted Payment</w:t>
      </w:r>
      <w:r>
        <w:rPr>
          <w:rFonts w:ascii="Times New Roman" w:cs="Times New Roman" w:eastAsia="Times New Roman" w:hAnsi="Times New Roman"/>
          <w:sz w:val="20"/>
          <w:szCs w:val="20"/>
          <w:color w:val="231F20"/>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Revolving Credit Loan</w:t>
      </w:r>
      <w:r>
        <w:rPr>
          <w:rFonts w:ascii="Times New Roman" w:cs="Times New Roman" w:eastAsia="Times New Roman" w:hAnsi="Times New Roman"/>
          <w:sz w:val="20"/>
          <w:szCs w:val="20"/>
          <w:color w:val="231F20"/>
        </w:rPr>
        <w:t xml:space="preserve">” means a Loan made pursuant to </w:t>
      </w:r>
      <w:r>
        <w:rPr>
          <w:rFonts w:ascii="Times New Roman" w:cs="Times New Roman" w:eastAsia="Times New Roman" w:hAnsi="Times New Roman"/>
          <w:sz w:val="20"/>
          <w:szCs w:val="20"/>
          <w:u w:val="single" w:color="auto"/>
          <w:color w:val="231F20"/>
        </w:rPr>
        <w:t>Section 2.02</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Revolving Credit Termination Date</w:t>
      </w:r>
      <w:r>
        <w:rPr>
          <w:rFonts w:ascii="Times New Roman" w:cs="Times New Roman" w:eastAsia="Times New Roman" w:hAnsi="Times New Roman"/>
          <w:sz w:val="20"/>
          <w:szCs w:val="20"/>
          <w:color w:val="231F20"/>
        </w:rPr>
        <w:t>” means the fifth anniversary of the Effective Date.</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S&amp;P</w:t>
      </w:r>
      <w:r>
        <w:rPr>
          <w:rFonts w:ascii="Times New Roman" w:cs="Times New Roman" w:eastAsia="Times New Roman" w:hAnsi="Times New Roman"/>
          <w:sz w:val="20"/>
          <w:szCs w:val="20"/>
          <w:color w:val="231F20"/>
        </w:rPr>
        <w:t>” means Standard &amp; Poor’s Ratings Services, a Standard &amp; Poor’s Financial Services LLC business.</w:t>
      </w:r>
    </w:p>
    <w:p>
      <w:pPr>
        <w:spacing w:after="0" w:line="216"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Sanctioned Country</w:t>
      </w:r>
      <w:r>
        <w:rPr>
          <w:rFonts w:ascii="Times New Roman" w:cs="Times New Roman" w:eastAsia="Times New Roman" w:hAnsi="Times New Roman"/>
          <w:sz w:val="20"/>
          <w:szCs w:val="20"/>
          <w:color w:val="231F20"/>
        </w:rPr>
        <w:t>” means, at any time, a country or territory which is the subject or target of any comprehensive Sanctions (which, as of the date of this Agreement, includes Cuba, Iran, North Korea, Syria and the Crimea, Zaporizhzhia and Kherson Regions of Ukraine).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291" w:right="759" w:bottom="1440" w:gutter="0" w:footer="0" w:header="0"/>
        </w:sectPr>
      </w:pPr>
    </w:p>
    <w:bookmarkStart w:id="167" w:name="page168"/>
    <w:bookmarkEnd w:id="167"/>
    <w:p>
      <w:pPr>
        <w:jc w:val="both"/>
        <w:ind w:left="740" w:right="60" w:firstLine="749"/>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Sanctioned Person</w:t>
      </w:r>
      <w:r>
        <w:rPr>
          <w:rFonts w:ascii="Times New Roman" w:cs="Times New Roman" w:eastAsia="Times New Roman" w:hAnsi="Times New Roman"/>
          <w:sz w:val="20"/>
          <w:szCs w:val="20"/>
          <w:color w:val="231F20"/>
        </w:rPr>
        <w:t xml:space="preserve">” means, at any time, (a) any Person listed in any Sanctions-related list of designated Persons maintained by the OFAC, the U.S. Department of State or by the United Nations Security Council, the European Union or any EU member state, (b) any Person operating, organized or resident in a Sanctioned Country or (c) any Person majority-owned or controlled by any such Person or Persons described in the foregoing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(b)</w:t>
      </w:r>
      <w:r>
        <w:rPr>
          <w:rFonts w:ascii="Times New Roman" w:cs="Times New Roman" w:eastAsia="Times New Roman" w:hAnsi="Times New Roman"/>
          <w:sz w:val="20"/>
          <w:szCs w:val="20"/>
          <w:color w:val="231F20"/>
        </w:rPr>
        <w:t>.</w:t>
      </w:r>
    </w:p>
    <w:p>
      <w:pPr>
        <w:spacing w:after="0" w:line="180" w:lineRule="exact"/>
        <w:rPr>
          <w:sz w:val="20"/>
          <w:szCs w:val="20"/>
          <w:color w:val="auto"/>
        </w:rPr>
      </w:pPr>
    </w:p>
    <w:p>
      <w:pPr>
        <w:jc w:val="both"/>
        <w:ind w:left="740" w:right="60" w:firstLine="749"/>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Sanctions</w:t>
      </w:r>
      <w:r>
        <w:rPr>
          <w:rFonts w:ascii="Times New Roman" w:cs="Times New Roman" w:eastAsia="Times New Roman" w:hAnsi="Times New Roman"/>
          <w:sz w:val="20"/>
          <w:szCs w:val="20"/>
          <w:color w:val="231F20"/>
        </w:rPr>
        <w:t>” means economic or financial sanctions or trade embargoes imposed, administered or enforced from time to time by (a) the U.S. government, including those administered by OFAC or the</w:t>
      </w:r>
    </w:p>
    <w:p>
      <w:pPr>
        <w:spacing w:after="0" w:line="2" w:lineRule="exact"/>
        <w:rPr>
          <w:sz w:val="20"/>
          <w:szCs w:val="20"/>
          <w:color w:val="auto"/>
        </w:rPr>
      </w:pPr>
    </w:p>
    <w:p>
      <w:pPr>
        <w:jc w:val="both"/>
        <w:ind w:left="740" w:right="60"/>
        <w:spacing w:after="0" w:line="246" w:lineRule="auto"/>
        <w:rPr>
          <w:sz w:val="20"/>
          <w:szCs w:val="20"/>
          <w:color w:val="auto"/>
        </w:rPr>
      </w:pPr>
      <w:r>
        <w:rPr>
          <w:rFonts w:ascii="Times New Roman" w:cs="Times New Roman" w:eastAsia="Times New Roman" w:hAnsi="Times New Roman"/>
          <w:sz w:val="20"/>
          <w:szCs w:val="20"/>
          <w:color w:val="231F20"/>
        </w:rPr>
        <w:t>U.S. Department of State, or (b) the United Nations Security Council, the European Union or His Majesty’s Treasury of the United Kingdom.</w:t>
      </w:r>
    </w:p>
    <w:p>
      <w:pPr>
        <w:spacing w:after="0" w:line="182"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SEC</w:t>
      </w:r>
      <w:r>
        <w:rPr>
          <w:rFonts w:ascii="Times New Roman" w:cs="Times New Roman" w:eastAsia="Times New Roman" w:hAnsi="Times New Roman"/>
          <w:sz w:val="20"/>
          <w:szCs w:val="20"/>
          <w:color w:val="231F20"/>
        </w:rPr>
        <w:t>” means the Securities and Exchange Commission or any Governmental Authority succeeding to any or all of the functions of the Securities and Exchange Commission.</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Secured Obligations</w:t>
      </w:r>
      <w:r>
        <w:rPr>
          <w:rFonts w:ascii="Times New Roman" w:cs="Times New Roman" w:eastAsia="Times New Roman" w:hAnsi="Times New Roman"/>
          <w:sz w:val="20"/>
          <w:szCs w:val="20"/>
          <w:color w:val="231F20"/>
        </w:rPr>
        <w:t>” means all Obligations, together with all (a) Banking Services Obligations,</w:t>
      </w:r>
    </w:p>
    <w:p>
      <w:pPr>
        <w:spacing w:after="0" w:line="22" w:lineRule="exact"/>
        <w:rPr>
          <w:sz w:val="20"/>
          <w:szCs w:val="20"/>
          <w:color w:val="auto"/>
        </w:rPr>
      </w:pPr>
    </w:p>
    <w:p>
      <w:pPr>
        <w:jc w:val="both"/>
        <w:ind w:left="740" w:hanging="3"/>
        <w:spacing w:after="0"/>
        <w:tabs>
          <w:tab w:leader="none" w:pos="1027" w:val="left"/>
        </w:tabs>
        <w:numPr>
          <w:ilvl w:val="0"/>
          <w:numId w:val="8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Swap Agreement Obligations owing to any Person that, at the time of entering into such arrangement with a Loan Party or any Subsidiary, was the Administrative Agent, a Lender or an Affiliate thereof, in each case, with respect to such Swap Agreement Obligations, to the extent designated by the Borrower in a written statement (including by way of email) to the Administrative Agent as constituting Secured Obligations (such Swap Agreement Obligations, “</w:t>
      </w:r>
      <w:r>
        <w:rPr>
          <w:rFonts w:ascii="Times New Roman" w:cs="Times New Roman" w:eastAsia="Times New Roman" w:hAnsi="Times New Roman"/>
          <w:sz w:val="20"/>
          <w:szCs w:val="20"/>
          <w:u w:val="single" w:color="auto"/>
          <w:color w:val="231F20"/>
        </w:rPr>
        <w:t>Secured Swap Agreement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Obligations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ED1C24"/>
        </w:rPr>
        <w:t>and</w:t>
      </w:r>
      <w:r>
        <w:rPr>
          <w:rFonts w:ascii="Times New Roman" w:cs="Times New Roman" w:eastAsia="Times New Roman" w:hAnsi="Times New Roman"/>
          <w:sz w:val="20"/>
          <w:szCs w:val="20"/>
          <w:color w:val="2251A3"/>
        </w:rPr>
        <w:t>,</w:t>
      </w:r>
      <w:r>
        <w:rPr>
          <w:rFonts w:ascii="Times New Roman" w:cs="Times New Roman" w:eastAsia="Times New Roman" w:hAnsi="Times New Roman"/>
          <w:sz w:val="20"/>
          <w:szCs w:val="20"/>
          <w:color w:val="231F20"/>
        </w:rPr>
        <w:t xml:space="preserve"> (c) </w:t>
      </w:r>
      <w:r>
        <w:rPr>
          <w:rFonts w:ascii="Times New Roman" w:cs="Times New Roman" w:eastAsia="Times New Roman" w:hAnsi="Times New Roman"/>
          <w:sz w:val="20"/>
          <w:szCs w:val="20"/>
          <w:u w:val="single" w:color="auto"/>
          <w:color w:val="2251A3"/>
        </w:rPr>
        <w:t>any and all obligations of the Loan Parties or any Subsidiary, whether absolute or contingent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howsoever and whensoever created, arising, evidenced or acquired (including all renewals, extensions and modifications thereof and substitutions therefor), in respect of the Permitted Call Hedging Agreement and/or the Permitted Warrant Transactions with a Person that, at the time of entering into such arrangement with a Loan Party or any Subsidiary, was the Administrative Agent, a Lender or an Affiliate thereof, and (d)</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Erroneous Payment Subrogation Rights;</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u w:val="single" w:color="auto"/>
          <w:color w:val="231F20"/>
        </w:rPr>
        <w:t>however</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that the definition of “Secured Obligations” shall not create any guarantee by any Loan Guarantor of (or grant of security interest by any Loan Guarantor to support, as applicable) any Excluded Swap Obligations of such Loan Guarantor for purposes of determining any obligations of any Loan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1151890</wp:posOffset>
            </wp:positionH>
            <wp:positionV relativeFrom="paragraph">
              <wp:posOffset>-1099820</wp:posOffset>
            </wp:positionV>
            <wp:extent cx="22987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29870" cy="8255"/>
                    </a:xfrm>
                    <a:prstGeom prst="rect">
                      <a:avLst/>
                    </a:prstGeom>
                    <a:noFill/>
                  </pic:spPr>
                </pic:pic>
              </a:graphicData>
            </a:graphic>
          </wp:anchor>
        </w:drawing>
      </w:r>
    </w:p>
    <w:p>
      <w:pPr>
        <w:spacing w:after="0" w:line="168" w:lineRule="exact"/>
        <w:rPr>
          <w:sz w:val="20"/>
          <w:szCs w:val="20"/>
          <w:color w:val="auto"/>
        </w:rPr>
      </w:pPr>
    </w:p>
    <w:p>
      <w:pPr>
        <w:jc w:val="both"/>
        <w:ind w:left="740" w:right="40" w:firstLine="747"/>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Secured Parties</w:t>
      </w:r>
      <w:r>
        <w:rPr>
          <w:rFonts w:ascii="Times New Roman" w:cs="Times New Roman" w:eastAsia="Times New Roman" w:hAnsi="Times New Roman"/>
          <w:sz w:val="20"/>
          <w:szCs w:val="20"/>
          <w:color w:val="231F20"/>
        </w:rPr>
        <w:t>” means the Administrative Agent, each Lender, each Issuing Bank, each Swingline Lender and each other provider of Secured Obligations as permitted pursuant to the definition thereof.</w:t>
      </w:r>
    </w:p>
    <w:p>
      <w:pPr>
        <w:spacing w:after="0" w:line="159"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Secured Swap Agreement Obligations</w:t>
      </w:r>
      <w:r>
        <w:rPr>
          <w:rFonts w:ascii="Times New Roman" w:cs="Times New Roman" w:eastAsia="Times New Roman" w:hAnsi="Times New Roman"/>
          <w:sz w:val="20"/>
          <w:szCs w:val="20"/>
          <w:color w:val="231F20"/>
        </w:rPr>
        <w:t>” has the meaning assigned to such term in the definition of “Secured Obligations”.</w:t>
      </w:r>
    </w:p>
    <w:p>
      <w:pPr>
        <w:spacing w:after="0" w:line="159" w:lineRule="exact"/>
        <w:rPr>
          <w:sz w:val="20"/>
          <w:szCs w:val="20"/>
          <w:color w:val="auto"/>
        </w:rPr>
      </w:pPr>
    </w:p>
    <w:p>
      <w:pPr>
        <w:jc w:val="both"/>
        <w:ind w:left="740" w:right="60" w:firstLine="747"/>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Securities Act</w:t>
      </w:r>
      <w:r>
        <w:rPr>
          <w:rFonts w:ascii="Times New Roman" w:cs="Times New Roman" w:eastAsia="Times New Roman" w:hAnsi="Times New Roman"/>
          <w:sz w:val="20"/>
          <w:szCs w:val="20"/>
          <w:color w:val="231F20"/>
        </w:rPr>
        <w:t>” means the Securities Act of 1933 of the United States, as amended, and the rules and regulations of the Commission promulgated thereunder.</w:t>
      </w:r>
    </w:p>
    <w:p>
      <w:pPr>
        <w:spacing w:after="0" w:line="159"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Security Agreement</w:t>
      </w:r>
      <w:r>
        <w:rPr>
          <w:rFonts w:ascii="Times New Roman" w:cs="Times New Roman" w:eastAsia="Times New Roman" w:hAnsi="Times New Roman"/>
          <w:sz w:val="20"/>
          <w:szCs w:val="20"/>
          <w:color w:val="231F20"/>
        </w:rPr>
        <w:t>” means that certain Pledge and Security Agreement, dated as of July 29, 2021, among the Borrower, each Subsidiary of the Borrower party thereto from time to time, and the Administrative Agent, for the benefit of the Administrative Agent, the Lenders and the other Secured Parties, and any other pledge or security agreement entered into, after the date of this Agreement by any Loan Party (as required by this Agreement or any other Loan Document), as the same may be amended, restated, amended and restated, supplemented or otherwise modified from time to time.</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Similar Law</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3.10(b)</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SOFR</w:t>
      </w:r>
      <w:r>
        <w:rPr>
          <w:rFonts w:ascii="Times New Roman" w:cs="Times New Roman" w:eastAsia="Times New Roman" w:hAnsi="Times New Roman"/>
          <w:sz w:val="20"/>
          <w:szCs w:val="20"/>
          <w:color w:val="231F20"/>
        </w:rPr>
        <w:t>” means a rate equal to the secured overnight financing rate as administered by the SOFR Administrator.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68" w:name="page169"/>
    <w:bookmarkEnd w:id="168"/>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SOFR Adjustment</w:t>
      </w:r>
      <w:r>
        <w:rPr>
          <w:rFonts w:ascii="Times New Roman" w:cs="Times New Roman" w:eastAsia="Times New Roman" w:hAnsi="Times New Roman"/>
          <w:sz w:val="20"/>
          <w:szCs w:val="20"/>
          <w:color w:val="231F20"/>
        </w:rPr>
        <w:t>” means a percentage per annum equal to 0.10%.</w:t>
      </w:r>
    </w:p>
    <w:p>
      <w:pPr>
        <w:spacing w:after="0" w:line="216" w:lineRule="exact"/>
        <w:rPr>
          <w:sz w:val="20"/>
          <w:szCs w:val="20"/>
          <w:color w:val="auto"/>
        </w:rPr>
      </w:pPr>
    </w:p>
    <w:p>
      <w:pPr>
        <w:jc w:val="both"/>
        <w:ind w:left="740" w:right="20" w:firstLine="747"/>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SOFR Administrator</w:t>
      </w:r>
      <w:r>
        <w:rPr>
          <w:rFonts w:ascii="Times New Roman" w:cs="Times New Roman" w:eastAsia="Times New Roman" w:hAnsi="Times New Roman"/>
          <w:sz w:val="20"/>
          <w:szCs w:val="20"/>
          <w:color w:val="231F20"/>
        </w:rPr>
        <w:t>” means the Federal Reserve Bank of New York (or a successor administrator of the secured overnight financing rate).</w:t>
      </w:r>
    </w:p>
    <w:p>
      <w:pPr>
        <w:spacing w:after="0" w:line="159"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Specified Material Indebtedness</w:t>
      </w:r>
      <w:r>
        <w:rPr>
          <w:rFonts w:ascii="Times New Roman" w:cs="Times New Roman" w:eastAsia="Times New Roman" w:hAnsi="Times New Roman"/>
          <w:sz w:val="20"/>
          <w:szCs w:val="20"/>
          <w:color w:val="231F20"/>
        </w:rPr>
        <w:t xml:space="preserve">” means Material Indebtedness of any Person that is permitted by </w:t>
      </w:r>
      <w:r>
        <w:rPr>
          <w:rFonts w:ascii="Times New Roman" w:cs="Times New Roman" w:eastAsia="Times New Roman" w:hAnsi="Times New Roman"/>
          <w:sz w:val="20"/>
          <w:szCs w:val="20"/>
          <w:u w:val="single" w:color="auto"/>
          <w:color w:val="231F20"/>
        </w:rPr>
        <w:t>Section 6.01</w:t>
      </w:r>
      <w:r>
        <w:rPr>
          <w:rFonts w:ascii="Times New Roman" w:cs="Times New Roman" w:eastAsia="Times New Roman" w:hAnsi="Times New Roman"/>
          <w:sz w:val="20"/>
          <w:szCs w:val="20"/>
          <w:color w:val="231F20"/>
        </w:rPr>
        <w:t xml:space="preserve"> that has become due and payable as a result of such Person becoming a Subsidiary after the Effective Date or such acquisition of assets in connection with a Permitted Acquisition by the Borrower or any Subsidiary.</w:t>
      </w:r>
    </w:p>
    <w:p>
      <w:pPr>
        <w:spacing w:after="0" w:line="174" w:lineRule="exact"/>
        <w:rPr>
          <w:sz w:val="20"/>
          <w:szCs w:val="20"/>
          <w:color w:val="auto"/>
        </w:rPr>
      </w:pPr>
    </w:p>
    <w:p>
      <w:pPr>
        <w:jc w:val="both"/>
        <w:ind w:left="74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Specified Quarter</w:t>
      </w:r>
      <w:r>
        <w:rPr>
          <w:rFonts w:ascii="Times New Roman" w:cs="Times New Roman" w:eastAsia="Times New Roman" w:hAnsi="Times New Roman"/>
          <w:sz w:val="20"/>
          <w:szCs w:val="20"/>
          <w:color w:val="231F20"/>
        </w:rPr>
        <w:t>” means a fiscal quarter of the Borrower during which a Material Acquisition has been consummated by a Loan Party.</w:t>
      </w:r>
    </w:p>
    <w:p>
      <w:pPr>
        <w:spacing w:after="0" w:line="159"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Subordinated Indebtedness</w:t>
      </w:r>
      <w:r>
        <w:rPr>
          <w:rFonts w:ascii="Times New Roman" w:cs="Times New Roman" w:eastAsia="Times New Roman" w:hAnsi="Times New Roman"/>
          <w:sz w:val="20"/>
          <w:szCs w:val="20"/>
          <w:color w:val="231F20"/>
        </w:rPr>
        <w:t>” of a Person means any Indebtedness of such Person the payment of which by its terms is at all times subordinated to payment of the Obligations on terms reasonably satisfactory to the Administrative Agent.</w:t>
      </w:r>
    </w:p>
    <w:p>
      <w:pPr>
        <w:spacing w:after="0" w:line="159" w:lineRule="exact"/>
        <w:rPr>
          <w:sz w:val="20"/>
          <w:szCs w:val="20"/>
          <w:color w:val="auto"/>
        </w:rPr>
      </w:pPr>
    </w:p>
    <w:p>
      <w:pPr>
        <w:jc w:val="both"/>
        <w:ind w:left="740" w:firstLine="747"/>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subsidiary</w:t>
      </w:r>
      <w:r>
        <w:rPr>
          <w:rFonts w:ascii="Times New Roman" w:cs="Times New Roman" w:eastAsia="Times New Roman" w:hAnsi="Times New Roman"/>
          <w:sz w:val="20"/>
          <w:szCs w:val="20"/>
          <w:color w:val="231F20"/>
        </w:rPr>
        <w:t>” means, with respect to any Person (the “</w:t>
      </w:r>
      <w:r>
        <w:rPr>
          <w:rFonts w:ascii="Times New Roman" w:cs="Times New Roman" w:eastAsia="Times New Roman" w:hAnsi="Times New Roman"/>
          <w:sz w:val="20"/>
          <w:szCs w:val="20"/>
          <w:u w:val="single" w:color="auto"/>
          <w:color w:val="231F20"/>
        </w:rPr>
        <w:t>parent</w:t>
      </w:r>
      <w:r>
        <w:rPr>
          <w:rFonts w:ascii="Times New Roman" w:cs="Times New Roman" w:eastAsia="Times New Roman" w:hAnsi="Times New Roman"/>
          <w:sz w:val="20"/>
          <w:szCs w:val="20"/>
          <w:color w:val="231F20"/>
        </w:rPr>
        <w: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the parent.</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Subsidiary</w:t>
      </w:r>
      <w:r>
        <w:rPr>
          <w:rFonts w:ascii="Times New Roman" w:cs="Times New Roman" w:eastAsia="Times New Roman" w:hAnsi="Times New Roman"/>
          <w:sz w:val="20"/>
          <w:szCs w:val="20"/>
          <w:color w:val="231F20"/>
        </w:rPr>
        <w:t>” means any direct or indirect subsidiary of the Borrower or another Loan Party, as applicable.</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Supported QFC</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9.20</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Swap Agreement</w:t>
      </w:r>
      <w:r>
        <w:rPr>
          <w:rFonts w:ascii="Times New Roman" w:cs="Times New Roman" w:eastAsia="Times New Roman" w:hAnsi="Times New Roman"/>
          <w:sz w:val="20"/>
          <w:szCs w:val="20"/>
          <w:color w:val="231F20"/>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no phantom stock or similar plan providing for payments only on account of services provided by current or former directors, officers, employees or consultants of the Borrower or the Subsidiaries shall be a Swap Agreement.</w:t>
      </w:r>
    </w:p>
    <w:p>
      <w:pPr>
        <w:spacing w:after="0" w:line="184" w:lineRule="exact"/>
        <w:rPr>
          <w:sz w:val="20"/>
          <w:szCs w:val="20"/>
          <w:color w:val="auto"/>
        </w:rPr>
      </w:pPr>
    </w:p>
    <w:p>
      <w:pPr>
        <w:jc w:val="both"/>
        <w:ind w:left="740" w:right="20" w:firstLine="749"/>
        <w:spacing w:after="0" w:line="247"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Swap Agreement Obligations</w:t>
      </w:r>
      <w:r>
        <w:rPr>
          <w:rFonts w:ascii="Times New Roman" w:cs="Times New Roman" w:eastAsia="Times New Roman" w:hAnsi="Times New Roman"/>
          <w:sz w:val="20"/>
          <w:szCs w:val="20"/>
          <w:color w:val="231F20"/>
        </w:rPr>
        <w:t>” means any and all obligations of the Loan Parties or any Subsidiary, whether absolute or contingent and howsoever and whensoever created, arising, evidenced or acquired (including all renewals, extensions and modifications thereof and substitutions therefor), under</w:t>
      </w:r>
    </w:p>
    <w:p>
      <w:pPr>
        <w:jc w:val="both"/>
        <w:ind w:left="740" w:right="20" w:hanging="3"/>
        <w:spacing w:after="0" w:line="239" w:lineRule="auto"/>
        <w:tabs>
          <w:tab w:leader="none" w:pos="1010" w:val="left"/>
        </w:tabs>
        <w:numPr>
          <w:ilvl w:val="0"/>
          <w:numId w:val="9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and all Swap Agreements permitted hereunder with a Person that, at the time of entering into such Swap Agreement, is the Administrative Agent, a Lender or an Affiliate of a Lender (and so long as such Person does not cease to be the Administrative Agent or a Lender or such Person’s Affiliate does not cease to be the Administrative Agent or a Lender), and</w:t>
      </w:r>
    </w:p>
    <w:p>
      <w:pPr>
        <w:spacing w:after="0" w:line="1" w:lineRule="exact"/>
        <w:rPr>
          <w:rFonts w:ascii="Times New Roman" w:cs="Times New Roman" w:eastAsia="Times New Roman" w:hAnsi="Times New Roman"/>
          <w:sz w:val="20"/>
          <w:szCs w:val="20"/>
          <w:color w:val="231F20"/>
        </w:rPr>
      </w:pPr>
    </w:p>
    <w:p>
      <w:pPr>
        <w:ind w:left="1020" w:hanging="283"/>
        <w:spacing w:after="0"/>
        <w:tabs>
          <w:tab w:leader="none" w:pos="1020" w:val="left"/>
        </w:tabs>
        <w:numPr>
          <w:ilvl w:val="0"/>
          <w:numId w:val="9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and all cancellations, buy backs, reversals, terminations or assignments of any such Swap Agreement transaction.</w:t>
      </w:r>
    </w:p>
    <w:p>
      <w:pPr>
        <w:spacing w:after="0" w:line="194"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Swap Obligation</w:t>
      </w:r>
      <w:r>
        <w:rPr>
          <w:rFonts w:ascii="Times New Roman" w:cs="Times New Roman" w:eastAsia="Times New Roman" w:hAnsi="Times New Roman"/>
          <w:sz w:val="20"/>
          <w:szCs w:val="20"/>
          <w:color w:val="231F20"/>
        </w:rPr>
        <w:t>” means, with respect to any Loan Guarantor, any obligation to pay or perform under any agreement, contract or transaction that constitutes a “swap” within the meaning of section 1a(47) of the Commodity Exchange Act or any rules or regulations promulgated thereunder.</w:t>
      </w:r>
    </w:p>
    <w:p>
      <w:pPr>
        <w:spacing w:after="0" w:line="174" w:lineRule="exact"/>
        <w:rPr>
          <w:sz w:val="20"/>
          <w:szCs w:val="20"/>
          <w:color w:val="auto"/>
        </w:rPr>
      </w:pPr>
    </w:p>
    <w:p>
      <w:pPr>
        <w:jc w:val="both"/>
        <w:ind w:left="740" w:right="20" w:firstLine="747"/>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Swap Termination Value</w:t>
      </w:r>
      <w:r>
        <w:rPr>
          <w:rFonts w:ascii="Times New Roman" w:cs="Times New Roman" w:eastAsia="Times New Roman" w:hAnsi="Times New Roman"/>
          <w:sz w:val="20"/>
          <w:szCs w:val="20"/>
          <w:color w:val="231F20"/>
        </w:rPr>
        <w:t>” means, in respect of any one or more Swap Agreements, after taking into account the effect of any legally enforceable netting agreement relating to such Swap Agreements,</w:t>
      </w:r>
    </w:p>
    <w:p>
      <w:pPr>
        <w:spacing w:after="0" w:line="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31F20"/>
        </w:rPr>
        <w:t>(a) for any date on or after the date such Swap Agreements have been closed out and termination value(s)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291" w:right="759" w:bottom="1440" w:gutter="0" w:footer="0" w:header="0"/>
        </w:sectPr>
      </w:pPr>
    </w:p>
    <w:bookmarkStart w:id="169" w:name="page170"/>
    <w:bookmarkEnd w:id="169"/>
    <w:p>
      <w:pPr>
        <w:jc w:val="both"/>
        <w:ind w:left="740" w:right="60"/>
        <w:spacing w:after="0" w:line="249" w:lineRule="auto"/>
        <w:rPr>
          <w:sz w:val="20"/>
          <w:szCs w:val="20"/>
          <w:color w:val="auto"/>
        </w:rPr>
      </w:pPr>
      <w:r>
        <w:rPr>
          <w:rFonts w:ascii="Times New Roman" w:cs="Times New Roman" w:eastAsia="Times New Roman" w:hAnsi="Times New Roman"/>
          <w:sz w:val="20"/>
          <w:szCs w:val="20"/>
          <w:color w:val="231F20"/>
        </w:rPr>
        <w:t>determined in accordance therewith, such termination value(s), and (b) for any date prior to the date referenced in clause (a), the amount(s) determined as the mark-to-market value(s) for such Swap Agreements, as determined based upon one or more mid-market or other readily available quotations provided by any recognized dealer in such Swap Agreements (which may include the Lenders or any Affiliates of the Lenders).</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Swingline Commitment</w:t>
      </w:r>
      <w:r>
        <w:rPr>
          <w:rFonts w:ascii="Times New Roman" w:cs="Times New Roman" w:eastAsia="Times New Roman" w:hAnsi="Times New Roman"/>
          <w:sz w:val="20"/>
          <w:szCs w:val="20"/>
          <w:color w:val="231F20"/>
        </w:rPr>
        <w:t>” with respect to Citi, $5.0 million or such lesser amount as agreed upon by the Borrower</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231F20"/>
        </w:rPr>
        <w:t>and Citi, and with respect to any other Lender that becomes a Swingline Lender, an amount to be agreed upon by the Borrower</w:t>
      </w:r>
    </w:p>
    <w:p>
      <w:pPr>
        <w:spacing w:after="0" w:line="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31F20"/>
        </w:rPr>
        <w:t xml:space="preserve">and such Lender, with the consent of the Administrative Agent;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the aggregate principal amount of all such</w:t>
      </w:r>
    </w:p>
    <w:p>
      <w:pPr>
        <w:ind w:left="740"/>
        <w:spacing w:after="0"/>
        <w:rPr>
          <w:sz w:val="20"/>
          <w:szCs w:val="20"/>
          <w:color w:val="auto"/>
        </w:rPr>
      </w:pPr>
      <w:r>
        <w:rPr>
          <w:rFonts w:ascii="Times New Roman" w:cs="Times New Roman" w:eastAsia="Times New Roman" w:hAnsi="Times New Roman"/>
          <w:sz w:val="20"/>
          <w:szCs w:val="20"/>
          <w:color w:val="231F20"/>
        </w:rPr>
        <w:t>Swingline Commitments shall not exceed</w:t>
      </w:r>
    </w:p>
    <w:p>
      <w:pPr>
        <w:ind w:left="740"/>
        <w:spacing w:after="0"/>
        <w:rPr>
          <w:sz w:val="20"/>
          <w:szCs w:val="20"/>
          <w:color w:val="auto"/>
        </w:rPr>
      </w:pPr>
      <w:r>
        <w:rPr>
          <w:rFonts w:ascii="Times New Roman" w:cs="Times New Roman" w:eastAsia="Times New Roman" w:hAnsi="Times New Roman"/>
          <w:sz w:val="20"/>
          <w:szCs w:val="20"/>
          <w:color w:val="231F20"/>
        </w:rPr>
        <w:t>$5.0 million.</w:t>
      </w:r>
    </w:p>
    <w:p>
      <w:pPr>
        <w:spacing w:after="0" w:line="194" w:lineRule="exact"/>
        <w:rPr>
          <w:sz w:val="20"/>
          <w:szCs w:val="20"/>
          <w:color w:val="auto"/>
        </w:rPr>
      </w:pPr>
    </w:p>
    <w:p>
      <w:pPr>
        <w:jc w:val="both"/>
        <w:ind w:left="740" w:right="40" w:firstLine="747"/>
        <w:spacing w:after="0" w:line="245"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Swingline Exposure</w:t>
      </w:r>
      <w:r>
        <w:rPr>
          <w:rFonts w:ascii="Times New Roman" w:cs="Times New Roman" w:eastAsia="Times New Roman" w:hAnsi="Times New Roman"/>
          <w:sz w:val="20"/>
          <w:szCs w:val="20"/>
          <w:color w:val="231F20"/>
        </w:rPr>
        <w:t>” means, at any time, the aggregate principal amount of all Swingline Loans outstanding at such time. The Swingline Exposure of any Swingline Lender at any time shall be the sum of (a) its Applicable Percentage of the total Swingline Exposure at such time other than with respect to any Swingline Loans made by such Swingline Lender in its capacity as the Swingline Lender and (b) the principal amount of all Swingline Loans made by such Swingline Lender in its capacity as the Swingline Lender outstanding at such time (</w:t>
      </w:r>
      <w:r>
        <w:rPr>
          <w:rFonts w:ascii="Times New Roman" w:cs="Times New Roman" w:eastAsia="Times New Roman" w:hAnsi="Times New Roman"/>
          <w:sz w:val="20"/>
          <w:szCs w:val="20"/>
          <w:u w:val="single" w:color="auto"/>
          <w:color w:val="231F20"/>
        </w:rPr>
        <w:t>less</w:t>
      </w:r>
      <w:r>
        <w:rPr>
          <w:rFonts w:ascii="Times New Roman" w:cs="Times New Roman" w:eastAsia="Times New Roman" w:hAnsi="Times New Roman"/>
          <w:sz w:val="20"/>
          <w:szCs w:val="20"/>
          <w:color w:val="231F20"/>
        </w:rPr>
        <w:t xml:space="preserve"> the amount of participations funded by the other Lenders in such Swingline Loans).</w:t>
      </w:r>
    </w:p>
    <w:p>
      <w:pPr>
        <w:spacing w:after="0" w:line="184"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Swingline Lenders</w:t>
      </w:r>
      <w:r>
        <w:rPr>
          <w:rFonts w:ascii="Times New Roman" w:cs="Times New Roman" w:eastAsia="Times New Roman" w:hAnsi="Times New Roman"/>
          <w:sz w:val="20"/>
          <w:szCs w:val="20"/>
          <w:color w:val="231F20"/>
        </w:rPr>
        <w:t>” individually and collectively as the context may require, (a) Citi in its capacity as a lender of Swingline Loans hereunder and (b) and any other Lender from time to time designated by the Borrower as a Swingline Lender, with the consent of such Lender and the Administrative Agent and such Lender’s successors in such capacity.</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Swingline Loan</w:t>
      </w:r>
      <w:r>
        <w:rPr>
          <w:rFonts w:ascii="Times New Roman" w:cs="Times New Roman" w:eastAsia="Times New Roman" w:hAnsi="Times New Roman"/>
          <w:sz w:val="20"/>
          <w:szCs w:val="20"/>
          <w:color w:val="231F20"/>
        </w:rPr>
        <w:t xml:space="preserve">” means a Loan made pursuant to </w:t>
      </w:r>
      <w:r>
        <w:rPr>
          <w:rFonts w:ascii="Times New Roman" w:cs="Times New Roman" w:eastAsia="Times New Roman" w:hAnsi="Times New Roman"/>
          <w:sz w:val="20"/>
          <w:szCs w:val="20"/>
          <w:u w:val="single" w:color="auto"/>
          <w:color w:val="231F20"/>
        </w:rPr>
        <w:t>Section 2.04</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Swingline Request</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2.04</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Taxes</w:t>
      </w:r>
      <w:r>
        <w:rPr>
          <w:rFonts w:ascii="Times New Roman" w:cs="Times New Roman" w:eastAsia="Times New Roman" w:hAnsi="Times New Roman"/>
          <w:sz w:val="20"/>
          <w:szCs w:val="20"/>
          <w:color w:val="231F20"/>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jc w:val="both"/>
        <w:ind w:left="740" w:right="20" w:firstLine="749"/>
        <w:spacing w:after="0" w:line="242"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Term SOFR</w:t>
      </w:r>
      <w:r>
        <w:rPr>
          <w:rFonts w:ascii="Times New Roman" w:cs="Times New Roman" w:eastAsia="Times New Roman" w:hAnsi="Times New Roman"/>
          <w:sz w:val="20"/>
          <w:szCs w:val="20"/>
          <w:color w:val="231F20"/>
        </w:rPr>
        <w:t>” means, 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20"/>
          <w:szCs w:val="20"/>
          <w:u w:val="single" w:color="auto"/>
          <w:color w:val="231F20"/>
        </w:rPr>
        <w:t>Periodic Term SOFR Determination Day</w:t>
      </w:r>
      <w:r>
        <w:rPr>
          <w:rFonts w:ascii="Times New Roman" w:cs="Times New Roman" w:eastAsia="Times New Roman" w:hAnsi="Times New Roman"/>
          <w:sz w:val="20"/>
          <w:szCs w:val="20"/>
          <w:color w:val="231F20"/>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however</w:t>
      </w:r>
      <w:r>
        <w:rPr>
          <w:rFonts w:ascii="Times New Roman" w:cs="Times New Roman" w:eastAsia="Times New Roman" w:hAnsi="Times New Roman"/>
          <w:sz w:val="20"/>
          <w:szCs w:val="20"/>
          <w:color w:val="231F20"/>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p>
    <w:p>
      <w:pPr>
        <w:spacing w:after="0" w:line="192"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Term SOFR Administrator</w:t>
      </w:r>
      <w:r>
        <w:rPr>
          <w:rFonts w:ascii="Times New Roman" w:cs="Times New Roman" w:eastAsia="Times New Roman" w:hAnsi="Times New Roman"/>
          <w:sz w:val="20"/>
          <w:szCs w:val="20"/>
          <w:color w:val="231F20"/>
        </w:rPr>
        <w:t>” means CME Group Benchmark Administration Limited (CBA) (or a successor administrator of the Term SOFR Reference Rate selected by the Administrative Agent in its reasonable discretion).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70" w:name="page171"/>
    <w:bookmarkEnd w:id="170"/>
    <w:p>
      <w:pPr>
        <w:ind w:left="740" w:right="26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Term SOFR Borrowing</w:t>
      </w:r>
      <w:r>
        <w:rPr>
          <w:rFonts w:ascii="Times New Roman" w:cs="Times New Roman" w:eastAsia="Times New Roman" w:hAnsi="Times New Roman"/>
          <w:sz w:val="20"/>
          <w:szCs w:val="20"/>
          <w:color w:val="231F20"/>
        </w:rPr>
        <w:t>” means a Borrowing hereunder bearing interest based on Adjusted Term SOFR other than pursuant to clause (c) of the definition of “Alternate Base Rate”.</w:t>
      </w:r>
    </w:p>
    <w:p>
      <w:pPr>
        <w:spacing w:after="0" w:line="159" w:lineRule="exact"/>
        <w:rPr>
          <w:sz w:val="20"/>
          <w:szCs w:val="20"/>
          <w:color w:val="auto"/>
        </w:rPr>
      </w:pPr>
    </w:p>
    <w:p>
      <w:pPr>
        <w:ind w:left="740" w:right="220" w:firstLine="749"/>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Term SOFR Loan</w:t>
      </w:r>
      <w:r>
        <w:rPr>
          <w:rFonts w:ascii="Times New Roman" w:cs="Times New Roman" w:eastAsia="Times New Roman" w:hAnsi="Times New Roman"/>
          <w:sz w:val="20"/>
          <w:szCs w:val="20"/>
          <w:color w:val="231F20"/>
        </w:rPr>
        <w:t>” means a Loan that bears interest at a rate based on Adjusted Term SOFR other than pursuant to clause (c) of the definition of “Alternate Base Rate”.</w:t>
      </w:r>
    </w:p>
    <w:p>
      <w:pPr>
        <w:spacing w:after="0" w:line="2" w:lineRule="exact"/>
        <w:rPr>
          <w:sz w:val="20"/>
          <w:szCs w:val="20"/>
          <w:color w:val="auto"/>
        </w:rPr>
      </w:pPr>
    </w:p>
    <w:p>
      <w:pPr>
        <w:ind w:left="1480" w:right="640"/>
        <w:spacing w:after="0" w:line="23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Term SOFR Reference Rate</w:t>
      </w:r>
      <w:r>
        <w:rPr>
          <w:rFonts w:ascii="Times New Roman" w:cs="Times New Roman" w:eastAsia="Times New Roman" w:hAnsi="Times New Roman"/>
          <w:sz w:val="20"/>
          <w:szCs w:val="20"/>
          <w:color w:val="231F20"/>
        </w:rPr>
        <w:t>” means the forward-looking term rate based on SOFR. “</w:t>
      </w:r>
      <w:r>
        <w:rPr>
          <w:rFonts w:ascii="Times New Roman" w:cs="Times New Roman" w:eastAsia="Times New Roman" w:hAnsi="Times New Roman"/>
          <w:sz w:val="20"/>
          <w:szCs w:val="20"/>
          <w:u w:val="single" w:color="auto"/>
          <w:color w:val="231F20"/>
        </w:rPr>
        <w:t>Transactions</w:t>
      </w:r>
      <w:r>
        <w:rPr>
          <w:rFonts w:ascii="Times New Roman" w:cs="Times New Roman" w:eastAsia="Times New Roman" w:hAnsi="Times New Roman"/>
          <w:sz w:val="20"/>
          <w:szCs w:val="20"/>
          <w:color w:val="231F20"/>
        </w:rPr>
        <w:t>” means the execution, delivery and performance by the Borrower of this</w:t>
      </w:r>
    </w:p>
    <w:p>
      <w:pPr>
        <w:spacing w:after="0" w:line="1" w:lineRule="exact"/>
        <w:rPr>
          <w:sz w:val="20"/>
          <w:szCs w:val="20"/>
          <w:color w:val="auto"/>
        </w:rPr>
      </w:pPr>
    </w:p>
    <w:p>
      <w:pPr>
        <w:ind w:left="740"/>
        <w:spacing w:after="0" w:line="246" w:lineRule="auto"/>
        <w:rPr>
          <w:sz w:val="20"/>
          <w:szCs w:val="20"/>
          <w:color w:val="auto"/>
        </w:rPr>
      </w:pPr>
      <w:r>
        <w:rPr>
          <w:rFonts w:ascii="Times New Roman" w:cs="Times New Roman" w:eastAsia="Times New Roman" w:hAnsi="Times New Roman"/>
          <w:sz w:val="20"/>
          <w:szCs w:val="20"/>
          <w:color w:val="231F20"/>
        </w:rPr>
        <w:t>Agreement, the borrowing of Loans and other credit extensions, the use of the proceeds thereof, the issuance of Letters of Credit hereunder and the Refinancing.</w:t>
      </w:r>
    </w:p>
    <w:p>
      <w:pPr>
        <w:spacing w:after="0" w:line="182" w:lineRule="exact"/>
        <w:rPr>
          <w:sz w:val="20"/>
          <w:szCs w:val="20"/>
          <w:color w:val="auto"/>
        </w:rPr>
      </w:pPr>
    </w:p>
    <w:p>
      <w:pPr>
        <w:jc w:val="both"/>
        <w:ind w:left="740" w:right="120" w:firstLine="747"/>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Type</w:t>
      </w:r>
      <w:r>
        <w:rPr>
          <w:rFonts w:ascii="Times New Roman" w:cs="Times New Roman" w:eastAsia="Times New Roman" w:hAnsi="Times New Roman"/>
          <w:sz w:val="20"/>
          <w:szCs w:val="20"/>
          <w:color w:val="231F20"/>
        </w:rPr>
        <w:t>”, when used in reference to any Loan or Borrowing, refers to whether the rate of interest on such Loan, or on the Loans comprising such Borrowing, is determined by reference to Adjusted Term SOFR or the Alternate Base Rate.</w:t>
      </w:r>
    </w:p>
    <w:p>
      <w:pPr>
        <w:spacing w:after="0" w:line="159" w:lineRule="exact"/>
        <w:rPr>
          <w:sz w:val="20"/>
          <w:szCs w:val="20"/>
          <w:color w:val="auto"/>
        </w:rPr>
      </w:pPr>
    </w:p>
    <w:p>
      <w:pPr>
        <w:jc w:val="both"/>
        <w:ind w:left="740" w:right="12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UCC</w:t>
      </w:r>
      <w:r>
        <w:rPr>
          <w:rFonts w:ascii="Times New Roman" w:cs="Times New Roman" w:eastAsia="Times New Roman" w:hAnsi="Times New Roman"/>
          <w:sz w:val="20"/>
          <w:szCs w:val="20"/>
          <w:color w:val="231F20"/>
        </w:rPr>
        <w:t>” means the Uniform Commercial Code as in effect from time to time in the State of New York or any other state the laws of which are required to be applied in connection with the issue of perfection of security interests.</w:t>
      </w:r>
    </w:p>
    <w:p>
      <w:pPr>
        <w:spacing w:after="0" w:line="159" w:lineRule="exact"/>
        <w:rPr>
          <w:sz w:val="20"/>
          <w:szCs w:val="20"/>
          <w:color w:val="auto"/>
        </w:rPr>
      </w:pPr>
    </w:p>
    <w:p>
      <w:pPr>
        <w:jc w:val="both"/>
        <w:ind w:left="740" w:right="120" w:firstLine="747"/>
        <w:spacing w:after="0" w:line="246"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UK Financial Institution</w:t>
      </w:r>
      <w:r>
        <w:rPr>
          <w:rFonts w:ascii="Times New Roman" w:cs="Times New Roman" w:eastAsia="Times New Roman" w:hAnsi="Times New Roman"/>
          <w:sz w:val="20"/>
          <w:szCs w:val="20"/>
          <w:color w:val="231F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5" w:lineRule="exact"/>
        <w:rPr>
          <w:sz w:val="20"/>
          <w:szCs w:val="20"/>
          <w:color w:val="auto"/>
        </w:rPr>
      </w:pPr>
    </w:p>
    <w:p>
      <w:pPr>
        <w:jc w:val="both"/>
        <w:ind w:left="740" w:right="12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UK Resolution Authority</w:t>
      </w:r>
      <w:r>
        <w:rPr>
          <w:rFonts w:ascii="Times New Roman" w:cs="Times New Roman" w:eastAsia="Times New Roman" w:hAnsi="Times New Roman"/>
          <w:sz w:val="20"/>
          <w:szCs w:val="20"/>
          <w:color w:val="231F20"/>
        </w:rPr>
        <w:t>” means the Bank of England or any other public administrative authority having responsibility for the resolution of any UK Financial Institution.</w:t>
      </w:r>
    </w:p>
    <w:p>
      <w:pPr>
        <w:spacing w:after="0" w:line="159" w:lineRule="exact"/>
        <w:rPr>
          <w:sz w:val="20"/>
          <w:szCs w:val="20"/>
          <w:color w:val="auto"/>
        </w:rPr>
      </w:pPr>
    </w:p>
    <w:p>
      <w:pPr>
        <w:jc w:val="both"/>
        <w:ind w:left="740" w:right="120" w:firstLine="747"/>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Unadjusted Benchmark Replacement</w:t>
      </w:r>
      <w:r>
        <w:rPr>
          <w:rFonts w:ascii="Times New Roman" w:cs="Times New Roman" w:eastAsia="Times New Roman" w:hAnsi="Times New Roman"/>
          <w:sz w:val="20"/>
          <w:szCs w:val="20"/>
          <w:color w:val="231F20"/>
        </w:rPr>
        <w:t>” means the applicable Benchmark Replacement excluding the related Benchmark Replacement Adjustment.</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United States</w:t>
      </w:r>
      <w:r>
        <w:rPr>
          <w:rFonts w:ascii="Times New Roman" w:cs="Times New Roman" w:eastAsia="Times New Roman" w:hAnsi="Times New Roman"/>
          <w:sz w:val="20"/>
          <w:szCs w:val="20"/>
          <w:color w:val="231F20"/>
        </w:rPr>
        <w:t>” means the United States of America.</w:t>
      </w:r>
    </w:p>
    <w:p>
      <w:pPr>
        <w:spacing w:after="0" w:line="216" w:lineRule="exact"/>
        <w:rPr>
          <w:sz w:val="20"/>
          <w:szCs w:val="20"/>
          <w:color w:val="auto"/>
        </w:rPr>
      </w:pPr>
    </w:p>
    <w:p>
      <w:pPr>
        <w:jc w:val="both"/>
        <w:ind w:left="740" w:right="120" w:firstLine="749"/>
        <w:spacing w:after="0" w:line="266" w:lineRule="auto"/>
        <w:rPr>
          <w:sz w:val="20"/>
          <w:szCs w:val="20"/>
          <w:color w:val="auto"/>
        </w:rPr>
      </w:pP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u w:val="single" w:color="auto"/>
          <w:color w:val="231F20"/>
        </w:rPr>
        <w:t>Unliquidated Obligations</w:t>
      </w:r>
      <w:r>
        <w:rPr>
          <w:rFonts w:ascii="Times New Roman" w:cs="Times New Roman" w:eastAsia="Times New Roman" w:hAnsi="Times New Roman"/>
          <w:sz w:val="19"/>
          <w:szCs w:val="19"/>
          <w:color w:val="231F20"/>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65" w:lineRule="exact"/>
        <w:rPr>
          <w:sz w:val="20"/>
          <w:szCs w:val="20"/>
          <w:color w:val="auto"/>
        </w:rPr>
      </w:pPr>
    </w:p>
    <w:p>
      <w:pPr>
        <w:jc w:val="both"/>
        <w:ind w:left="740" w:right="80" w:firstLine="749"/>
        <w:spacing w:after="0" w:line="245"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Unrestricted Cash and Cash Equivalents</w:t>
      </w:r>
      <w:r>
        <w:rPr>
          <w:rFonts w:ascii="Times New Roman" w:cs="Times New Roman" w:eastAsia="Times New Roman" w:hAnsi="Times New Roman"/>
          <w:sz w:val="20"/>
          <w:szCs w:val="20"/>
          <w:color w:val="231F20"/>
        </w:rPr>
        <w:t>” means, at any date, the cash and Cash Equivalents of the Borrower and its Subsidiaries that (a) do not appear (and are not required to appear) as “restricted” on the consolidated balance sheet of the Borrower and its Subsidiaries as of such day in accordance with GAAP and (b) are free and clear of all Liens (other than non-consensual liens, Liens permitted by Sections 6.02(f) and (i), and liens in favor of the Secured Parties pursuant to the Collateral Documents to secure the Secured Obligations (including the Control Agreements), in each case, permitted under Section 6.02).</w:t>
      </w:r>
    </w:p>
    <w:p>
      <w:pPr>
        <w:spacing w:after="0" w:line="184"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Unrestricted Domestic Cash and Cash Equivalents</w:t>
      </w:r>
      <w:r>
        <w:rPr>
          <w:rFonts w:ascii="Times New Roman" w:cs="Times New Roman" w:eastAsia="Times New Roman" w:hAnsi="Times New Roman"/>
          <w:sz w:val="20"/>
          <w:szCs w:val="20"/>
          <w:color w:val="231F20"/>
        </w:rPr>
        <w:t xml:space="preserve">” means, at any date, the Unrestricted Cash and Cash Equivalents held in an account located in the United States with or through (i) Citi or </w:t>
      </w:r>
      <w:r>
        <w:rPr>
          <w:rFonts w:ascii="Times New Roman" w:cs="Times New Roman" w:eastAsia="Times New Roman" w:hAnsi="Times New Roman"/>
          <w:sz w:val="20"/>
          <w:szCs w:val="20"/>
          <w:u w:val="single" w:color="auto"/>
          <w:color w:val="2251A3"/>
        </w:rPr>
        <w:t>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291" w:right="659" w:bottom="1440" w:gutter="0" w:footer="0" w:header="0"/>
        </w:sectPr>
      </w:pPr>
    </w:p>
    <w:bookmarkStart w:id="171" w:name="page172"/>
    <w:bookmarkEnd w:id="171"/>
    <w:p>
      <w:pPr>
        <w:ind w:left="740" w:right="120"/>
        <w:spacing w:after="0" w:line="269" w:lineRule="auto"/>
        <w:rPr>
          <w:sz w:val="20"/>
          <w:szCs w:val="20"/>
          <w:color w:val="auto"/>
        </w:rPr>
      </w:pPr>
      <w:r>
        <w:rPr>
          <w:rFonts w:ascii="Times New Roman" w:cs="Times New Roman" w:eastAsia="Times New Roman" w:hAnsi="Times New Roman"/>
          <w:sz w:val="20"/>
          <w:szCs w:val="20"/>
          <w:u w:val="single" w:color="auto"/>
          <w:color w:val="2251A3"/>
        </w:rPr>
        <w:t>Affiliate thereof or</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(ii) solely to the extent such account is subject to a Control Agreement, any Lender</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ED1C24"/>
          <w:strike w:val="1"/>
        </w:rPr>
        <w:t>who is a Lender on the</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ED1C24"/>
          <w:strike w:val="1"/>
        </w:rPr>
        <w:t>Effective Date</w:t>
      </w:r>
      <w:r>
        <w:rPr>
          <w:rFonts w:ascii="Times New Roman" w:cs="Times New Roman" w:eastAsia="Times New Roman" w:hAnsi="Times New Roman"/>
          <w:sz w:val="20"/>
          <w:szCs w:val="20"/>
          <w:u w:val="single" w:color="auto"/>
          <w:color w:val="2251A3"/>
        </w:rPr>
        <w:t>or an Affiliate thereof</w:t>
      </w:r>
      <w:r>
        <w:rPr>
          <w:rFonts w:ascii="Times New Roman" w:cs="Times New Roman" w:eastAsia="Times New Roman" w:hAnsi="Times New Roman"/>
          <w:sz w:val="20"/>
          <w:szCs w:val="20"/>
          <w:color w:val="231F20"/>
        </w:rPr>
        <w:t>.</w:t>
      </w:r>
    </w:p>
    <w:p>
      <w:pPr>
        <w:spacing w:after="0" w:line="159"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U.S. Government Securities Business Day</w:t>
      </w:r>
      <w:r>
        <w:rPr>
          <w:rFonts w:ascii="Times New Roman" w:cs="Times New Roman" w:eastAsia="Times New Roman" w:hAnsi="Times New Roman"/>
          <w:sz w:val="20"/>
          <w:szCs w:val="20"/>
          <w:color w:val="231F20"/>
        </w:rPr>
        <w:t>” means any day, other than a Saturday or Sunday or any day on which the Securities Industry and Financial Markets Association recommends that the fixed income departments of its members be closed for the entire day for purposes of trading in United States government securities.</w:t>
      </w:r>
    </w:p>
    <w:p>
      <w:pPr>
        <w:spacing w:after="0" w:line="174"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U.S. Person</w:t>
      </w:r>
      <w:r>
        <w:rPr>
          <w:rFonts w:ascii="Times New Roman" w:cs="Times New Roman" w:eastAsia="Times New Roman" w:hAnsi="Times New Roman"/>
          <w:sz w:val="20"/>
          <w:szCs w:val="20"/>
          <w:color w:val="231F20"/>
        </w:rPr>
        <w:t xml:space="preserve">” means </w:t>
      </w:r>
      <w:r>
        <w:rPr>
          <w:rFonts w:ascii="Times New Roman" w:cs="Times New Roman" w:eastAsia="Times New Roman" w:hAnsi="Times New Roman"/>
          <w:sz w:val="20"/>
          <w:szCs w:val="20"/>
          <w:u w:val="single" w:color="auto"/>
          <w:color w:val="2251A3"/>
        </w:rPr>
        <w:t>(i) with respect to any provision in this Agreement regarding Outbound Investment Rules, any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United States citizen, lawful permanent resident, entity organized under the laws of the United States or any jurisdiction within the United States, including any foreign branch of any such entity, or any person in the United States, and (ii) for purposes of all other provisions in this Agreement,</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a “United States person” as defined in section 7701(a)(30) of the Code.</w:t>
      </w:r>
    </w:p>
    <w:p>
      <w:pPr>
        <w:spacing w:after="0" w:line="18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U.S. Special Resolution Regimes</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9.20</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U.S. Tax Compliance Certificate</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 2.17(f)(ii)(B)(3)</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ind w:left="740" w:right="40" w:firstLine="747"/>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USA PATRIOT Act</w:t>
      </w:r>
      <w:r>
        <w:rPr>
          <w:rFonts w:ascii="Times New Roman" w:cs="Times New Roman" w:eastAsia="Times New Roman" w:hAnsi="Times New Roman"/>
          <w:sz w:val="20"/>
          <w:szCs w:val="20"/>
          <w:color w:val="231F20"/>
        </w:rPr>
        <w:t>” means the Uniting and Strengthening America by Providing Appropriate Tools Required to Intercept and Obstruct Terrorism Act of 2001.</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Voluntary Foreign Guarantor</w:t>
      </w:r>
      <w:r>
        <w:rPr>
          <w:rFonts w:ascii="Times New Roman" w:cs="Times New Roman" w:eastAsia="Times New Roman" w:hAnsi="Times New Roman"/>
          <w:sz w:val="20"/>
          <w:szCs w:val="20"/>
          <w:color w:val="231F20"/>
        </w:rPr>
        <w:t>” has the meaning assigned to such term in the definition of “Loan Guarantor”.</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Voluntary Foreign Guarantor Amendments</w:t>
      </w:r>
      <w:r>
        <w:rPr>
          <w:rFonts w:ascii="Times New Roman" w:cs="Times New Roman" w:eastAsia="Times New Roman" w:hAnsi="Times New Roman"/>
          <w:sz w:val="20"/>
          <w:szCs w:val="20"/>
          <w:color w:val="231F20"/>
        </w:rPr>
        <w:t xml:space="preserve">” has the meaning assigned to such term in </w:t>
      </w:r>
      <w:r>
        <w:rPr>
          <w:rFonts w:ascii="Times New Roman" w:cs="Times New Roman" w:eastAsia="Times New Roman" w:hAnsi="Times New Roman"/>
          <w:sz w:val="20"/>
          <w:szCs w:val="20"/>
          <w:u w:val="single" w:color="auto"/>
          <w:color w:val="231F20"/>
        </w:rPr>
        <w:t>Section</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231F20"/>
        </w:rPr>
        <w:t>9.02(g)</w:t>
      </w:r>
      <w:r>
        <w:rPr>
          <w:rFonts w:ascii="Times New Roman" w:cs="Times New Roman" w:eastAsia="Times New Roman" w:hAnsi="Times New Roman"/>
          <w:sz w:val="20"/>
          <w:szCs w:val="20"/>
          <w:color w:val="231F20"/>
        </w:rPr>
        <w:t>.</w:t>
      </w:r>
    </w:p>
    <w:p>
      <w:pPr>
        <w:spacing w:after="0" w:line="194"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Withdrawal Liability</w:t>
      </w:r>
      <w:r>
        <w:rPr>
          <w:rFonts w:ascii="Times New Roman" w:cs="Times New Roman" w:eastAsia="Times New Roman" w:hAnsi="Times New Roman"/>
          <w:sz w:val="20"/>
          <w:szCs w:val="20"/>
          <w:color w:val="231F20"/>
        </w:rPr>
        <w:t>” means liability to a Multiemployer Plan as a result of a complete or partial withdrawal from such Multiemployer Plan, as such terms are defined in Part I of Subtitle E of Title IV of ERISA.</w:t>
      </w:r>
    </w:p>
    <w:p>
      <w:pPr>
        <w:spacing w:after="0" w:line="159"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Withholding Agent</w:t>
      </w:r>
      <w:r>
        <w:rPr>
          <w:rFonts w:ascii="Times New Roman" w:cs="Times New Roman" w:eastAsia="Times New Roman" w:hAnsi="Times New Roman"/>
          <w:sz w:val="20"/>
          <w:szCs w:val="20"/>
          <w:color w:val="231F20"/>
        </w:rPr>
        <w:t>” means the Borrower, any other Loan Party, the Administrative Agent, and any other withholding agent as applicable.</w:t>
      </w:r>
    </w:p>
    <w:p>
      <w:pPr>
        <w:spacing w:after="0" w:line="159"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u w:val="single" w:color="auto"/>
          <w:color w:val="231F20"/>
        </w:rPr>
        <w:t>Write-Down and Conversion Powers</w:t>
      </w:r>
      <w:r>
        <w:rPr>
          <w:rFonts w:ascii="Times New Roman" w:cs="Times New Roman" w:eastAsia="Times New Roman" w:hAnsi="Times New Roman"/>
          <w:sz w:val="20"/>
          <w:szCs w:val="20"/>
          <w:color w:val="231F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6"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231F20"/>
        </w:rPr>
        <w:t xml:space="preserve">SECTION 1.02 </w:t>
      </w:r>
      <w:r>
        <w:rPr>
          <w:rFonts w:ascii="Times New Roman" w:cs="Times New Roman" w:eastAsia="Times New Roman" w:hAnsi="Times New Roman"/>
          <w:sz w:val="20"/>
          <w:szCs w:val="20"/>
          <w:u w:val="single" w:color="auto"/>
          <w:color w:val="231F20"/>
        </w:rPr>
        <w:t>Classification of Loans and Borrowings</w:t>
      </w:r>
      <w:r>
        <w:rPr>
          <w:rFonts w:ascii="Times New Roman" w:cs="Times New Roman" w:eastAsia="Times New Roman" w:hAnsi="Times New Roman"/>
          <w:sz w:val="20"/>
          <w:szCs w:val="20"/>
          <w:color w:val="231F20"/>
        </w:rPr>
        <w:t>. For purposes of this Agreement, Loans may be classified and referred to by Type (</w:t>
      </w:r>
      <w:r>
        <w:rPr>
          <w:rFonts w:ascii="Times New Roman" w:cs="Times New Roman" w:eastAsia="Times New Roman" w:hAnsi="Times New Roman"/>
          <w:sz w:val="20"/>
          <w:szCs w:val="20"/>
          <w:i w:val="1"/>
          <w:iCs w:val="1"/>
          <w:color w:val="231F20"/>
        </w:rPr>
        <w:t>e.g</w:t>
      </w:r>
      <w:r>
        <w:rPr>
          <w:rFonts w:ascii="Times New Roman" w:cs="Times New Roman" w:eastAsia="Times New Roman" w:hAnsi="Times New Roman"/>
          <w:sz w:val="20"/>
          <w:szCs w:val="20"/>
          <w:color w:val="231F20"/>
        </w:rPr>
        <w:t>., a “Term SOFR Loan”).</w:t>
      </w:r>
    </w:p>
    <w:p>
      <w:pPr>
        <w:spacing w:after="0" w:line="159"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231F20"/>
        </w:rPr>
        <w:t xml:space="preserve">SECTION 1.03 </w:t>
      </w:r>
      <w:r>
        <w:rPr>
          <w:rFonts w:ascii="Times New Roman" w:cs="Times New Roman" w:eastAsia="Times New Roman" w:hAnsi="Times New Roman"/>
          <w:sz w:val="20"/>
          <w:szCs w:val="20"/>
          <w:u w:val="single" w:color="auto"/>
          <w:color w:val="231F20"/>
        </w:rPr>
        <w:t>Terms Generally</w:t>
      </w:r>
      <w:r>
        <w:rPr>
          <w:rFonts w:ascii="Times New Roman" w:cs="Times New Roman" w:eastAsia="Times New Roman" w:hAnsi="Times New Roman"/>
          <w:sz w:val="20"/>
          <w:szCs w:val="20"/>
          <w:color w:val="231F20"/>
        </w:rPr>
        <w:t>. The definitions of terms herein shall apply equally to the singular and plural forms of the terms defined. Whenever the context may require, any pronoun shall include the corresponding masculine, feminine and neuter forms. The words “include”, “includes” and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72" w:name="page173"/>
    <w:bookmarkEnd w:id="172"/>
    <w:p>
      <w:pPr>
        <w:jc w:val="both"/>
        <w:ind w:left="740" w:right="20"/>
        <w:spacing w:after="0" w:line="244" w:lineRule="auto"/>
        <w:rPr>
          <w:sz w:val="20"/>
          <w:szCs w:val="20"/>
          <w:color w:val="auto"/>
        </w:rPr>
      </w:pPr>
      <w:r>
        <w:rPr>
          <w:rFonts w:ascii="Times New Roman" w:cs="Times New Roman" w:eastAsia="Times New Roman" w:hAnsi="Times New Roman"/>
          <w:sz w:val="20"/>
          <w:szCs w:val="20"/>
          <w:color w:val="231F20"/>
        </w:rPr>
        <w:t>“including”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w:t>
      </w:r>
    </w:p>
    <w:p>
      <w:pPr>
        <w:jc w:val="both"/>
        <w:ind w:left="740" w:hanging="3"/>
        <w:spacing w:after="0" w:line="239" w:lineRule="auto"/>
        <w:tabs>
          <w:tab w:leader="none" w:pos="1010" w:val="left"/>
        </w:tabs>
        <w:numPr>
          <w:ilvl w:val="0"/>
          <w:numId w:val="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definition of or reference to any agreement, instrument or other document herein shall be construed as referring to such agreement, instrument or other document as from time to time amended, restated, amended and restated, supplemented, refinanced, replaced, or otherwise modified (subject to any restrictions on such amendments, restatements, amendment and restatement, supplements, refinancings, replacements,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201" w:lineRule="exact"/>
        <w:rPr>
          <w:sz w:val="20"/>
          <w:szCs w:val="20"/>
          <w:color w:val="auto"/>
        </w:rPr>
      </w:pPr>
    </w:p>
    <w:p>
      <w:pPr>
        <w:jc w:val="both"/>
        <w:ind w:left="740" w:firstLine="749"/>
        <w:spacing w:after="0"/>
        <w:rPr>
          <w:sz w:val="20"/>
          <w:szCs w:val="20"/>
          <w:color w:val="auto"/>
        </w:rPr>
      </w:pPr>
      <w:r>
        <w:rPr>
          <w:rFonts w:ascii="Times New Roman" w:cs="Times New Roman" w:eastAsia="Times New Roman" w:hAnsi="Times New Roman"/>
          <w:sz w:val="20"/>
          <w:szCs w:val="20"/>
          <w:color w:val="231F20"/>
        </w:rPr>
        <w:t xml:space="preserve">SECTION 1.04 </w:t>
      </w:r>
      <w:r>
        <w:rPr>
          <w:rFonts w:ascii="Times New Roman" w:cs="Times New Roman" w:eastAsia="Times New Roman" w:hAnsi="Times New Roman"/>
          <w:sz w:val="20"/>
          <w:szCs w:val="20"/>
          <w:u w:val="single" w:color="auto"/>
          <w:color w:val="231F20"/>
        </w:rPr>
        <w:t>Accounting Terms; GAAP</w:t>
      </w:r>
      <w:r>
        <w:rPr>
          <w:rFonts w:ascii="Times New Roman" w:cs="Times New Roman" w:eastAsia="Times New Roman" w:hAnsi="Times New Roman"/>
          <w:sz w:val="20"/>
          <w:szCs w:val="20"/>
          <w:color w:val="231F20"/>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if after the Effective Date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provided, further, that all terms of an accounting or financial nature (including, without limitation, the definitions of Capital Lease Obligations, Interest Expense and Indebtedness) shall be construed without giving effect to (A) any election under Accounting Standards Codification 825-10-25 (previously referred to as Statement of Financial Accounting Standards 159, The Fair Value Option for Financial Assets and Financial Liabilities), or any successor thereto (including pursuant to the Accounting Standards Codification), to value any Indebtedness of the Loan Parties at “fair value”, as defined therein and (B) any treatment of Indebtedness relating to convertible or equity-linked securities under Accounting Standards Codification 470-20 (or any other Accounting Standards Codification or Financial Accounting Standard having a similar result or effect) requiring the valuation of any such Indebtedness in a reduced or bifurcated manner as described therein. Notwithstanding any other provision contained herein, other than for purposes of </w:t>
      </w:r>
      <w:r>
        <w:rPr>
          <w:rFonts w:ascii="Times New Roman" w:cs="Times New Roman" w:eastAsia="Times New Roman" w:hAnsi="Times New Roman"/>
          <w:sz w:val="20"/>
          <w:szCs w:val="20"/>
          <w:u w:val="single" w:color="auto"/>
          <w:color w:val="231F20"/>
        </w:rPr>
        <w:t>Sections 3.04</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5.01(a)</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5.01(b)</w:t>
      </w:r>
      <w:r>
        <w:rPr>
          <w:rFonts w:ascii="Times New Roman" w:cs="Times New Roman" w:eastAsia="Times New Roman" w:hAnsi="Times New Roman"/>
          <w:sz w:val="20"/>
          <w:szCs w:val="20"/>
          <w:color w:val="231F20"/>
        </w:rPr>
        <w:t>, all terms of an accounting or financial nature used herein shall be construed, and all computations of amounts and ratios referred to herein shall be made without giving effect to any change in accounting for leases resulting from the implementation of Financial Accounting Standards Board ASU No. 2016-02, Leases (Topic 842), to the extent any lease (or similar arrangement conveying the right to use) would be required to be treated as a capital lease where such lease (or similar arrangement) would not have been required to be so treated under GAAP as in effect on December 31,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173" w:name="page174"/>
    <w:bookmarkEnd w:id="173"/>
    <w:p>
      <w:pPr>
        <w:jc w:val="both"/>
        <w:ind w:left="740" w:right="40" w:firstLine="749"/>
        <w:spacing w:after="0" w:line="242" w:lineRule="auto"/>
        <w:rPr>
          <w:sz w:val="20"/>
          <w:szCs w:val="20"/>
          <w:color w:val="auto"/>
        </w:rPr>
      </w:pPr>
      <w:r>
        <w:rPr>
          <w:rFonts w:ascii="Times New Roman" w:cs="Times New Roman" w:eastAsia="Times New Roman" w:hAnsi="Times New Roman"/>
          <w:sz w:val="20"/>
          <w:szCs w:val="20"/>
          <w:color w:val="231F20"/>
        </w:rPr>
        <w:t xml:space="preserve">SECTION 1.05 </w:t>
      </w:r>
      <w:r>
        <w:rPr>
          <w:rFonts w:ascii="Times New Roman" w:cs="Times New Roman" w:eastAsia="Times New Roman" w:hAnsi="Times New Roman"/>
          <w:sz w:val="20"/>
          <w:szCs w:val="20"/>
          <w:u w:val="single" w:color="auto"/>
          <w:color w:val="231F20"/>
        </w:rPr>
        <w:t>Status of Obligations</w:t>
      </w:r>
      <w:r>
        <w:rPr>
          <w:rFonts w:ascii="Times New Roman" w:cs="Times New Roman" w:eastAsia="Times New Roman" w:hAnsi="Times New Roman"/>
          <w:sz w:val="20"/>
          <w:szCs w:val="20"/>
          <w:color w:val="231F20"/>
        </w:rPr>
        <w:t>. In the event that the Borrower or any other Loan Party shall at any time issue or have outstanding any Subordinated Indebtedness, the Borrower shall take or cause such other Loan Party to take all such actions as shall be reasonably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reasonably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90"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231F20"/>
        </w:rPr>
        <w:t xml:space="preserve">SECTION 1.06 </w:t>
      </w:r>
      <w:r>
        <w:rPr>
          <w:rFonts w:ascii="Times New Roman" w:cs="Times New Roman" w:eastAsia="Times New Roman" w:hAnsi="Times New Roman"/>
          <w:sz w:val="20"/>
          <w:szCs w:val="20"/>
          <w:u w:val="single" w:color="auto"/>
          <w:color w:val="231F20"/>
        </w:rPr>
        <w:t>Financial Ratios</w:t>
      </w:r>
      <w:r>
        <w:rPr>
          <w:rFonts w:ascii="Times New Roman" w:cs="Times New Roman" w:eastAsia="Times New Roman" w:hAnsi="Times New Roman"/>
          <w:sz w:val="20"/>
          <w:szCs w:val="20"/>
          <w:color w:val="231F20"/>
        </w:rPr>
        <w:t>. Any financial ratios required to be maintained by any Loan Party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0"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color w:val="231F20"/>
        </w:rPr>
        <w:t xml:space="preserve">SECTION 1.07 </w:t>
      </w:r>
      <w:r>
        <w:rPr>
          <w:rFonts w:ascii="Times New Roman" w:cs="Times New Roman" w:eastAsia="Times New Roman" w:hAnsi="Times New Roman"/>
          <w:sz w:val="20"/>
          <w:szCs w:val="20"/>
          <w:u w:val="single" w:color="auto"/>
          <w:color w:val="231F20"/>
        </w:rPr>
        <w:t>Division</w:t>
      </w:r>
      <w:r>
        <w:rPr>
          <w:rFonts w:ascii="Times New Roman" w:cs="Times New Roman" w:eastAsia="Times New Roman" w:hAnsi="Times New Roman"/>
          <w:sz w:val="20"/>
          <w:szCs w:val="20"/>
          <w:color w:val="231F20"/>
        </w:rPr>
        <w:t>. Any reference in any Loan Document to a merger, consolidation, amalgamation, assignment, sale, disposition or transfer, or similar term, shall be deemed to include or apply to (as applicable) a Division or plan of division of or by a limited liability company, limited partnership or trust, or an allocation of assets to a series of a limited liability company, limited partnership or trust (or the unwinding of such a division or allocation), as if it were a merger, amalgamation, consolidation, assignment, sale or transfer, or similar term, as applicable, to, of or with a separate Person. Any Person that exists or that comes into existence after giving effect to a division of a limited liability company, limited partnership or trust shall constitute a separate Person for all purposes under the Loan Documents (including any Loan Party, Subsidiary, joint venture or any other like Person) and shall be deemed to have been organized on the first date of its existence by the holders of its Equity Interests at such time.</w:t>
      </w:r>
    </w:p>
    <w:p>
      <w:pPr>
        <w:spacing w:after="0" w:line="186" w:lineRule="exact"/>
        <w:rPr>
          <w:sz w:val="20"/>
          <w:szCs w:val="20"/>
          <w:color w:val="auto"/>
        </w:rPr>
      </w:pPr>
    </w:p>
    <w:p>
      <w:pPr>
        <w:jc w:val="both"/>
        <w:ind w:left="740" w:firstLine="749"/>
        <w:spacing w:after="0" w:line="257" w:lineRule="auto"/>
        <w:rPr>
          <w:sz w:val="20"/>
          <w:szCs w:val="20"/>
          <w:color w:val="auto"/>
        </w:rPr>
      </w:pPr>
      <w:r>
        <w:rPr>
          <w:rFonts w:ascii="Times New Roman" w:cs="Times New Roman" w:eastAsia="Times New Roman" w:hAnsi="Times New Roman"/>
          <w:sz w:val="19"/>
          <w:szCs w:val="19"/>
          <w:color w:val="231F20"/>
        </w:rPr>
        <w:t xml:space="preserve">SECTION 1.08 </w:t>
      </w:r>
      <w:r>
        <w:rPr>
          <w:rFonts w:ascii="Times New Roman" w:cs="Times New Roman" w:eastAsia="Times New Roman" w:hAnsi="Times New Roman"/>
          <w:sz w:val="19"/>
          <w:szCs w:val="19"/>
          <w:u w:val="single" w:color="auto"/>
          <w:color w:val="231F20"/>
        </w:rPr>
        <w:t>Foreign Currency; Exchange Rate</w:t>
      </w:r>
      <w:r>
        <w:rPr>
          <w:rFonts w:ascii="Times New Roman" w:cs="Times New Roman" w:eastAsia="Times New Roman" w:hAnsi="Times New Roman"/>
          <w:sz w:val="19"/>
          <w:szCs w:val="19"/>
          <w:color w:val="231F20"/>
        </w:rPr>
        <w:t xml:space="preserve">. For purposes of any determination under </w:t>
      </w:r>
      <w:r>
        <w:rPr>
          <w:rFonts w:ascii="Times New Roman" w:cs="Times New Roman" w:eastAsia="Times New Roman" w:hAnsi="Times New Roman"/>
          <w:sz w:val="19"/>
          <w:szCs w:val="19"/>
          <w:u w:val="single" w:color="auto"/>
          <w:color w:val="231F20"/>
        </w:rPr>
        <w:t>Article VI</w:t>
      </w:r>
      <w:r>
        <w:rPr>
          <w:rFonts w:ascii="Times New Roman" w:cs="Times New Roman" w:eastAsia="Times New Roman" w:hAnsi="Times New Roman"/>
          <w:sz w:val="19"/>
          <w:szCs w:val="19"/>
          <w:color w:val="231F20"/>
        </w:rPr>
        <w:t xml:space="preserve"> or under </w:t>
      </w:r>
      <w:r>
        <w:rPr>
          <w:rFonts w:ascii="Times New Roman" w:cs="Times New Roman" w:eastAsia="Times New Roman" w:hAnsi="Times New Roman"/>
          <w:sz w:val="19"/>
          <w:szCs w:val="19"/>
          <w:u w:val="single" w:color="auto"/>
          <w:color w:val="231F20"/>
        </w:rPr>
        <w:t>Article VII,</w:t>
      </w:r>
      <w:r>
        <w:rPr>
          <w:rFonts w:ascii="Times New Roman" w:cs="Times New Roman" w:eastAsia="Times New Roman" w:hAnsi="Times New Roman"/>
          <w:sz w:val="19"/>
          <w:szCs w:val="19"/>
          <w:color w:val="231F20"/>
        </w:rPr>
        <w:t xml:space="preserve"> all amounts incurred, outstanding or proposed to be incurred or outstanding in a foreign currency shall be translated into Dollars at the currency exchange rates in effect on the date of such determination;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xml:space="preserve">, that no Default shall arise as a result of any limitation set forth in Dollars in </w:t>
      </w:r>
      <w:r>
        <w:rPr>
          <w:rFonts w:ascii="Times New Roman" w:cs="Times New Roman" w:eastAsia="Times New Roman" w:hAnsi="Times New Roman"/>
          <w:sz w:val="19"/>
          <w:szCs w:val="19"/>
          <w:u w:val="single" w:color="auto"/>
          <w:color w:val="231F20"/>
        </w:rPr>
        <w:t>Article VI</w:t>
      </w:r>
      <w:r>
        <w:rPr>
          <w:rFonts w:ascii="Times New Roman" w:cs="Times New Roman" w:eastAsia="Times New Roman" w:hAnsi="Times New Roman"/>
          <w:sz w:val="19"/>
          <w:szCs w:val="19"/>
          <w:color w:val="231F20"/>
        </w:rPr>
        <w:t xml:space="preserve"> being exceeded solely as a result of changes in currency exchange rates from those rates applicable at the time or times Indebtedness, Liens, Investments or other transactions were initially consummated in reliance on the exceptions under such Sections. For purposes of any determination under </w:t>
      </w:r>
      <w:r>
        <w:rPr>
          <w:rFonts w:ascii="Times New Roman" w:cs="Times New Roman" w:eastAsia="Times New Roman" w:hAnsi="Times New Roman"/>
          <w:sz w:val="19"/>
          <w:szCs w:val="19"/>
          <w:u w:val="single" w:color="auto"/>
          <w:color w:val="231F20"/>
        </w:rPr>
        <w:t>Section 6.04</w:t>
      </w:r>
      <w:r>
        <w:rPr>
          <w:rFonts w:ascii="Times New Roman" w:cs="Times New Roman" w:eastAsia="Times New Roman" w:hAnsi="Times New Roman"/>
          <w:sz w:val="19"/>
          <w:szCs w:val="19"/>
          <w:color w:val="231F20"/>
        </w:rPr>
        <w:t xml:space="preserve"> or </w:t>
      </w:r>
      <w:r>
        <w:rPr>
          <w:rFonts w:ascii="Times New Roman" w:cs="Times New Roman" w:eastAsia="Times New Roman" w:hAnsi="Times New Roman"/>
          <w:sz w:val="19"/>
          <w:szCs w:val="19"/>
          <w:u w:val="single" w:color="auto"/>
          <w:color w:val="231F20"/>
        </w:rPr>
        <w:t>6.09</w:t>
      </w:r>
      <w:r>
        <w:rPr>
          <w:rFonts w:ascii="Times New Roman" w:cs="Times New Roman" w:eastAsia="Times New Roman" w:hAnsi="Times New Roman"/>
          <w:sz w:val="19"/>
          <w:szCs w:val="19"/>
          <w:color w:val="231F20"/>
        </w:rPr>
        <w:t>, the amount of each investment, asset disposition or other applicable transaction denominated in a foreign currency shall be translated into Dollars at the currency exchange rate in effect on the date such investment, disposition or other transaction is consummated. Such currency exchange rates shall be determined in good faith by the Borrower.</w:t>
      </w:r>
    </w:p>
    <w:p>
      <w:pPr>
        <w:spacing w:after="0" w:line="176"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1.09</w:t>
      </w:r>
      <w:r>
        <w:rPr>
          <w:sz w:val="20"/>
          <w:szCs w:val="20"/>
          <w:color w:val="auto"/>
        </w:rPr>
        <w:tab/>
      </w:r>
      <w:r>
        <w:rPr>
          <w:rFonts w:ascii="Times New Roman" w:cs="Times New Roman" w:eastAsia="Times New Roman" w:hAnsi="Times New Roman"/>
          <w:sz w:val="19"/>
          <w:szCs w:val="19"/>
          <w:u w:val="single" w:color="auto"/>
          <w:color w:val="231F20"/>
        </w:rPr>
        <w:t>Calculations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20" w:firstLine="745"/>
        <w:spacing w:after="0" w:line="246" w:lineRule="auto"/>
        <w:tabs>
          <w:tab w:leader="none" w:pos="2008" w:val="left"/>
        </w:tabs>
        <w:numPr>
          <w:ilvl w:val="0"/>
          <w:numId w:val="9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For purposes of determining the amount of any Investment outstanding for purposes of </w:t>
      </w:r>
      <w:r>
        <w:rPr>
          <w:rFonts w:ascii="Times New Roman" w:cs="Times New Roman" w:eastAsia="Times New Roman" w:hAnsi="Times New Roman"/>
          <w:sz w:val="20"/>
          <w:szCs w:val="20"/>
          <w:u w:val="single" w:color="auto"/>
          <w:color w:val="231F20"/>
        </w:rPr>
        <w:t>Section 6.04</w:t>
      </w:r>
      <w:r>
        <w:rPr>
          <w:rFonts w:ascii="Times New Roman" w:cs="Times New Roman" w:eastAsia="Times New Roman" w:hAnsi="Times New Roman"/>
          <w:sz w:val="20"/>
          <w:szCs w:val="20"/>
          <w:color w:val="231F20"/>
        </w:rPr>
        <w:t>, such amount shall be deemed to be the amount of such Investment when made, purchased or acquired (without adjustment for subsequent increases or decreases in the value of such Investment) less any actual cash amount realized by the applicable Loan Party or Subsidiary in respect of such Investment upon the sale, collection or return of capital (not to exceed the original amount invested).</w:t>
      </w:r>
    </w:p>
    <w:p>
      <w:pPr>
        <w:spacing w:after="0" w:line="36" w:lineRule="exact"/>
        <w:rPr>
          <w:rFonts w:ascii="Times New Roman" w:cs="Times New Roman" w:eastAsia="Times New Roman" w:hAnsi="Times New Roman"/>
          <w:sz w:val="20"/>
          <w:szCs w:val="20"/>
          <w:color w:val="231F20"/>
        </w:rPr>
      </w:pPr>
    </w:p>
    <w:p>
      <w:pPr>
        <w:ind w:left="740" w:right="60" w:firstLine="746"/>
        <w:spacing w:after="0" w:line="269" w:lineRule="auto"/>
        <w:tabs>
          <w:tab w:leader="none" w:pos="2007" w:val="left"/>
        </w:tabs>
        <w:numPr>
          <w:ilvl w:val="0"/>
          <w:numId w:val="9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Notwithstanding anything to the contrary herein, for purposes of determining whether the incurrence of any Indebtedness is in compliance with any financial test set forth in this Agreement, such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291" w:right="699" w:bottom="1440" w:gutter="0" w:footer="0" w:header="0"/>
        </w:sectPr>
      </w:pPr>
    </w:p>
    <w:bookmarkStart w:id="174" w:name="page175"/>
    <w:bookmarkEnd w:id="174"/>
    <w:p>
      <w:pPr>
        <w:jc w:val="both"/>
        <w:ind w:left="740"/>
        <w:spacing w:after="0" w:line="254" w:lineRule="auto"/>
        <w:rPr>
          <w:sz w:val="20"/>
          <w:szCs w:val="20"/>
          <w:color w:val="auto"/>
        </w:rPr>
      </w:pPr>
      <w:r>
        <w:rPr>
          <w:rFonts w:ascii="Times New Roman" w:cs="Times New Roman" w:eastAsia="Times New Roman" w:hAnsi="Times New Roman"/>
          <w:sz w:val="20"/>
          <w:szCs w:val="20"/>
          <w:color w:val="231F20"/>
        </w:rPr>
        <w:t>test shall be calculated (i) on a pro forma basis for the incurrence of such Indebtedness and (ii) in the case of any such Indebtedness constituting revolving Indebtedness or delayed draw Indebtedness, assuming that such Indebtedness is fully drawn.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175" w:name="page176"/>
    <w:bookmarkEnd w:id="175"/>
    <w:p>
      <w:pPr>
        <w:jc w:val="center"/>
        <w:ind w:right="60"/>
        <w:spacing w:after="0"/>
        <w:rPr>
          <w:sz w:val="20"/>
          <w:szCs w:val="20"/>
          <w:color w:val="auto"/>
        </w:rPr>
      </w:pPr>
      <w:r>
        <w:rPr>
          <w:rFonts w:ascii="Times New Roman" w:cs="Times New Roman" w:eastAsia="Times New Roman" w:hAnsi="Times New Roman"/>
          <w:sz w:val="20"/>
          <w:szCs w:val="20"/>
          <w:color w:val="231F20"/>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3741420</wp:posOffset>
            </wp:positionH>
            <wp:positionV relativeFrom="paragraph">
              <wp:posOffset>-10795</wp:posOffset>
            </wp:positionV>
            <wp:extent cx="10795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07950" cy="8255"/>
                    </a:xfrm>
                    <a:prstGeom prst="rect">
                      <a:avLst/>
                    </a:prstGeom>
                    <a:noFill/>
                  </pic:spPr>
                </pic:pic>
              </a:graphicData>
            </a:graphic>
          </wp:anchor>
        </w:drawing>
      </w:r>
    </w:p>
    <w:p>
      <w:pPr>
        <w:spacing w:after="0" w:line="2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u w:val="single" w:color="auto"/>
          <w:color w:val="231F20"/>
        </w:rPr>
        <w:t>THE CREDITS</w:t>
      </w:r>
    </w:p>
    <w:p>
      <w:pPr>
        <w:spacing w:after="0" w:line="216"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231F20"/>
        </w:rPr>
        <w:t xml:space="preserve">SECTION 2.01 </w:t>
      </w:r>
      <w:r>
        <w:rPr>
          <w:rFonts w:ascii="Times New Roman" w:cs="Times New Roman" w:eastAsia="Times New Roman" w:hAnsi="Times New Roman"/>
          <w:sz w:val="20"/>
          <w:szCs w:val="20"/>
          <w:u w:val="single" w:color="auto"/>
          <w:color w:val="231F20"/>
        </w:rPr>
        <w:t>Commitments</w:t>
      </w:r>
      <w:r>
        <w:rPr>
          <w:rFonts w:ascii="Times New Roman" w:cs="Times New Roman" w:eastAsia="Times New Roman" w:hAnsi="Times New Roman"/>
          <w:sz w:val="20"/>
          <w:szCs w:val="20"/>
          <w:color w:val="231F20"/>
        </w:rPr>
        <w:t>. Subject to the terms and conditions set forth herein, each Lender severally agrees to make Loans to the Borrower from time to time during the Availability Period in an aggregate principal amount that will not result in such Lender’s Credit Exposure exceeding such Lender’s Commitment. Within the foregoing limits and subject to the terms and conditions set forth herein, the Borrower may borrow, prepay and reborrow Loans.</w:t>
      </w:r>
    </w:p>
    <w:p>
      <w:pPr>
        <w:spacing w:after="0" w:line="180"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2.02</w:t>
      </w:r>
      <w:r>
        <w:rPr>
          <w:sz w:val="20"/>
          <w:szCs w:val="20"/>
          <w:color w:val="auto"/>
        </w:rPr>
        <w:tab/>
      </w:r>
      <w:r>
        <w:rPr>
          <w:rFonts w:ascii="Times New Roman" w:cs="Times New Roman" w:eastAsia="Times New Roman" w:hAnsi="Times New Roman"/>
          <w:sz w:val="19"/>
          <w:szCs w:val="19"/>
          <w:u w:val="single" w:color="auto"/>
          <w:color w:val="231F20"/>
        </w:rPr>
        <w:t>Loans and Borrowings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firstLine="746"/>
        <w:spacing w:after="0" w:line="246" w:lineRule="auto"/>
        <w:tabs>
          <w:tab w:leader="none" w:pos="2007" w:val="left"/>
        </w:tabs>
        <w:numPr>
          <w:ilvl w:val="0"/>
          <w:numId w:val="9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Each Loan (other than a Swingline Loan) shall be made as part of a Borrowing consisting of Loans of the same Type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the Commitments of the Lenders are several and no Lender shall be responsible for any other Lender’s failure to make Loans as required. Any Swingline Loan shall be made in accordance with the procedures set forth in </w:t>
      </w:r>
      <w:r>
        <w:rPr>
          <w:rFonts w:ascii="Times New Roman" w:cs="Times New Roman" w:eastAsia="Times New Roman" w:hAnsi="Times New Roman"/>
          <w:sz w:val="20"/>
          <w:szCs w:val="20"/>
          <w:u w:val="single" w:color="auto"/>
          <w:color w:val="231F20"/>
        </w:rPr>
        <w:t>Section 2.04</w:t>
      </w:r>
      <w:r>
        <w:rPr>
          <w:rFonts w:ascii="Times New Roman" w:cs="Times New Roman" w:eastAsia="Times New Roman" w:hAnsi="Times New Roman"/>
          <w:sz w:val="20"/>
          <w:szCs w:val="20"/>
          <w:color w:val="231F20"/>
        </w:rPr>
        <w:t xml:space="preserve"> below.</w:t>
      </w:r>
    </w:p>
    <w:p>
      <w:pPr>
        <w:spacing w:after="0" w:line="184" w:lineRule="exact"/>
        <w:rPr>
          <w:rFonts w:ascii="Times New Roman" w:cs="Times New Roman" w:eastAsia="Times New Roman" w:hAnsi="Times New Roman"/>
          <w:sz w:val="20"/>
          <w:szCs w:val="20"/>
          <w:color w:val="231F20"/>
        </w:rPr>
      </w:pPr>
    </w:p>
    <w:p>
      <w:pPr>
        <w:jc w:val="both"/>
        <w:ind w:left="740" w:right="20" w:firstLine="745"/>
        <w:spacing w:after="0" w:line="245" w:lineRule="auto"/>
        <w:tabs>
          <w:tab w:leader="none" w:pos="2006" w:val="left"/>
        </w:tabs>
        <w:numPr>
          <w:ilvl w:val="0"/>
          <w:numId w:val="9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Subject to </w:t>
      </w:r>
      <w:r>
        <w:rPr>
          <w:rFonts w:ascii="Times New Roman" w:cs="Times New Roman" w:eastAsia="Times New Roman" w:hAnsi="Times New Roman"/>
          <w:sz w:val="20"/>
          <w:szCs w:val="20"/>
          <w:u w:val="single" w:color="auto"/>
          <w:color w:val="231F20"/>
        </w:rPr>
        <w:t>Sections 2.14</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2.25</w:t>
      </w:r>
      <w:r>
        <w:rPr>
          <w:rFonts w:ascii="Times New Roman" w:cs="Times New Roman" w:eastAsia="Times New Roman" w:hAnsi="Times New Roman"/>
          <w:sz w:val="20"/>
          <w:szCs w:val="20"/>
          <w:color w:val="231F20"/>
        </w:rPr>
        <w:t xml:space="preserve">, each Borrowing shall be comprised entirely of ABR Loans or Term SOFR Loans as the Borrower may request in accordance herewith. Each Swingline Loan shall be an ABR Loan. Each Lender at its option may make any Term SOFR Loan by causing any domestic or foreign branch or Affiliate of such Lender to make such Loan (and in the case of an Affiliate, the provisions of </w:t>
      </w:r>
      <w:r>
        <w:rPr>
          <w:rFonts w:ascii="Times New Roman" w:cs="Times New Roman" w:eastAsia="Times New Roman" w:hAnsi="Times New Roman"/>
          <w:sz w:val="20"/>
          <w:szCs w:val="20"/>
          <w:u w:val="single" w:color="auto"/>
          <w:color w:val="231F20"/>
        </w:rPr>
        <w:t>Sections 2.14</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2.15</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2.16</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2.17</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2.25</w:t>
      </w:r>
      <w:r>
        <w:rPr>
          <w:rFonts w:ascii="Times New Roman" w:cs="Times New Roman" w:eastAsia="Times New Roman" w:hAnsi="Times New Roman"/>
          <w:sz w:val="20"/>
          <w:szCs w:val="20"/>
          <w:color w:val="231F20"/>
        </w:rPr>
        <w:t xml:space="preserve"> shall apply to such Affiliate to the same extent as to such Lender);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any exercise of such option shall not affect the obligation of the Borrower to repay such Loan in accordance with the terms of this Agreement.</w:t>
      </w:r>
    </w:p>
    <w:p>
      <w:pPr>
        <w:spacing w:after="0" w:line="184" w:lineRule="exact"/>
        <w:rPr>
          <w:rFonts w:ascii="Times New Roman" w:cs="Times New Roman" w:eastAsia="Times New Roman" w:hAnsi="Times New Roman"/>
          <w:sz w:val="20"/>
          <w:szCs w:val="20"/>
          <w:color w:val="231F20"/>
        </w:rPr>
      </w:pPr>
    </w:p>
    <w:p>
      <w:pPr>
        <w:ind w:left="740" w:right="40" w:firstLine="745"/>
        <w:spacing w:after="0" w:line="256" w:lineRule="auto"/>
        <w:tabs>
          <w:tab w:leader="none" w:pos="2006" w:val="left"/>
        </w:tabs>
        <w:numPr>
          <w:ilvl w:val="0"/>
          <w:numId w:val="9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At the commencement of each Interest Period for any Term SOFR Borrowing, such Borrowing shall be in an aggregate amount that is an integral multiple of $500,000 and not less than $1.0 million. At the time that each ABR Borrowing is made, such Borrowing shall be in an aggregate amount that is an integral multiple of $100,000 and not less than $1.0 million;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xml:space="preserve">, that an ABR Borrowing may be in an aggregate amount that is equal to the entire unused balance of the total Commitments or that is required to finance the reimbursement of an LC Disbursement as contemplated by </w:t>
      </w:r>
      <w:r>
        <w:rPr>
          <w:rFonts w:ascii="Times New Roman" w:cs="Times New Roman" w:eastAsia="Times New Roman" w:hAnsi="Times New Roman"/>
          <w:sz w:val="19"/>
          <w:szCs w:val="19"/>
          <w:u w:val="single" w:color="auto"/>
          <w:color w:val="231F20"/>
        </w:rPr>
        <w:t>Section</w:t>
      </w:r>
    </w:p>
    <w:p>
      <w:pPr>
        <w:spacing w:after="0" w:line="4" w:lineRule="exact"/>
        <w:rPr>
          <w:rFonts w:ascii="Times New Roman" w:cs="Times New Roman" w:eastAsia="Times New Roman" w:hAnsi="Times New Roman"/>
          <w:sz w:val="19"/>
          <w:szCs w:val="19"/>
          <w:color w:val="231F20"/>
        </w:rPr>
      </w:pPr>
    </w:p>
    <w:p>
      <w:pPr>
        <w:jc w:val="both"/>
        <w:ind w:left="740" w:right="360"/>
        <w:spacing w:after="0" w:line="242"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20"/>
          <w:szCs w:val="20"/>
          <w:u w:val="single" w:color="auto"/>
          <w:color w:val="231F20"/>
        </w:rPr>
        <w:t>2.06(e)</w:t>
      </w:r>
      <w:r>
        <w:rPr>
          <w:rFonts w:ascii="Times New Roman" w:cs="Times New Roman" w:eastAsia="Times New Roman" w:hAnsi="Times New Roman"/>
          <w:sz w:val="20"/>
          <w:szCs w:val="20"/>
          <w:color w:val="231F20"/>
        </w:rPr>
        <w:t xml:space="preserve">. Each Swingline Loan shall be in an amount that is an integral multiple of $100,000 and not less than $1.0 million. Borrowings of more than one Type may be outstanding at the same time;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there shall not at any time be more than a total of eight (8) Term SOFR Borrowings outstanding.</w:t>
      </w:r>
    </w:p>
    <w:p>
      <w:pPr>
        <w:spacing w:after="0" w:line="186" w:lineRule="exact"/>
        <w:rPr>
          <w:rFonts w:ascii="Times New Roman" w:cs="Times New Roman" w:eastAsia="Times New Roman" w:hAnsi="Times New Roman"/>
          <w:sz w:val="19"/>
          <w:szCs w:val="19"/>
          <w:color w:val="231F20"/>
        </w:rPr>
      </w:pPr>
    </w:p>
    <w:p>
      <w:pPr>
        <w:jc w:val="both"/>
        <w:ind w:left="740" w:right="20" w:firstLine="745"/>
        <w:spacing w:after="0" w:line="254" w:lineRule="auto"/>
        <w:tabs>
          <w:tab w:leader="none" w:pos="2006" w:val="left"/>
        </w:tabs>
        <w:numPr>
          <w:ilvl w:val="0"/>
          <w:numId w:val="9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74" w:lineRule="exact"/>
        <w:rPr>
          <w:sz w:val="20"/>
          <w:szCs w:val="20"/>
          <w:color w:val="auto"/>
        </w:rPr>
      </w:pPr>
    </w:p>
    <w:p>
      <w:pPr>
        <w:jc w:val="both"/>
        <w:ind w:left="740" w:right="20" w:firstLine="749"/>
        <w:spacing w:after="0" w:line="266" w:lineRule="auto"/>
        <w:rPr>
          <w:sz w:val="20"/>
          <w:szCs w:val="20"/>
          <w:color w:val="auto"/>
        </w:rPr>
      </w:pPr>
      <w:r>
        <w:rPr>
          <w:rFonts w:ascii="Times New Roman" w:cs="Times New Roman" w:eastAsia="Times New Roman" w:hAnsi="Times New Roman"/>
          <w:sz w:val="19"/>
          <w:szCs w:val="19"/>
          <w:color w:val="231F20"/>
        </w:rPr>
        <w:t xml:space="preserve">SECTION 2.03 </w:t>
      </w:r>
      <w:r>
        <w:rPr>
          <w:rFonts w:ascii="Times New Roman" w:cs="Times New Roman" w:eastAsia="Times New Roman" w:hAnsi="Times New Roman"/>
          <w:sz w:val="19"/>
          <w:szCs w:val="19"/>
          <w:u w:val="single" w:color="auto"/>
          <w:color w:val="231F20"/>
        </w:rPr>
        <w:t>Requests for Borrowings</w:t>
      </w:r>
      <w:r>
        <w:rPr>
          <w:rFonts w:ascii="Times New Roman" w:cs="Times New Roman" w:eastAsia="Times New Roman" w:hAnsi="Times New Roman"/>
          <w:sz w:val="19"/>
          <w:szCs w:val="19"/>
          <w:color w:val="231F20"/>
        </w:rPr>
        <w:t xml:space="preserve">. To request a Borrowing, the Borrower shall notify the Administrative Agent of such request either in writing (delivered by hand, e-mail or fax) in substantially the form of </w:t>
      </w:r>
      <w:r>
        <w:rPr>
          <w:rFonts w:ascii="Times New Roman" w:cs="Times New Roman" w:eastAsia="Times New Roman" w:hAnsi="Times New Roman"/>
          <w:sz w:val="19"/>
          <w:szCs w:val="19"/>
          <w:u w:val="single" w:color="auto"/>
          <w:color w:val="231F20"/>
        </w:rPr>
        <w:t>Exhibit F</w:t>
      </w:r>
      <w:r>
        <w:rPr>
          <w:rFonts w:ascii="Times New Roman" w:cs="Times New Roman" w:eastAsia="Times New Roman" w:hAnsi="Times New Roman"/>
          <w:sz w:val="19"/>
          <w:szCs w:val="19"/>
          <w:color w:val="231F20"/>
        </w:rPr>
        <w:t xml:space="preserve"> and signed by the Borrower or by telephone (such request a “</w:t>
      </w:r>
      <w:r>
        <w:rPr>
          <w:rFonts w:ascii="Times New Roman" w:cs="Times New Roman" w:eastAsia="Times New Roman" w:hAnsi="Times New Roman"/>
          <w:sz w:val="19"/>
          <w:szCs w:val="19"/>
          <w:u w:val="single" w:color="auto"/>
          <w:color w:val="231F20"/>
        </w:rPr>
        <w:t>Borrowing Request</w:t>
      </w:r>
      <w:r>
        <w:rPr>
          <w:rFonts w:ascii="Times New Roman" w:cs="Times New Roman" w:eastAsia="Times New Roman" w:hAnsi="Times New Roman"/>
          <w:sz w:val="19"/>
          <w:szCs w:val="19"/>
          <w:color w:val="231F20"/>
        </w:rPr>
        <w:t>”) (a) in the case of a Term SOFR Borrowing, not later than 11:00 a.m., New York City time, three (3) Business Days before the date of the proposed Borrowing or (b) in the case of 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40" w:right="739" w:bottom="1440" w:gutter="0" w:footer="0" w:header="0"/>
        </w:sectPr>
      </w:pPr>
    </w:p>
    <w:bookmarkStart w:id="176" w:name="page177"/>
    <w:bookmarkEnd w:id="176"/>
    <w:p>
      <w:pPr>
        <w:jc w:val="both"/>
        <w:ind w:left="740" w:right="40"/>
        <w:spacing w:after="0" w:line="244" w:lineRule="auto"/>
        <w:rPr>
          <w:sz w:val="20"/>
          <w:szCs w:val="20"/>
          <w:color w:val="auto"/>
        </w:rPr>
      </w:pPr>
      <w:r>
        <w:rPr>
          <w:rFonts w:ascii="Times New Roman" w:cs="Times New Roman" w:eastAsia="Times New Roman" w:hAnsi="Times New Roman"/>
          <w:sz w:val="20"/>
          <w:szCs w:val="20"/>
          <w:color w:val="231F20"/>
        </w:rPr>
        <w:t xml:space="preserve">ABR Borrowing, not later than 12:00 p.m. (noon), New York City time, on the date of the proposed Borrowing;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any such notice of an ABR Borrowing to finance the reimbursement of an LC Disbursement as contemplated by </w:t>
      </w:r>
      <w:r>
        <w:rPr>
          <w:rFonts w:ascii="Times New Roman" w:cs="Times New Roman" w:eastAsia="Times New Roman" w:hAnsi="Times New Roman"/>
          <w:sz w:val="20"/>
          <w:szCs w:val="20"/>
          <w:u w:val="single" w:color="auto"/>
          <w:color w:val="231F20"/>
        </w:rPr>
        <w:t>Section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2.06(e)</w:t>
      </w:r>
      <w:r>
        <w:rPr>
          <w:rFonts w:ascii="Times New Roman" w:cs="Times New Roman" w:eastAsia="Times New Roman" w:hAnsi="Times New Roman"/>
          <w:sz w:val="20"/>
          <w:szCs w:val="20"/>
          <w:color w:val="231F20"/>
        </w:rPr>
        <w:t xml:space="preserve"> may be given not later than 10:00 a.m., New York City time, on the date of the proposed Borrowing. Each such telephonic Borrowing Request shall be irrevocable and shall be confirmed promptly by hand delivery, fax or e-mail to the Administrative Agent of a written Borrowing Request in a form approved by the Administrative Agent and signed by the Borrower. Each such telephonic and written Borrowing Request shall specify the following information in compliance with </w:t>
      </w:r>
      <w:r>
        <w:rPr>
          <w:rFonts w:ascii="Times New Roman" w:cs="Times New Roman" w:eastAsia="Times New Roman" w:hAnsi="Times New Roman"/>
          <w:sz w:val="20"/>
          <w:szCs w:val="20"/>
          <w:u w:val="single" w:color="auto"/>
          <w:color w:val="231F20"/>
        </w:rPr>
        <w:t>Section 2.01</w:t>
      </w:r>
      <w:r>
        <w:rPr>
          <w:rFonts w:ascii="Times New Roman" w:cs="Times New Roman" w:eastAsia="Times New Roman" w:hAnsi="Times New Roman"/>
          <w:sz w:val="20"/>
          <w:szCs w:val="20"/>
          <w:color w:val="231F20"/>
        </w:rPr>
        <w:t>:</w:t>
      </w:r>
    </w:p>
    <w:p>
      <w:pPr>
        <w:spacing w:after="0" w:line="18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231F20"/>
        </w:rPr>
        <w:t>(i) the aggregate amount of the requested Borrowing and a breakdown of the separate wires comprising</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31F20"/>
        </w:rPr>
        <w:t>such Borrowing;</w:t>
      </w:r>
    </w:p>
    <w:p>
      <w:pPr>
        <w:spacing w:after="0" w:line="194" w:lineRule="exact"/>
        <w:rPr>
          <w:sz w:val="20"/>
          <w:szCs w:val="20"/>
          <w:color w:val="auto"/>
        </w:rPr>
      </w:pPr>
    </w:p>
    <w:p>
      <w:pPr>
        <w:ind w:left="2980" w:hanging="746"/>
        <w:spacing w:after="0"/>
        <w:tabs>
          <w:tab w:leader="none" w:pos="2980" w:val="left"/>
        </w:tabs>
        <w:numPr>
          <w:ilvl w:val="0"/>
          <w:numId w:val="9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date of such Borrowing, which shall be a Business Day;</w:t>
      </w:r>
    </w:p>
    <w:p>
      <w:pPr>
        <w:spacing w:after="0" w:line="215" w:lineRule="exact"/>
        <w:rPr>
          <w:rFonts w:ascii="Times New Roman" w:cs="Times New Roman" w:eastAsia="Times New Roman" w:hAnsi="Times New Roman"/>
          <w:sz w:val="20"/>
          <w:szCs w:val="20"/>
          <w:color w:val="231F20"/>
        </w:rPr>
      </w:pPr>
    </w:p>
    <w:p>
      <w:pPr>
        <w:ind w:left="2980" w:hanging="746"/>
        <w:spacing w:after="0"/>
        <w:tabs>
          <w:tab w:leader="none" w:pos="2980" w:val="left"/>
        </w:tabs>
        <w:numPr>
          <w:ilvl w:val="0"/>
          <w:numId w:val="9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whether such Borrowing is to be an ABR Borrowing or a Term SOFR</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31F20"/>
        </w:rPr>
        <w:t>Borrowing; and</w:t>
      </w:r>
    </w:p>
    <w:p>
      <w:pPr>
        <w:spacing w:after="0" w:line="194" w:lineRule="exact"/>
        <w:rPr>
          <w:sz w:val="20"/>
          <w:szCs w:val="20"/>
          <w:color w:val="auto"/>
        </w:rPr>
      </w:pPr>
    </w:p>
    <w:p>
      <w:pPr>
        <w:ind w:left="740" w:right="60" w:firstLine="745"/>
        <w:spacing w:after="0" w:line="269" w:lineRule="auto"/>
        <w:tabs>
          <w:tab w:leader="none" w:pos="2005" w:val="left"/>
        </w:tabs>
        <w:numPr>
          <w:ilvl w:val="0"/>
          <w:numId w:val="9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the case of a Term SOFR Borrowing, the initial Interest Period to be applicable thereto, which shall be a period contemplated by the definition of the term “Interest Period.”</w:t>
      </w:r>
    </w:p>
    <w:p>
      <w:pPr>
        <w:spacing w:after="0" w:line="159"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231F20"/>
        </w:rPr>
        <w:t xml:space="preserve">If no election as to the Type of Borrowing is specified, then the requested Borrowing shall be an ABR Borrowing. If no Interest Period is specified with respect to any requested Term SOFR Borrowing, then the Borrower shall be deemed to have selected an Interest Period of one month’s duration. Promptly following receipt of a Borrowing Request in accordance with this </w:t>
      </w:r>
      <w:r>
        <w:rPr>
          <w:rFonts w:ascii="Times New Roman" w:cs="Times New Roman" w:eastAsia="Times New Roman" w:hAnsi="Times New Roman"/>
          <w:sz w:val="20"/>
          <w:szCs w:val="20"/>
          <w:u w:val="single" w:color="auto"/>
          <w:color w:val="231F20"/>
        </w:rPr>
        <w:t>Section 2.03</w:t>
      </w:r>
      <w:r>
        <w:rPr>
          <w:rFonts w:ascii="Times New Roman" w:cs="Times New Roman" w:eastAsia="Times New Roman" w:hAnsi="Times New Roman"/>
          <w:sz w:val="20"/>
          <w:szCs w:val="20"/>
          <w:color w:val="231F20"/>
        </w:rPr>
        <w:t>, the Administrative Agent shall advise each Lender of the details thereof and of the amount of such Lender’s Loan to be made as part of the requested Borrowing.</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 xml:space="preserve">SECTION 2.04 </w:t>
      </w:r>
      <w:r>
        <w:rPr>
          <w:rFonts w:ascii="Times New Roman" w:cs="Times New Roman" w:eastAsia="Times New Roman" w:hAnsi="Times New Roman"/>
          <w:sz w:val="20"/>
          <w:szCs w:val="20"/>
          <w:u w:val="single" w:color="auto"/>
          <w:color w:val="231F20"/>
        </w:rPr>
        <w:t>Swingline Loans</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40" w:firstLine="745"/>
        <w:spacing w:after="0" w:line="244" w:lineRule="auto"/>
        <w:tabs>
          <w:tab w:leader="none" w:pos="2006"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Subject to the terms and conditions set forth herein, from time to time during the Availability Period, each Swingline Lender may, but shall have no obligation to, make Swingline Loans to the Borrower in an aggregate principal amount at any time outstanding that will not result in (i) the aggregate principal amount of outstanding Swingline Loans made by such Swingline Lender exceeding such Swingline Lender’s Swingline Commitment or (ii) such Swingline Lender’s Credit Exposure exceeding its Commitment;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a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85" w:lineRule="exact"/>
        <w:rPr>
          <w:rFonts w:ascii="Times New Roman" w:cs="Times New Roman" w:eastAsia="Times New Roman" w:hAnsi="Times New Roman"/>
          <w:sz w:val="20"/>
          <w:szCs w:val="20"/>
          <w:color w:val="231F20"/>
        </w:rPr>
      </w:pPr>
    </w:p>
    <w:p>
      <w:pPr>
        <w:jc w:val="both"/>
        <w:ind w:left="740" w:firstLine="745"/>
        <w:spacing w:after="0" w:line="242" w:lineRule="auto"/>
        <w:tabs>
          <w:tab w:leader="none" w:pos="2008"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To request a Swingline Loan, the Borrower shall notify the Administrative Agent of such request either in writing (delivered by hand, e-mail or fax) in substantially the form of </w:t>
      </w:r>
      <w:r>
        <w:rPr>
          <w:rFonts w:ascii="Times New Roman" w:cs="Times New Roman" w:eastAsia="Times New Roman" w:hAnsi="Times New Roman"/>
          <w:sz w:val="20"/>
          <w:szCs w:val="20"/>
          <w:u w:val="single" w:color="auto"/>
          <w:color w:val="231F20"/>
        </w:rPr>
        <w:t>Exhibit H</w:t>
      </w:r>
      <w:r>
        <w:rPr>
          <w:rFonts w:ascii="Times New Roman" w:cs="Times New Roman" w:eastAsia="Times New Roman" w:hAnsi="Times New Roman"/>
          <w:sz w:val="20"/>
          <w:szCs w:val="20"/>
          <w:color w:val="231F20"/>
        </w:rPr>
        <w:t xml:space="preserve"> and signed by the Borrower or by telephone (such request a “</w:t>
      </w:r>
      <w:r>
        <w:rPr>
          <w:rFonts w:ascii="Times New Roman" w:cs="Times New Roman" w:eastAsia="Times New Roman" w:hAnsi="Times New Roman"/>
          <w:sz w:val="20"/>
          <w:szCs w:val="20"/>
          <w:u w:val="single" w:color="auto"/>
          <w:color w:val="231F20"/>
        </w:rPr>
        <w:t>Swingline Request</w:t>
      </w:r>
      <w:r>
        <w:rPr>
          <w:rFonts w:ascii="Times New Roman" w:cs="Times New Roman" w:eastAsia="Times New Roman" w:hAnsi="Times New Roman"/>
          <w:sz w:val="20"/>
          <w:szCs w:val="20"/>
          <w:color w:val="231F20"/>
        </w:rPr>
        <w:t xml:space="preserve">”), not later than 12:00 p.m. (noon), New York City time, on the day of a proposed Swingline Loan. Each such notice shall be irrevocable and shall specify the requested date (which shall be a Business Day) and amount of the requested Swingline Loan. The Administrative Agent will promptly advise each Swingline Lender of any such notice received from the Borrower. Each Swingline Lender shall make its ratable portion of the requested Swingline Loan (such ratable portion to be calculated based upon such Swingline Lender’s Commitment to the total Commitments of all of the Swingline Lenders) available to the Borrower by means of a credit to an account of the Borrower with the Administrative Agent designated for such purpose (or, in the case of a Swingline Loan made to finance the reimbursement of an LC Disbursement as provided in </w:t>
      </w:r>
      <w:r>
        <w:rPr>
          <w:rFonts w:ascii="Times New Roman" w:cs="Times New Roman" w:eastAsia="Times New Roman" w:hAnsi="Times New Roman"/>
          <w:sz w:val="20"/>
          <w:szCs w:val="20"/>
          <w:u w:val="single" w:color="auto"/>
          <w:color w:val="231F20"/>
        </w:rPr>
        <w:t>Section 2.06(e)</w:t>
      </w:r>
      <w:r>
        <w:rPr>
          <w:rFonts w:ascii="Times New Roman" w:cs="Times New Roman" w:eastAsia="Times New Roman" w:hAnsi="Times New Roman"/>
          <w:sz w:val="20"/>
          <w:szCs w:val="20"/>
          <w:color w:val="231F20"/>
        </w:rPr>
        <w:t>, by remittance to the Issuing Bank) by 3:00 p.m., New York City time, on the requested date of such Swingline Loan.</w:t>
      </w:r>
    </w:p>
    <w:p>
      <w:pPr>
        <w:spacing w:after="0" w:line="41" w:lineRule="exact"/>
        <w:rPr>
          <w:rFonts w:ascii="Times New Roman" w:cs="Times New Roman" w:eastAsia="Times New Roman" w:hAnsi="Times New Roman"/>
          <w:sz w:val="20"/>
          <w:szCs w:val="20"/>
          <w:color w:val="231F20"/>
        </w:rPr>
      </w:pPr>
    </w:p>
    <w:p>
      <w:pPr>
        <w:ind w:left="2000" w:hanging="515"/>
        <w:spacing w:after="0"/>
        <w:tabs>
          <w:tab w:leader="none" w:pos="2000"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failure of any Swingline Lender to make its ratable portion of a Swingline Loan shall</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77" w:name="page178"/>
    <w:bookmarkEnd w:id="177"/>
    <w:p>
      <w:pPr>
        <w:jc w:val="both"/>
        <w:ind w:left="740"/>
        <w:spacing w:after="0" w:line="254" w:lineRule="auto"/>
        <w:rPr>
          <w:sz w:val="20"/>
          <w:szCs w:val="20"/>
          <w:color w:val="auto"/>
        </w:rPr>
      </w:pPr>
      <w:r>
        <w:rPr>
          <w:rFonts w:ascii="Times New Roman" w:cs="Times New Roman" w:eastAsia="Times New Roman" w:hAnsi="Times New Roman"/>
          <w:sz w:val="20"/>
          <w:szCs w:val="20"/>
          <w:color w:val="231F20"/>
        </w:rPr>
        <w:t>not relieve any other Swingline Lender of its obligation hereunder to make its ratable portion of such Swingline Loan on the date of such Swingline Loan, but no Swingline Lender shall be responsible for the failure of any other Swingline Lender to make the ratable portion of a Swingline Loan to be made by such other Swingline Lender on the date of any Swingline Loan.</w:t>
      </w:r>
    </w:p>
    <w:p>
      <w:pPr>
        <w:spacing w:after="0" w:line="174" w:lineRule="exact"/>
        <w:rPr>
          <w:sz w:val="20"/>
          <w:szCs w:val="20"/>
          <w:color w:val="auto"/>
        </w:rPr>
      </w:pPr>
    </w:p>
    <w:p>
      <w:pPr>
        <w:ind w:left="740" w:right="80" w:firstLine="745"/>
        <w:spacing w:after="0" w:line="253" w:lineRule="auto"/>
        <w:tabs>
          <w:tab w:leader="none" w:pos="2006" w:val="left"/>
        </w:tabs>
        <w:numPr>
          <w:ilvl w:val="1"/>
          <w:numId w:val="9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Any Swingline Lender may by written notice given to the Administrative Agent require the Lenders to acquire participations in all or a portion of its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Loans. Each Lender hereby absolutely and unconditionally agrees, promptly upon receipt of such notice from the Administrative Agent (and in any event, if such notice is received by 12:00 p.m. (noon), New York City time, on a Business Day no later than 4:00 p.m. New York City time on such Business Day and, if received after 12:00 p.m. (noon), New York City time on a Business Day, no later than 12:00 p.m. (noon) New York City time on the immediately succeeding Business Day), to pay to the Administrative Agent, for the account of such Swingline Lenders, such Lender’s applicable percentage of such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cs="Times New Roman" w:eastAsia="Times New Roman" w:hAnsi="Times New Roman"/>
          <w:sz w:val="19"/>
          <w:szCs w:val="19"/>
          <w:u w:val="single" w:color="auto"/>
          <w:color w:val="231F20"/>
        </w:rPr>
        <w:t>Section 2.07</w:t>
      </w:r>
      <w:r>
        <w:rPr>
          <w:rFonts w:ascii="Times New Roman" w:cs="Times New Roman" w:eastAsia="Times New Roman" w:hAnsi="Times New Roman"/>
          <w:sz w:val="19"/>
          <w:szCs w:val="19"/>
          <w:color w:val="231F20"/>
        </w:rPr>
        <w:t xml:space="preserve"> with respect to Loans made by such Lender (and </w:t>
      </w:r>
      <w:r>
        <w:rPr>
          <w:rFonts w:ascii="Times New Roman" w:cs="Times New Roman" w:eastAsia="Times New Roman" w:hAnsi="Times New Roman"/>
          <w:sz w:val="19"/>
          <w:szCs w:val="19"/>
          <w:u w:val="single" w:color="auto"/>
          <w:color w:val="231F20"/>
        </w:rPr>
        <w:t>Section 2.07</w:t>
      </w:r>
      <w:r>
        <w:rPr>
          <w:rFonts w:ascii="Times New Roman" w:cs="Times New Roman" w:eastAsia="Times New Roman" w:hAnsi="Times New Roman"/>
          <w:sz w:val="19"/>
          <w:szCs w:val="19"/>
          <w:color w:val="231F20"/>
        </w:rPr>
        <w:t xml:space="preserve"> shall apply, mutatis mutandis, to the payment obligations of the Lenders), and the Administrative Agent shall promptly pay to such Swingline Lenders the amounts so received by it from the Lenders.</w:t>
      </w:r>
    </w:p>
    <w:p>
      <w:pPr>
        <w:spacing w:after="0" w:line="9" w:lineRule="exact"/>
        <w:rPr>
          <w:rFonts w:ascii="Times New Roman" w:cs="Times New Roman" w:eastAsia="Times New Roman" w:hAnsi="Times New Roman"/>
          <w:sz w:val="19"/>
          <w:szCs w:val="19"/>
          <w:color w:val="231F20"/>
        </w:rPr>
      </w:pPr>
    </w:p>
    <w:p>
      <w:pPr>
        <w:ind w:left="740" w:right="100"/>
        <w:spacing w:after="0"/>
        <w:rPr>
          <w:rFonts w:ascii="Times New Roman" w:cs="Times New Roman" w:eastAsia="Times New Roman" w:hAnsi="Times New Roman"/>
          <w:sz w:val="19"/>
          <w:szCs w:val="19"/>
          <w:color w:val="231F20"/>
        </w:rPr>
      </w:pPr>
      <w:r>
        <w:rPr>
          <w:rFonts w:ascii="Times New Roman" w:cs="Times New Roman" w:eastAsia="Times New Roman" w:hAnsi="Times New Roman"/>
          <w:sz w:val="20"/>
          <w:szCs w:val="20"/>
          <w:color w:val="231F20"/>
        </w:rPr>
        <w:t xml:space="preserve">The Administrative Agent shall notify the Borrower of any participations in any Swingline Loan acquired pursuant to this paragraph, and thereafter payments in respect of such Swingline Loan shall be made to the Administrative Agent and not to such Swingline Lenders.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such Swingline Lenders, as their interests may appear;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any such payment so remitted shall be repaid to such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89" w:lineRule="exact"/>
        <w:rPr>
          <w:rFonts w:ascii="Times New Roman" w:cs="Times New Roman" w:eastAsia="Times New Roman" w:hAnsi="Times New Roman"/>
          <w:sz w:val="19"/>
          <w:szCs w:val="19"/>
          <w:color w:val="231F20"/>
        </w:rPr>
      </w:pPr>
    </w:p>
    <w:p>
      <w:pPr>
        <w:jc w:val="both"/>
        <w:ind w:left="740" w:right="20" w:firstLine="745"/>
        <w:spacing w:after="0" w:line="256" w:lineRule="auto"/>
        <w:tabs>
          <w:tab w:leader="none" w:pos="2008" w:val="left"/>
        </w:tabs>
        <w:numPr>
          <w:ilvl w:val="1"/>
          <w:numId w:val="9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Any Swingline Lender may be replaced at any time by written agreement among the Borrower, the Administrative Agent, the replaced Swingline Lender and the successor Swingline Lender. The Administrative Agent shall notify the Lenders of any such replacement of a Swingline Lender. At the time any such replacement shall become effective, the Borrower shall pay all unpaid interest accrued for the account of the replaced Swingline Lender pursuant to </w:t>
      </w:r>
      <w:r>
        <w:rPr>
          <w:rFonts w:ascii="Times New Roman" w:cs="Times New Roman" w:eastAsia="Times New Roman" w:hAnsi="Times New Roman"/>
          <w:sz w:val="19"/>
          <w:szCs w:val="19"/>
          <w:u w:val="single" w:color="auto"/>
          <w:color w:val="231F20"/>
        </w:rPr>
        <w:t>Section</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u w:val="single" w:color="auto"/>
          <w:color w:val="231F20"/>
        </w:rPr>
        <w:t>2.13(a)</w:t>
      </w:r>
      <w:r>
        <w:rPr>
          <w:rFonts w:ascii="Times New Roman" w:cs="Times New Roman" w:eastAsia="Times New Roman" w:hAnsi="Times New Roman"/>
          <w:sz w:val="19"/>
          <w:szCs w:val="19"/>
          <w:color w:val="231F20"/>
        </w:rPr>
        <w:t>. From and after the effective date of any such replacement, (x) the successor Swingline Lender shall have all the rights and obligations of the replaced Swingline Lender under this Agreement with respect to Swingline Loans made thereafter and</w:t>
      </w:r>
    </w:p>
    <w:p>
      <w:pPr>
        <w:jc w:val="both"/>
        <w:ind w:left="740" w:hanging="3"/>
        <w:spacing w:after="0" w:line="241" w:lineRule="auto"/>
        <w:tabs>
          <w:tab w:leader="none" w:pos="1030" w:val="left"/>
        </w:tabs>
        <w:numPr>
          <w:ilvl w:val="0"/>
          <w:numId w:val="9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38"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1"/>
          <w:numId w:val="9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Subject to the appointment and acceptance of a successor Swingline Lender, any Swingline Lender may resign as a Swingline Lender at any time upon thirty (30) days’ prior written notice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78" w:name="page179"/>
    <w:bookmarkEnd w:id="178"/>
    <w:p>
      <w:pPr>
        <w:ind w:left="740"/>
        <w:spacing w:after="0" w:line="269" w:lineRule="auto"/>
        <w:rPr>
          <w:sz w:val="20"/>
          <w:szCs w:val="20"/>
          <w:color w:val="auto"/>
        </w:rPr>
      </w:pPr>
      <w:r>
        <w:rPr>
          <w:rFonts w:ascii="Times New Roman" w:cs="Times New Roman" w:eastAsia="Times New Roman" w:hAnsi="Times New Roman"/>
          <w:sz w:val="20"/>
          <w:szCs w:val="20"/>
          <w:color w:val="231F20"/>
        </w:rPr>
        <w:t xml:space="preserve">to the Administrative Agent, the Borrower and the Lenders, in which case, such Swingline Lender shall be replaced in accordance with </w:t>
      </w:r>
      <w:r>
        <w:rPr>
          <w:rFonts w:ascii="Times New Roman" w:cs="Times New Roman" w:eastAsia="Times New Roman" w:hAnsi="Times New Roman"/>
          <w:sz w:val="20"/>
          <w:szCs w:val="20"/>
          <w:u w:val="single" w:color="auto"/>
          <w:color w:val="231F20"/>
        </w:rPr>
        <w:t>Section 2.04(e)</w:t>
      </w:r>
      <w:r>
        <w:rPr>
          <w:rFonts w:ascii="Times New Roman" w:cs="Times New Roman" w:eastAsia="Times New Roman" w:hAnsi="Times New Roman"/>
          <w:sz w:val="20"/>
          <w:szCs w:val="20"/>
          <w:color w:val="231F20"/>
        </w:rPr>
        <w:t xml:space="preserve"> above.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291" w:right="779" w:bottom="1440" w:gutter="0" w:footer="0" w:header="0"/>
        </w:sectPr>
      </w:pPr>
    </w:p>
    <w:bookmarkStart w:id="179" w:name="page180"/>
    <w:bookmarkEnd w:id="179"/>
    <w:p>
      <w:pPr>
        <w:ind w:left="1480"/>
        <w:spacing w:after="0"/>
        <w:rPr>
          <w:sz w:val="20"/>
          <w:szCs w:val="20"/>
          <w:color w:val="auto"/>
        </w:rPr>
      </w:pPr>
      <w:r>
        <w:rPr>
          <w:rFonts w:ascii="Times New Roman" w:cs="Times New Roman" w:eastAsia="Times New Roman" w:hAnsi="Times New Roman"/>
          <w:sz w:val="20"/>
          <w:szCs w:val="20"/>
          <w:color w:val="231F20"/>
        </w:rPr>
        <w:t>SECTION 2.05 [</w:t>
      </w:r>
      <w:r>
        <w:rPr>
          <w:rFonts w:ascii="Times New Roman" w:cs="Times New Roman" w:eastAsia="Times New Roman" w:hAnsi="Times New Roman"/>
          <w:sz w:val="20"/>
          <w:szCs w:val="20"/>
          <w:u w:val="single" w:color="auto"/>
          <w:color w:val="231F20"/>
        </w:rPr>
        <w:t>Reserved</w:t>
      </w:r>
      <w:r>
        <w:rPr>
          <w:rFonts w:ascii="Times New Roman" w:cs="Times New Roman" w:eastAsia="Times New Roman" w:hAnsi="Times New Roman"/>
          <w:sz w:val="20"/>
          <w:szCs w:val="20"/>
          <w:color w:val="231F20"/>
        </w:rPr>
        <w:t>]. SECTION 2.06</w:t>
      </w:r>
    </w:p>
    <w:p>
      <w:pPr>
        <w:spacing w:after="0" w:line="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u w:val="single" w:color="auto"/>
          <w:color w:val="231F20"/>
        </w:rPr>
        <w:t>Letters of Credit</w:t>
      </w:r>
      <w:r>
        <w:rPr>
          <w:rFonts w:ascii="Times New Roman" w:cs="Times New Roman" w:eastAsia="Times New Roman" w:hAnsi="Times New Roman"/>
          <w:sz w:val="20"/>
          <w:szCs w:val="20"/>
          <w:color w:val="231F20"/>
        </w:rPr>
        <w:t>.</w:t>
      </w:r>
    </w:p>
    <w:p>
      <w:pPr>
        <w:jc w:val="both"/>
        <w:ind w:left="740" w:firstLine="745"/>
        <w:spacing w:after="0" w:line="252" w:lineRule="auto"/>
        <w:tabs>
          <w:tab w:leader="none" w:pos="2008" w:val="left"/>
        </w:tabs>
        <w:numPr>
          <w:ilvl w:val="0"/>
          <w:numId w:val="9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General</w:t>
      </w:r>
      <w:r>
        <w:rPr>
          <w:rFonts w:ascii="Times New Roman" w:cs="Times New Roman" w:eastAsia="Times New Roman" w:hAnsi="Times New Roman"/>
          <w:sz w:val="19"/>
          <w:szCs w:val="19"/>
          <w:color w:val="231F20"/>
        </w:rPr>
        <w:t xml:space="preserve">. Subject to the terms and conditions set forth herein, the Borrower may request the issuance of (and the Issuing Bank shall issue) Letters of Credit denominated in Dollars, as the applicant thereof for the support of its or its Subsidiaries’ obligations in a form reasonably acceptable to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 The Borrower unconditionally and irrevocably agrees that, in connection with any Letter of Credit issued for the support of any Subsidiary’s obligations as provided in the first sentence of this </w:t>
      </w:r>
      <w:r>
        <w:rPr>
          <w:rFonts w:ascii="Times New Roman" w:cs="Times New Roman" w:eastAsia="Times New Roman" w:hAnsi="Times New Roman"/>
          <w:sz w:val="19"/>
          <w:szCs w:val="19"/>
          <w:u w:val="single" w:color="auto"/>
          <w:color w:val="231F20"/>
        </w:rPr>
        <w:t>clause (a)</w:t>
      </w:r>
      <w:r>
        <w:rPr>
          <w:rFonts w:ascii="Times New Roman" w:cs="Times New Roman" w:eastAsia="Times New Roman" w:hAnsi="Times New Roman"/>
          <w:sz w:val="19"/>
          <w:szCs w:val="19"/>
          <w:color w:val="231F20"/>
        </w:rPr>
        <w:t xml:space="preserve">, the Borrower will be fully responsible for the reimbursement of LC Disbursements in accordance with the terms hereof, the payment of interest thereon and the payment of fees due under </w:t>
      </w:r>
      <w:r>
        <w:rPr>
          <w:rFonts w:ascii="Times New Roman" w:cs="Times New Roman" w:eastAsia="Times New Roman" w:hAnsi="Times New Roman"/>
          <w:sz w:val="19"/>
          <w:szCs w:val="19"/>
          <w:u w:val="single" w:color="auto"/>
          <w:color w:val="231F20"/>
        </w:rPr>
        <w:t>Section 2.12(b)</w:t>
      </w:r>
      <w:r>
        <w:rPr>
          <w:rFonts w:ascii="Times New Roman" w:cs="Times New Roman" w:eastAsia="Times New Roman" w:hAnsi="Times New Roman"/>
          <w:sz w:val="19"/>
          <w:szCs w:val="19"/>
          <w:color w:val="231F20"/>
        </w:rPr>
        <w:t xml:space="preserve"> to the same extent as if it were the sole account party in respect of such Letter of Credit (the Borrower hereby irrevocably waiving any defenses that might otherwise be available to it as a guarantor or surety of the obligations of such Subsidiary that is an account party in respect of any such Letter of Credit).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in either such case, in violation of any such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w:t>
      </w:r>
      <w:r>
        <w:rPr>
          <w:rFonts w:ascii="Times New Roman" w:cs="Times New Roman" w:eastAsia="Times New Roman" w:hAnsi="Times New Roman"/>
          <w:sz w:val="19"/>
          <w:szCs w:val="19"/>
          <w:u w:val="single" w:color="auto"/>
          <w:color w:val="231F20"/>
        </w:rPr>
        <w:t>clause (ii)</w:t>
      </w:r>
      <w:r>
        <w:rPr>
          <w:rFonts w:ascii="Times New Roman" w:cs="Times New Roman" w:eastAsia="Times New Roman" w:hAnsi="Times New Roman"/>
          <w:sz w:val="19"/>
          <w:szCs w:val="19"/>
          <w:color w:val="231F20"/>
        </w:rPr>
        <w:t xml:space="preserve"> above, regardless of the date enacted, adopted, issued or implemented.</w:t>
      </w:r>
    </w:p>
    <w:p>
      <w:pPr>
        <w:spacing w:after="0" w:line="200" w:lineRule="exact"/>
        <w:rPr>
          <w:rFonts w:ascii="Times New Roman" w:cs="Times New Roman" w:eastAsia="Times New Roman" w:hAnsi="Times New Roman"/>
          <w:sz w:val="19"/>
          <w:szCs w:val="19"/>
          <w:color w:val="231F20"/>
        </w:rPr>
      </w:pPr>
    </w:p>
    <w:p>
      <w:pPr>
        <w:spacing w:after="0" w:line="226" w:lineRule="exact"/>
        <w:rPr>
          <w:rFonts w:ascii="Times New Roman" w:cs="Times New Roman" w:eastAsia="Times New Roman" w:hAnsi="Times New Roman"/>
          <w:sz w:val="19"/>
          <w:szCs w:val="19"/>
          <w:color w:val="231F20"/>
        </w:rPr>
      </w:pPr>
    </w:p>
    <w:p>
      <w:pPr>
        <w:jc w:val="both"/>
        <w:ind w:left="740" w:firstLine="745"/>
        <w:spacing w:after="0" w:line="246" w:lineRule="auto"/>
        <w:tabs>
          <w:tab w:leader="none" w:pos="2008" w:val="left"/>
        </w:tabs>
        <w:numPr>
          <w:ilvl w:val="0"/>
          <w:numId w:val="9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Notice of Issuance, Amendment, Renewal, Extension; Certain Conditions</w:t>
      </w:r>
      <w:r>
        <w:rPr>
          <w:rFonts w:ascii="Times New Roman" w:cs="Times New Roman" w:eastAsia="Times New Roman" w:hAnsi="Times New Roman"/>
          <w:sz w:val="20"/>
          <w:szCs w:val="20"/>
          <w:color w:val="231F20"/>
        </w:rPr>
        <w:t>. To request the issuance of a Letter of Credit (or the amendment, renewal or extension of an outstanding Letter of Credit), the Borrower shall hand deliver or fax (or transmit by electronic communication, if arrangements for doing so have been approved by the applicable Issuing Bank) to the applicable Issuing Bank and the Administrative Agent (reasonably in advance of, but in any event no less than three (3) Business Days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40" w:right="719" w:bottom="1440" w:gutter="0" w:footer="0" w:header="0"/>
        </w:sectPr>
      </w:pPr>
    </w:p>
    <w:bookmarkStart w:id="180" w:name="page181"/>
    <w:bookmarkEnd w:id="180"/>
    <w:p>
      <w:pPr>
        <w:jc w:val="both"/>
        <w:ind w:left="740"/>
        <w:spacing w:after="0" w:line="242" w:lineRule="auto"/>
        <w:rPr>
          <w:sz w:val="20"/>
          <w:szCs w:val="20"/>
          <w:color w:val="auto"/>
        </w:rPr>
      </w:pPr>
      <w:r>
        <w:rPr>
          <w:rFonts w:ascii="Times New Roman" w:cs="Times New Roman" w:eastAsia="Times New Roman" w:hAnsi="Times New Roman"/>
          <w:sz w:val="20"/>
          <w:szCs w:val="20"/>
          <w:color w:val="231F20"/>
        </w:rPr>
        <w:t xml:space="preserve">prior to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20"/>
          <w:szCs w:val="20"/>
          <w:u w:val="single" w:color="auto"/>
          <w:color w:val="231F20"/>
        </w:rPr>
        <w:t>clause (c)</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2.06</w:t>
      </w:r>
      <w:r>
        <w:rPr>
          <w:rFonts w:ascii="Times New Roman" w:cs="Times New Roman" w:eastAsia="Times New Roman" w:hAnsi="Times New Roman"/>
          <w:sz w:val="20"/>
          <w:szCs w:val="20"/>
          <w:color w:val="231F20"/>
        </w:rPr>
        <w:t>) and whether such Letter of Credit shall contain automatic extension or renewal provisions, the amount of such Letter of Credit,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Exposure shall not exceed $10.0 million and (ii) the Aggregate Credit Exposure shall not exceed the aggregate Commitments of all Lenders.</w:t>
      </w:r>
    </w:p>
    <w:p>
      <w:pPr>
        <w:spacing w:after="0" w:line="190" w:lineRule="exact"/>
        <w:rPr>
          <w:sz w:val="20"/>
          <w:szCs w:val="20"/>
          <w:color w:val="auto"/>
        </w:rPr>
      </w:pPr>
    </w:p>
    <w:p>
      <w:pPr>
        <w:jc w:val="both"/>
        <w:ind w:left="740" w:right="20" w:firstLine="745"/>
        <w:spacing w:after="0" w:line="242" w:lineRule="auto"/>
        <w:tabs>
          <w:tab w:leader="none" w:pos="2008" w:val="left"/>
        </w:tabs>
        <w:numPr>
          <w:ilvl w:val="1"/>
          <w:numId w:val="10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Expiration Date</w:t>
      </w:r>
      <w:r>
        <w:rPr>
          <w:rFonts w:ascii="Times New Roman" w:cs="Times New Roman" w:eastAsia="Times New Roman" w:hAnsi="Times New Roman"/>
          <w:sz w:val="20"/>
          <w:szCs w:val="20"/>
          <w:color w:val="231F20"/>
        </w:rPr>
        <w:t xml:space="preserve">.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renewal or extension thereof, including any automatic renewal provision, one year after such renewal or extension) and (ii) the date that is five (5) Business Days prior to the Maturity Date;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upon the Borrower’s request, any such Letter of Credit which is issued in the final year prior to the Maturity Date may have an expiry date which is up to one year after the Maturity Date if, at least five (5) Business Days prior to the Maturity Date, the Borrower (A) deposits with the Administrative Agent cash collateral in an amount equal to 103% of the amount of the LC Exposure as of such date or</w:t>
      </w:r>
    </w:p>
    <w:p>
      <w:pPr>
        <w:spacing w:after="0" w:line="2" w:lineRule="exact"/>
        <w:rPr>
          <w:rFonts w:ascii="Times New Roman" w:cs="Times New Roman" w:eastAsia="Times New Roman" w:hAnsi="Times New Roman"/>
          <w:sz w:val="20"/>
          <w:szCs w:val="20"/>
          <w:color w:val="231F20"/>
        </w:rPr>
      </w:pPr>
    </w:p>
    <w:p>
      <w:pPr>
        <w:jc w:val="both"/>
        <w:ind w:left="740" w:hanging="3"/>
        <w:spacing w:after="0" w:line="254" w:lineRule="auto"/>
        <w:tabs>
          <w:tab w:leader="none" w:pos="1055" w:val="left"/>
        </w:tabs>
        <w:numPr>
          <w:ilvl w:val="0"/>
          <w:numId w:val="10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provides a backup standby letter of credit, in each case, reasonably satisfactory to the relevant Issuing Bank. Each Letter of Credit with automatic extension or renewal provisions shall, subject to the right of the respective Issuing Bank to terminate such automatic renewal in accordance with the terms of such Letter of Credit upon the occurrence of an Event of Default, be automatically renewed for a successive one-year period on each anniversary of the date of the issuance of such Letter of Credit, until cancelled by the Borrower by notice to the applicable Issuing Bank in accordance with the terms of such Letter of Credit agreed upon at the time such Letter of Credit is issued;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that such Letter of Credit shall expire at or prior to the close of business on the date that is five (5) Business Days prior to the Maturity Date if not earlier cancelled, unless otherwise agreed with the relevant Issuing Bank and subject to satisfactory arrangements with respect thereto as contemplated above.</w:t>
      </w:r>
    </w:p>
    <w:p>
      <w:pPr>
        <w:spacing w:after="0" w:line="180" w:lineRule="exact"/>
        <w:rPr>
          <w:rFonts w:ascii="Times New Roman" w:cs="Times New Roman" w:eastAsia="Times New Roman" w:hAnsi="Times New Roman"/>
          <w:sz w:val="19"/>
          <w:szCs w:val="19"/>
          <w:color w:val="231F20"/>
        </w:rPr>
      </w:pPr>
    </w:p>
    <w:p>
      <w:pPr>
        <w:jc w:val="both"/>
        <w:ind w:left="740" w:firstLine="745"/>
        <w:spacing w:after="0" w:line="256" w:lineRule="auto"/>
        <w:tabs>
          <w:tab w:leader="none" w:pos="2008" w:val="left"/>
        </w:tabs>
        <w:numPr>
          <w:ilvl w:val="1"/>
          <w:numId w:val="10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Participations</w:t>
      </w:r>
      <w:r>
        <w:rPr>
          <w:rFonts w:ascii="Times New Roman" w:cs="Times New Roman" w:eastAsia="Times New Roman" w:hAnsi="Times New Roman"/>
          <w:sz w:val="19"/>
          <w:szCs w:val="19"/>
          <w:color w:val="231F20"/>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such Issuing Bank, such Lender’s Applicable Percentage of each LC Disbursement made by such Issuing Bank and not reimbursed by the Borrower on the date due as provided in </w:t>
      </w:r>
      <w:r>
        <w:rPr>
          <w:rFonts w:ascii="Times New Roman" w:cs="Times New Roman" w:eastAsia="Times New Roman" w:hAnsi="Times New Roman"/>
          <w:sz w:val="19"/>
          <w:szCs w:val="19"/>
          <w:u w:val="single" w:color="auto"/>
          <w:color w:val="231F20"/>
        </w:rPr>
        <w:t>clause (e)</w:t>
      </w:r>
      <w:r>
        <w:rPr>
          <w:rFonts w:ascii="Times New Roman" w:cs="Times New Roman" w:eastAsia="Times New Roman" w:hAnsi="Times New Roman"/>
          <w:sz w:val="19"/>
          <w:szCs w:val="19"/>
          <w:color w:val="231F20"/>
        </w:rPr>
        <w:t xml:space="preserve"> of this </w:t>
      </w:r>
      <w:r>
        <w:rPr>
          <w:rFonts w:ascii="Times New Roman" w:cs="Times New Roman" w:eastAsia="Times New Roman" w:hAnsi="Times New Roman"/>
          <w:sz w:val="19"/>
          <w:szCs w:val="19"/>
          <w:u w:val="single" w:color="auto"/>
          <w:color w:val="231F20"/>
        </w:rPr>
        <w:t>Section 2.06</w:t>
      </w:r>
      <w:r>
        <w:rPr>
          <w:rFonts w:ascii="Times New Roman" w:cs="Times New Roman" w:eastAsia="Times New Roman" w:hAnsi="Times New Roman"/>
          <w:sz w:val="19"/>
          <w:szCs w:val="19"/>
          <w:color w:val="231F20"/>
        </w:rPr>
        <w:t>,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73" w:lineRule="exact"/>
        <w:rPr>
          <w:rFonts w:ascii="Times New Roman" w:cs="Times New Roman" w:eastAsia="Times New Roman" w:hAnsi="Times New Roman"/>
          <w:sz w:val="19"/>
          <w:szCs w:val="19"/>
          <w:color w:val="231F20"/>
        </w:rPr>
      </w:pPr>
    </w:p>
    <w:p>
      <w:pPr>
        <w:ind w:left="740" w:right="40" w:firstLine="745"/>
        <w:spacing w:after="0" w:line="269" w:lineRule="auto"/>
        <w:tabs>
          <w:tab w:leader="none" w:pos="2006" w:val="left"/>
        </w:tabs>
        <w:numPr>
          <w:ilvl w:val="1"/>
          <w:numId w:val="10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Reimbursement</w:t>
      </w:r>
      <w:r>
        <w:rPr>
          <w:rFonts w:ascii="Times New Roman" w:cs="Times New Roman" w:eastAsia="Times New Roman" w:hAnsi="Times New Roman"/>
          <w:sz w:val="20"/>
          <w:szCs w:val="20"/>
          <w:color w:val="231F20"/>
        </w:rPr>
        <w:t>. If an Issuing Bank shall make any LC Disbursement in respect of a Letter of Credit, the Borrower shall reimburse such LC Disbursement by paying to the Administrative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81" w:name="page182"/>
    <w:bookmarkEnd w:id="181"/>
    <w:p>
      <w:pPr>
        <w:ind w:left="740" w:right="40"/>
        <w:spacing w:after="0" w:line="241" w:lineRule="auto"/>
        <w:rPr>
          <w:sz w:val="20"/>
          <w:szCs w:val="20"/>
          <w:color w:val="auto"/>
        </w:rPr>
      </w:pPr>
      <w:r>
        <w:rPr>
          <w:rFonts w:ascii="Times New Roman" w:cs="Times New Roman" w:eastAsia="Times New Roman" w:hAnsi="Times New Roman"/>
          <w:sz w:val="20"/>
          <w:szCs w:val="20"/>
          <w:color w:val="231F20"/>
        </w:rPr>
        <w:t xml:space="preserve">Agent an amount (in the applicable currency) equal to such LC Disbursement not later than 12:00 p.m. (noon), New York City time, on the Business Day immediately following the day that the Borrower receives such notice, if such notice is not received prior to such time on the day of receipt;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the Borrower may, subject to the conditions to borrowing set forth herein, request in accordance with </w:t>
      </w:r>
      <w:r>
        <w:rPr>
          <w:rFonts w:ascii="Times New Roman" w:cs="Times New Roman" w:eastAsia="Times New Roman" w:hAnsi="Times New Roman"/>
          <w:sz w:val="20"/>
          <w:szCs w:val="20"/>
          <w:u w:val="single" w:color="auto"/>
          <w:color w:val="231F20"/>
        </w:rPr>
        <w:t>Section 2.03</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2.04</w:t>
      </w:r>
      <w:r>
        <w:rPr>
          <w:rFonts w:ascii="Times New Roman" w:cs="Times New Roman" w:eastAsia="Times New Roman" w:hAnsi="Times New Roman"/>
          <w:sz w:val="20"/>
          <w:szCs w:val="20"/>
          <w:color w:val="231F20"/>
        </w:rPr>
        <w:t xml:space="preserve"> that such payment be financed with an ABR Borrowing or Swingline Loan in an amount equal to such payment and, to the extent so financed, the Borrower’s obligation to make such payment shall be discharged and replaced by the resulting ABR Borrowing or Swingline Loan.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w:t>
      </w:r>
      <w:r>
        <w:rPr>
          <w:rFonts w:ascii="Times New Roman" w:cs="Times New Roman" w:eastAsia="Times New Roman" w:hAnsi="Times New Roman"/>
          <w:sz w:val="20"/>
          <w:szCs w:val="20"/>
          <w:u w:val="single" w:color="auto"/>
          <w:color w:val="231F20"/>
        </w:rPr>
        <w:t>Section 2.07</w:t>
      </w:r>
      <w:r>
        <w:rPr>
          <w:rFonts w:ascii="Times New Roman" w:cs="Times New Roman" w:eastAsia="Times New Roman" w:hAnsi="Times New Roman"/>
          <w:sz w:val="20"/>
          <w:szCs w:val="20"/>
          <w:color w:val="231F20"/>
        </w:rPr>
        <w:t xml:space="preserve"> with respect to Loans made by such Lender (and </w:t>
      </w:r>
      <w:r>
        <w:rPr>
          <w:rFonts w:ascii="Times New Roman" w:cs="Times New Roman" w:eastAsia="Times New Roman" w:hAnsi="Times New Roman"/>
          <w:sz w:val="20"/>
          <w:szCs w:val="20"/>
          <w:u w:val="single" w:color="auto"/>
          <w:color w:val="231F20"/>
        </w:rPr>
        <w:t>Section 2.07</w:t>
      </w:r>
      <w:r>
        <w:rPr>
          <w:rFonts w:ascii="Times New Roman" w:cs="Times New Roman" w:eastAsia="Times New Roman" w:hAnsi="Times New Roman"/>
          <w:sz w:val="20"/>
          <w:szCs w:val="20"/>
          <w:color w:val="231F20"/>
        </w:rPr>
        <w:t xml:space="preserve"> shall apply, </w:t>
      </w:r>
      <w:r>
        <w:rPr>
          <w:rFonts w:ascii="Times New Roman" w:cs="Times New Roman" w:eastAsia="Times New Roman" w:hAnsi="Times New Roman"/>
          <w:sz w:val="20"/>
          <w:szCs w:val="20"/>
          <w:u w:val="single" w:color="auto"/>
          <w:color w:val="231F20"/>
        </w:rPr>
        <w:t>mutatis mutandis</w:t>
      </w:r>
      <w:r>
        <w:rPr>
          <w:rFonts w:ascii="Times New Roman" w:cs="Times New Roman" w:eastAsia="Times New Roman" w:hAnsi="Times New Roman"/>
          <w:sz w:val="20"/>
          <w:szCs w:val="20"/>
          <w:color w:val="231F20"/>
        </w:rPr>
        <w:t>, to the payment obligations of the Lenders), and the Administrative Agent shall promptly pay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any Issuing Bank for any LC Disbursement (other than the funding of ABR Loans or a Swingline Loan as contemplated above) shall not constitute a Loan and shall not relieve the Borrower of its obligation to reimburse such LC Disbursement.</w:t>
      </w:r>
    </w:p>
    <w:p>
      <w:pPr>
        <w:spacing w:after="0" w:line="190" w:lineRule="exact"/>
        <w:rPr>
          <w:sz w:val="20"/>
          <w:szCs w:val="20"/>
          <w:color w:val="auto"/>
        </w:rPr>
      </w:pPr>
    </w:p>
    <w:p>
      <w:pPr>
        <w:jc w:val="both"/>
        <w:ind w:left="740" w:firstLine="745"/>
        <w:spacing w:after="0" w:line="254" w:lineRule="auto"/>
        <w:tabs>
          <w:tab w:leader="none" w:pos="2008" w:val="left"/>
        </w:tabs>
        <w:numPr>
          <w:ilvl w:val="0"/>
          <w:numId w:val="10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Obligations Absolute</w:t>
      </w:r>
      <w:r>
        <w:rPr>
          <w:rFonts w:ascii="Times New Roman" w:cs="Times New Roman" w:eastAsia="Times New Roman" w:hAnsi="Times New Roman"/>
          <w:sz w:val="19"/>
          <w:szCs w:val="19"/>
          <w:color w:val="231F20"/>
        </w:rPr>
        <w:t xml:space="preserve">. The Borrower’s obligation to reimburse LC Disbursements as provided in </w:t>
      </w:r>
      <w:r>
        <w:rPr>
          <w:rFonts w:ascii="Times New Roman" w:cs="Times New Roman" w:eastAsia="Times New Roman" w:hAnsi="Times New Roman"/>
          <w:sz w:val="19"/>
          <w:szCs w:val="19"/>
          <w:u w:val="single" w:color="auto"/>
          <w:color w:val="231F20"/>
        </w:rPr>
        <w:t>clause (e)</w:t>
      </w:r>
      <w:r>
        <w:rPr>
          <w:rFonts w:ascii="Times New Roman" w:cs="Times New Roman" w:eastAsia="Times New Roman" w:hAnsi="Times New Roman"/>
          <w:sz w:val="19"/>
          <w:szCs w:val="19"/>
          <w:color w:val="231F20"/>
        </w:rPr>
        <w:t xml:space="preserve"> of this </w:t>
      </w:r>
      <w:r>
        <w:rPr>
          <w:rFonts w:ascii="Times New Roman" w:cs="Times New Roman" w:eastAsia="Times New Roman" w:hAnsi="Times New Roman"/>
          <w:sz w:val="19"/>
          <w:szCs w:val="19"/>
          <w:u w:val="single" w:color="auto"/>
          <w:color w:val="231F20"/>
        </w:rPr>
        <w:t>Section 2.06</w:t>
      </w:r>
      <w:r>
        <w:rPr>
          <w:rFonts w:ascii="Times New Roman" w:cs="Times New Roman" w:eastAsia="Times New Roman" w:hAnsi="Times New Roman"/>
          <w:sz w:val="19"/>
          <w:szCs w:val="19"/>
          <w:color w:val="231F20"/>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Times New Roman" w:cs="Times New Roman" w:eastAsia="Times New Roman" w:hAnsi="Times New Roman"/>
          <w:sz w:val="19"/>
          <w:szCs w:val="19"/>
          <w:u w:val="single" w:color="auto"/>
          <w:color w:val="231F20"/>
        </w:rPr>
        <w:t>Section 2.06</w:t>
      </w:r>
      <w:r>
        <w:rPr>
          <w:rFonts w:ascii="Times New Roman" w:cs="Times New Roman" w:eastAsia="Times New Roman" w:hAnsi="Times New Roman"/>
          <w:sz w:val="19"/>
          <w:szCs w:val="19"/>
          <w:color w:val="231F20"/>
        </w:rPr>
        <w:t xml:space="preserve">, constitute a legal or equitable discharge of, or provide a right of setoff against, the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82" w:name="page183"/>
    <w:bookmarkEnd w:id="182"/>
    <w:p>
      <w:pPr>
        <w:ind w:left="740" w:right="240"/>
        <w:spacing w:after="0" w:line="269" w:lineRule="auto"/>
        <w:rPr>
          <w:sz w:val="20"/>
          <w:szCs w:val="20"/>
          <w:color w:val="auto"/>
        </w:rPr>
      </w:pPr>
      <w:r>
        <w:rPr>
          <w:rFonts w:ascii="Times New Roman" w:cs="Times New Roman" w:eastAsia="Times New Roman" w:hAnsi="Times New Roman"/>
          <w:sz w:val="20"/>
          <w:szCs w:val="20"/>
          <w:color w:val="231F20"/>
        </w:rPr>
        <w:t>any notice or information to the contrary, or refuse to accept and make payment upon such documents if such documents are not in strict compliance with the terms of such Letter of Credit.</w:t>
      </w:r>
    </w:p>
    <w:p>
      <w:pPr>
        <w:spacing w:after="0" w:line="159" w:lineRule="exact"/>
        <w:rPr>
          <w:sz w:val="20"/>
          <w:szCs w:val="20"/>
          <w:color w:val="auto"/>
        </w:rPr>
      </w:pPr>
    </w:p>
    <w:p>
      <w:pPr>
        <w:jc w:val="both"/>
        <w:ind w:left="740" w:right="20" w:firstLine="746"/>
        <w:spacing w:after="0" w:line="263" w:lineRule="auto"/>
        <w:tabs>
          <w:tab w:leader="none" w:pos="2007" w:val="left"/>
        </w:tabs>
        <w:numPr>
          <w:ilvl w:val="0"/>
          <w:numId w:val="10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Disbursement Procedures</w:t>
      </w:r>
      <w:r>
        <w:rPr>
          <w:rFonts w:ascii="Times New Roman" w:cs="Times New Roman" w:eastAsia="Times New Roman" w:hAnsi="Times New Roman"/>
          <w:sz w:val="19"/>
          <w:szCs w:val="19"/>
          <w:color w:val="231F20"/>
        </w:rPr>
        <w:t xml:space="preserve">. The applicable Issuing Bank shall, promptly following its receipt thereof, examine all documents purporting to represent a demand for payment under a Letter of Credit. Such Issuing Bank shall promptly notify the Administrative Agent and the Borrower in writing of such demand for payment and whether such Issuing Bank has made or will make an LC Disbursement thereunder;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that any failure to give or delay in giving such notice shall not relieve the Borrower of its obligation to reimburse such Issuing Bank and the Lenders with respect to any such LC Disbursement.</w:t>
      </w:r>
    </w:p>
    <w:p>
      <w:pPr>
        <w:spacing w:after="0" w:line="166" w:lineRule="exact"/>
        <w:rPr>
          <w:rFonts w:ascii="Times New Roman" w:cs="Times New Roman" w:eastAsia="Times New Roman" w:hAnsi="Times New Roman"/>
          <w:sz w:val="19"/>
          <w:szCs w:val="19"/>
          <w:color w:val="231F20"/>
        </w:rPr>
      </w:pPr>
    </w:p>
    <w:p>
      <w:pPr>
        <w:jc w:val="both"/>
        <w:ind w:left="740" w:firstLine="745"/>
        <w:spacing w:after="0" w:line="243" w:lineRule="auto"/>
        <w:tabs>
          <w:tab w:leader="none" w:pos="2008" w:val="left"/>
        </w:tabs>
        <w:numPr>
          <w:ilvl w:val="0"/>
          <w:numId w:val="10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Interim Interest</w:t>
      </w:r>
      <w:r>
        <w:rPr>
          <w:rFonts w:ascii="Times New Roman" w:cs="Times New Roman" w:eastAsia="Times New Roman" w:hAnsi="Times New Roman"/>
          <w:sz w:val="20"/>
          <w:szCs w:val="20"/>
          <w:color w:val="231F20"/>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or finances such LC Disbursement, at the rate </w:t>
      </w:r>
      <w:r>
        <w:rPr>
          <w:rFonts w:ascii="Times New Roman" w:cs="Times New Roman" w:eastAsia="Times New Roman" w:hAnsi="Times New Roman"/>
          <w:sz w:val="20"/>
          <w:szCs w:val="20"/>
          <w:i w:val="1"/>
          <w:iCs w:val="1"/>
          <w:color w:val="231F20"/>
        </w:rPr>
        <w:t>per annum</w:t>
      </w:r>
      <w:r>
        <w:rPr>
          <w:rFonts w:ascii="Times New Roman" w:cs="Times New Roman" w:eastAsia="Times New Roman" w:hAnsi="Times New Roman"/>
          <w:sz w:val="20"/>
          <w:szCs w:val="20"/>
          <w:color w:val="231F20"/>
        </w:rPr>
        <w:t xml:space="preserve"> then applicable to ABR Loans and such interest shall be payable on the date when such reimbursement is due;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if the Borrower fails to reimburse or finance such LC Disbursement when due pursuant to </w:t>
      </w:r>
      <w:r>
        <w:rPr>
          <w:rFonts w:ascii="Times New Roman" w:cs="Times New Roman" w:eastAsia="Times New Roman" w:hAnsi="Times New Roman"/>
          <w:sz w:val="20"/>
          <w:szCs w:val="20"/>
          <w:u w:val="single" w:color="auto"/>
          <w:color w:val="231F20"/>
        </w:rPr>
        <w:t>clause (e)</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2.06</w:t>
      </w:r>
      <w:r>
        <w:rPr>
          <w:rFonts w:ascii="Times New Roman" w:cs="Times New Roman" w:eastAsia="Times New Roman" w:hAnsi="Times New Roman"/>
          <w:sz w:val="20"/>
          <w:szCs w:val="20"/>
          <w:color w:val="231F20"/>
        </w:rPr>
        <w:t xml:space="preserve">, then </w:t>
      </w:r>
      <w:r>
        <w:rPr>
          <w:rFonts w:ascii="Times New Roman" w:cs="Times New Roman" w:eastAsia="Times New Roman" w:hAnsi="Times New Roman"/>
          <w:sz w:val="20"/>
          <w:szCs w:val="20"/>
          <w:u w:val="single" w:color="auto"/>
          <w:color w:val="231F20"/>
        </w:rPr>
        <w:t>Section 2.13(c)</w:t>
      </w:r>
      <w:r>
        <w:rPr>
          <w:rFonts w:ascii="Times New Roman" w:cs="Times New Roman" w:eastAsia="Times New Roman" w:hAnsi="Times New Roman"/>
          <w:sz w:val="20"/>
          <w:szCs w:val="20"/>
          <w:color w:val="231F20"/>
        </w:rPr>
        <w:t xml:space="preserve"> shall apply. Interest accrued pursuant to this paragraph shall be for the account of the applicable Issuing Bank, except that interest accrued on and after the date of payment by any Lender pursuant to </w:t>
      </w:r>
      <w:r>
        <w:rPr>
          <w:rFonts w:ascii="Times New Roman" w:cs="Times New Roman" w:eastAsia="Times New Roman" w:hAnsi="Times New Roman"/>
          <w:sz w:val="20"/>
          <w:szCs w:val="20"/>
          <w:u w:val="single" w:color="auto"/>
          <w:color w:val="231F20"/>
        </w:rPr>
        <w:t>clause (e)</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2.06</w:t>
      </w:r>
      <w:r>
        <w:rPr>
          <w:rFonts w:ascii="Times New Roman" w:cs="Times New Roman" w:eastAsia="Times New Roman" w:hAnsi="Times New Roman"/>
          <w:sz w:val="20"/>
          <w:szCs w:val="20"/>
          <w:color w:val="231F20"/>
        </w:rPr>
        <w:t xml:space="preserve"> to reimburse such Issuing Bank shall be for the account of such Lender to the extent of such payment.</w:t>
      </w:r>
    </w:p>
    <w:p>
      <w:pPr>
        <w:spacing w:after="0" w:line="185" w:lineRule="exact"/>
        <w:rPr>
          <w:rFonts w:ascii="Times New Roman" w:cs="Times New Roman" w:eastAsia="Times New Roman" w:hAnsi="Times New Roman"/>
          <w:sz w:val="20"/>
          <w:szCs w:val="20"/>
          <w:color w:val="231F20"/>
        </w:rPr>
      </w:pPr>
    </w:p>
    <w:p>
      <w:pPr>
        <w:jc w:val="both"/>
        <w:ind w:left="740" w:right="40" w:firstLine="745"/>
        <w:spacing w:after="0" w:line="242" w:lineRule="auto"/>
        <w:tabs>
          <w:tab w:leader="none" w:pos="2006" w:val="left"/>
        </w:tabs>
        <w:numPr>
          <w:ilvl w:val="0"/>
          <w:numId w:val="10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Replacement of an Issuing Bank</w:t>
      </w:r>
      <w:r>
        <w:rPr>
          <w:rFonts w:ascii="Times New Roman" w:cs="Times New Roman" w:eastAsia="Times New Roman" w:hAnsi="Times New Roman"/>
          <w:sz w:val="20"/>
          <w:szCs w:val="20"/>
          <w:color w:val="231F20"/>
        </w:rPr>
        <w:t xml:space="preserve">.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w:t>
      </w:r>
      <w:r>
        <w:rPr>
          <w:rFonts w:ascii="Times New Roman" w:cs="Times New Roman" w:eastAsia="Times New Roman" w:hAnsi="Times New Roman"/>
          <w:sz w:val="20"/>
          <w:szCs w:val="20"/>
          <w:u w:val="single" w:color="auto"/>
          <w:color w:val="231F20"/>
        </w:rPr>
        <w:t>Section 2.12(b)</w:t>
      </w:r>
      <w:r>
        <w:rPr>
          <w:rFonts w:ascii="Times New Roman" w:cs="Times New Roman" w:eastAsia="Times New Roman" w:hAnsi="Times New Roman"/>
          <w:sz w:val="20"/>
          <w:szCs w:val="20"/>
          <w:color w:val="231F20"/>
        </w:rPr>
        <w:t>.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89" w:lineRule="exact"/>
        <w:rPr>
          <w:rFonts w:ascii="Times New Roman" w:cs="Times New Roman" w:eastAsia="Times New Roman" w:hAnsi="Times New Roman"/>
          <w:sz w:val="20"/>
          <w:szCs w:val="20"/>
          <w:color w:val="231F20"/>
        </w:rPr>
      </w:pPr>
    </w:p>
    <w:p>
      <w:pPr>
        <w:jc w:val="both"/>
        <w:ind w:left="740" w:firstLine="745"/>
        <w:spacing w:after="0" w:line="241" w:lineRule="auto"/>
        <w:tabs>
          <w:tab w:leader="none" w:pos="2008" w:val="left"/>
        </w:tabs>
        <w:numPr>
          <w:ilvl w:val="0"/>
          <w:numId w:val="10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Cash Collateralization</w:t>
      </w:r>
      <w:r>
        <w:rPr>
          <w:rFonts w:ascii="Times New Roman" w:cs="Times New Roman" w:eastAsia="Times New Roman" w:hAnsi="Times New Roman"/>
          <w:sz w:val="20"/>
          <w:szCs w:val="20"/>
          <w:color w:val="231F20"/>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aggregate LC Exposure) demanding the deposit of cash collateral pursuant to this paragraph, the Borrower shall deposit in an account with the Administrative Agent, in the name of the Administrative Agent and for the benefit of the Lenders (the “</w:t>
      </w:r>
      <w:r>
        <w:rPr>
          <w:rFonts w:ascii="Times New Roman" w:cs="Times New Roman" w:eastAsia="Times New Roman" w:hAnsi="Times New Roman"/>
          <w:sz w:val="20"/>
          <w:szCs w:val="20"/>
          <w:u w:val="single" w:color="auto"/>
          <w:color w:val="231F20"/>
        </w:rPr>
        <w:t>LC Collateral Account</w:t>
      </w:r>
      <w:r>
        <w:rPr>
          <w:rFonts w:ascii="Times New Roman" w:cs="Times New Roman" w:eastAsia="Times New Roman" w:hAnsi="Times New Roman"/>
          <w:sz w:val="20"/>
          <w:szCs w:val="20"/>
          <w:color w:val="231F20"/>
        </w:rPr>
        <w:t xml:space="preserve">”), an amount in cash equal to 103% of the amount of the LC Exposure as of such date plus accrued and unpaid interest thereon;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20"/>
          <w:szCs w:val="20"/>
          <w:u w:val="single" w:color="auto"/>
          <w:color w:val="231F20"/>
        </w:rPr>
        <w:t>clause (h)</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(i)</w:t>
      </w:r>
      <w:r>
        <w:rPr>
          <w:rFonts w:ascii="Times New Roman" w:cs="Times New Roman" w:eastAsia="Times New Roman" w:hAnsi="Times New Roman"/>
          <w:sz w:val="20"/>
          <w:szCs w:val="20"/>
          <w:color w:val="231F20"/>
        </w:rPr>
        <w:t xml:space="preserve"> of </w:t>
      </w:r>
      <w:r>
        <w:rPr>
          <w:rFonts w:ascii="Times New Roman" w:cs="Times New Roman" w:eastAsia="Times New Roman" w:hAnsi="Times New Roman"/>
          <w:sz w:val="20"/>
          <w:szCs w:val="20"/>
          <w:u w:val="single" w:color="auto"/>
          <w:color w:val="231F20"/>
        </w:rPr>
        <w:t>Article VII</w:t>
      </w:r>
      <w:r>
        <w:rPr>
          <w:rFonts w:ascii="Times New Roman" w:cs="Times New Roman" w:eastAsia="Times New Roman" w:hAnsi="Times New Roman"/>
          <w:sz w:val="20"/>
          <w:szCs w:val="20"/>
          <w:color w:val="231F20"/>
        </w:rPr>
        <w:t>.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 hereby grants the Administrative Agent a security interest in the LC Collateral Account to secure the Obligations. Other than any interest earned on the investment of such deposits, which investments shall be made at the option and sole discretion of the Administrative Agent and at the Borrower’s risk 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83" w:name="page184"/>
    <w:bookmarkEnd w:id="183"/>
    <w:p>
      <w:pPr>
        <w:jc w:val="both"/>
        <w:ind w:left="740" w:right="40"/>
        <w:spacing w:after="0" w:line="258" w:lineRule="auto"/>
        <w:rPr>
          <w:sz w:val="20"/>
          <w:szCs w:val="20"/>
          <w:color w:val="auto"/>
        </w:rPr>
      </w:pPr>
      <w:r>
        <w:rPr>
          <w:rFonts w:ascii="Times New Roman" w:cs="Times New Roman" w:eastAsia="Times New Roman" w:hAnsi="Times New Roman"/>
          <w:sz w:val="19"/>
          <w:szCs w:val="19"/>
          <w:color w:val="231F20"/>
        </w:rPr>
        <w:t>expense, such deposits shall not bear interest. Interest or profits, if any, on such investments shall accumulate in the LC Collateral Account. Moneys in the LC Collateral Account shall be applied by the Administrative Agent to reimburse the Issuing Banks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aggregate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(3) Business Days after all such Defaults have been cured or waived.</w:t>
      </w:r>
    </w:p>
    <w:p>
      <w:pPr>
        <w:spacing w:after="0" w:line="173" w:lineRule="exact"/>
        <w:rPr>
          <w:sz w:val="20"/>
          <w:szCs w:val="20"/>
          <w:color w:val="auto"/>
        </w:rPr>
      </w:pPr>
    </w:p>
    <w:p>
      <w:pPr>
        <w:jc w:val="both"/>
        <w:ind w:left="740" w:firstLine="745"/>
        <w:spacing w:after="0" w:line="254" w:lineRule="auto"/>
        <w:tabs>
          <w:tab w:leader="none" w:pos="2008" w:val="left"/>
        </w:tabs>
        <w:numPr>
          <w:ilvl w:val="1"/>
          <w:numId w:val="10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Issuing Bank Reports to the Administrative Agent</w:t>
      </w:r>
      <w:r>
        <w:rPr>
          <w:rFonts w:ascii="Times New Roman" w:cs="Times New Roman" w:eastAsia="Times New Roman" w:hAnsi="Times New Roman"/>
          <w:sz w:val="19"/>
          <w:szCs w:val="19"/>
          <w:color w:val="231F20"/>
        </w:rPr>
        <w:t xml:space="preserve">. Unless otherwise agreed by the Administrative Agent, each Issuing Bank shall, in addition to its notification obligations set forth elsewhere in this </w:t>
      </w:r>
      <w:r>
        <w:rPr>
          <w:rFonts w:ascii="Times New Roman" w:cs="Times New Roman" w:eastAsia="Times New Roman" w:hAnsi="Times New Roman"/>
          <w:sz w:val="19"/>
          <w:szCs w:val="19"/>
          <w:u w:val="single" w:color="auto"/>
          <w:color w:val="231F20"/>
        </w:rPr>
        <w:t>Section 2.06</w:t>
      </w:r>
      <w:r>
        <w:rPr>
          <w:rFonts w:ascii="Times New Roman" w:cs="Times New Roman" w:eastAsia="Times New Roman" w:hAnsi="Times New Roman"/>
          <w:sz w:val="19"/>
          <w:szCs w:val="19"/>
          <w:color w:val="231F20"/>
        </w:rPr>
        <w:t>,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w:t>
      </w:r>
    </w:p>
    <w:p>
      <w:pPr>
        <w:spacing w:after="0" w:line="6" w:lineRule="exact"/>
        <w:rPr>
          <w:rFonts w:ascii="Times New Roman" w:cs="Times New Roman" w:eastAsia="Times New Roman" w:hAnsi="Times New Roman"/>
          <w:sz w:val="19"/>
          <w:szCs w:val="19"/>
          <w:color w:val="231F20"/>
        </w:rPr>
      </w:pPr>
    </w:p>
    <w:p>
      <w:pPr>
        <w:jc w:val="both"/>
        <w:ind w:left="740" w:hanging="3"/>
        <w:spacing w:after="0" w:line="241" w:lineRule="auto"/>
        <w:tabs>
          <w:tab w:leader="none" w:pos="1083" w:val="left"/>
        </w:tabs>
        <w:numPr>
          <w:ilvl w:val="0"/>
          <w:numId w:val="10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on any Business Day on which the Borrower fails to reimburse or finance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88" w:lineRule="exact"/>
        <w:rPr>
          <w:rFonts w:ascii="Times New Roman" w:cs="Times New Roman" w:eastAsia="Times New Roman" w:hAnsi="Times New Roman"/>
          <w:sz w:val="20"/>
          <w:szCs w:val="20"/>
          <w:color w:val="231F20"/>
        </w:rPr>
      </w:pPr>
    </w:p>
    <w:p>
      <w:pPr>
        <w:jc w:val="both"/>
        <w:ind w:left="740" w:firstLine="745"/>
        <w:spacing w:after="0" w:line="249" w:lineRule="auto"/>
        <w:tabs>
          <w:tab w:leader="none" w:pos="2008" w:val="left"/>
        </w:tabs>
        <w:numPr>
          <w:ilvl w:val="1"/>
          <w:numId w:val="10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LC Exposure Determination</w:t>
      </w:r>
      <w:r>
        <w:rPr>
          <w:rFonts w:ascii="Times New Roman" w:cs="Times New Roman" w:eastAsia="Times New Roman" w:hAnsi="Times New Roman"/>
          <w:sz w:val="20"/>
          <w:szCs w:val="20"/>
          <w:color w:val="231F20"/>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80"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2.07</w:t>
      </w:r>
      <w:r>
        <w:rPr>
          <w:sz w:val="20"/>
          <w:szCs w:val="20"/>
          <w:color w:val="auto"/>
        </w:rPr>
        <w:tab/>
      </w:r>
      <w:r>
        <w:rPr>
          <w:rFonts w:ascii="Times New Roman" w:cs="Times New Roman" w:eastAsia="Times New Roman" w:hAnsi="Times New Roman"/>
          <w:sz w:val="19"/>
          <w:szCs w:val="19"/>
          <w:u w:val="single" w:color="auto"/>
          <w:color w:val="231F20"/>
        </w:rPr>
        <w:t>Funding of Borrowings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firstLine="745"/>
        <w:spacing w:after="0" w:line="243" w:lineRule="auto"/>
        <w:tabs>
          <w:tab w:leader="none" w:pos="2008" w:val="left"/>
        </w:tabs>
        <w:numPr>
          <w:ilvl w:val="0"/>
          <w:numId w:val="10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Each Lender shall make each Loan to be made by it hereunder on the proposed date thereof by wire transfer of immediately available funds by 2:00 p.m. (noon), New York City time, to the account of the Administrative Agent most recently designated by it for such purpose by notice to the Lenders in an amount equal to such Lender’s Applicable Percentage;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Swingline Loans shall be made as provided in </w:t>
      </w:r>
      <w:r>
        <w:rPr>
          <w:rFonts w:ascii="Times New Roman" w:cs="Times New Roman" w:eastAsia="Times New Roman" w:hAnsi="Times New Roman"/>
          <w:sz w:val="20"/>
          <w:szCs w:val="20"/>
          <w:u w:val="single" w:color="auto"/>
          <w:color w:val="231F20"/>
        </w:rPr>
        <w:t>Section 2.04</w:t>
      </w:r>
      <w:r>
        <w:rPr>
          <w:rFonts w:ascii="Times New Roman" w:cs="Times New Roman" w:eastAsia="Times New Roman" w:hAnsi="Times New Roman"/>
          <w:sz w:val="20"/>
          <w:szCs w:val="20"/>
          <w:color w:val="231F20"/>
        </w:rPr>
        <w:t xml:space="preserve">. The Administrative Agent will make such Loans available to the Borrower by promptly crediting the amounts so received, in like funds, to an account of the Borrower maintained with the Administrative Agent and designated by the Borrower in the applicable Borrowing Request;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ABR Loans made to finance the reimbursement of an LC Disbursement as provided in </w:t>
      </w:r>
      <w:r>
        <w:rPr>
          <w:rFonts w:ascii="Times New Roman" w:cs="Times New Roman" w:eastAsia="Times New Roman" w:hAnsi="Times New Roman"/>
          <w:sz w:val="20"/>
          <w:szCs w:val="20"/>
          <w:u w:val="single" w:color="auto"/>
          <w:color w:val="231F20"/>
        </w:rPr>
        <w:t>Section 2.06(e)</w:t>
      </w:r>
      <w:r>
        <w:rPr>
          <w:rFonts w:ascii="Times New Roman" w:cs="Times New Roman" w:eastAsia="Times New Roman" w:hAnsi="Times New Roman"/>
          <w:sz w:val="20"/>
          <w:szCs w:val="20"/>
          <w:color w:val="231F20"/>
        </w:rPr>
        <w:t xml:space="preserve"> shall be remitted by the Administrative Agent to the Issuing Banks.</w:t>
      </w:r>
    </w:p>
    <w:p>
      <w:pPr>
        <w:spacing w:after="0" w:line="189" w:lineRule="exact"/>
        <w:rPr>
          <w:rFonts w:ascii="Times New Roman" w:cs="Times New Roman" w:eastAsia="Times New Roman" w:hAnsi="Times New Roman"/>
          <w:sz w:val="20"/>
          <w:szCs w:val="20"/>
          <w:color w:val="231F20"/>
        </w:rPr>
      </w:pPr>
    </w:p>
    <w:p>
      <w:pPr>
        <w:jc w:val="both"/>
        <w:ind w:left="740" w:right="20" w:firstLine="745"/>
        <w:spacing w:after="0" w:line="245" w:lineRule="auto"/>
        <w:tabs>
          <w:tab w:leader="none" w:pos="2008" w:val="left"/>
        </w:tabs>
        <w:numPr>
          <w:ilvl w:val="0"/>
          <w:numId w:val="10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2.07</w:t>
      </w:r>
      <w:r>
        <w:rPr>
          <w:rFonts w:ascii="Times New Roman" w:cs="Times New Roman" w:eastAsia="Times New Roman" w:hAnsi="Times New Roman"/>
          <w:sz w:val="20"/>
          <w:szCs w:val="20"/>
          <w:color w:val="231F20"/>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84" w:name="page185"/>
    <w:bookmarkEnd w:id="184"/>
    <w:p>
      <w:pPr>
        <w:jc w:val="both"/>
        <w:ind w:left="740"/>
        <w:spacing w:after="0" w:line="245" w:lineRule="auto"/>
        <w:rPr>
          <w:sz w:val="20"/>
          <w:szCs w:val="20"/>
          <w:color w:val="auto"/>
        </w:rPr>
      </w:pPr>
      <w:r>
        <w:rPr>
          <w:rFonts w:ascii="Times New Roman" w:cs="Times New Roman" w:eastAsia="Times New Roman" w:hAnsi="Times New Roman"/>
          <w:sz w:val="20"/>
          <w:szCs w:val="20"/>
          <w:color w:val="231F20"/>
        </w:rPr>
        <w:t>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84"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2.08</w:t>
      </w:r>
      <w:r>
        <w:rPr>
          <w:sz w:val="20"/>
          <w:szCs w:val="20"/>
          <w:color w:val="auto"/>
        </w:rPr>
        <w:tab/>
      </w:r>
      <w:r>
        <w:rPr>
          <w:rFonts w:ascii="Times New Roman" w:cs="Times New Roman" w:eastAsia="Times New Roman" w:hAnsi="Times New Roman"/>
          <w:sz w:val="19"/>
          <w:szCs w:val="19"/>
          <w:u w:val="single" w:color="auto"/>
          <w:color w:val="231F20"/>
        </w:rPr>
        <w:t>Interest Elections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firstLine="745"/>
        <w:spacing w:after="0" w:line="243" w:lineRule="auto"/>
        <w:tabs>
          <w:tab w:leader="none" w:pos="2008" w:val="left"/>
        </w:tabs>
        <w:numPr>
          <w:ilvl w:val="0"/>
          <w:numId w:val="10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Each Borrowing initially shall be of the Type specified in the applicable Borrowing Request and, in the case of a Term SOFR Borrowing, shall have an initial Interest Period as specified in such Borrowing Request. Thereafter, the Borrower may elect to convert such Borrowing to a different Type or to continue such Borrowing and, in the case of a Term SOFR Borrowing, may elect Interest Periods therefor, all as provided in this </w:t>
      </w:r>
      <w:r>
        <w:rPr>
          <w:rFonts w:ascii="Times New Roman" w:cs="Times New Roman" w:eastAsia="Times New Roman" w:hAnsi="Times New Roman"/>
          <w:sz w:val="20"/>
          <w:szCs w:val="20"/>
          <w:u w:val="single" w:color="auto"/>
          <w:color w:val="231F20"/>
        </w:rPr>
        <w:t>Section 2.08</w:t>
      </w:r>
      <w:r>
        <w:rPr>
          <w:rFonts w:ascii="Times New Roman" w:cs="Times New Roman" w:eastAsia="Times New Roman" w:hAnsi="Times New Roman"/>
          <w:sz w:val="20"/>
          <w:szCs w:val="20"/>
          <w:color w:val="231F20"/>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Borrowings of Swingline Loans, which may not be converted or continued.</w:t>
      </w:r>
    </w:p>
    <w:p>
      <w:pPr>
        <w:spacing w:after="0" w:line="189" w:lineRule="exact"/>
        <w:rPr>
          <w:rFonts w:ascii="Times New Roman" w:cs="Times New Roman" w:eastAsia="Times New Roman" w:hAnsi="Times New Roman"/>
          <w:sz w:val="20"/>
          <w:szCs w:val="20"/>
          <w:color w:val="231F20"/>
        </w:rPr>
      </w:pPr>
    </w:p>
    <w:p>
      <w:pPr>
        <w:jc w:val="both"/>
        <w:ind w:left="740" w:right="40" w:firstLine="745"/>
        <w:spacing w:after="0" w:line="260" w:lineRule="auto"/>
        <w:tabs>
          <w:tab w:leader="none" w:pos="2006" w:val="left"/>
        </w:tabs>
        <w:numPr>
          <w:ilvl w:val="0"/>
          <w:numId w:val="10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To make an election pursuant to this </w:t>
      </w:r>
      <w:r>
        <w:rPr>
          <w:rFonts w:ascii="Times New Roman" w:cs="Times New Roman" w:eastAsia="Times New Roman" w:hAnsi="Times New Roman"/>
          <w:sz w:val="19"/>
          <w:szCs w:val="19"/>
          <w:u w:val="single" w:color="auto"/>
          <w:color w:val="231F20"/>
        </w:rPr>
        <w:t>Section 2.08</w:t>
      </w:r>
      <w:r>
        <w:rPr>
          <w:rFonts w:ascii="Times New Roman" w:cs="Times New Roman" w:eastAsia="Times New Roman" w:hAnsi="Times New Roman"/>
          <w:sz w:val="19"/>
          <w:szCs w:val="19"/>
          <w:color w:val="231F20"/>
        </w:rPr>
        <w:t xml:space="preserve">, the Borrower shall notify the Administrative Agent of such election either in writing (by hand delivery, fax or email) in substantially the form of </w:t>
      </w:r>
      <w:r>
        <w:rPr>
          <w:rFonts w:ascii="Times New Roman" w:cs="Times New Roman" w:eastAsia="Times New Roman" w:hAnsi="Times New Roman"/>
          <w:sz w:val="19"/>
          <w:szCs w:val="19"/>
          <w:u w:val="single" w:color="auto"/>
          <w:color w:val="231F20"/>
        </w:rPr>
        <w:t>Exhibit G</w:t>
      </w:r>
      <w:r>
        <w:rPr>
          <w:rFonts w:ascii="Times New Roman" w:cs="Times New Roman" w:eastAsia="Times New Roman" w:hAnsi="Times New Roman"/>
          <w:sz w:val="19"/>
          <w:szCs w:val="19"/>
          <w:color w:val="231F20"/>
        </w:rPr>
        <w:t xml:space="preserve"> and signed by the Borrower or by telephone by the time that a Borrowing Request would be required under </w:t>
      </w:r>
      <w:r>
        <w:rPr>
          <w:rFonts w:ascii="Times New Roman" w:cs="Times New Roman" w:eastAsia="Times New Roman" w:hAnsi="Times New Roman"/>
          <w:sz w:val="19"/>
          <w:szCs w:val="19"/>
          <w:u w:val="single" w:color="auto"/>
          <w:color w:val="231F20"/>
        </w:rPr>
        <w:t>Section 2.03</w:t>
      </w:r>
      <w:r>
        <w:rPr>
          <w:rFonts w:ascii="Times New Roman" w:cs="Times New Roman" w:eastAsia="Times New Roman" w:hAnsi="Times New Roman"/>
          <w:sz w:val="19"/>
          <w:szCs w:val="19"/>
          <w:color w:val="231F20"/>
        </w:rPr>
        <w:t xml:space="preserve"> if the Borrower were requesting a Borrowing of the Type resulting from such election to be made on the effective date of such election. Each such telephonic Interest Election Request shall be irrevocable and shall be confirmed promptly by hand delivery, fax or e-mail to the Administrative Agent of a written Interest Election Request in substantially the form of </w:t>
      </w:r>
      <w:r>
        <w:rPr>
          <w:rFonts w:ascii="Times New Roman" w:cs="Times New Roman" w:eastAsia="Times New Roman" w:hAnsi="Times New Roman"/>
          <w:sz w:val="19"/>
          <w:szCs w:val="19"/>
          <w:u w:val="single" w:color="auto"/>
          <w:color w:val="231F20"/>
        </w:rPr>
        <w:t>Exhibit G</w:t>
      </w:r>
      <w:r>
        <w:rPr>
          <w:rFonts w:ascii="Times New Roman" w:cs="Times New Roman" w:eastAsia="Times New Roman" w:hAnsi="Times New Roman"/>
          <w:sz w:val="19"/>
          <w:szCs w:val="19"/>
          <w:color w:val="231F20"/>
        </w:rPr>
        <w:t xml:space="preserve"> and signed by the Borrower.</w:t>
      </w:r>
    </w:p>
    <w:p>
      <w:pPr>
        <w:spacing w:after="0" w:line="172" w:lineRule="exact"/>
        <w:rPr>
          <w:rFonts w:ascii="Times New Roman" w:cs="Times New Roman" w:eastAsia="Times New Roman" w:hAnsi="Times New Roman"/>
          <w:sz w:val="19"/>
          <w:szCs w:val="19"/>
          <w:color w:val="231F20"/>
        </w:rPr>
      </w:pPr>
    </w:p>
    <w:p>
      <w:pPr>
        <w:ind w:left="740" w:right="40" w:firstLine="745"/>
        <w:spacing w:after="0" w:line="269" w:lineRule="auto"/>
        <w:tabs>
          <w:tab w:leader="none" w:pos="2006" w:val="left"/>
        </w:tabs>
        <w:numPr>
          <w:ilvl w:val="0"/>
          <w:numId w:val="10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Each telephonic and written Interest Election Request shall specify the following information in compliance with </w:t>
      </w:r>
      <w:r>
        <w:rPr>
          <w:rFonts w:ascii="Times New Roman" w:cs="Times New Roman" w:eastAsia="Times New Roman" w:hAnsi="Times New Roman"/>
          <w:sz w:val="20"/>
          <w:szCs w:val="20"/>
          <w:u w:val="single" w:color="auto"/>
          <w:color w:val="231F20"/>
        </w:rPr>
        <w:t>Section 2.02</w:t>
      </w:r>
      <w:r>
        <w:rPr>
          <w:rFonts w:ascii="Times New Roman" w:cs="Times New Roman" w:eastAsia="Times New Roman" w:hAnsi="Times New Roman"/>
          <w:sz w:val="20"/>
          <w:szCs w:val="20"/>
          <w:color w:val="231F20"/>
        </w:rPr>
        <w:t>:</w:t>
      </w:r>
    </w:p>
    <w:p>
      <w:pPr>
        <w:spacing w:after="0" w:line="159" w:lineRule="exact"/>
        <w:rPr>
          <w:rFonts w:ascii="Times New Roman" w:cs="Times New Roman" w:eastAsia="Times New Roman" w:hAnsi="Times New Roman"/>
          <w:sz w:val="20"/>
          <w:szCs w:val="20"/>
          <w:color w:val="231F20"/>
        </w:rPr>
      </w:pPr>
    </w:p>
    <w:p>
      <w:pPr>
        <w:jc w:val="both"/>
        <w:ind w:left="1940" w:right="40" w:firstLine="1222"/>
        <w:spacing w:after="0" w:line="249" w:lineRule="auto"/>
        <w:tabs>
          <w:tab w:leader="none" w:pos="3526" w:val="left"/>
        </w:tabs>
        <w:numPr>
          <w:ilvl w:val="1"/>
          <w:numId w:val="10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20"/>
          <w:szCs w:val="20"/>
          <w:u w:val="single" w:color="auto"/>
          <w:color w:val="231F20"/>
        </w:rPr>
        <w:t>clauses (iii)</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(iv)</w:t>
      </w:r>
      <w:r>
        <w:rPr>
          <w:rFonts w:ascii="Times New Roman" w:cs="Times New Roman" w:eastAsia="Times New Roman" w:hAnsi="Times New Roman"/>
          <w:sz w:val="20"/>
          <w:szCs w:val="20"/>
          <w:color w:val="231F20"/>
        </w:rPr>
        <w:t xml:space="preserve"> below shall be specified for each resulting Borrowing);</w:t>
      </w:r>
    </w:p>
    <w:p>
      <w:pPr>
        <w:spacing w:after="0" w:line="179" w:lineRule="exact"/>
        <w:rPr>
          <w:rFonts w:ascii="Times New Roman" w:cs="Times New Roman" w:eastAsia="Times New Roman" w:hAnsi="Times New Roman"/>
          <w:sz w:val="20"/>
          <w:szCs w:val="20"/>
          <w:color w:val="231F20"/>
        </w:rPr>
      </w:pPr>
    </w:p>
    <w:p>
      <w:pPr>
        <w:ind w:left="1940" w:right="60" w:firstLine="1222"/>
        <w:spacing w:after="0" w:line="269" w:lineRule="auto"/>
        <w:tabs>
          <w:tab w:leader="none" w:pos="3525" w:val="left"/>
        </w:tabs>
        <w:numPr>
          <w:ilvl w:val="1"/>
          <w:numId w:val="10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effective date of the election made pursuant to such Interest Election Request, which shall be a Business Day;</w:t>
      </w:r>
    </w:p>
    <w:p>
      <w:pPr>
        <w:spacing w:after="0" w:line="159" w:lineRule="exact"/>
        <w:rPr>
          <w:rFonts w:ascii="Times New Roman" w:cs="Times New Roman" w:eastAsia="Times New Roman" w:hAnsi="Times New Roman"/>
          <w:sz w:val="20"/>
          <w:szCs w:val="20"/>
          <w:color w:val="231F20"/>
        </w:rPr>
      </w:pPr>
    </w:p>
    <w:p>
      <w:pPr>
        <w:ind w:left="3540" w:hanging="378"/>
        <w:spacing w:after="0"/>
        <w:tabs>
          <w:tab w:leader="none" w:pos="3540" w:val="left"/>
        </w:tabs>
        <w:numPr>
          <w:ilvl w:val="1"/>
          <w:numId w:val="10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whether the resulting Borrowing is to be an ABR Borrowing or a Term SOFR Borrowing;</w:t>
      </w:r>
    </w:p>
    <w:p>
      <w:pPr>
        <w:spacing w:after="0" w:line="21" w:lineRule="exact"/>
        <w:rPr>
          <w:rFonts w:ascii="Times New Roman" w:cs="Times New Roman" w:eastAsia="Times New Roman" w:hAnsi="Times New Roman"/>
          <w:sz w:val="20"/>
          <w:szCs w:val="20"/>
          <w:color w:val="231F20"/>
        </w:rPr>
      </w:pPr>
    </w:p>
    <w:p>
      <w:pPr>
        <w:ind w:left="19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and</w:t>
      </w:r>
    </w:p>
    <w:p>
      <w:pPr>
        <w:spacing w:after="0" w:line="193" w:lineRule="exact"/>
        <w:rPr>
          <w:rFonts w:ascii="Times New Roman" w:cs="Times New Roman" w:eastAsia="Times New Roman" w:hAnsi="Times New Roman"/>
          <w:sz w:val="20"/>
          <w:szCs w:val="20"/>
          <w:color w:val="231F20"/>
        </w:rPr>
      </w:pPr>
    </w:p>
    <w:p>
      <w:pPr>
        <w:jc w:val="both"/>
        <w:ind w:left="1940" w:right="60" w:firstLine="1222"/>
        <w:spacing w:after="0" w:line="254" w:lineRule="auto"/>
        <w:tabs>
          <w:tab w:leader="none" w:pos="3525" w:val="left"/>
        </w:tabs>
        <w:numPr>
          <w:ilvl w:val="1"/>
          <w:numId w:val="10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the resulting Borrowing is a Term SOFR Borrowing, the Interest Period to be applicable thereto after giving effect to such election, which shall be a period contemplated by the definition of the term “Interest Period”.</w:t>
      </w:r>
    </w:p>
    <w:p>
      <w:pPr>
        <w:spacing w:after="0" w:line="174"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231F20"/>
        </w:rPr>
        <w:t>If any such Interest Election Request requests a Term SOFR Borrowing but does not specify an Interest Period, then the Borrower shall be deemed to have selected an Interest Period of one month’s duration.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85" w:name="page186"/>
    <w:bookmarkEnd w:id="185"/>
    <w:p>
      <w:pPr>
        <w:ind w:left="740" w:right="60" w:firstLine="745"/>
        <w:spacing w:after="0" w:line="269" w:lineRule="auto"/>
        <w:tabs>
          <w:tab w:leader="none" w:pos="2005" w:val="left"/>
        </w:tabs>
        <w:numPr>
          <w:ilvl w:val="0"/>
          <w:numId w:val="10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Promptly following receipt of an Interest Election Request, the Administrative Agent shall advise each Lender of the details thereof and of such Lender’s portion of each resulting Borrowing.</w:t>
      </w:r>
    </w:p>
    <w:p>
      <w:pPr>
        <w:spacing w:after="0" w:line="159" w:lineRule="exact"/>
        <w:rPr>
          <w:rFonts w:ascii="Times New Roman" w:cs="Times New Roman" w:eastAsia="Times New Roman" w:hAnsi="Times New Roman"/>
          <w:sz w:val="20"/>
          <w:szCs w:val="20"/>
          <w:color w:val="231F20"/>
        </w:rPr>
      </w:pPr>
    </w:p>
    <w:p>
      <w:pPr>
        <w:jc w:val="both"/>
        <w:ind w:left="740" w:firstLine="745"/>
        <w:spacing w:after="0" w:line="244" w:lineRule="auto"/>
        <w:tabs>
          <w:tab w:leader="none" w:pos="2008" w:val="left"/>
        </w:tabs>
        <w:numPr>
          <w:ilvl w:val="0"/>
          <w:numId w:val="10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SOFR Borrowing and (ii) unless repaid, each Term SOFR Borrowing shall be converted to an ABR Borrowing at the end of the Interest Period applicable thereto.</w:t>
      </w:r>
    </w:p>
    <w:p>
      <w:pPr>
        <w:spacing w:after="0" w:line="186"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2.09</w:t>
      </w:r>
      <w:r>
        <w:rPr>
          <w:sz w:val="20"/>
          <w:szCs w:val="20"/>
          <w:color w:val="auto"/>
        </w:rPr>
        <w:tab/>
      </w:r>
      <w:r>
        <w:rPr>
          <w:rFonts w:ascii="Times New Roman" w:cs="Times New Roman" w:eastAsia="Times New Roman" w:hAnsi="Times New Roman"/>
          <w:sz w:val="19"/>
          <w:szCs w:val="19"/>
          <w:u w:val="single" w:color="auto"/>
          <w:color w:val="231F20"/>
        </w:rPr>
        <w:t>Termination and Reduction of Commitments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ind w:left="740" w:right="60" w:firstLine="745"/>
        <w:spacing w:after="0" w:line="269" w:lineRule="auto"/>
        <w:tabs>
          <w:tab w:leader="none" w:pos="2005" w:val="left"/>
        </w:tabs>
        <w:numPr>
          <w:ilvl w:val="0"/>
          <w:numId w:val="10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Unless previously terminated or extended pursuant to the terms and conditions hereof, all Commitments shall terminate on the Maturity Date.</w:t>
      </w:r>
    </w:p>
    <w:p>
      <w:pPr>
        <w:spacing w:after="0" w:line="159"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0"/>
          <w:numId w:val="10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Borrower may at any time, without (subject to </w:t>
      </w:r>
      <w:r>
        <w:rPr>
          <w:rFonts w:ascii="Times New Roman" w:cs="Times New Roman" w:eastAsia="Times New Roman" w:hAnsi="Times New Roman"/>
          <w:sz w:val="20"/>
          <w:szCs w:val="20"/>
          <w:u w:val="single" w:color="auto"/>
          <w:color w:val="231F20"/>
        </w:rPr>
        <w:t>Section 2.16</w:t>
      </w:r>
      <w:r>
        <w:rPr>
          <w:rFonts w:ascii="Times New Roman" w:cs="Times New Roman" w:eastAsia="Times New Roman" w:hAnsi="Times New Roman"/>
          <w:sz w:val="20"/>
          <w:szCs w:val="20"/>
          <w:color w:val="231F20"/>
        </w:rPr>
        <w:t>) premium or penalty, terminate the Commitments upon Payment in Full.</w:t>
      </w:r>
    </w:p>
    <w:p>
      <w:pPr>
        <w:spacing w:after="0" w:line="159" w:lineRule="exact"/>
        <w:rPr>
          <w:rFonts w:ascii="Times New Roman" w:cs="Times New Roman" w:eastAsia="Times New Roman" w:hAnsi="Times New Roman"/>
          <w:sz w:val="20"/>
          <w:szCs w:val="20"/>
          <w:color w:val="231F20"/>
        </w:rPr>
      </w:pPr>
    </w:p>
    <w:p>
      <w:pPr>
        <w:jc w:val="both"/>
        <w:ind w:left="740" w:right="40" w:firstLine="745"/>
        <w:spacing w:after="0" w:line="246" w:lineRule="auto"/>
        <w:tabs>
          <w:tab w:leader="none" w:pos="2006" w:val="left"/>
        </w:tabs>
        <w:numPr>
          <w:ilvl w:val="0"/>
          <w:numId w:val="10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Borrower may from time to time, without (subject to </w:t>
      </w:r>
      <w:r>
        <w:rPr>
          <w:rFonts w:ascii="Times New Roman" w:cs="Times New Roman" w:eastAsia="Times New Roman" w:hAnsi="Times New Roman"/>
          <w:sz w:val="20"/>
          <w:szCs w:val="20"/>
          <w:u w:val="single" w:color="auto"/>
          <w:color w:val="231F20"/>
        </w:rPr>
        <w:t>Section 2.16</w:t>
      </w:r>
      <w:r>
        <w:rPr>
          <w:rFonts w:ascii="Times New Roman" w:cs="Times New Roman" w:eastAsia="Times New Roman" w:hAnsi="Times New Roman"/>
          <w:sz w:val="20"/>
          <w:szCs w:val="20"/>
          <w:color w:val="231F20"/>
        </w:rPr>
        <w:t xml:space="preserve">) premium or penalty, reduce the Commitments;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 each reduction of the Commitments shall be in an amount that is an integral multiple of $1.0 million and not less than $5.0 million (or if less, the aggregate amount of the outstanding Commitments), and (ii) the Borrower shall not reduce the Commitments if, after giving effect to any concurrent prepayment of the Loans in accordance with </w:t>
      </w:r>
      <w:r>
        <w:rPr>
          <w:rFonts w:ascii="Times New Roman" w:cs="Times New Roman" w:eastAsia="Times New Roman" w:hAnsi="Times New Roman"/>
          <w:sz w:val="20"/>
          <w:szCs w:val="20"/>
          <w:u w:val="single" w:color="auto"/>
          <w:color w:val="231F20"/>
        </w:rPr>
        <w:t>Section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2.11</w:t>
      </w:r>
      <w:r>
        <w:rPr>
          <w:rFonts w:ascii="Times New Roman" w:cs="Times New Roman" w:eastAsia="Times New Roman" w:hAnsi="Times New Roman"/>
          <w:sz w:val="20"/>
          <w:szCs w:val="20"/>
          <w:color w:val="231F20"/>
        </w:rPr>
        <w:t>, the Aggregate Credit Exposure would exceed the aggregate Commitments of all Lenders.</w:t>
      </w:r>
    </w:p>
    <w:p>
      <w:pPr>
        <w:spacing w:after="0" w:line="184" w:lineRule="exact"/>
        <w:rPr>
          <w:rFonts w:ascii="Times New Roman" w:cs="Times New Roman" w:eastAsia="Times New Roman" w:hAnsi="Times New Roman"/>
          <w:sz w:val="20"/>
          <w:szCs w:val="20"/>
          <w:color w:val="231F20"/>
        </w:rPr>
      </w:pPr>
    </w:p>
    <w:p>
      <w:pPr>
        <w:jc w:val="both"/>
        <w:ind w:left="740" w:right="40" w:firstLine="745"/>
        <w:spacing w:after="0" w:line="242" w:lineRule="auto"/>
        <w:tabs>
          <w:tab w:leader="none" w:pos="2006" w:val="left"/>
        </w:tabs>
        <w:numPr>
          <w:ilvl w:val="0"/>
          <w:numId w:val="10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Borrower shall notify the Administrative Agent of any election to terminate or reduce the Commitments under </w:t>
      </w:r>
      <w:r>
        <w:rPr>
          <w:rFonts w:ascii="Times New Roman" w:cs="Times New Roman" w:eastAsia="Times New Roman" w:hAnsi="Times New Roman"/>
          <w:sz w:val="20"/>
          <w:szCs w:val="20"/>
          <w:u w:val="single" w:color="auto"/>
          <w:color w:val="231F20"/>
        </w:rPr>
        <w:t>clause (b)</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(c)</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2.09</w:t>
      </w:r>
      <w:r>
        <w:rPr>
          <w:rFonts w:ascii="Times New Roman" w:cs="Times New Roman" w:eastAsia="Times New Roman" w:hAnsi="Times New Roman"/>
          <w:sz w:val="20"/>
          <w:szCs w:val="20"/>
          <w:color w:val="231F20"/>
        </w:rPr>
        <w:t xml:space="preserve"> at least three (3) Business Days prior to the effective date of such termination or reduction (or such shorter period as the Administrative Agent may agree), specifying such election and the effective date thereof. Promptly following receipt of any notice, the Administrative Agent shall advise the Lenders of the contents thereof. Each notice delivered by the Borrower pursuant to this </w:t>
      </w:r>
      <w:r>
        <w:rPr>
          <w:rFonts w:ascii="Times New Roman" w:cs="Times New Roman" w:eastAsia="Times New Roman" w:hAnsi="Times New Roman"/>
          <w:sz w:val="20"/>
          <w:szCs w:val="20"/>
          <w:u w:val="single" w:color="auto"/>
          <w:color w:val="231F20"/>
        </w:rPr>
        <w:t>Section 2.09</w:t>
      </w:r>
      <w:r>
        <w:rPr>
          <w:rFonts w:ascii="Times New Roman" w:cs="Times New Roman" w:eastAsia="Times New Roman" w:hAnsi="Times New Roman"/>
          <w:sz w:val="20"/>
          <w:szCs w:val="20"/>
          <w:color w:val="231F20"/>
        </w:rPr>
        <w:t xml:space="preserve"> shall be irrevocable;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a notice of termination of the Commitments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92"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2.10</w:t>
      </w:r>
      <w:r>
        <w:rPr>
          <w:sz w:val="20"/>
          <w:szCs w:val="20"/>
          <w:color w:val="auto"/>
        </w:rPr>
        <w:tab/>
      </w:r>
      <w:r>
        <w:rPr>
          <w:rFonts w:ascii="Times New Roman" w:cs="Times New Roman" w:eastAsia="Times New Roman" w:hAnsi="Times New Roman"/>
          <w:sz w:val="19"/>
          <w:szCs w:val="19"/>
          <w:u w:val="single" w:color="auto"/>
          <w:color w:val="231F20"/>
        </w:rPr>
        <w:t>Repayment of Loans; Evidence of Debt</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40" w:firstLine="745"/>
        <w:spacing w:after="0" w:line="245" w:lineRule="auto"/>
        <w:tabs>
          <w:tab w:leader="none" w:pos="2006" w:val="left"/>
        </w:tabs>
        <w:numPr>
          <w:ilvl w:val="0"/>
          <w:numId w:val="1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Borrower hereby unconditionally promises to pay (i) to the Administrative Agent for the account of each Lender the then unpaid principal amount of each Loan on the Maturity Date and (ii) to the Administrative Agent for the account of the Swingline Lenders the then unpaid principal amount of each Swingline Loan on the earlier of the Maturity Date and the date that is five (5) Business Days after such Swingline Loan is made;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on each date that a Borrowing is made, the Borrower shall repay all Swingline Loans then outstanding and the proceeds of any such Borrowing shall be applied by the Administrative Agent to repay any Swingline Loans then outstanding.</w:t>
      </w:r>
    </w:p>
    <w:p>
      <w:pPr>
        <w:spacing w:after="0" w:line="184" w:lineRule="exact"/>
        <w:rPr>
          <w:rFonts w:ascii="Times New Roman" w:cs="Times New Roman" w:eastAsia="Times New Roman" w:hAnsi="Times New Roman"/>
          <w:sz w:val="20"/>
          <w:szCs w:val="20"/>
          <w:color w:val="231F20"/>
        </w:rPr>
      </w:pPr>
    </w:p>
    <w:p>
      <w:pPr>
        <w:ind w:left="740" w:right="40" w:firstLine="745"/>
        <w:spacing w:after="0" w:line="269" w:lineRule="auto"/>
        <w:tabs>
          <w:tab w:leader="none" w:pos="2006" w:val="left"/>
        </w:tabs>
        <w:numPr>
          <w:ilvl w:val="0"/>
          <w:numId w:val="1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Each Lender shall maintain in accordance with its usual practice an account or accounts evidencing the indebtedness of the Borrower to such Lender resulting from each Loan made by such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86" w:name="page187"/>
    <w:bookmarkEnd w:id="186"/>
    <w:p>
      <w:pPr>
        <w:jc w:val="center"/>
        <w:ind w:right="40"/>
        <w:spacing w:after="0"/>
        <w:rPr>
          <w:sz w:val="20"/>
          <w:szCs w:val="20"/>
          <w:color w:val="auto"/>
        </w:rPr>
      </w:pPr>
      <w:r>
        <w:rPr>
          <w:rFonts w:ascii="Times New Roman" w:cs="Times New Roman" w:eastAsia="Times New Roman" w:hAnsi="Times New Roman"/>
          <w:sz w:val="20"/>
          <w:szCs w:val="20"/>
          <w:color w:val="231F20"/>
        </w:rPr>
        <w:t>Lender, including the amounts of principal and interest payable and paid to such Lender from time to time hereunder.</w:t>
      </w:r>
    </w:p>
    <w:p>
      <w:pPr>
        <w:spacing w:after="0" w:line="216" w:lineRule="exact"/>
        <w:rPr>
          <w:sz w:val="20"/>
          <w:szCs w:val="20"/>
          <w:color w:val="auto"/>
        </w:rPr>
      </w:pPr>
    </w:p>
    <w:p>
      <w:pPr>
        <w:jc w:val="both"/>
        <w:ind w:left="740" w:right="20" w:firstLine="745"/>
        <w:spacing w:after="0" w:line="249" w:lineRule="auto"/>
        <w:tabs>
          <w:tab w:leader="none" w:pos="2005" w:val="left"/>
        </w:tabs>
        <w:numPr>
          <w:ilvl w:val="0"/>
          <w:numId w:val="1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Administrative Agent shall maintain accounts in which it shall record (i) the amount of each Loan made hereunder, the Type thereof and the Interest Period applicable thereto, if any,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9" w:lineRule="exact"/>
        <w:rPr>
          <w:rFonts w:ascii="Times New Roman" w:cs="Times New Roman" w:eastAsia="Times New Roman" w:hAnsi="Times New Roman"/>
          <w:sz w:val="20"/>
          <w:szCs w:val="20"/>
          <w:color w:val="231F20"/>
        </w:rPr>
      </w:pPr>
    </w:p>
    <w:p>
      <w:pPr>
        <w:ind w:left="2240" w:hanging="755"/>
        <w:spacing w:after="0"/>
        <w:tabs>
          <w:tab w:leader="none" w:pos="2240" w:val="left"/>
        </w:tabs>
        <w:numPr>
          <w:ilvl w:val="0"/>
          <w:numId w:val="1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entries made in the accounts maintained pursuant to </w:t>
      </w:r>
      <w:r>
        <w:rPr>
          <w:rFonts w:ascii="Times New Roman" w:cs="Times New Roman" w:eastAsia="Times New Roman" w:hAnsi="Times New Roman"/>
          <w:sz w:val="20"/>
          <w:szCs w:val="20"/>
          <w:u w:val="single" w:color="auto"/>
          <w:color w:val="231F20"/>
        </w:rPr>
        <w:t>clause (b)</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(c)</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w:t>
      </w:r>
    </w:p>
    <w:p>
      <w:pPr>
        <w:spacing w:after="0" w:line="22" w:lineRule="exact"/>
        <w:rPr>
          <w:sz w:val="20"/>
          <w:szCs w:val="20"/>
          <w:color w:val="auto"/>
        </w:rPr>
      </w:pPr>
    </w:p>
    <w:p>
      <w:pPr>
        <w:ind w:left="740"/>
        <w:spacing w:after="0" w:line="241" w:lineRule="auto"/>
        <w:rPr>
          <w:sz w:val="20"/>
          <w:szCs w:val="20"/>
          <w:color w:val="auto"/>
        </w:rPr>
      </w:pPr>
      <w:r>
        <w:rPr>
          <w:rFonts w:ascii="Times New Roman" w:cs="Times New Roman" w:eastAsia="Times New Roman" w:hAnsi="Times New Roman"/>
          <w:sz w:val="20"/>
          <w:szCs w:val="20"/>
          <w:u w:val="single" w:color="auto"/>
          <w:color w:val="231F20"/>
        </w:rPr>
        <w:t>2.10</w:t>
      </w:r>
      <w:r>
        <w:rPr>
          <w:rFonts w:ascii="Times New Roman" w:cs="Times New Roman" w:eastAsia="Times New Roman" w:hAnsi="Times New Roman"/>
          <w:sz w:val="20"/>
          <w:szCs w:val="20"/>
          <w:color w:val="231F20"/>
        </w:rPr>
        <w:t xml:space="preserve"> shall be </w:t>
      </w:r>
      <w:r>
        <w:rPr>
          <w:rFonts w:ascii="Times New Roman" w:cs="Times New Roman" w:eastAsia="Times New Roman" w:hAnsi="Times New Roman"/>
          <w:sz w:val="20"/>
          <w:szCs w:val="20"/>
          <w:u w:val="single" w:color="auto"/>
          <w:color w:val="231F20"/>
        </w:rPr>
        <w:t>prima facie</w:t>
      </w:r>
      <w:r>
        <w:rPr>
          <w:rFonts w:ascii="Times New Roman" w:cs="Times New Roman" w:eastAsia="Times New Roman" w:hAnsi="Times New Roman"/>
          <w:sz w:val="20"/>
          <w:szCs w:val="20"/>
          <w:color w:val="231F20"/>
        </w:rPr>
        <w:t xml:space="preserve"> evidence of the existence and amounts of the obligations recorded therein absent manifest error;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the failure of any Lender or the Administrative Agent to maintain such accounts or any error therein shall not in any manner affect the obligation of the Borrower to repay the Loans in accordance with the terms of this Agreement;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further</w:t>
      </w:r>
      <w:r>
        <w:rPr>
          <w:rFonts w:ascii="Times New Roman" w:cs="Times New Roman" w:eastAsia="Times New Roman" w:hAnsi="Times New Roman"/>
          <w:sz w:val="20"/>
          <w:szCs w:val="20"/>
          <w:color w:val="231F20"/>
        </w:rPr>
        <w:t xml:space="preserve">, that in the event of a conflict between the entries made in the accounts maintained pursuant to </w:t>
      </w:r>
      <w:r>
        <w:rPr>
          <w:rFonts w:ascii="Times New Roman" w:cs="Times New Roman" w:eastAsia="Times New Roman" w:hAnsi="Times New Roman"/>
          <w:sz w:val="20"/>
          <w:szCs w:val="20"/>
          <w:u w:val="single" w:color="auto"/>
          <w:color w:val="231F20"/>
        </w:rPr>
        <w:t>clause (b)</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(c)</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2.10</w:t>
      </w:r>
      <w:r>
        <w:rPr>
          <w:rFonts w:ascii="Times New Roman" w:cs="Times New Roman" w:eastAsia="Times New Roman" w:hAnsi="Times New Roman"/>
          <w:sz w:val="20"/>
          <w:szCs w:val="20"/>
          <w:color w:val="231F20"/>
        </w:rPr>
        <w:t xml:space="preserve"> and the Register, the Register shall govern.</w:t>
      </w:r>
    </w:p>
    <w:p>
      <w:pPr>
        <w:spacing w:after="0" w:line="187" w:lineRule="exact"/>
        <w:rPr>
          <w:sz w:val="20"/>
          <w:szCs w:val="20"/>
          <w:color w:val="auto"/>
        </w:rPr>
      </w:pPr>
    </w:p>
    <w:p>
      <w:pPr>
        <w:jc w:val="both"/>
        <w:ind w:left="740" w:right="20" w:firstLine="745"/>
        <w:spacing w:after="0" w:line="246" w:lineRule="auto"/>
        <w:tabs>
          <w:tab w:leader="none" w:pos="2005" w:val="left"/>
        </w:tabs>
        <w:numPr>
          <w:ilvl w:val="0"/>
          <w:numId w:val="1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Any Lender may request that Loans made by it be evidenced by a promissory note in substantially the form of </w:t>
      </w:r>
      <w:r>
        <w:rPr>
          <w:rFonts w:ascii="Times New Roman" w:cs="Times New Roman" w:eastAsia="Times New Roman" w:hAnsi="Times New Roman"/>
          <w:sz w:val="20"/>
          <w:szCs w:val="20"/>
          <w:u w:val="single" w:color="auto"/>
          <w:color w:val="231F20"/>
        </w:rPr>
        <w:t>Exhibit I</w:t>
      </w:r>
      <w:r>
        <w:rPr>
          <w:rFonts w:ascii="Times New Roman" w:cs="Times New Roman" w:eastAsia="Times New Roman" w:hAnsi="Times New Roman"/>
          <w:sz w:val="20"/>
          <w:szCs w:val="20"/>
          <w:color w:val="231F20"/>
        </w:rPr>
        <w:t xml:space="preserve"> completed as appropriate (each a “</w:t>
      </w:r>
      <w:r>
        <w:rPr>
          <w:rFonts w:ascii="Times New Roman" w:cs="Times New Roman" w:eastAsia="Times New Roman" w:hAnsi="Times New Roman"/>
          <w:sz w:val="20"/>
          <w:szCs w:val="20"/>
          <w:u w:val="single" w:color="auto"/>
          <w:color w:val="231F20"/>
        </w:rPr>
        <w:t>Note</w:t>
      </w:r>
      <w:r>
        <w:rPr>
          <w:rFonts w:ascii="Times New Roman" w:cs="Times New Roman" w:eastAsia="Times New Roman" w:hAnsi="Times New Roman"/>
          <w:sz w:val="20"/>
          <w:szCs w:val="20"/>
          <w:color w:val="231F20"/>
        </w:rPr>
        <w:t>” and, collectively, the “</w:t>
      </w:r>
      <w:r>
        <w:rPr>
          <w:rFonts w:ascii="Times New Roman" w:cs="Times New Roman" w:eastAsia="Times New Roman" w:hAnsi="Times New Roman"/>
          <w:sz w:val="20"/>
          <w:szCs w:val="20"/>
          <w:u w:val="single" w:color="auto"/>
          <w:color w:val="231F20"/>
        </w:rPr>
        <w:t>Notes</w:t>
      </w:r>
      <w:r>
        <w:rPr>
          <w:rFonts w:ascii="Times New Roman" w:cs="Times New Roman" w:eastAsia="Times New Roman" w:hAnsi="Times New Roman"/>
          <w:sz w:val="20"/>
          <w:szCs w:val="20"/>
          <w:color w:val="231F20"/>
        </w:rPr>
        <w:t xml:space="preserve">”). In such event, the Borrower shall prepare, execute and deliver to such Lender a Note payable to such Lender and its registered assigns. Thereafter, the Loans evidenced by such Note and interest thereon shall at all times (including after assignment pursuant to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 be represented by one or more Notes in such form payable to such payee and its registered assigns.</w:t>
      </w:r>
    </w:p>
    <w:p>
      <w:pPr>
        <w:spacing w:after="0" w:line="185"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2.11</w:t>
      </w:r>
      <w:r>
        <w:rPr>
          <w:sz w:val="20"/>
          <w:szCs w:val="20"/>
          <w:color w:val="auto"/>
        </w:rPr>
        <w:tab/>
      </w:r>
      <w:r>
        <w:rPr>
          <w:rFonts w:ascii="Times New Roman" w:cs="Times New Roman" w:eastAsia="Times New Roman" w:hAnsi="Times New Roman"/>
          <w:sz w:val="19"/>
          <w:szCs w:val="19"/>
          <w:u w:val="single" w:color="auto"/>
          <w:color w:val="231F20"/>
        </w:rPr>
        <w:t>Prepayment of Loans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firstLine="745"/>
        <w:spacing w:after="0" w:line="254" w:lineRule="auto"/>
        <w:tabs>
          <w:tab w:leader="none" w:pos="2006" w:val="left"/>
        </w:tabs>
        <w:numPr>
          <w:ilvl w:val="0"/>
          <w:numId w:val="1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Borrower shall have the right at any time and from time to time, without (subject to </w:t>
      </w:r>
      <w:r>
        <w:rPr>
          <w:rFonts w:ascii="Times New Roman" w:cs="Times New Roman" w:eastAsia="Times New Roman" w:hAnsi="Times New Roman"/>
          <w:sz w:val="20"/>
          <w:szCs w:val="20"/>
          <w:u w:val="single" w:color="auto"/>
          <w:color w:val="231F20"/>
        </w:rPr>
        <w:t>Section 2.16</w:t>
      </w:r>
      <w:r>
        <w:rPr>
          <w:rFonts w:ascii="Times New Roman" w:cs="Times New Roman" w:eastAsia="Times New Roman" w:hAnsi="Times New Roman"/>
          <w:sz w:val="20"/>
          <w:szCs w:val="20"/>
          <w:color w:val="231F20"/>
        </w:rPr>
        <w:t xml:space="preserve">) premium or penalty, to prepay any Borrowing in whole or in part, subject to prior notice in accordance with </w:t>
      </w:r>
      <w:r>
        <w:rPr>
          <w:rFonts w:ascii="Times New Roman" w:cs="Times New Roman" w:eastAsia="Times New Roman" w:hAnsi="Times New Roman"/>
          <w:sz w:val="20"/>
          <w:szCs w:val="20"/>
          <w:u w:val="single" w:color="auto"/>
          <w:color w:val="231F20"/>
        </w:rPr>
        <w:t>clause (c)</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2.11</w:t>
      </w:r>
      <w:r>
        <w:rPr>
          <w:rFonts w:ascii="Times New Roman" w:cs="Times New Roman" w:eastAsia="Times New Roman" w:hAnsi="Times New Roman"/>
          <w:sz w:val="20"/>
          <w:szCs w:val="20"/>
          <w:color w:val="231F20"/>
        </w:rPr>
        <w:t>.</w:t>
      </w:r>
    </w:p>
    <w:p>
      <w:pPr>
        <w:spacing w:after="0" w:line="174" w:lineRule="exact"/>
        <w:rPr>
          <w:rFonts w:ascii="Times New Roman" w:cs="Times New Roman" w:eastAsia="Times New Roman" w:hAnsi="Times New Roman"/>
          <w:sz w:val="20"/>
          <w:szCs w:val="20"/>
          <w:color w:val="231F20"/>
        </w:rPr>
      </w:pPr>
    </w:p>
    <w:p>
      <w:pPr>
        <w:jc w:val="both"/>
        <w:ind w:left="740" w:right="20" w:firstLine="745"/>
        <w:spacing w:after="0" w:line="254" w:lineRule="auto"/>
        <w:tabs>
          <w:tab w:leader="none" w:pos="2005" w:val="left"/>
        </w:tabs>
        <w:numPr>
          <w:ilvl w:val="0"/>
          <w:numId w:val="1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 the event and on such occasion that the Aggregate Credit Exposure exceeds the aggregate Commitments of all Lenders, the Borrower shall prepay the Loans (including any Swingline Loans) and/or cash collateralize the LC Exposure (in accordance with </w:t>
      </w:r>
      <w:r>
        <w:rPr>
          <w:rFonts w:ascii="Times New Roman" w:cs="Times New Roman" w:eastAsia="Times New Roman" w:hAnsi="Times New Roman"/>
          <w:sz w:val="20"/>
          <w:szCs w:val="20"/>
          <w:u w:val="single" w:color="auto"/>
          <w:color w:val="231F20"/>
        </w:rPr>
        <w:t>Section 2.06(j))</w:t>
      </w:r>
      <w:r>
        <w:rPr>
          <w:rFonts w:ascii="Times New Roman" w:cs="Times New Roman" w:eastAsia="Times New Roman" w:hAnsi="Times New Roman"/>
          <w:sz w:val="20"/>
          <w:szCs w:val="20"/>
          <w:color w:val="231F20"/>
        </w:rPr>
        <w:t xml:space="preserve"> in an aggregate amount equal to such excess.</w:t>
      </w:r>
    </w:p>
    <w:p>
      <w:pPr>
        <w:spacing w:after="0" w:line="174" w:lineRule="exact"/>
        <w:rPr>
          <w:rFonts w:ascii="Times New Roman" w:cs="Times New Roman" w:eastAsia="Times New Roman" w:hAnsi="Times New Roman"/>
          <w:sz w:val="20"/>
          <w:szCs w:val="20"/>
          <w:color w:val="231F20"/>
        </w:rPr>
      </w:pPr>
    </w:p>
    <w:p>
      <w:pPr>
        <w:ind w:left="740" w:right="200" w:firstLine="745"/>
        <w:spacing w:after="0" w:line="244" w:lineRule="auto"/>
        <w:tabs>
          <w:tab w:leader="none" w:pos="2006" w:val="left"/>
        </w:tabs>
        <w:numPr>
          <w:ilvl w:val="0"/>
          <w:numId w:val="1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Borrower shall notify the Administrative Agent (and, in the case of prepayment of Swingline Loans, the Swingline Lenders) in writing of any prepayment hereunder (i) in the case of prepayment of a Term SOFR Borrowing, not later than 12:00 p.m. (noon), New York City time, three (3) Business Days before the date of prepayment, (ii) in the case of prepayment of an ABR Borrowing, not later than 12:00 p.m. (noon), New York City time, one (1) Business Day before the date of prepayment or</w:t>
      </w:r>
    </w:p>
    <w:p>
      <w:pPr>
        <w:jc w:val="both"/>
        <w:ind w:left="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(iii)in the case of prepayment of a Swingline Loan, not later than 12:00 p.m. (noon), New York City time, on the date of prepayment, in each case, or such shorter period as the Administrative Agent may agree. Each such notice shall be irrevocable and shall specify the prepayment date and the principal amount of each Borrowing or portion thereof to be prepaid;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if a notice of prepayment is given in connection with a conditional notice of termination of the Commitments as contemplated by </w:t>
      </w:r>
      <w:r>
        <w:rPr>
          <w:rFonts w:ascii="Times New Roman" w:cs="Times New Roman" w:eastAsia="Times New Roman" w:hAnsi="Times New Roman"/>
          <w:sz w:val="20"/>
          <w:szCs w:val="20"/>
          <w:u w:val="single" w:color="auto"/>
          <w:color w:val="231F20"/>
        </w:rPr>
        <w:t>Section 2.09</w:t>
      </w:r>
      <w:r>
        <w:rPr>
          <w:rFonts w:ascii="Times New Roman" w:cs="Times New Roman" w:eastAsia="Times New Roman" w:hAnsi="Times New Roman"/>
          <w:sz w:val="20"/>
          <w:szCs w:val="20"/>
          <w:color w:val="231F20"/>
        </w:rPr>
        <w:t xml:space="preserve">, then such notice of prepayment may be revoked if such notice of termination is revoked in accordance with </w:t>
      </w:r>
      <w:r>
        <w:rPr>
          <w:rFonts w:ascii="Times New Roman" w:cs="Times New Roman" w:eastAsia="Times New Roman" w:hAnsi="Times New Roman"/>
          <w:sz w:val="20"/>
          <w:szCs w:val="20"/>
          <w:u w:val="single" w:color="auto"/>
          <w:color w:val="231F20"/>
        </w:rPr>
        <w:t>Section 2.09</w:t>
      </w:r>
      <w:r>
        <w:rPr>
          <w:rFonts w:ascii="Times New Roman" w:cs="Times New Roman" w:eastAsia="Times New Roman" w:hAnsi="Times New Roman"/>
          <w:sz w:val="20"/>
          <w:szCs w:val="20"/>
          <w:color w:val="231F20"/>
        </w:rPr>
        <w:t xml:space="preserve">.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20"/>
          <w:szCs w:val="20"/>
          <w:u w:val="single" w:color="auto"/>
          <w:color w:val="231F20"/>
        </w:rPr>
        <w:t>Section 2.02</w:t>
      </w:r>
      <w:r>
        <w:rPr>
          <w:rFonts w:ascii="Times New Roman" w:cs="Times New Roman" w:eastAsia="Times New Roman" w:hAnsi="Times New Roman"/>
          <w:sz w:val="20"/>
          <w:szCs w:val="20"/>
          <w:color w:val="231F20"/>
        </w:rPr>
        <w:t>. Each prepayment of a Borrowing shall be applied ratably to the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291" w:right="759" w:bottom="1440" w:gutter="0" w:footer="0" w:header="0"/>
        </w:sectPr>
      </w:pPr>
    </w:p>
    <w:bookmarkStart w:id="187" w:name="page188"/>
    <w:bookmarkEnd w:id="187"/>
    <w:p>
      <w:pPr>
        <w:ind w:left="740" w:right="420"/>
        <w:spacing w:after="0" w:line="269" w:lineRule="auto"/>
        <w:rPr>
          <w:sz w:val="20"/>
          <w:szCs w:val="20"/>
          <w:color w:val="auto"/>
        </w:rPr>
      </w:pPr>
      <w:r>
        <w:rPr>
          <w:rFonts w:ascii="Times New Roman" w:cs="Times New Roman" w:eastAsia="Times New Roman" w:hAnsi="Times New Roman"/>
          <w:sz w:val="20"/>
          <w:szCs w:val="20"/>
          <w:color w:val="231F20"/>
        </w:rPr>
        <w:t xml:space="preserve">Loans included in the prepaid Borrowing. Prepayments shall be accompanied by accrued interest to the extent required by </w:t>
      </w:r>
      <w:r>
        <w:rPr>
          <w:rFonts w:ascii="Times New Roman" w:cs="Times New Roman" w:eastAsia="Times New Roman" w:hAnsi="Times New Roman"/>
          <w:sz w:val="20"/>
          <w:szCs w:val="20"/>
          <w:u w:val="single" w:color="auto"/>
          <w:color w:val="231F20"/>
        </w:rPr>
        <w:t>Section 2.13</w:t>
      </w:r>
      <w:r>
        <w:rPr>
          <w:rFonts w:ascii="Times New Roman" w:cs="Times New Roman" w:eastAsia="Times New Roman" w:hAnsi="Times New Roman"/>
          <w:sz w:val="20"/>
          <w:szCs w:val="20"/>
          <w:color w:val="231F20"/>
        </w:rPr>
        <w:t>.</w:t>
      </w:r>
    </w:p>
    <w:p>
      <w:pPr>
        <w:spacing w:after="0" w:line="159"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2.12</w:t>
      </w:r>
      <w:r>
        <w:rPr>
          <w:sz w:val="20"/>
          <w:szCs w:val="20"/>
          <w:color w:val="auto"/>
        </w:rPr>
        <w:tab/>
      </w:r>
      <w:r>
        <w:rPr>
          <w:rFonts w:ascii="Times New Roman" w:cs="Times New Roman" w:eastAsia="Times New Roman" w:hAnsi="Times New Roman"/>
          <w:sz w:val="20"/>
          <w:szCs w:val="20"/>
          <w:u w:val="single" w:color="auto"/>
          <w:color w:val="231F20"/>
        </w:rPr>
        <w:t>Fees</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20" w:firstLine="745"/>
        <w:spacing w:after="0" w:line="243" w:lineRule="auto"/>
        <w:tabs>
          <w:tab w:leader="none" w:pos="2006" w:val="left"/>
        </w:tabs>
        <w:numPr>
          <w:ilvl w:val="0"/>
          <w:numId w:val="1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Borrower agrees to pay to the Administrative Agent for the account of each Lender (other than a Defaulting Lender, subject to </w:t>
      </w:r>
      <w:r>
        <w:rPr>
          <w:rFonts w:ascii="Times New Roman" w:cs="Times New Roman" w:eastAsia="Times New Roman" w:hAnsi="Times New Roman"/>
          <w:sz w:val="20"/>
          <w:szCs w:val="20"/>
          <w:u w:val="single" w:color="auto"/>
          <w:color w:val="231F20"/>
        </w:rPr>
        <w:t>Section 2.20</w:t>
      </w:r>
      <w:r>
        <w:rPr>
          <w:rFonts w:ascii="Times New Roman" w:cs="Times New Roman" w:eastAsia="Times New Roman" w:hAnsi="Times New Roman"/>
          <w:sz w:val="20"/>
          <w:szCs w:val="20"/>
          <w:color w:val="231F20"/>
        </w:rPr>
        <w:t xml:space="preserve">) a commitment fee, which shall accrue at the “Commitment Fee Rate” set forth in the definition of Applicable Rate on the average daily amount of the Available Commitment of such Lender during the period from and including the Effective Date to but excluding the date on which the Commitments terminate;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however</w:t>
      </w:r>
      <w:r>
        <w:rPr>
          <w:rFonts w:ascii="Times New Roman" w:cs="Times New Roman" w:eastAsia="Times New Roman" w:hAnsi="Times New Roman"/>
          <w:sz w:val="20"/>
          <w:szCs w:val="20"/>
          <w:color w:val="231F20"/>
        </w:rPr>
        <w:t xml:space="preserve">, that for purposes of this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xml:space="preserve"> any Swingline Loan shall not be considered when calculating the amount of the Available Commitment. Accrued commitment fees shall be payable in arrears on the first Business Day of each January, April, July and October and on the date on which the Commitments terminate, commencing on the first such date to occur after the date hereof. All commitment fees shall be computed on the basis of a year of 360 days and shall be payable for the actual number of days elapsed.</w:t>
      </w:r>
    </w:p>
    <w:p>
      <w:pPr>
        <w:spacing w:after="0" w:line="185" w:lineRule="exact"/>
        <w:rPr>
          <w:rFonts w:ascii="Times New Roman" w:cs="Times New Roman" w:eastAsia="Times New Roman" w:hAnsi="Times New Roman"/>
          <w:sz w:val="20"/>
          <w:szCs w:val="20"/>
          <w:color w:val="231F20"/>
        </w:rPr>
      </w:pPr>
    </w:p>
    <w:p>
      <w:pPr>
        <w:ind w:left="740" w:right="20" w:firstLine="745"/>
        <w:spacing w:after="0" w:line="254" w:lineRule="auto"/>
        <w:tabs>
          <w:tab w:leader="none" w:pos="2006" w:val="left"/>
        </w:tabs>
        <w:numPr>
          <w:ilvl w:val="0"/>
          <w:numId w:val="11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The Borrower agrees to pay (i) to the Administrative Agent for the account of each Lender (other than a Defaulting Lender, subject to </w:t>
      </w:r>
      <w:r>
        <w:rPr>
          <w:rFonts w:ascii="Times New Roman" w:cs="Times New Roman" w:eastAsia="Times New Roman" w:hAnsi="Times New Roman"/>
          <w:sz w:val="19"/>
          <w:szCs w:val="19"/>
          <w:u w:val="single" w:color="auto"/>
          <w:color w:val="231F20"/>
        </w:rPr>
        <w:t>Section 2.20</w:t>
      </w:r>
      <w:r>
        <w:rPr>
          <w:rFonts w:ascii="Times New Roman" w:cs="Times New Roman" w:eastAsia="Times New Roman" w:hAnsi="Times New Roman"/>
          <w:sz w:val="19"/>
          <w:szCs w:val="19"/>
          <w:color w:val="231F20"/>
        </w:rPr>
        <w:t xml:space="preserve">) a participation fee with respect to its participations in Letters of Credit, which shall accrue at the same Applicable Rate used to determine the interest rate applicable to Term SOFR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applicable Issuing Bank a fronting fee, which shall accrue at the rate of 0.25% </w:t>
      </w:r>
      <w:r>
        <w:rPr>
          <w:rFonts w:ascii="Times New Roman" w:cs="Times New Roman" w:eastAsia="Times New Roman" w:hAnsi="Times New Roman"/>
          <w:sz w:val="19"/>
          <w:szCs w:val="19"/>
          <w:i w:val="1"/>
          <w:iCs w:val="1"/>
          <w:color w:val="231F20"/>
        </w:rPr>
        <w:t>per annum</w:t>
      </w:r>
      <w:r>
        <w:rPr>
          <w:rFonts w:ascii="Times New Roman" w:cs="Times New Roman" w:eastAsia="Times New Roman" w:hAnsi="Times New Roman"/>
          <w:sz w:val="19"/>
          <w:szCs w:val="19"/>
          <w:color w:val="231F20"/>
        </w:rPr>
        <w:t xml:space="preserve"> on the average daily amount of each applicable Letter of Credit (excluding any portion thereof attributable to unreimbursed LC Disbursements) during the period from and including the Effective Date to but excluding the later of the date of termination of the Commitments and the date on which there ceases to be any LC Exposure, as well as the applicable Issuing Bank’s standard fees with respect to the issuance, amendment, renewal or extension of any Letter of Credit or processing of drawings thereunder. Participation fees and fronting fees accrued through and including the last day of each calendar quarter shall be payable on the first Business Day of each of each January, April, July and October following such last day, commencing on the first such date to occur after the Effective Date;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w:t>
      </w:r>
    </w:p>
    <w:p>
      <w:pPr>
        <w:spacing w:after="0" w:line="186" w:lineRule="exact"/>
        <w:rPr>
          <w:rFonts w:ascii="Times New Roman" w:cs="Times New Roman" w:eastAsia="Times New Roman" w:hAnsi="Times New Roman"/>
          <w:sz w:val="19"/>
          <w:szCs w:val="19"/>
          <w:color w:val="231F20"/>
        </w:rPr>
      </w:pPr>
    </w:p>
    <w:p>
      <w:pPr>
        <w:ind w:left="740" w:right="40" w:firstLine="745"/>
        <w:spacing w:after="0" w:line="295" w:lineRule="auto"/>
        <w:tabs>
          <w:tab w:leader="none" w:pos="2005" w:val="left"/>
        </w:tabs>
        <w:numPr>
          <w:ilvl w:val="0"/>
          <w:numId w:val="11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Borrower agrees to pay to the Administrative Agent, for its own account, and to any Lender, fees payable in the amounts and at the times separately agreed upon between the Borrower and the Administrative Agent or such Lender.</w:t>
      </w:r>
    </w:p>
    <w:p>
      <w:pPr>
        <w:spacing w:after="0" w:line="137" w:lineRule="exact"/>
        <w:rPr>
          <w:rFonts w:ascii="Times New Roman" w:cs="Times New Roman" w:eastAsia="Times New Roman" w:hAnsi="Times New Roman"/>
          <w:sz w:val="19"/>
          <w:szCs w:val="19"/>
          <w:color w:val="231F20"/>
        </w:rPr>
      </w:pPr>
    </w:p>
    <w:p>
      <w:pPr>
        <w:jc w:val="both"/>
        <w:ind w:left="740" w:firstLine="746"/>
        <w:spacing w:after="0" w:line="254" w:lineRule="auto"/>
        <w:tabs>
          <w:tab w:leader="none" w:pos="2007" w:val="left"/>
        </w:tabs>
        <w:numPr>
          <w:ilvl w:val="0"/>
          <w:numId w:val="1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All fees payable hereunder shall be paid on the dates due,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74"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2.13</w:t>
      </w:r>
      <w:r>
        <w:rPr>
          <w:sz w:val="20"/>
          <w:szCs w:val="20"/>
          <w:color w:val="auto"/>
        </w:rPr>
        <w:tab/>
      </w:r>
      <w:r>
        <w:rPr>
          <w:rFonts w:ascii="Times New Roman" w:cs="Times New Roman" w:eastAsia="Times New Roman" w:hAnsi="Times New Roman"/>
          <w:sz w:val="20"/>
          <w:szCs w:val="20"/>
          <w:u w:val="single" w:color="auto"/>
          <w:color w:val="231F20"/>
        </w:rPr>
        <w:t>Interest</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ind w:left="740" w:right="680" w:firstLine="745"/>
        <w:spacing w:after="0" w:line="269" w:lineRule="auto"/>
        <w:tabs>
          <w:tab w:leader="none" w:pos="2005" w:val="left"/>
        </w:tabs>
        <w:numPr>
          <w:ilvl w:val="0"/>
          <w:numId w:val="1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Loans comprising each ABR Borrowing (including each Swingline Loan) shall bear interest at the Alternate Base Rate plus the Applicable Rate.</w:t>
      </w:r>
    </w:p>
    <w:p>
      <w:pPr>
        <w:spacing w:after="0" w:line="10" w:lineRule="exact"/>
        <w:rPr>
          <w:rFonts w:ascii="Times New Roman" w:cs="Times New Roman" w:eastAsia="Times New Roman" w:hAnsi="Times New Roman"/>
          <w:sz w:val="20"/>
          <w:szCs w:val="20"/>
          <w:color w:val="231F20"/>
        </w:rPr>
      </w:pPr>
    </w:p>
    <w:p>
      <w:pPr>
        <w:ind w:left="2000" w:hanging="515"/>
        <w:spacing w:after="0"/>
        <w:tabs>
          <w:tab w:leader="none" w:pos="2000" w:val="left"/>
        </w:tabs>
        <w:numPr>
          <w:ilvl w:val="0"/>
          <w:numId w:val="1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Loans comprising each Term SOFR Borrowing shall bear interest at Adjusted Term</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188" w:name="page189"/>
    <w:bookmarkEnd w:id="188"/>
    <w:p>
      <w:pPr>
        <w:ind w:left="740"/>
        <w:spacing w:after="0"/>
        <w:rPr>
          <w:sz w:val="20"/>
          <w:szCs w:val="20"/>
          <w:color w:val="auto"/>
        </w:rPr>
      </w:pPr>
      <w:r>
        <w:rPr>
          <w:rFonts w:ascii="Times New Roman" w:cs="Times New Roman" w:eastAsia="Times New Roman" w:hAnsi="Times New Roman"/>
          <w:sz w:val="20"/>
          <w:szCs w:val="20"/>
          <w:color w:val="231F20"/>
        </w:rPr>
        <w:t>SOFR for the Interest Period in effect for such Borrowing plus the Applicable Rate.</w:t>
      </w:r>
    </w:p>
    <w:p>
      <w:pPr>
        <w:spacing w:after="0" w:line="216" w:lineRule="exact"/>
        <w:rPr>
          <w:sz w:val="20"/>
          <w:szCs w:val="20"/>
          <w:color w:val="auto"/>
        </w:rPr>
      </w:pPr>
    </w:p>
    <w:p>
      <w:pPr>
        <w:ind w:left="2000" w:hanging="515"/>
        <w:spacing w:after="0"/>
        <w:tabs>
          <w:tab w:leader="none" w:pos="2000" w:val="left"/>
        </w:tabs>
        <w:numPr>
          <w:ilvl w:val="1"/>
          <w:numId w:val="1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Notwithstanding the foregoing, upon the occurrence of an Event of Default pursuant to either </w:t>
      </w:r>
      <w:r>
        <w:rPr>
          <w:rFonts w:ascii="Times New Roman" w:cs="Times New Roman" w:eastAsia="Times New Roman" w:hAnsi="Times New Roman"/>
          <w:sz w:val="20"/>
          <w:szCs w:val="20"/>
          <w:u w:val="single" w:color="auto"/>
          <w:color w:val="231F20"/>
        </w:rPr>
        <w:t>Article VII(a)</w:t>
      </w:r>
      <w:r>
        <w:rPr>
          <w:rFonts w:ascii="Times New Roman" w:cs="Times New Roman" w:eastAsia="Times New Roman" w:hAnsi="Times New Roman"/>
          <w:sz w:val="20"/>
          <w:szCs w:val="20"/>
          <w:color w:val="231F20"/>
        </w:rPr>
        <w:t>,</w:t>
      </w:r>
    </w:p>
    <w:p>
      <w:pPr>
        <w:spacing w:after="0" w:line="21" w:lineRule="exact"/>
        <w:rPr>
          <w:rFonts w:ascii="Times New Roman" w:cs="Times New Roman" w:eastAsia="Times New Roman" w:hAnsi="Times New Roman"/>
          <w:sz w:val="20"/>
          <w:szCs w:val="20"/>
          <w:color w:val="231F20"/>
        </w:rPr>
      </w:pPr>
    </w:p>
    <w:p>
      <w:pPr>
        <w:jc w:val="both"/>
        <w:ind w:left="740"/>
        <w:spacing w:after="0" w:line="241"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(b)</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(h)</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(i)</w:t>
      </w:r>
      <w:r>
        <w:rPr>
          <w:rFonts w:ascii="Times New Roman" w:cs="Times New Roman" w:eastAsia="Times New Roman" w:hAnsi="Times New Roman"/>
          <w:sz w:val="20"/>
          <w:szCs w:val="20"/>
          <w:color w:val="231F20"/>
        </w:rPr>
        <w:t xml:space="preserve">, any unpaid principal, interest on any Loan, any fee or other amount payable by the Borrower hereunder shall automatically bear interest, after as well as before judgment, at a rate </w:t>
      </w:r>
      <w:r>
        <w:rPr>
          <w:rFonts w:ascii="Times New Roman" w:cs="Times New Roman" w:eastAsia="Times New Roman" w:hAnsi="Times New Roman"/>
          <w:sz w:val="20"/>
          <w:szCs w:val="20"/>
          <w:i w:val="1"/>
          <w:iCs w:val="1"/>
          <w:color w:val="231F20"/>
        </w:rPr>
        <w:t>per annum</w:t>
      </w:r>
      <w:r>
        <w:rPr>
          <w:rFonts w:ascii="Times New Roman" w:cs="Times New Roman" w:eastAsia="Times New Roman" w:hAnsi="Times New Roman"/>
          <w:sz w:val="20"/>
          <w:szCs w:val="20"/>
          <w:color w:val="231F20"/>
        </w:rPr>
        <w:t xml:space="preserve"> equal to (i) in the case of overdue principal of any Loan, 2.00% plus the rate otherwise applicable to such Loan as provided in the preceding paragraphs of this </w:t>
      </w:r>
      <w:r>
        <w:rPr>
          <w:rFonts w:ascii="Times New Roman" w:cs="Times New Roman" w:eastAsia="Times New Roman" w:hAnsi="Times New Roman"/>
          <w:sz w:val="20"/>
          <w:szCs w:val="20"/>
          <w:u w:val="single" w:color="auto"/>
          <w:color w:val="231F20"/>
        </w:rPr>
        <w:t>Section 2.13</w:t>
      </w:r>
      <w:r>
        <w:rPr>
          <w:rFonts w:ascii="Times New Roman" w:cs="Times New Roman" w:eastAsia="Times New Roman" w:hAnsi="Times New Roman"/>
          <w:sz w:val="20"/>
          <w:szCs w:val="20"/>
          <w:color w:val="231F20"/>
        </w:rPr>
        <w:t xml:space="preserve"> or (ii) in the case of any other amount, 2.00% plus the rate applicable to ABR Loans as provided in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2.13</w:t>
      </w:r>
      <w:r>
        <w:rPr>
          <w:rFonts w:ascii="Times New Roman" w:cs="Times New Roman" w:eastAsia="Times New Roman" w:hAnsi="Times New Roman"/>
          <w:sz w:val="20"/>
          <w:szCs w:val="20"/>
          <w:color w:val="231F20"/>
        </w:rPr>
        <w:t>.</w:t>
      </w:r>
    </w:p>
    <w:p>
      <w:pPr>
        <w:spacing w:after="0" w:line="186" w:lineRule="exact"/>
        <w:rPr>
          <w:rFonts w:ascii="Times New Roman" w:cs="Times New Roman" w:eastAsia="Times New Roman" w:hAnsi="Times New Roman"/>
          <w:sz w:val="20"/>
          <w:szCs w:val="20"/>
          <w:color w:val="231F20"/>
        </w:rPr>
      </w:pPr>
    </w:p>
    <w:p>
      <w:pPr>
        <w:jc w:val="both"/>
        <w:ind w:left="740" w:firstLine="745"/>
        <w:spacing w:after="0" w:line="264" w:lineRule="auto"/>
        <w:tabs>
          <w:tab w:leader="none" w:pos="2008" w:val="left"/>
        </w:tabs>
        <w:numPr>
          <w:ilvl w:val="1"/>
          <w:numId w:val="11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Accrued interest on each Loan (for ABR Loans, accrued through the last day of the prior calendar quarter) shall be payable in arrears on each Interest Payment Date for such Loan and upon termination of the Commitments;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that</w:t>
      </w:r>
    </w:p>
    <w:p>
      <w:pPr>
        <w:ind w:left="980" w:hanging="243"/>
        <w:spacing w:after="0"/>
        <w:tabs>
          <w:tab w:leader="none" w:pos="980" w:val="left"/>
        </w:tabs>
        <w:numPr>
          <w:ilvl w:val="0"/>
          <w:numId w:val="1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interest accrued pursuant to </w:t>
      </w:r>
      <w:r>
        <w:rPr>
          <w:rFonts w:ascii="Times New Roman" w:cs="Times New Roman" w:eastAsia="Times New Roman" w:hAnsi="Times New Roman"/>
          <w:sz w:val="20"/>
          <w:szCs w:val="20"/>
          <w:u w:val="single" w:color="auto"/>
          <w:color w:val="231F20"/>
        </w:rPr>
        <w:t>clause (c)</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89" w:name="page190"/>
    <w:bookmarkEnd w:id="189"/>
    <w:p>
      <w:pPr>
        <w:jc w:val="both"/>
        <w:ind w:left="740"/>
        <w:spacing w:after="0" w:line="246" w:lineRule="auto"/>
        <w:rPr>
          <w:sz w:val="20"/>
          <w:szCs w:val="20"/>
          <w:color w:val="auto"/>
        </w:rPr>
      </w:pPr>
      <w:r>
        <w:rPr>
          <w:rFonts w:ascii="Times New Roman" w:cs="Times New Roman" w:eastAsia="Times New Roman" w:hAnsi="Times New Roman"/>
          <w:sz w:val="20"/>
          <w:szCs w:val="20"/>
          <w:u w:val="single" w:color="auto"/>
          <w:color w:val="231F20"/>
        </w:rPr>
        <w:t>2.13</w:t>
      </w:r>
      <w:r>
        <w:rPr>
          <w:rFonts w:ascii="Times New Roman" w:cs="Times New Roman" w:eastAsia="Times New Roman" w:hAnsi="Times New Roman"/>
          <w:sz w:val="20"/>
          <w:szCs w:val="20"/>
          <w:color w:val="231F20"/>
        </w:rPr>
        <w:t xml:space="preserve">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Term SOFR Loan prior to the end of the current Interest Period therefor, accrued interest on such Loan shall be payable on the effective date of such conversion.</w:t>
      </w:r>
    </w:p>
    <w:p>
      <w:pPr>
        <w:spacing w:after="0" w:line="185" w:lineRule="exact"/>
        <w:rPr>
          <w:sz w:val="20"/>
          <w:szCs w:val="20"/>
          <w:color w:val="auto"/>
        </w:rPr>
      </w:pPr>
    </w:p>
    <w:p>
      <w:pPr>
        <w:jc w:val="both"/>
        <w:ind w:left="740" w:firstLine="745"/>
        <w:spacing w:after="0" w:line="246" w:lineRule="auto"/>
        <w:tabs>
          <w:tab w:leader="none" w:pos="2006" w:val="left"/>
        </w:tabs>
        <w:numPr>
          <w:ilvl w:val="0"/>
          <w:numId w:val="1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Adjusted Term SOFR or Term SOFR shall be determined by the Administrative Agent, and such determination shall be conclusive absent manifest error.</w:t>
      </w:r>
    </w:p>
    <w:p>
      <w:pPr>
        <w:spacing w:after="0" w:line="185"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2.14</w:t>
      </w:r>
      <w:r>
        <w:rPr>
          <w:sz w:val="20"/>
          <w:szCs w:val="20"/>
          <w:color w:val="auto"/>
        </w:rPr>
        <w:tab/>
      </w:r>
      <w:r>
        <w:rPr>
          <w:rFonts w:ascii="Times New Roman" w:cs="Times New Roman" w:eastAsia="Times New Roman" w:hAnsi="Times New Roman"/>
          <w:sz w:val="19"/>
          <w:szCs w:val="19"/>
          <w:u w:val="single" w:color="auto"/>
          <w:color w:val="231F20"/>
        </w:rPr>
        <w:t>Alternate Rate of Interest; Illegality</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firstLine="745"/>
        <w:spacing w:after="0" w:line="249" w:lineRule="auto"/>
        <w:tabs>
          <w:tab w:leader="none" w:pos="2006" w:val="left"/>
        </w:tabs>
        <w:numPr>
          <w:ilvl w:val="0"/>
          <w:numId w:val="1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Subject to </w:t>
      </w:r>
      <w:r>
        <w:rPr>
          <w:rFonts w:ascii="Times New Roman" w:cs="Times New Roman" w:eastAsia="Times New Roman" w:hAnsi="Times New Roman"/>
          <w:sz w:val="20"/>
          <w:szCs w:val="20"/>
          <w:u w:val="single" w:color="auto"/>
          <w:color w:val="231F20"/>
        </w:rPr>
        <w:t>Section 2.25</w:t>
      </w:r>
      <w:r>
        <w:rPr>
          <w:rFonts w:ascii="Times New Roman" w:cs="Times New Roman" w:eastAsia="Times New Roman" w:hAnsi="Times New Roman"/>
          <w:sz w:val="20"/>
          <w:szCs w:val="20"/>
          <w:color w:val="231F20"/>
        </w:rPr>
        <w:t xml:space="preserve"> and clause (b) of this </w:t>
      </w:r>
      <w:r>
        <w:rPr>
          <w:rFonts w:ascii="Times New Roman" w:cs="Times New Roman" w:eastAsia="Times New Roman" w:hAnsi="Times New Roman"/>
          <w:sz w:val="20"/>
          <w:szCs w:val="20"/>
          <w:u w:val="single" w:color="auto"/>
          <w:color w:val="231F20"/>
        </w:rPr>
        <w:t>Section 2.14,</w:t>
      </w:r>
      <w:r>
        <w:rPr>
          <w:rFonts w:ascii="Times New Roman" w:cs="Times New Roman" w:eastAsia="Times New Roman" w:hAnsi="Times New Roman"/>
          <w:sz w:val="20"/>
          <w:szCs w:val="20"/>
          <w:color w:val="231F20"/>
        </w:rPr>
        <w:t xml:space="preserve"> if prior to the commencement of any Interest Period for a Term SOFR Borrowing the Administrative Agent determines (which determination shall be conclusive absent manifest error), or the Required Lenders notify the Administrative Agent (with a copy to the Borrower) that the Required Lenders have determined that:</w:t>
      </w:r>
    </w:p>
    <w:p>
      <w:pPr>
        <w:spacing w:after="0" w:line="179" w:lineRule="exact"/>
        <w:rPr>
          <w:rFonts w:ascii="Times New Roman" w:cs="Times New Roman" w:eastAsia="Times New Roman" w:hAnsi="Times New Roman"/>
          <w:sz w:val="20"/>
          <w:szCs w:val="20"/>
          <w:color w:val="231F20"/>
        </w:rPr>
      </w:pPr>
    </w:p>
    <w:p>
      <w:pPr>
        <w:jc w:val="both"/>
        <w:ind w:left="1480" w:firstLine="1503"/>
        <w:spacing w:after="0" w:line="249" w:lineRule="auto"/>
        <w:tabs>
          <w:tab w:leader="none" w:pos="3522" w:val="left"/>
        </w:tabs>
        <w:numPr>
          <w:ilvl w:val="1"/>
          <w:numId w:val="1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adequate and reasonable means do not exist for ascertaining the Term SOFR Reference Rate or Adjusted Term SOFR, as applicable, for any requested Interest Period, including, without limitation, because the Term SOFR Reference Rate is not available or published on a current basis and such circumstances are unlikely to be temporary; or</w:t>
      </w:r>
    </w:p>
    <w:p>
      <w:pPr>
        <w:spacing w:after="0" w:line="179" w:lineRule="exact"/>
        <w:rPr>
          <w:rFonts w:ascii="Times New Roman" w:cs="Times New Roman" w:eastAsia="Times New Roman" w:hAnsi="Times New Roman"/>
          <w:sz w:val="20"/>
          <w:szCs w:val="20"/>
          <w:color w:val="231F20"/>
        </w:rPr>
      </w:pPr>
    </w:p>
    <w:p>
      <w:pPr>
        <w:jc w:val="both"/>
        <w:ind w:left="1480" w:right="20" w:firstLine="1503"/>
        <w:spacing w:after="0" w:line="254" w:lineRule="auto"/>
        <w:tabs>
          <w:tab w:leader="none" w:pos="3521" w:val="left"/>
        </w:tabs>
        <w:numPr>
          <w:ilvl w:val="1"/>
          <w:numId w:val="1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Adjusted Term SOFR for such Interest Period will not adequately and fairly reflect the cost to such Lenders (or Lender) of making or maintaining their Loans (or its Loan) included in such Borrowing for such Interest Period;</w:t>
      </w:r>
    </w:p>
    <w:p>
      <w:pPr>
        <w:spacing w:after="0" w:line="174" w:lineRule="exact"/>
        <w:rPr>
          <w:sz w:val="20"/>
          <w:szCs w:val="20"/>
          <w:color w:val="auto"/>
        </w:rPr>
      </w:pPr>
    </w:p>
    <w:p>
      <w:pPr>
        <w:jc w:val="both"/>
        <w:ind w:left="740"/>
        <w:spacing w:after="0" w:line="245" w:lineRule="auto"/>
        <w:rPr>
          <w:sz w:val="20"/>
          <w:szCs w:val="20"/>
          <w:color w:val="auto"/>
        </w:rPr>
      </w:pPr>
      <w:r>
        <w:rPr>
          <w:rFonts w:ascii="Times New Roman" w:cs="Times New Roman" w:eastAsia="Times New Roman" w:hAnsi="Times New Roman"/>
          <w:sz w:val="20"/>
          <w:szCs w:val="20"/>
          <w:color w:val="231F20"/>
        </w:rPr>
        <w:t xml:space="preserve">then the Administrative Agent shall give notice thereof to the Borrower and the Lenders through Electronic Systems as provided in </w:t>
      </w:r>
      <w:r>
        <w:rPr>
          <w:rFonts w:ascii="Times New Roman" w:cs="Times New Roman" w:eastAsia="Times New Roman" w:hAnsi="Times New Roman"/>
          <w:sz w:val="20"/>
          <w:szCs w:val="20"/>
          <w:u w:val="single" w:color="auto"/>
          <w:color w:val="231F20"/>
        </w:rPr>
        <w:t>Section 9.01</w:t>
      </w:r>
      <w:r>
        <w:rPr>
          <w:rFonts w:ascii="Times New Roman" w:cs="Times New Roman" w:eastAsia="Times New Roman" w:hAnsi="Times New Roman"/>
          <w:sz w:val="20"/>
          <w:szCs w:val="20"/>
          <w:color w:val="231F20"/>
        </w:rPr>
        <w:t xml:space="preserve"> as promptly as practicable thereafter and, until the Administrative Agent notifies the Borrower and the Lenders that the circumstances giving rise to such notice no longer exist, the obligation of the Lenders to make or maintain Term SOFR Loans shall be suspended (to the extent of the affected Term SOFR Loans or Interest Periods). Upon receipt of such notice, the Borrower may revoke any pending request for a Term SOFR Borrowing or conversion to or continuation of Term SOFR Loans (to the extent of the affected Term SOFR Loans or Interest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224" w:right="759" w:bottom="1440" w:gutter="0" w:footer="0" w:header="0"/>
        </w:sectPr>
      </w:pPr>
    </w:p>
    <w:bookmarkStart w:id="190" w:name="page191"/>
    <w:bookmarkEnd w:id="190"/>
    <w:p>
      <w:pPr>
        <w:ind w:left="740"/>
        <w:spacing w:after="0" w:line="269" w:lineRule="auto"/>
        <w:rPr>
          <w:sz w:val="20"/>
          <w:szCs w:val="20"/>
          <w:color w:val="auto"/>
        </w:rPr>
      </w:pPr>
      <w:r>
        <w:rPr>
          <w:rFonts w:ascii="Times New Roman" w:cs="Times New Roman" w:eastAsia="Times New Roman" w:hAnsi="Times New Roman"/>
          <w:sz w:val="20"/>
          <w:szCs w:val="20"/>
          <w:color w:val="231F20"/>
        </w:rPr>
        <w:t>or, failing that, will be deemed to have converted such request into a request for an ABR Borrowing in the amount specified therein.</w:t>
      </w:r>
    </w:p>
    <w:p>
      <w:pPr>
        <w:spacing w:after="0" w:line="159" w:lineRule="exact"/>
        <w:rPr>
          <w:sz w:val="20"/>
          <w:szCs w:val="20"/>
          <w:color w:val="auto"/>
        </w:rPr>
      </w:pPr>
    </w:p>
    <w:p>
      <w:pPr>
        <w:jc w:val="both"/>
        <w:ind w:left="740" w:firstLine="745"/>
        <w:spacing w:after="0" w:line="241" w:lineRule="auto"/>
        <w:tabs>
          <w:tab w:leader="none" w:pos="2008" w:val="left"/>
        </w:tabs>
        <w:numPr>
          <w:ilvl w:val="1"/>
          <w:numId w:val="1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If after the date hereof, the adoption of any applicable law, or any change in any applicable law (whether adopted before or after the Effective Date), or any change in interpretation or administration thereof by any Governmental Authority, central bank or comparable agency charged with the interpretation or administration thereof, or compliance by any Lender with any directive (whether or not having the force of law) of any such authority, central bank or comparable agency, shall make it unlawful or impossible for any Lender to make, maintain or fund its portion of Term SOFR Loans, such Lender shall so notify the Administrative Agent, and the Administrative Agent shall forthwith give notice thereof to the other Lenders and the Borrower. Before giving any notice to the Administrative Agent pursuant to this </w:t>
      </w:r>
      <w:r>
        <w:rPr>
          <w:rFonts w:ascii="Times New Roman" w:cs="Times New Roman" w:eastAsia="Times New Roman" w:hAnsi="Times New Roman"/>
          <w:sz w:val="20"/>
          <w:szCs w:val="20"/>
          <w:u w:val="single" w:color="auto"/>
          <w:color w:val="231F20"/>
        </w:rPr>
        <w:t>Section 2.14(b)</w:t>
      </w:r>
      <w:r>
        <w:rPr>
          <w:rFonts w:ascii="Times New Roman" w:cs="Times New Roman" w:eastAsia="Times New Roman" w:hAnsi="Times New Roman"/>
          <w:sz w:val="20"/>
          <w:szCs w:val="20"/>
          <w:color w:val="231F20"/>
        </w:rPr>
        <w:t xml:space="preserve">, such Lender shall designate a different lending office if such designation will avoid the need for giving such notice and will not, in the sole reasonable judgment of such Lender, be otherwise materially disadvantageous to such Lender. Upon receipt of such notice, notwithstanding anything contained in </w:t>
      </w:r>
      <w:r>
        <w:rPr>
          <w:rFonts w:ascii="Times New Roman" w:cs="Times New Roman" w:eastAsia="Times New Roman" w:hAnsi="Times New Roman"/>
          <w:sz w:val="20"/>
          <w:szCs w:val="20"/>
          <w:u w:val="single" w:color="auto"/>
          <w:color w:val="231F20"/>
        </w:rPr>
        <w:t>Article II</w:t>
      </w:r>
      <w:r>
        <w:rPr>
          <w:rFonts w:ascii="Times New Roman" w:cs="Times New Roman" w:eastAsia="Times New Roman" w:hAnsi="Times New Roman"/>
          <w:sz w:val="20"/>
          <w:szCs w:val="20"/>
          <w:color w:val="231F20"/>
        </w:rPr>
        <w:t>, the Borrower shall repay in full the then outstanding principal amount of such Lender’s portion of each affected Term SOFR Loan, together with accrued interest thereon, on either</w:t>
      </w:r>
    </w:p>
    <w:p>
      <w:pPr>
        <w:spacing w:after="0" w:line="6" w:lineRule="exact"/>
        <w:rPr>
          <w:rFonts w:ascii="Times New Roman" w:cs="Times New Roman" w:eastAsia="Times New Roman" w:hAnsi="Times New Roman"/>
          <w:sz w:val="20"/>
          <w:szCs w:val="20"/>
          <w:color w:val="231F20"/>
        </w:rPr>
      </w:pPr>
    </w:p>
    <w:p>
      <w:pPr>
        <w:ind w:left="740" w:right="60" w:hanging="3"/>
        <w:spacing w:after="0" w:line="239" w:lineRule="auto"/>
        <w:tabs>
          <w:tab w:leader="none" w:pos="998" w:val="left"/>
        </w:tabs>
        <w:numPr>
          <w:ilvl w:val="0"/>
          <w:numId w:val="1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last day of the then current Interest Period applicable to such affected Term SOFR Loans if such Lender may lawfully continue to maintain and fund its portion of such Term SOFR Loan to such day or</w:t>
      </w:r>
    </w:p>
    <w:p>
      <w:pPr>
        <w:jc w:val="both"/>
        <w:ind w:left="740" w:right="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(ii)immediately if such Lender may not lawfully continue to fund and maintain its portion of such affected Term SOFR Loans to such day. Concurrently with repaying such portion of each affected Term SOFR Loan, the Borrower may borrow an ABR Loan from such Lender, whether or not it would have been entitled to effect such borrowing and such Lender shall make such Loan, if so requested, in an amount such that the outstanding principal amount of the affected Loan made by such Lender shall equal the outstanding principal amount of such Loan immediately prior to such repayment. The obligation of such Lender to make Term SOFR Loans is suspended only until such time as it is once more possible and legal for such Lender to fund and maintain Term SOFR Loans.</w:t>
      </w:r>
    </w:p>
    <w:p>
      <w:pPr>
        <w:spacing w:after="0" w:line="191"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2.15</w:t>
      </w:r>
      <w:r>
        <w:rPr>
          <w:sz w:val="20"/>
          <w:szCs w:val="20"/>
          <w:color w:val="auto"/>
        </w:rPr>
        <w:tab/>
      </w:r>
      <w:r>
        <w:rPr>
          <w:rFonts w:ascii="Times New Roman" w:cs="Times New Roman" w:eastAsia="Times New Roman" w:hAnsi="Times New Roman"/>
          <w:sz w:val="19"/>
          <w:szCs w:val="19"/>
          <w:u w:val="single" w:color="auto"/>
          <w:color w:val="231F20"/>
        </w:rPr>
        <w:t>Increased Costs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ind w:left="2240" w:hanging="755"/>
        <w:spacing w:after="0"/>
        <w:tabs>
          <w:tab w:leader="none" w:pos="2240" w:val="left"/>
        </w:tabs>
        <w:numPr>
          <w:ilvl w:val="0"/>
          <w:numId w:val="1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any Change in Law shall:</w:t>
      </w:r>
    </w:p>
    <w:p>
      <w:pPr>
        <w:spacing w:after="0" w:line="215" w:lineRule="exact"/>
        <w:rPr>
          <w:rFonts w:ascii="Times New Roman" w:cs="Times New Roman" w:eastAsia="Times New Roman" w:hAnsi="Times New Roman"/>
          <w:sz w:val="20"/>
          <w:szCs w:val="20"/>
          <w:color w:val="231F20"/>
        </w:rPr>
      </w:pPr>
    </w:p>
    <w:p>
      <w:pPr>
        <w:jc w:val="both"/>
        <w:ind w:left="2240" w:right="20" w:firstLine="1492"/>
        <w:spacing w:after="0" w:line="254" w:lineRule="auto"/>
        <w:tabs>
          <w:tab w:leader="none" w:pos="4053" w:val="left"/>
        </w:tabs>
        <w:numPr>
          <w:ilvl w:val="1"/>
          <w:numId w:val="1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impose, modify or deem applicable any reserve, special deposit, liquidity or similar requirement (including any compulsory loan requirement, insurance charge or other assessment) against assets of, deposits with or for the account of, or credit extended by, any Lender or any Issuing Bank;</w:t>
      </w:r>
    </w:p>
    <w:p>
      <w:pPr>
        <w:spacing w:after="0" w:line="174" w:lineRule="exact"/>
        <w:rPr>
          <w:rFonts w:ascii="Times New Roman" w:cs="Times New Roman" w:eastAsia="Times New Roman" w:hAnsi="Times New Roman"/>
          <w:sz w:val="20"/>
          <w:szCs w:val="20"/>
          <w:color w:val="231F20"/>
        </w:rPr>
      </w:pPr>
    </w:p>
    <w:p>
      <w:pPr>
        <w:jc w:val="both"/>
        <w:ind w:left="2240" w:right="40" w:firstLine="1492"/>
        <w:spacing w:after="0" w:line="254" w:lineRule="auto"/>
        <w:tabs>
          <w:tab w:leader="none" w:pos="4051" w:val="left"/>
        </w:tabs>
        <w:numPr>
          <w:ilvl w:val="1"/>
          <w:numId w:val="1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impose on any Lender or any Issuing Bank or the applicable interbank market any other condition, cost or expense affecting this Agreement or Term SOFR Loans made by such Lender or any Letter of Credit or participation therein; or</w:t>
      </w:r>
    </w:p>
    <w:p>
      <w:pPr>
        <w:spacing w:after="0" w:line="174" w:lineRule="exact"/>
        <w:rPr>
          <w:sz w:val="20"/>
          <w:szCs w:val="20"/>
          <w:color w:val="auto"/>
        </w:rPr>
      </w:pPr>
    </w:p>
    <w:p>
      <w:pPr>
        <w:jc w:val="both"/>
        <w:ind w:left="2240" w:right="40" w:firstLine="1498"/>
        <w:spacing w:after="0" w:line="249" w:lineRule="auto"/>
        <w:rPr>
          <w:sz w:val="20"/>
          <w:szCs w:val="20"/>
          <w:color w:val="auto"/>
        </w:rPr>
      </w:pPr>
      <w:r>
        <w:rPr>
          <w:rFonts w:ascii="Times New Roman" w:cs="Times New Roman" w:eastAsia="Times New Roman" w:hAnsi="Times New Roman"/>
          <w:sz w:val="20"/>
          <w:szCs w:val="20"/>
          <w:color w:val="231F20"/>
        </w:rPr>
        <w:t>(iii)subject any Recipient to any Taxes (other than (A) Indemnified Taxes, (B) Taxes described in clauses (b) through (d) of Excluded Taxes and (C) Connection Income Taxes) on its loans, loan principal, letters of credit, commitments, or other obligations, or its deposits, reserves, other liabilities or capital attributable thereto;</w:t>
      </w:r>
    </w:p>
    <w:p>
      <w:pPr>
        <w:spacing w:after="0" w:line="180" w:lineRule="exact"/>
        <w:rPr>
          <w:sz w:val="20"/>
          <w:szCs w:val="20"/>
          <w:color w:val="auto"/>
        </w:rPr>
      </w:pPr>
    </w:p>
    <w:p>
      <w:pPr>
        <w:jc w:val="both"/>
        <w:ind w:left="740"/>
        <w:spacing w:after="0" w:line="246" w:lineRule="auto"/>
        <w:rPr>
          <w:sz w:val="20"/>
          <w:szCs w:val="20"/>
          <w:color w:val="auto"/>
        </w:rPr>
      </w:pPr>
      <w:r>
        <w:rPr>
          <w:rFonts w:ascii="Times New Roman" w:cs="Times New Roman" w:eastAsia="Times New Roman" w:hAnsi="Times New Roman"/>
          <w:sz w:val="20"/>
          <w:szCs w:val="20"/>
          <w:color w:val="231F20"/>
        </w:rPr>
        <w:t>and the result of any of the foregoing shall be to increase the cost to such Lender or such other Recipient of making, continuing, converting into or maintaining any Term SOFR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such additional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91" w:name="page192"/>
    <w:bookmarkEnd w:id="191"/>
    <w:p>
      <w:pPr>
        <w:ind w:left="740"/>
        <w:spacing w:after="0" w:line="269" w:lineRule="auto"/>
        <w:rPr>
          <w:sz w:val="20"/>
          <w:szCs w:val="20"/>
          <w:color w:val="auto"/>
        </w:rPr>
      </w:pPr>
      <w:r>
        <w:rPr>
          <w:rFonts w:ascii="Times New Roman" w:cs="Times New Roman" w:eastAsia="Times New Roman" w:hAnsi="Times New Roman"/>
          <w:sz w:val="20"/>
          <w:szCs w:val="20"/>
          <w:color w:val="231F20"/>
        </w:rPr>
        <w:t>amount or amounts as will compensate such Lender or such Issuing Bank, as the case may be, for such additional costs incurred or reduction suffered.</w:t>
      </w:r>
    </w:p>
    <w:p>
      <w:pPr>
        <w:spacing w:after="0" w:line="159" w:lineRule="exact"/>
        <w:rPr>
          <w:sz w:val="20"/>
          <w:szCs w:val="20"/>
          <w:color w:val="auto"/>
        </w:rPr>
      </w:pPr>
    </w:p>
    <w:p>
      <w:pPr>
        <w:jc w:val="both"/>
        <w:ind w:left="740" w:right="240" w:firstLine="745"/>
        <w:spacing w:after="0" w:line="242" w:lineRule="auto"/>
        <w:tabs>
          <w:tab w:leader="none" w:pos="2008" w:val="left"/>
        </w:tabs>
        <w:numPr>
          <w:ilvl w:val="0"/>
          <w:numId w:val="1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or liquidity),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92" w:lineRule="exact"/>
        <w:rPr>
          <w:rFonts w:ascii="Times New Roman" w:cs="Times New Roman" w:eastAsia="Times New Roman" w:hAnsi="Times New Roman"/>
          <w:sz w:val="20"/>
          <w:szCs w:val="20"/>
          <w:color w:val="231F20"/>
        </w:rPr>
      </w:pPr>
    </w:p>
    <w:p>
      <w:pPr>
        <w:jc w:val="both"/>
        <w:ind w:left="740" w:right="300" w:firstLine="745"/>
        <w:spacing w:after="0" w:line="246" w:lineRule="auto"/>
        <w:tabs>
          <w:tab w:leader="none" w:pos="2005" w:val="left"/>
        </w:tabs>
        <w:numPr>
          <w:ilvl w:val="0"/>
          <w:numId w:val="1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 certificate of a Lender or the applicable Issuing Bank setting forth the amount or amounts necessary to compensate such Lender or such Issuing Bank or its holding company, as the case may be, as specified in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(b)</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2.15</w:t>
      </w:r>
      <w:r>
        <w:rPr>
          <w:rFonts w:ascii="Times New Roman" w:cs="Times New Roman" w:eastAsia="Times New Roman" w:hAnsi="Times New Roman"/>
          <w:sz w:val="20"/>
          <w:szCs w:val="20"/>
          <w:color w:val="231F20"/>
        </w:rPr>
        <w:t xml:space="preserve"> shall be delivered to the Borrower and shall be conclusive absent manifest error. The Borrower shall pay such Lender or such Issuing Bank, as the case may be, the amount shown as due on any such certificate within ten (10) days after receipt thereof.</w:t>
      </w:r>
    </w:p>
    <w:p>
      <w:pPr>
        <w:spacing w:after="0" w:line="184" w:lineRule="exact"/>
        <w:rPr>
          <w:rFonts w:ascii="Times New Roman" w:cs="Times New Roman" w:eastAsia="Times New Roman" w:hAnsi="Times New Roman"/>
          <w:sz w:val="20"/>
          <w:szCs w:val="20"/>
          <w:color w:val="231F20"/>
        </w:rPr>
      </w:pPr>
    </w:p>
    <w:p>
      <w:pPr>
        <w:ind w:left="2000" w:hanging="515"/>
        <w:spacing w:after="0"/>
        <w:tabs>
          <w:tab w:leader="none" w:pos="2000" w:val="left"/>
        </w:tabs>
        <w:numPr>
          <w:ilvl w:val="0"/>
          <w:numId w:val="1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Failure or delay on the part of any Lender or any Issuing Bank to demand compensation pursuant to </w:t>
      </w:r>
      <w:r>
        <w:rPr>
          <w:rFonts w:ascii="Times New Roman" w:cs="Times New Roman" w:eastAsia="Times New Roman" w:hAnsi="Times New Roman"/>
          <w:sz w:val="20"/>
          <w:szCs w:val="20"/>
          <w:u w:val="single" w:color="auto"/>
          <w:color w:val="231F20"/>
        </w:rPr>
        <w:t>clauses</w:t>
      </w:r>
    </w:p>
    <w:p>
      <w:pPr>
        <w:spacing w:after="0" w:line="21" w:lineRule="exact"/>
        <w:rPr>
          <w:rFonts w:ascii="Times New Roman" w:cs="Times New Roman" w:eastAsia="Times New Roman" w:hAnsi="Times New Roman"/>
          <w:sz w:val="20"/>
          <w:szCs w:val="20"/>
          <w:color w:val="231F20"/>
        </w:rPr>
      </w:pPr>
    </w:p>
    <w:p>
      <w:pPr>
        <w:jc w:val="both"/>
        <w:ind w:left="740" w:right="2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(b)</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(c)</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2.15</w:t>
      </w:r>
      <w:r>
        <w:rPr>
          <w:rFonts w:ascii="Times New Roman" w:cs="Times New Roman" w:eastAsia="Times New Roman" w:hAnsi="Times New Roman"/>
          <w:sz w:val="20"/>
          <w:szCs w:val="20"/>
          <w:color w:val="231F20"/>
        </w:rPr>
        <w:t xml:space="preserve"> shall not constitute a waiver of such Lender’s or such Issuing Bank’s right to demand such compensation;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the Borrower shall not be required to compensate a Lender or an Issuing Bank pursuant to this </w:t>
      </w:r>
      <w:r>
        <w:rPr>
          <w:rFonts w:ascii="Times New Roman" w:cs="Times New Roman" w:eastAsia="Times New Roman" w:hAnsi="Times New Roman"/>
          <w:sz w:val="20"/>
          <w:szCs w:val="20"/>
          <w:u w:val="single" w:color="auto"/>
          <w:color w:val="231F20"/>
        </w:rPr>
        <w:t>Section 2.15</w:t>
      </w:r>
      <w:r>
        <w:rPr>
          <w:rFonts w:ascii="Times New Roman" w:cs="Times New Roman" w:eastAsia="Times New Roman" w:hAnsi="Times New Roman"/>
          <w:sz w:val="20"/>
          <w:szCs w:val="20"/>
          <w:color w:val="231F20"/>
        </w:rPr>
        <w:t xml:space="preserve">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20"/>
          <w:szCs w:val="20"/>
          <w:u w:val="single" w:color="auto"/>
          <w:color w:val="231F20"/>
        </w:rPr>
        <w:t>provided further</w:t>
      </w:r>
      <w:r>
        <w:rPr>
          <w:rFonts w:ascii="Times New Roman" w:cs="Times New Roman" w:eastAsia="Times New Roman" w:hAnsi="Times New Roman"/>
          <w:sz w:val="20"/>
          <w:szCs w:val="20"/>
          <w:color w:val="231F20"/>
        </w:rPr>
        <w:t xml:space="preserve"> that, if the Change in Law giving rise to such increased costs or reductions is retroactive, then the 180-day period referred to above shall be extended to include the period of retroactive effect thereof.</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291" w:right="479" w:bottom="1440" w:gutter="0" w:footer="0" w:header="0"/>
        </w:sectPr>
      </w:pPr>
    </w:p>
    <w:bookmarkStart w:id="192" w:name="page193"/>
    <w:bookmarkEnd w:id="192"/>
    <w:p>
      <w:pPr>
        <w:jc w:val="both"/>
        <w:ind w:left="740" w:right="40" w:firstLine="749"/>
        <w:spacing w:after="0" w:line="241" w:lineRule="auto"/>
        <w:rPr>
          <w:sz w:val="20"/>
          <w:szCs w:val="20"/>
          <w:color w:val="auto"/>
        </w:rPr>
      </w:pPr>
      <w:r>
        <w:rPr>
          <w:rFonts w:ascii="Times New Roman" w:cs="Times New Roman" w:eastAsia="Times New Roman" w:hAnsi="Times New Roman"/>
          <w:sz w:val="20"/>
          <w:szCs w:val="20"/>
          <w:color w:val="231F20"/>
        </w:rPr>
        <w:t xml:space="preserve">SECTION 2.16 </w:t>
      </w:r>
      <w:r>
        <w:rPr>
          <w:rFonts w:ascii="Times New Roman" w:cs="Times New Roman" w:eastAsia="Times New Roman" w:hAnsi="Times New Roman"/>
          <w:sz w:val="20"/>
          <w:szCs w:val="20"/>
          <w:u w:val="single" w:color="auto"/>
          <w:color w:val="231F20"/>
        </w:rPr>
        <w:t>Break Funding Payments</w:t>
      </w:r>
      <w:r>
        <w:rPr>
          <w:rFonts w:ascii="Times New Roman" w:cs="Times New Roman" w:eastAsia="Times New Roman" w:hAnsi="Times New Roman"/>
          <w:sz w:val="20"/>
          <w:szCs w:val="20"/>
          <w:color w:val="231F20"/>
        </w:rPr>
        <w:t xml:space="preserve">. In the event of (a) the payment of any principal of any Term SOFR Loan other than on the last day of an Interest Period applicable thereto (including as a result of an Event of Default), (b) the conversion of any Term SOFR Loan other than on the last day of the Interest Period applicable thereto, (c) the failure to borrow, convert, continue or prepay any Term SOFR Loan on the date specified in any notice delivered pursuant hereto (regardless of whether such notice may be revoked under </w:t>
      </w:r>
      <w:r>
        <w:rPr>
          <w:rFonts w:ascii="Times New Roman" w:cs="Times New Roman" w:eastAsia="Times New Roman" w:hAnsi="Times New Roman"/>
          <w:sz w:val="20"/>
          <w:szCs w:val="20"/>
          <w:u w:val="single" w:color="auto"/>
          <w:color w:val="231F20"/>
        </w:rPr>
        <w:t>Section 2.09(d)</w:t>
      </w:r>
      <w:r>
        <w:rPr>
          <w:rFonts w:ascii="Times New Roman" w:cs="Times New Roman" w:eastAsia="Times New Roman" w:hAnsi="Times New Roman"/>
          <w:sz w:val="20"/>
          <w:szCs w:val="20"/>
          <w:color w:val="231F20"/>
        </w:rPr>
        <w:t xml:space="preserve"> and is revoked in accordance therewith), or (d) the assignment of any Term SOFR Loan other than on the last day of the Interest Period applicable thereto as a result of a request by the Borrower pursuant to </w:t>
      </w:r>
      <w:r>
        <w:rPr>
          <w:rFonts w:ascii="Times New Roman" w:cs="Times New Roman" w:eastAsia="Times New Roman" w:hAnsi="Times New Roman"/>
          <w:sz w:val="20"/>
          <w:szCs w:val="20"/>
          <w:u w:val="single" w:color="auto"/>
          <w:color w:val="231F20"/>
        </w:rPr>
        <w:t>Section 2.19</w:t>
      </w:r>
      <w:r>
        <w:rPr>
          <w:rFonts w:ascii="Times New Roman" w:cs="Times New Roman" w:eastAsia="Times New Roman" w:hAnsi="Times New Roman"/>
          <w:sz w:val="20"/>
          <w:szCs w:val="20"/>
          <w:color w:val="231F20"/>
        </w:rPr>
        <w:t>, then, in any such event, the Borrower shall compensate each Lender for the loss, cost and expense attributable to such event (which shall not include any loss of margin or Applicable Rate). In the case of Term SOFR Loan, such loss, cost or expense to any Lender shall be deemed to include an amount determined by such Lender to be the excess, if any, of</w:t>
      </w:r>
    </w:p>
    <w:p>
      <w:pPr>
        <w:spacing w:after="0" w:line="8" w:lineRule="exact"/>
        <w:rPr>
          <w:sz w:val="20"/>
          <w:szCs w:val="20"/>
          <w:color w:val="auto"/>
        </w:rPr>
      </w:pPr>
    </w:p>
    <w:p>
      <w:pPr>
        <w:ind w:left="740" w:right="80" w:hanging="3"/>
        <w:spacing w:after="0"/>
        <w:tabs>
          <w:tab w:leader="none" w:pos="976" w:val="left"/>
        </w:tabs>
        <w:numPr>
          <w:ilvl w:val="0"/>
          <w:numId w:val="1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amount of interest which would have accrued on the principal amount of such Loan had such event not occurred, at Adjusted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(as reasonably determined by such Lender) which would accrue on such principal amount for such period at the interest rate which such Lender would bid were it to bid, at the commencement of such period, for dollar deposits of a comparable amount and period from other banks in the applicable market arising from the liquidation or redeployment of funds or from any fees payable. A certificate of any Lender setting forth, in reasonable detail, any amount or amounts that such Lender is entitled to receive pursuant to this </w:t>
      </w:r>
      <w:r>
        <w:rPr>
          <w:rFonts w:ascii="Times New Roman" w:cs="Times New Roman" w:eastAsia="Times New Roman" w:hAnsi="Times New Roman"/>
          <w:sz w:val="20"/>
          <w:szCs w:val="20"/>
          <w:u w:val="single" w:color="auto"/>
          <w:color w:val="231F20"/>
        </w:rPr>
        <w:t>Section 2.16</w:t>
      </w:r>
      <w:r>
        <w:rPr>
          <w:rFonts w:ascii="Times New Roman" w:cs="Times New Roman" w:eastAsia="Times New Roman" w:hAnsi="Times New Roman"/>
          <w:sz w:val="20"/>
          <w:szCs w:val="20"/>
          <w:color w:val="231F20"/>
        </w:rPr>
        <w:t xml:space="preserve"> shall be delivered to the Borrower and shall be conclusive absent manifest error. The Borrower shall pay such Lender the amount shown as due on any such certificate within ten (10) days after receipt thereof.</w:t>
      </w:r>
    </w:p>
    <w:p>
      <w:pPr>
        <w:spacing w:after="0" w:line="189"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2.17</w:t>
      </w:r>
      <w:r>
        <w:rPr>
          <w:sz w:val="20"/>
          <w:szCs w:val="20"/>
          <w:color w:val="auto"/>
        </w:rPr>
        <w:tab/>
      </w:r>
      <w:r>
        <w:rPr>
          <w:rFonts w:ascii="Times New Roman" w:cs="Times New Roman" w:eastAsia="Times New Roman" w:hAnsi="Times New Roman"/>
          <w:sz w:val="19"/>
          <w:szCs w:val="19"/>
          <w:u w:val="single" w:color="auto"/>
          <w:color w:val="231F20"/>
        </w:rPr>
        <w:t>Withholding of Taxes; Gross-Up</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firstLine="745"/>
        <w:spacing w:after="0" w:line="257" w:lineRule="auto"/>
        <w:tabs>
          <w:tab w:leader="none" w:pos="2008" w:val="left"/>
        </w:tabs>
        <w:numPr>
          <w:ilvl w:val="0"/>
          <w:numId w:val="12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Payments Free of Taxes</w:t>
      </w:r>
      <w:r>
        <w:rPr>
          <w:rFonts w:ascii="Times New Roman" w:cs="Times New Roman" w:eastAsia="Times New Roman" w:hAnsi="Times New Roman"/>
          <w:sz w:val="19"/>
          <w:szCs w:val="19"/>
          <w:color w:val="231F20"/>
        </w:rPr>
        <w:t xml:space="preserve">. Any and all payments by or on account of any obligation of any Loan Party under any Loan Document shall be made free and clear of and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such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9"/>
          <w:szCs w:val="19"/>
          <w:u w:val="single" w:color="auto"/>
          <w:color w:val="231F20"/>
        </w:rPr>
        <w:t>Section 2.17</w:t>
      </w:r>
      <w:r>
        <w:rPr>
          <w:rFonts w:ascii="Times New Roman" w:cs="Times New Roman" w:eastAsia="Times New Roman" w:hAnsi="Times New Roman"/>
          <w:sz w:val="19"/>
          <w:szCs w:val="19"/>
          <w:color w:val="231F20"/>
        </w:rPr>
        <w:t>) the applicable Recipient receives an amount equal to the sum it would have received had no such deduction or withholding been made.</w:t>
      </w:r>
    </w:p>
    <w:p>
      <w:pPr>
        <w:spacing w:after="0" w:line="175" w:lineRule="exact"/>
        <w:rPr>
          <w:rFonts w:ascii="Times New Roman" w:cs="Times New Roman" w:eastAsia="Times New Roman" w:hAnsi="Times New Roman"/>
          <w:sz w:val="19"/>
          <w:szCs w:val="19"/>
          <w:color w:val="231F20"/>
        </w:rPr>
      </w:pPr>
    </w:p>
    <w:p>
      <w:pPr>
        <w:jc w:val="both"/>
        <w:ind w:left="740" w:right="60" w:firstLine="745"/>
        <w:spacing w:after="0" w:line="295" w:lineRule="auto"/>
        <w:tabs>
          <w:tab w:leader="none" w:pos="2005" w:val="left"/>
        </w:tabs>
        <w:numPr>
          <w:ilvl w:val="0"/>
          <w:numId w:val="12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Payment of Other Taxes by the Loan Parties</w:t>
      </w:r>
      <w:r>
        <w:rPr>
          <w:rFonts w:ascii="Times New Roman" w:cs="Times New Roman" w:eastAsia="Times New Roman" w:hAnsi="Times New Roman"/>
          <w:sz w:val="19"/>
          <w:szCs w:val="19"/>
          <w:color w:val="231F20"/>
        </w:rPr>
        <w:t>. The Loan Parties shall timely pay to the relevant Governmental Authority in accordance with applicable law, or at the option of the Administrative Agent timely reimburse it for, Other Taxes.</w:t>
      </w:r>
    </w:p>
    <w:p>
      <w:pPr>
        <w:spacing w:after="0" w:line="137" w:lineRule="exact"/>
        <w:rPr>
          <w:rFonts w:ascii="Times New Roman" w:cs="Times New Roman" w:eastAsia="Times New Roman" w:hAnsi="Times New Roman"/>
          <w:sz w:val="19"/>
          <w:szCs w:val="19"/>
          <w:color w:val="231F20"/>
        </w:rPr>
      </w:pPr>
    </w:p>
    <w:p>
      <w:pPr>
        <w:jc w:val="both"/>
        <w:ind w:left="740" w:right="60" w:firstLine="745"/>
        <w:spacing w:after="0" w:line="249" w:lineRule="auto"/>
        <w:tabs>
          <w:tab w:leader="none" w:pos="2005" w:val="left"/>
        </w:tabs>
        <w:numPr>
          <w:ilvl w:val="0"/>
          <w:numId w:val="1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Evidence of Payment</w:t>
      </w:r>
      <w:r>
        <w:rPr>
          <w:rFonts w:ascii="Times New Roman" w:cs="Times New Roman" w:eastAsia="Times New Roman" w:hAnsi="Times New Roman"/>
          <w:sz w:val="20"/>
          <w:szCs w:val="20"/>
          <w:color w:val="231F20"/>
        </w:rPr>
        <w:t xml:space="preserve">. As soon as practicable after any payment of Taxes by any Loan Party to a Governmental Authority pursuant to this </w:t>
      </w:r>
      <w:r>
        <w:rPr>
          <w:rFonts w:ascii="Times New Roman" w:cs="Times New Roman" w:eastAsia="Times New Roman" w:hAnsi="Times New Roman"/>
          <w:sz w:val="20"/>
          <w:szCs w:val="20"/>
          <w:u w:val="single" w:color="auto"/>
          <w:color w:val="231F20"/>
        </w:rPr>
        <w:t>Section 2.17</w:t>
      </w:r>
      <w:r>
        <w:rPr>
          <w:rFonts w:ascii="Times New Roman" w:cs="Times New Roman" w:eastAsia="Times New Roman" w:hAnsi="Times New Roman"/>
          <w:sz w:val="20"/>
          <w:szCs w:val="20"/>
          <w:color w:val="231F20"/>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20"/>
          <w:szCs w:val="20"/>
          <w:color w:val="231F20"/>
        </w:rPr>
      </w:pPr>
    </w:p>
    <w:p>
      <w:pPr>
        <w:jc w:val="both"/>
        <w:ind w:left="740" w:right="20" w:firstLine="746"/>
        <w:spacing w:after="0" w:line="249" w:lineRule="auto"/>
        <w:tabs>
          <w:tab w:leader="none" w:pos="2007" w:val="left"/>
        </w:tabs>
        <w:numPr>
          <w:ilvl w:val="0"/>
          <w:numId w:val="1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Indemnification by the Loan Parties</w:t>
      </w:r>
      <w:r>
        <w:rPr>
          <w:rFonts w:ascii="Times New Roman" w:cs="Times New Roman" w:eastAsia="Times New Roman" w:hAnsi="Times New Roman"/>
          <w:sz w:val="20"/>
          <w:szCs w:val="20"/>
          <w:color w:val="231F20"/>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231F20"/>
        </w:rPr>
        <w:t>Section 2.17</w:t>
      </w:r>
      <w:r>
        <w:rPr>
          <w:rFonts w:ascii="Times New Roman" w:cs="Times New Roman" w:eastAsia="Times New Roman" w:hAnsi="Times New Roman"/>
          <w:sz w:val="20"/>
          <w:szCs w:val="20"/>
          <w:color w:val="231F20"/>
        </w:rPr>
        <w:t>) payable or paid by such Recipient or required to be withheld or deducted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93" w:name="page194"/>
    <w:bookmarkEnd w:id="193"/>
    <w:p>
      <w:pPr>
        <w:jc w:val="both"/>
        <w:ind w:left="740" w:right="60"/>
        <w:spacing w:after="0" w:line="249" w:lineRule="auto"/>
        <w:rPr>
          <w:sz w:val="20"/>
          <w:szCs w:val="20"/>
          <w:color w:val="auto"/>
        </w:rPr>
      </w:pPr>
      <w:r>
        <w:rPr>
          <w:rFonts w:ascii="Times New Roman" w:cs="Times New Roman" w:eastAsia="Times New Roman" w:hAnsi="Times New Roman"/>
          <w:sz w:val="20"/>
          <w:szCs w:val="20"/>
          <w:color w:val="231F20"/>
        </w:rPr>
        <w:t>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80" w:lineRule="exact"/>
        <w:rPr>
          <w:sz w:val="20"/>
          <w:szCs w:val="20"/>
          <w:color w:val="auto"/>
        </w:rPr>
      </w:pPr>
    </w:p>
    <w:p>
      <w:pPr>
        <w:ind w:left="2000" w:hanging="515"/>
        <w:spacing w:after="0"/>
        <w:tabs>
          <w:tab w:leader="none" w:pos="2000" w:val="left"/>
        </w:tabs>
        <w:numPr>
          <w:ilvl w:val="1"/>
          <w:numId w:val="1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Indemnification by the Lenders</w:t>
      </w:r>
      <w:r>
        <w:rPr>
          <w:rFonts w:ascii="Times New Roman" w:cs="Times New Roman" w:eastAsia="Times New Roman" w:hAnsi="Times New Roman"/>
          <w:sz w:val="20"/>
          <w:szCs w:val="20"/>
          <w:color w:val="231F20"/>
        </w:rPr>
        <w:t>. Each Lender shall severally indemnify the Administrative Agent, within ten</w:t>
      </w:r>
    </w:p>
    <w:p>
      <w:pPr>
        <w:spacing w:after="0" w:line="21" w:lineRule="exact"/>
        <w:rPr>
          <w:rFonts w:ascii="Times New Roman" w:cs="Times New Roman" w:eastAsia="Times New Roman" w:hAnsi="Times New Roman"/>
          <w:sz w:val="20"/>
          <w:szCs w:val="20"/>
          <w:color w:val="231F20"/>
        </w:rPr>
      </w:pPr>
    </w:p>
    <w:p>
      <w:pPr>
        <w:jc w:val="both"/>
        <w:ind w:left="740" w:hanging="3"/>
        <w:spacing w:after="0"/>
        <w:tabs>
          <w:tab w:leader="none" w:pos="1122" w:val="left"/>
        </w:tabs>
        <w:numPr>
          <w:ilvl w:val="0"/>
          <w:numId w:val="1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20"/>
          <w:szCs w:val="20"/>
          <w:u w:val="single" w:color="auto"/>
          <w:color w:val="231F20"/>
        </w:rPr>
        <w:t>Section 9.04(c)</w:t>
      </w:r>
      <w:r>
        <w:rPr>
          <w:rFonts w:ascii="Times New Roman" w:cs="Times New Roman" w:eastAsia="Times New Roman" w:hAnsi="Times New Roman"/>
          <w:sz w:val="20"/>
          <w:szCs w:val="20"/>
          <w:color w:val="231F20"/>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w:t>
      </w:r>
      <w:r>
        <w:rPr>
          <w:rFonts w:ascii="Times New Roman" w:cs="Times New Roman" w:eastAsia="Times New Roman" w:hAnsi="Times New Roman"/>
          <w:sz w:val="20"/>
          <w:szCs w:val="20"/>
          <w:u w:val="single" w:color="auto"/>
          <w:color w:val="231F20"/>
        </w:rPr>
        <w:t>clause (e)</w:t>
      </w:r>
      <w:r>
        <w:rPr>
          <w:rFonts w:ascii="Times New Roman" w:cs="Times New Roman" w:eastAsia="Times New Roman" w:hAnsi="Times New Roman"/>
          <w:sz w:val="20"/>
          <w:szCs w:val="20"/>
          <w:color w:val="231F20"/>
        </w:rPr>
        <w:t>.</w:t>
      </w:r>
    </w:p>
    <w:p>
      <w:pPr>
        <w:spacing w:after="0" w:line="188" w:lineRule="exact"/>
        <w:rPr>
          <w:rFonts w:ascii="Times New Roman" w:cs="Times New Roman" w:eastAsia="Times New Roman" w:hAnsi="Times New Roman"/>
          <w:sz w:val="20"/>
          <w:szCs w:val="20"/>
          <w:color w:val="231F20"/>
        </w:rPr>
      </w:pPr>
    </w:p>
    <w:p>
      <w:pPr>
        <w:ind w:left="2240" w:hanging="755"/>
        <w:spacing w:after="0"/>
        <w:tabs>
          <w:tab w:leader="none" w:pos="2240" w:val="left"/>
        </w:tabs>
        <w:numPr>
          <w:ilvl w:val="1"/>
          <w:numId w:val="1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Status of Lenders</w:t>
      </w:r>
      <w:r>
        <w:rPr>
          <w:rFonts w:ascii="Times New Roman" w:cs="Times New Roman" w:eastAsia="Times New Roman" w:hAnsi="Times New Roman"/>
          <w:sz w:val="20"/>
          <w:szCs w:val="20"/>
          <w:color w:val="231F20"/>
        </w:rPr>
        <w:t>.</w:t>
      </w:r>
    </w:p>
    <w:p>
      <w:pPr>
        <w:spacing w:after="0" w:line="215" w:lineRule="exact"/>
        <w:rPr>
          <w:rFonts w:ascii="Times New Roman" w:cs="Times New Roman" w:eastAsia="Times New Roman" w:hAnsi="Times New Roman"/>
          <w:sz w:val="20"/>
          <w:szCs w:val="20"/>
          <w:color w:val="231F20"/>
        </w:rPr>
      </w:pPr>
    </w:p>
    <w:p>
      <w:pPr>
        <w:jc w:val="both"/>
        <w:ind w:left="2240" w:right="40" w:firstLine="1492"/>
        <w:spacing w:after="0" w:line="241" w:lineRule="auto"/>
        <w:tabs>
          <w:tab w:leader="none" w:pos="4051" w:val="left"/>
        </w:tabs>
        <w:numPr>
          <w:ilvl w:val="3"/>
          <w:numId w:val="1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Any Lender that is entitled to an exemption from or reduction of withholding Tax with respect to payments made under any Loan Document shall deliver to the Borrower and the Administrative Agent, at the time or times prescribed by applicable law and at the time or times reasonably requested by the Borrower or the Administrative Agent, such properly completed and executed documentation prescribed by applicable law or as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231F20"/>
        </w:rPr>
        <w:t>Section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2.17(f)(ii)(A)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(ii)(B)</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(ii)(D)</w:t>
      </w:r>
      <w:r>
        <w:rPr>
          <w:rFonts w:ascii="Times New Roman" w:cs="Times New Roman" w:eastAsia="Times New Roman" w:hAnsi="Times New Roman"/>
          <w:sz w:val="20"/>
          <w:szCs w:val="20"/>
          <w:color w:val="231F20"/>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Times New Roman" w:cs="Times New Roman" w:eastAsia="Times New Roman" w:hAnsi="Times New Roman"/>
          <w:sz w:val="20"/>
          <w:szCs w:val="20"/>
          <w:color w:val="231F20"/>
        </w:rPr>
      </w:pPr>
    </w:p>
    <w:p>
      <w:pPr>
        <w:ind w:left="4040" w:hanging="308"/>
        <w:spacing w:after="0"/>
        <w:tabs>
          <w:tab w:leader="none" w:pos="4040" w:val="left"/>
        </w:tabs>
        <w:numPr>
          <w:ilvl w:val="3"/>
          <w:numId w:val="1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Without limiting the generality of the foregoing, in the event that the Borrower is a</w:t>
      </w:r>
    </w:p>
    <w:p>
      <w:pPr>
        <w:spacing w:after="0" w:line="21" w:lineRule="exact"/>
        <w:rPr>
          <w:rFonts w:ascii="Times New Roman" w:cs="Times New Roman" w:eastAsia="Times New Roman" w:hAnsi="Times New Roman"/>
          <w:sz w:val="20"/>
          <w:szCs w:val="20"/>
          <w:color w:val="231F20"/>
        </w:rPr>
      </w:pPr>
    </w:p>
    <w:p>
      <w:pPr>
        <w:ind w:left="22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U.S. Person,</w:t>
      </w:r>
    </w:p>
    <w:p>
      <w:pPr>
        <w:spacing w:after="0" w:line="193" w:lineRule="exact"/>
        <w:rPr>
          <w:rFonts w:ascii="Times New Roman" w:cs="Times New Roman" w:eastAsia="Times New Roman" w:hAnsi="Times New Roman"/>
          <w:sz w:val="20"/>
          <w:szCs w:val="20"/>
          <w:color w:val="231F20"/>
        </w:rPr>
      </w:pPr>
    </w:p>
    <w:p>
      <w:pPr>
        <w:jc w:val="both"/>
        <w:ind w:left="2240" w:firstLine="743"/>
        <w:spacing w:after="0" w:line="266" w:lineRule="auto"/>
        <w:tabs>
          <w:tab w:leader="none" w:pos="3534" w:val="left"/>
        </w:tabs>
        <w:numPr>
          <w:ilvl w:val="2"/>
          <w:numId w:val="12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6" w:lineRule="exact"/>
        <w:rPr>
          <w:rFonts w:ascii="Times New Roman" w:cs="Times New Roman" w:eastAsia="Times New Roman" w:hAnsi="Times New Roman"/>
          <w:sz w:val="19"/>
          <w:szCs w:val="19"/>
          <w:color w:val="231F20"/>
        </w:rPr>
      </w:pPr>
    </w:p>
    <w:p>
      <w:pPr>
        <w:ind w:left="2240" w:right="40" w:firstLine="743"/>
        <w:spacing w:after="0" w:line="269" w:lineRule="auto"/>
        <w:tabs>
          <w:tab w:leader="none" w:pos="3531" w:val="left"/>
        </w:tabs>
        <w:numPr>
          <w:ilvl w:val="2"/>
          <w:numId w:val="1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Foreign Lender shall, to the extent it is legally entitled to do so, deliver to the Borrower and the Administrative Agent (in such number of copies as shall be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94" w:name="page195"/>
    <w:bookmarkEnd w:id="194"/>
    <w:p>
      <w:pPr>
        <w:jc w:val="both"/>
        <w:ind w:left="2240" w:right="40"/>
        <w:spacing w:after="0" w:line="254" w:lineRule="auto"/>
        <w:rPr>
          <w:sz w:val="20"/>
          <w:szCs w:val="20"/>
          <w:color w:val="auto"/>
        </w:rPr>
      </w:pPr>
      <w:r>
        <w:rPr>
          <w:rFonts w:ascii="Times New Roman" w:cs="Times New Roman" w:eastAsia="Times New Roman" w:hAnsi="Times New Roman"/>
          <w:sz w:val="20"/>
          <w:szCs w:val="20"/>
          <w:color w:val="231F20"/>
        </w:rPr>
        <w:t>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4" w:lineRule="exact"/>
        <w:rPr>
          <w:sz w:val="20"/>
          <w:szCs w:val="20"/>
          <w:color w:val="auto"/>
        </w:rPr>
      </w:pPr>
    </w:p>
    <w:p>
      <w:pPr>
        <w:jc w:val="both"/>
        <w:ind w:left="2980" w:firstLine="752"/>
        <w:spacing w:after="0" w:line="243" w:lineRule="auto"/>
        <w:tabs>
          <w:tab w:leader="none" w:pos="4043" w:val="left"/>
        </w:tabs>
        <w:numPr>
          <w:ilvl w:val="1"/>
          <w:numId w:val="1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89" w:lineRule="exact"/>
        <w:rPr>
          <w:rFonts w:ascii="Times New Roman" w:cs="Times New Roman" w:eastAsia="Times New Roman" w:hAnsi="Times New Roman"/>
          <w:sz w:val="20"/>
          <w:szCs w:val="20"/>
          <w:color w:val="231F20"/>
        </w:rPr>
      </w:pPr>
    </w:p>
    <w:p>
      <w:pPr>
        <w:ind w:left="2980" w:right="40" w:firstLine="752"/>
        <w:spacing w:after="0" w:line="269" w:lineRule="auto"/>
        <w:tabs>
          <w:tab w:leader="none" w:pos="4041" w:val="left"/>
        </w:tabs>
        <w:numPr>
          <w:ilvl w:val="1"/>
          <w:numId w:val="1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the case of a Foreign Lender claiming that its extension of credit will generate U.S. effectively connected income, executed originals of IRS Form W-8ECI;</w:t>
      </w:r>
    </w:p>
    <w:p>
      <w:pPr>
        <w:spacing w:after="0" w:line="159" w:lineRule="exact"/>
        <w:rPr>
          <w:rFonts w:ascii="Times New Roman" w:cs="Times New Roman" w:eastAsia="Times New Roman" w:hAnsi="Times New Roman"/>
          <w:sz w:val="20"/>
          <w:szCs w:val="20"/>
          <w:color w:val="231F20"/>
        </w:rPr>
      </w:pPr>
    </w:p>
    <w:p>
      <w:pPr>
        <w:jc w:val="both"/>
        <w:ind w:left="2980" w:firstLine="752"/>
        <w:spacing w:after="0" w:line="245" w:lineRule="auto"/>
        <w:tabs>
          <w:tab w:leader="none" w:pos="4043" w:val="left"/>
        </w:tabs>
        <w:numPr>
          <w:ilvl w:val="1"/>
          <w:numId w:val="1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231F20"/>
        </w:rPr>
        <w:t>Exhibit E-1</w:t>
      </w:r>
      <w:r>
        <w:rPr>
          <w:rFonts w:ascii="Times New Roman" w:cs="Times New Roman" w:eastAsia="Times New Roman" w:hAnsi="Times New Roman"/>
          <w:sz w:val="20"/>
          <w:szCs w:val="20"/>
          <w:color w:val="231F20"/>
        </w:rPr>
        <w:t xml:space="preserve"> to the effect that such Foreign Lender is not a “bank” within the meaning of Section 881(c)(3)(A) of the Code, a “10 percent shareholder” of the Borrower within the meaning of Section 871(h)(3)</w:t>
      </w:r>
    </w:p>
    <w:p>
      <w:pPr>
        <w:jc w:val="both"/>
        <w:ind w:left="2980" w:firstLine="3"/>
        <w:spacing w:after="0" w:line="242" w:lineRule="auto"/>
        <w:tabs>
          <w:tab w:leader="none" w:pos="3298" w:val="left"/>
        </w:tabs>
        <w:numPr>
          <w:ilvl w:val="0"/>
          <w:numId w:val="1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of the Code, or a “controlled foreign corporation” related to the Borrower described in Section 881(c)(3)(C) of the Code (a “</w:t>
      </w:r>
      <w:r>
        <w:rPr>
          <w:rFonts w:ascii="Times New Roman" w:cs="Times New Roman" w:eastAsia="Times New Roman" w:hAnsi="Times New Roman"/>
          <w:sz w:val="20"/>
          <w:szCs w:val="20"/>
          <w:u w:val="single" w:color="auto"/>
          <w:color w:val="231F20"/>
        </w:rPr>
        <w:t>U.S. Tax Compliance Certificate</w:t>
      </w:r>
      <w:r>
        <w:rPr>
          <w:rFonts w:ascii="Times New Roman" w:cs="Times New Roman" w:eastAsia="Times New Roman" w:hAnsi="Times New Roman"/>
          <w:sz w:val="20"/>
          <w:szCs w:val="20"/>
          <w:color w:val="231F20"/>
        </w:rPr>
        <w:t>”) and (y) executed originals of IRS Form W-8BEN or W-8BEN-E, as applicable; or</w:t>
      </w:r>
    </w:p>
    <w:p>
      <w:pPr>
        <w:spacing w:after="0" w:line="186" w:lineRule="exact"/>
        <w:rPr>
          <w:rFonts w:ascii="Times New Roman" w:cs="Times New Roman" w:eastAsia="Times New Roman" w:hAnsi="Times New Roman"/>
          <w:sz w:val="20"/>
          <w:szCs w:val="20"/>
          <w:color w:val="231F20"/>
        </w:rPr>
      </w:pPr>
    </w:p>
    <w:p>
      <w:pPr>
        <w:jc w:val="both"/>
        <w:ind w:left="2980" w:right="40" w:firstLine="752"/>
        <w:spacing w:after="0" w:line="243" w:lineRule="auto"/>
        <w:tabs>
          <w:tab w:leader="none" w:pos="4041" w:val="left"/>
        </w:tabs>
        <w:numPr>
          <w:ilvl w:val="1"/>
          <w:numId w:val="1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to the extent a Foreign Lender is not the Beneficial Owner, executed originals of IRS Form W-8IMY, accompanied by IRS Form W-8ECI, W-8BEN or W-8BEN-E, as applicable, a U.S. Tax Compliance Certificate substantially in the form of </w:t>
      </w:r>
      <w:r>
        <w:rPr>
          <w:rFonts w:ascii="Times New Roman" w:cs="Times New Roman" w:eastAsia="Times New Roman" w:hAnsi="Times New Roman"/>
          <w:sz w:val="20"/>
          <w:szCs w:val="20"/>
          <w:u w:val="single" w:color="auto"/>
          <w:color w:val="231F20"/>
        </w:rPr>
        <w:t>Exhibit E-2</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Exhibit E-3</w:t>
      </w:r>
      <w:r>
        <w:rPr>
          <w:rFonts w:ascii="Times New Roman" w:cs="Times New Roman" w:eastAsia="Times New Roman" w:hAnsi="Times New Roman"/>
          <w:sz w:val="20"/>
          <w:szCs w:val="20"/>
          <w:color w:val="231F20"/>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231F20"/>
        </w:rPr>
        <w:t>Exhibit E-4</w:t>
      </w:r>
      <w:r>
        <w:rPr>
          <w:rFonts w:ascii="Times New Roman" w:cs="Times New Roman" w:eastAsia="Times New Roman" w:hAnsi="Times New Roman"/>
          <w:sz w:val="20"/>
          <w:szCs w:val="20"/>
          <w:color w:val="231F20"/>
        </w:rPr>
        <w:t xml:space="preserve"> on behalf of each such direct and indirect partner;</w:t>
      </w:r>
    </w:p>
    <w:p>
      <w:pPr>
        <w:spacing w:after="0" w:line="189" w:lineRule="exact"/>
        <w:rPr>
          <w:rFonts w:ascii="Times New Roman" w:cs="Times New Roman" w:eastAsia="Times New Roman" w:hAnsi="Times New Roman"/>
          <w:sz w:val="20"/>
          <w:szCs w:val="20"/>
          <w:color w:val="231F20"/>
        </w:rPr>
      </w:pPr>
    </w:p>
    <w:p>
      <w:pPr>
        <w:jc w:val="both"/>
        <w:ind w:left="2240" w:right="40" w:firstLine="743"/>
        <w:spacing w:after="0" w:line="244" w:lineRule="auto"/>
        <w:tabs>
          <w:tab w:leader="none" w:pos="3531" w:val="left"/>
        </w:tabs>
        <w:numPr>
          <w:ilvl w:val="0"/>
          <w:numId w:val="1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95" w:name="page196"/>
    <w:bookmarkEnd w:id="195"/>
    <w:p>
      <w:pPr>
        <w:ind w:left="2240"/>
        <w:spacing w:after="0"/>
        <w:rPr>
          <w:sz w:val="20"/>
          <w:szCs w:val="20"/>
          <w:color w:val="auto"/>
        </w:rPr>
      </w:pPr>
      <w:r>
        <w:rPr>
          <w:rFonts w:ascii="Times New Roman" w:cs="Times New Roman" w:eastAsia="Times New Roman" w:hAnsi="Times New Roman"/>
          <w:sz w:val="20"/>
          <w:szCs w:val="20"/>
          <w:color w:val="231F20"/>
        </w:rPr>
        <w:t>Borrower or the Administrative Agent to determine the withholding or deduction required to be made; and</w:t>
      </w:r>
    </w:p>
    <w:p>
      <w:pPr>
        <w:spacing w:after="0" w:line="216" w:lineRule="exact"/>
        <w:rPr>
          <w:sz w:val="20"/>
          <w:szCs w:val="20"/>
          <w:color w:val="auto"/>
        </w:rPr>
      </w:pPr>
    </w:p>
    <w:p>
      <w:pPr>
        <w:jc w:val="both"/>
        <w:ind w:left="2240" w:firstLine="743"/>
        <w:spacing w:after="0" w:line="243" w:lineRule="auto"/>
        <w:tabs>
          <w:tab w:leader="none" w:pos="3534" w:val="left"/>
        </w:tabs>
        <w:numPr>
          <w:ilvl w:val="1"/>
          <w:numId w:val="1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1" w:lineRule="exact"/>
        <w:rPr>
          <w:rFonts w:ascii="Times New Roman" w:cs="Times New Roman" w:eastAsia="Times New Roman" w:hAnsi="Times New Roman"/>
          <w:sz w:val="20"/>
          <w:szCs w:val="20"/>
          <w:color w:val="231F20"/>
        </w:rPr>
      </w:pPr>
    </w:p>
    <w:p>
      <w:pPr>
        <w:jc w:val="both"/>
        <w:ind w:left="2240" w:hanging="6"/>
        <w:spacing w:after="0"/>
        <w:tabs>
          <w:tab w:leader="none" w:pos="2548" w:val="left"/>
        </w:tabs>
        <w:numPr>
          <w:ilvl w:val="0"/>
          <w:numId w:val="1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0"/>
          <w:szCs w:val="20"/>
          <w:u w:val="single" w:color="auto"/>
          <w:color w:val="231F20"/>
        </w:rPr>
        <w:t>clause (D)</w:t>
      </w:r>
      <w:r>
        <w:rPr>
          <w:rFonts w:ascii="Times New Roman" w:cs="Times New Roman" w:eastAsia="Times New Roman" w:hAnsi="Times New Roman"/>
          <w:sz w:val="20"/>
          <w:szCs w:val="20"/>
          <w:color w:val="231F20"/>
        </w:rPr>
        <w:t>, “FATCA” shall include any amendments made to FATCA after the date of this Agreement.</w:t>
      </w:r>
    </w:p>
    <w:p>
      <w:pPr>
        <w:spacing w:after="0" w:line="191" w:lineRule="exact"/>
        <w:rPr>
          <w:sz w:val="20"/>
          <w:szCs w:val="20"/>
          <w:color w:val="auto"/>
        </w:rPr>
      </w:pPr>
    </w:p>
    <w:p>
      <w:pPr>
        <w:jc w:val="both"/>
        <w:ind w:left="740" w:right="40" w:firstLine="749"/>
        <w:spacing w:after="0" w:line="254" w:lineRule="auto"/>
        <w:rPr>
          <w:sz w:val="20"/>
          <w:szCs w:val="20"/>
          <w:color w:val="auto"/>
        </w:rPr>
      </w:pPr>
      <w:r>
        <w:rPr>
          <w:rFonts w:ascii="Times New Roman" w:cs="Times New Roman" w:eastAsia="Times New Roman" w:hAnsi="Times New Roman"/>
          <w:sz w:val="20"/>
          <w:szCs w:val="20"/>
          <w:color w:val="231F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4" w:lineRule="exact"/>
        <w:rPr>
          <w:sz w:val="20"/>
          <w:szCs w:val="20"/>
          <w:color w:val="auto"/>
        </w:rPr>
      </w:pPr>
    </w:p>
    <w:p>
      <w:pPr>
        <w:jc w:val="both"/>
        <w:ind w:left="740" w:firstLine="745"/>
        <w:spacing w:after="0" w:line="241" w:lineRule="auto"/>
        <w:tabs>
          <w:tab w:leader="none" w:pos="2008" w:val="left"/>
        </w:tabs>
        <w:numPr>
          <w:ilvl w:val="0"/>
          <w:numId w:val="1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Treatment of Certain Refunds</w:t>
      </w:r>
      <w:r>
        <w:rPr>
          <w:rFonts w:ascii="Times New Roman" w:cs="Times New Roman" w:eastAsia="Times New Roman" w:hAnsi="Times New Roman"/>
          <w:sz w:val="20"/>
          <w:szCs w:val="20"/>
          <w:color w:val="231F20"/>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231F20"/>
        </w:rPr>
        <w:t>Section 2.17</w:t>
      </w:r>
      <w:r>
        <w:rPr>
          <w:rFonts w:ascii="Times New Roman" w:cs="Times New Roman" w:eastAsia="Times New Roman" w:hAnsi="Times New Roman"/>
          <w:sz w:val="20"/>
          <w:szCs w:val="20"/>
          <w:color w:val="231F20"/>
        </w:rPr>
        <w:t xml:space="preserve"> (including by the payment of additional amounts pursuant to this </w:t>
      </w:r>
      <w:r>
        <w:rPr>
          <w:rFonts w:ascii="Times New Roman" w:cs="Times New Roman" w:eastAsia="Times New Roman" w:hAnsi="Times New Roman"/>
          <w:sz w:val="20"/>
          <w:szCs w:val="20"/>
          <w:u w:val="single" w:color="auto"/>
          <w:color w:val="231F20"/>
        </w:rPr>
        <w:t>Section 2.17</w:t>
      </w:r>
      <w:r>
        <w:rPr>
          <w:rFonts w:ascii="Times New Roman" w:cs="Times New Roman" w:eastAsia="Times New Roman" w:hAnsi="Times New Roman"/>
          <w:sz w:val="20"/>
          <w:szCs w:val="20"/>
          <w:color w:val="231F20"/>
        </w:rPr>
        <w:t xml:space="preserve">), it shall pay to the indemnifying party an amount equal to such refund (but only to the extent of indemnity payments made under this </w:t>
      </w:r>
      <w:r>
        <w:rPr>
          <w:rFonts w:ascii="Times New Roman" w:cs="Times New Roman" w:eastAsia="Times New Roman" w:hAnsi="Times New Roman"/>
          <w:sz w:val="20"/>
          <w:szCs w:val="20"/>
          <w:u w:val="single" w:color="auto"/>
          <w:color w:val="231F20"/>
        </w:rPr>
        <w:t>Section 2.17</w:t>
      </w:r>
      <w:r>
        <w:rPr>
          <w:rFonts w:ascii="Times New Roman" w:cs="Times New Roman" w:eastAsia="Times New Roman" w:hAnsi="Times New Roman"/>
          <w:sz w:val="20"/>
          <w:szCs w:val="20"/>
          <w:color w:val="231F20"/>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231F20"/>
        </w:rPr>
        <w:t>clause (g)</w:t>
      </w:r>
      <w:r>
        <w:rPr>
          <w:rFonts w:ascii="Times New Roman" w:cs="Times New Roman" w:eastAsia="Times New Roman" w:hAnsi="Times New Roman"/>
          <w:sz w:val="20"/>
          <w:szCs w:val="20"/>
          <w:color w:val="231F20"/>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231F20"/>
        </w:rPr>
        <w:t>clause (g)</w:t>
      </w:r>
      <w:r>
        <w:rPr>
          <w:rFonts w:ascii="Times New Roman" w:cs="Times New Roman" w:eastAsia="Times New Roman" w:hAnsi="Times New Roman"/>
          <w:sz w:val="20"/>
          <w:szCs w:val="20"/>
          <w:color w:val="231F20"/>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231F20"/>
        </w:rPr>
        <w:t>clause (g)</w:t>
      </w:r>
      <w:r>
        <w:rPr>
          <w:rFonts w:ascii="Times New Roman" w:cs="Times New Roman" w:eastAsia="Times New Roman" w:hAnsi="Times New Roman"/>
          <w:sz w:val="20"/>
          <w:szCs w:val="20"/>
          <w:color w:val="231F20"/>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Tax had never been paid. This </w:t>
      </w:r>
      <w:r>
        <w:rPr>
          <w:rFonts w:ascii="Times New Roman" w:cs="Times New Roman" w:eastAsia="Times New Roman" w:hAnsi="Times New Roman"/>
          <w:sz w:val="20"/>
          <w:szCs w:val="20"/>
          <w:u w:val="single" w:color="auto"/>
          <w:color w:val="231F20"/>
        </w:rPr>
        <w:t>clause (g)</w:t>
      </w:r>
      <w:r>
        <w:rPr>
          <w:rFonts w:ascii="Times New Roman" w:cs="Times New Roman" w:eastAsia="Times New Roman" w:hAnsi="Times New Roman"/>
          <w:sz w:val="20"/>
          <w:szCs w:val="20"/>
          <w:color w:val="231F20"/>
        </w:rPr>
        <w:t xml:space="preserve"> shall not be construed to require any indemnified party to make available its Tax returns (or any other information relating to its Taxes that it deems confidential) to the indemnifying party or any other Person.</w:t>
      </w:r>
    </w:p>
    <w:p>
      <w:pPr>
        <w:spacing w:after="0" w:line="194" w:lineRule="exact"/>
        <w:rPr>
          <w:rFonts w:ascii="Times New Roman" w:cs="Times New Roman" w:eastAsia="Times New Roman" w:hAnsi="Times New Roman"/>
          <w:sz w:val="20"/>
          <w:szCs w:val="20"/>
          <w:color w:val="231F20"/>
        </w:rPr>
      </w:pPr>
    </w:p>
    <w:p>
      <w:pPr>
        <w:jc w:val="both"/>
        <w:ind w:left="740" w:firstLine="745"/>
        <w:spacing w:after="0" w:line="254" w:lineRule="auto"/>
        <w:tabs>
          <w:tab w:leader="none" w:pos="2008" w:val="left"/>
        </w:tabs>
        <w:numPr>
          <w:ilvl w:val="0"/>
          <w:numId w:val="1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Survival</w:t>
      </w:r>
      <w:r>
        <w:rPr>
          <w:rFonts w:ascii="Times New Roman" w:cs="Times New Roman" w:eastAsia="Times New Roman" w:hAnsi="Times New Roman"/>
          <w:sz w:val="20"/>
          <w:szCs w:val="20"/>
          <w:color w:val="231F20"/>
        </w:rPr>
        <w:t xml:space="preserve">. Each party’s obligations under this </w:t>
      </w:r>
      <w:r>
        <w:rPr>
          <w:rFonts w:ascii="Times New Roman" w:cs="Times New Roman" w:eastAsia="Times New Roman" w:hAnsi="Times New Roman"/>
          <w:sz w:val="20"/>
          <w:szCs w:val="20"/>
          <w:u w:val="single" w:color="auto"/>
          <w:color w:val="231F20"/>
        </w:rPr>
        <w:t>Section 2.17</w:t>
      </w:r>
      <w:r>
        <w:rPr>
          <w:rFonts w:ascii="Times New Roman" w:cs="Times New Roman" w:eastAsia="Times New Roman" w:hAnsi="Times New Roman"/>
          <w:sz w:val="20"/>
          <w:szCs w:val="20"/>
          <w:color w:val="231F20"/>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4"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0"/>
          <w:numId w:val="1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Defined Terms</w:t>
      </w:r>
      <w:r>
        <w:rPr>
          <w:rFonts w:ascii="Times New Roman" w:cs="Times New Roman" w:eastAsia="Times New Roman" w:hAnsi="Times New Roman"/>
          <w:sz w:val="20"/>
          <w:szCs w:val="20"/>
          <w:color w:val="231F20"/>
        </w:rPr>
        <w:t xml:space="preserve">. For purposes of this </w:t>
      </w:r>
      <w:r>
        <w:rPr>
          <w:rFonts w:ascii="Times New Roman" w:cs="Times New Roman" w:eastAsia="Times New Roman" w:hAnsi="Times New Roman"/>
          <w:sz w:val="20"/>
          <w:szCs w:val="20"/>
          <w:u w:val="single" w:color="auto"/>
          <w:color w:val="231F20"/>
        </w:rPr>
        <w:t>Section 2.17</w:t>
      </w:r>
      <w:r>
        <w:rPr>
          <w:rFonts w:ascii="Times New Roman" w:cs="Times New Roman" w:eastAsia="Times New Roman" w:hAnsi="Times New Roman"/>
          <w:sz w:val="20"/>
          <w:szCs w:val="20"/>
          <w:color w:val="231F20"/>
        </w:rPr>
        <w:t>, the term “Lender” includes any Issuing Bank and the term “applicable law” includes FATCA.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96" w:name="page197"/>
    <w:bookmarkEnd w:id="196"/>
    <w:p>
      <w:pPr>
        <w:ind w:left="2220"/>
        <w:spacing w:after="0"/>
        <w:tabs>
          <w:tab w:leader="none" w:pos="3780" w:val="left"/>
        </w:tabs>
        <w:rPr>
          <w:sz w:val="20"/>
          <w:szCs w:val="20"/>
          <w:color w:val="auto"/>
        </w:rPr>
      </w:pPr>
      <w:r>
        <w:rPr>
          <w:rFonts w:ascii="Times New Roman" w:cs="Times New Roman" w:eastAsia="Times New Roman" w:hAnsi="Times New Roman"/>
          <w:sz w:val="20"/>
          <w:szCs w:val="20"/>
          <w:color w:val="231F20"/>
        </w:rPr>
        <w:t>SECTION 2.18</w:t>
      </w:r>
      <w:r>
        <w:rPr>
          <w:sz w:val="20"/>
          <w:szCs w:val="20"/>
          <w:color w:val="auto"/>
        </w:rPr>
        <w:tab/>
      </w:r>
      <w:r>
        <w:rPr>
          <w:rFonts w:ascii="Times New Roman" w:cs="Times New Roman" w:eastAsia="Times New Roman" w:hAnsi="Times New Roman"/>
          <w:sz w:val="19"/>
          <w:szCs w:val="19"/>
          <w:u w:val="single" w:color="auto"/>
          <w:color w:val="231F20"/>
        </w:rPr>
        <w:t>Payments Generally; Allocation of Proceeds; Sharing of Setoffs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firstLine="745"/>
        <w:spacing w:after="0" w:line="242" w:lineRule="auto"/>
        <w:tabs>
          <w:tab w:leader="none" w:pos="2008" w:val="left"/>
        </w:tabs>
        <w:numPr>
          <w:ilvl w:val="0"/>
          <w:numId w:val="1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20"/>
          <w:szCs w:val="20"/>
          <w:u w:val="single" w:color="auto"/>
          <w:color w:val="231F20"/>
        </w:rPr>
        <w:t>Section 2.15</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2.16</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2.17</w:t>
      </w:r>
      <w:r>
        <w:rPr>
          <w:rFonts w:ascii="Times New Roman" w:cs="Times New Roman" w:eastAsia="Times New Roman" w:hAnsi="Times New Roman"/>
          <w:sz w:val="20"/>
          <w:szCs w:val="20"/>
          <w:color w:val="231F20"/>
        </w:rPr>
        <w:t xml:space="preserve">, or otherwise) prior to 1:00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one or more accounts as it may designate to the Borrower in writing from time to time, except payments to be made directly to an Issuing Bank or Swingline Lender as expressly provided herein and except that payments pursuant to </w:t>
      </w:r>
      <w:r>
        <w:rPr>
          <w:rFonts w:ascii="Times New Roman" w:cs="Times New Roman" w:eastAsia="Times New Roman" w:hAnsi="Times New Roman"/>
          <w:sz w:val="20"/>
          <w:szCs w:val="20"/>
          <w:u w:val="single" w:color="auto"/>
          <w:color w:val="231F20"/>
        </w:rPr>
        <w:t>Sections 2.15</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2.16</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2.17</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9.03</w:t>
      </w:r>
      <w:r>
        <w:rPr>
          <w:rFonts w:ascii="Times New Roman" w:cs="Times New Roman" w:eastAsia="Times New Roman" w:hAnsi="Times New Roman"/>
          <w:sz w:val="20"/>
          <w:szCs w:val="20"/>
          <w:color w:val="231F20"/>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87" w:lineRule="exact"/>
        <w:rPr>
          <w:rFonts w:ascii="Times New Roman" w:cs="Times New Roman" w:eastAsia="Times New Roman" w:hAnsi="Times New Roman"/>
          <w:sz w:val="20"/>
          <w:szCs w:val="20"/>
          <w:color w:val="231F20"/>
        </w:rPr>
      </w:pPr>
    </w:p>
    <w:p>
      <w:pPr>
        <w:jc w:val="both"/>
        <w:ind w:left="740" w:firstLine="745"/>
        <w:spacing w:after="0"/>
        <w:tabs>
          <w:tab w:leader="none" w:pos="2008" w:val="left"/>
        </w:tabs>
        <w:numPr>
          <w:ilvl w:val="0"/>
          <w:numId w:val="1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Any proceeds of Collateral and all other payments, proceeds or recoveries with respect to the Obligations received by the Administrative Agent (i) not constituting a specific payment of principal, interest, fees or other sum payable under the Loan Documents (which shall be applied as specified by the Borrower), or (ii) after an Event of Default has occurred and is continuing, shall be applied ratably </w:t>
      </w:r>
      <w:r>
        <w:rPr>
          <w:rFonts w:ascii="Times New Roman" w:cs="Times New Roman" w:eastAsia="Times New Roman" w:hAnsi="Times New Roman"/>
          <w:sz w:val="20"/>
          <w:szCs w:val="20"/>
          <w:u w:val="single" w:color="auto"/>
          <w:color w:val="231F20"/>
        </w:rPr>
        <w:t>first</w:t>
      </w:r>
      <w:r>
        <w:rPr>
          <w:rFonts w:ascii="Times New Roman" w:cs="Times New Roman" w:eastAsia="Times New Roman" w:hAnsi="Times New Roman"/>
          <w:sz w:val="20"/>
          <w:szCs w:val="20"/>
          <w:color w:val="231F20"/>
        </w:rPr>
        <w:t xml:space="preserve">, to pay any fees, indemnities, or expense reimbursements including amounts then due to the Administrative Agent and the Issuing Banks from the Borrower (other than in connection with Banking Services Obligations or Swap Agreement Obligations), </w:t>
      </w:r>
      <w:r>
        <w:rPr>
          <w:rFonts w:ascii="Times New Roman" w:cs="Times New Roman" w:eastAsia="Times New Roman" w:hAnsi="Times New Roman"/>
          <w:sz w:val="20"/>
          <w:szCs w:val="20"/>
          <w:u w:val="single" w:color="auto"/>
          <w:color w:val="231F20"/>
        </w:rPr>
        <w:t>second</w:t>
      </w:r>
      <w:r>
        <w:rPr>
          <w:rFonts w:ascii="Times New Roman" w:cs="Times New Roman" w:eastAsia="Times New Roman" w:hAnsi="Times New Roman"/>
          <w:sz w:val="20"/>
          <w:szCs w:val="20"/>
          <w:color w:val="231F20"/>
        </w:rPr>
        <w:t xml:space="preserve">, to pay any fees or expense reimbursements then due to the Lenders from the Borrower (other than in connection with Banking Services Obligations or Swap Agreement Obligations), </w:t>
      </w:r>
      <w:r>
        <w:rPr>
          <w:rFonts w:ascii="Times New Roman" w:cs="Times New Roman" w:eastAsia="Times New Roman" w:hAnsi="Times New Roman"/>
          <w:sz w:val="20"/>
          <w:szCs w:val="20"/>
          <w:u w:val="single" w:color="auto"/>
          <w:color w:val="231F20"/>
        </w:rPr>
        <w:t>third</w:t>
      </w:r>
      <w:r>
        <w:rPr>
          <w:rFonts w:ascii="Times New Roman" w:cs="Times New Roman" w:eastAsia="Times New Roman" w:hAnsi="Times New Roman"/>
          <w:sz w:val="20"/>
          <w:szCs w:val="20"/>
          <w:color w:val="231F20"/>
        </w:rPr>
        <w:t xml:space="preserve">, to pay interest then due and payable on the Loans ratably, </w:t>
      </w:r>
      <w:r>
        <w:rPr>
          <w:rFonts w:ascii="Times New Roman" w:cs="Times New Roman" w:eastAsia="Times New Roman" w:hAnsi="Times New Roman"/>
          <w:sz w:val="20"/>
          <w:szCs w:val="20"/>
          <w:u w:val="single" w:color="auto"/>
          <w:color w:val="231F20"/>
        </w:rPr>
        <w:t>fourth</w:t>
      </w:r>
      <w:r>
        <w:rPr>
          <w:rFonts w:ascii="Times New Roman" w:cs="Times New Roman" w:eastAsia="Times New Roman" w:hAnsi="Times New Roman"/>
          <w:sz w:val="20"/>
          <w:szCs w:val="20"/>
          <w:color w:val="231F20"/>
        </w:rPr>
        <w:t xml:space="preserve">, to prepay principal on the Loans and unreimbursed LC Disbursements, </w:t>
      </w:r>
      <w:r>
        <w:rPr>
          <w:rFonts w:ascii="Times New Roman" w:cs="Times New Roman" w:eastAsia="Times New Roman" w:hAnsi="Times New Roman"/>
          <w:sz w:val="20"/>
          <w:szCs w:val="20"/>
          <w:u w:val="single" w:color="auto"/>
          <w:color w:val="ED1C24"/>
          <w:strike w:val="1"/>
        </w:rPr>
        <w:t>fifth</w:t>
      </w:r>
      <w:r>
        <w:rPr>
          <w:rFonts w:ascii="Times New Roman" w:cs="Times New Roman" w:eastAsia="Times New Roman" w:hAnsi="Times New Roman"/>
          <w:sz w:val="20"/>
          <w:szCs w:val="20"/>
          <w:color w:val="ED1C24"/>
          <w:strike w:val="1"/>
        </w:rPr>
        <w:t>,</w:t>
      </w:r>
      <w:r>
        <w:rPr>
          <w:rFonts w:ascii="Times New Roman" w:cs="Times New Roman" w:eastAsia="Times New Roman" w:hAnsi="Times New Roman"/>
          <w:sz w:val="20"/>
          <w:szCs w:val="20"/>
          <w:color w:val="231F20"/>
        </w:rPr>
        <w:t xml:space="preserve"> to pay an amount to the Administrative Agent equal to one hundred three percent (103%) of the aggregate undrawn face amount of all outstanding Letters of Credit, to be held as cash collateral for such Obligations, </w:t>
      </w:r>
      <w:r>
        <w:rPr>
          <w:rFonts w:ascii="Times New Roman" w:cs="Times New Roman" w:eastAsia="Times New Roman" w:hAnsi="Times New Roman"/>
          <w:sz w:val="20"/>
          <w:szCs w:val="20"/>
          <w:u w:val="single" w:color="auto"/>
          <w:color w:val="ED1C24"/>
          <w:strike w:val="1"/>
        </w:rPr>
        <w:t>sixth</w:t>
      </w:r>
      <w:r>
        <w:rPr>
          <w:rFonts w:ascii="Times New Roman" w:cs="Times New Roman" w:eastAsia="Times New Roman" w:hAnsi="Times New Roman"/>
          <w:sz w:val="20"/>
          <w:szCs w:val="20"/>
          <w:color w:val="ED1C24"/>
          <w:strike w:val="1"/>
        </w:rPr>
        <w:t>,</w:t>
      </w:r>
      <w:r>
        <w:rPr>
          <w:rFonts w:ascii="Times New Roman" w:cs="Times New Roman" w:eastAsia="Times New Roman" w:hAnsi="Times New Roman"/>
          <w:sz w:val="20"/>
          <w:szCs w:val="20"/>
          <w:u w:val="single" w:color="auto"/>
          <w:color w:val="2251A3"/>
        </w:rPr>
        <w:t>and</w:t>
      </w:r>
      <w:r>
        <w:rPr>
          <w:rFonts w:ascii="Times New Roman" w:cs="Times New Roman" w:eastAsia="Times New Roman" w:hAnsi="Times New Roman"/>
          <w:sz w:val="20"/>
          <w:szCs w:val="20"/>
          <w:color w:val="231F20"/>
        </w:rPr>
        <w:t xml:space="preserve"> to the payment of any amounts owing with respect to Banking Services Obligations and Secured Swap Agreement Obligations </w:t>
      </w:r>
      <w:r>
        <w:rPr>
          <w:rFonts w:ascii="Times New Roman" w:cs="Times New Roman" w:eastAsia="Times New Roman" w:hAnsi="Times New Roman"/>
          <w:sz w:val="20"/>
          <w:szCs w:val="20"/>
          <w:u w:val="single" w:color="auto"/>
          <w:color w:val="2251A3"/>
        </w:rPr>
        <w:t>up to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color w:val="ED1C24"/>
          <w:strike w:val="1"/>
        </w:rPr>
        <w:t>seventh</w:t>
      </w:r>
      <w:r>
        <w:rPr>
          <w:rFonts w:ascii="Times New Roman" w:cs="Times New Roman" w:eastAsia="Times New Roman" w:hAnsi="Times New Roman"/>
          <w:sz w:val="20"/>
          <w:szCs w:val="20"/>
          <w:color w:val="2251A3"/>
        </w:rPr>
        <w:t>including the amount most recently provided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to the Administrative Agent pursuant to Section 2.23 and fifth</w:t>
      </w:r>
      <w:r>
        <w:rPr>
          <w:rFonts w:ascii="Times New Roman" w:cs="Times New Roman" w:eastAsia="Times New Roman" w:hAnsi="Times New Roman"/>
          <w:sz w:val="20"/>
          <w:szCs w:val="20"/>
          <w:color w:val="231F20"/>
        </w:rPr>
        <w:t xml:space="preserve">, to the payment of any other Secured Obligation due to the Administrative Agent or any Lender by the Borrower.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Term SOFR Loan, except (a) on the expiration date of the Interest Period applicable to any such Term SOFR Loan or (b) in the event, and only to the extent, that there are no outstanding ABR Loans and, in any such event, the Borrower shall pay the break funding payment required in accordance with </w:t>
      </w:r>
      <w:r>
        <w:rPr>
          <w:rFonts w:ascii="Times New Roman" w:cs="Times New Roman" w:eastAsia="Times New Roman" w:hAnsi="Times New Roman"/>
          <w:sz w:val="20"/>
          <w:szCs w:val="20"/>
          <w:u w:val="single" w:color="auto"/>
          <w:color w:val="231F20"/>
        </w:rPr>
        <w:t>Section 2.16</w:t>
      </w:r>
      <w:r>
        <w:rPr>
          <w:rFonts w:ascii="Times New Roman" w:cs="Times New Roman" w:eastAsia="Times New Roman" w:hAnsi="Times New Roman"/>
          <w:sz w:val="20"/>
          <w:szCs w:val="20"/>
          <w:color w:val="231F20"/>
        </w:rPr>
        <w:t>. The Administrative Agent and the Lenders shall have the continuing and exclusive right to apply and reverse and reapply any and all such proceeds and payments to any portion of the Secured Obligations.</w:t>
      </w:r>
    </w:p>
    <w:p>
      <w:pPr>
        <w:spacing w:after="0" w:line="206" w:lineRule="exact"/>
        <w:rPr>
          <w:sz w:val="20"/>
          <w:szCs w:val="20"/>
          <w:color w:val="auto"/>
        </w:rPr>
      </w:pPr>
    </w:p>
    <w:p>
      <w:pPr>
        <w:jc w:val="both"/>
        <w:ind w:left="740" w:right="40" w:firstLine="1497"/>
        <w:spacing w:after="0" w:line="246" w:lineRule="auto"/>
        <w:rPr>
          <w:sz w:val="20"/>
          <w:szCs w:val="20"/>
          <w:color w:val="auto"/>
        </w:rPr>
      </w:pPr>
      <w:r>
        <w:rPr>
          <w:rFonts w:ascii="Times New Roman" w:cs="Times New Roman" w:eastAsia="Times New Roman" w:hAnsi="Times New Roman"/>
          <w:sz w:val="20"/>
          <w:szCs w:val="20"/>
          <w:color w:val="231F20"/>
        </w:rPr>
        <w:t xml:space="preserve">Notwithstanding the foregoing, Obligations arising under Banking Services Obligations or Swap Agreement Obligations shall be excluded from the application described above and paid in </w:t>
      </w:r>
      <w:r>
        <w:rPr>
          <w:rFonts w:ascii="Times New Roman" w:cs="Times New Roman" w:eastAsia="Times New Roman" w:hAnsi="Times New Roman"/>
          <w:sz w:val="20"/>
          <w:szCs w:val="20"/>
          <w:u w:val="single" w:color="auto"/>
          <w:color w:val="231F20"/>
        </w:rPr>
        <w:t>clause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ED1C24"/>
          <w:strike w:val="1"/>
        </w:rPr>
        <w:t>sixth</w:t>
      </w:r>
      <w:r>
        <w:rPr>
          <w:rFonts w:ascii="Times New Roman" w:cs="Times New Roman" w:eastAsia="Times New Roman" w:hAnsi="Times New Roman"/>
          <w:sz w:val="20"/>
          <w:szCs w:val="20"/>
          <w:color w:val="2251A3"/>
        </w:rPr>
        <w:t>fifth</w:t>
      </w:r>
      <w:r>
        <w:rPr>
          <w:rFonts w:ascii="Times New Roman" w:cs="Times New Roman" w:eastAsia="Times New Roman" w:hAnsi="Times New Roman"/>
          <w:sz w:val="20"/>
          <w:szCs w:val="20"/>
          <w:color w:val="231F20"/>
        </w:rPr>
        <w:t xml:space="preserve"> if the Administrative Agent has not received written notice thereof in accordance with </w:t>
      </w:r>
      <w:r>
        <w:rPr>
          <w:rFonts w:ascii="Times New Roman" w:cs="Times New Roman" w:eastAsia="Times New Roman" w:hAnsi="Times New Roman"/>
          <w:sz w:val="20"/>
          <w:szCs w:val="20"/>
          <w:color w:val="ED1C24"/>
          <w:strike w:val="1"/>
        </w:rPr>
        <w:t>the definition of Secured Obligations</w:t>
      </w:r>
      <w:r>
        <w:rPr>
          <w:rFonts w:ascii="Times New Roman" w:cs="Times New Roman" w:eastAsia="Times New Roman" w:hAnsi="Times New Roman"/>
          <w:sz w:val="20"/>
          <w:szCs w:val="20"/>
          <w:u w:val="single" w:color="auto"/>
          <w:color w:val="2251A3"/>
        </w:rPr>
        <w:t>Section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2.23</w:t>
      </w:r>
      <w:r>
        <w:rPr>
          <w:rFonts w:ascii="Times New Roman" w:cs="Times New Roman" w:eastAsia="Times New Roman" w:hAnsi="Times New Roman"/>
          <w:sz w:val="20"/>
          <w:szCs w:val="20"/>
          <w:color w:val="231F20"/>
        </w:rPr>
        <w:t>, together with such supporting documentation as the Administrative Agent may have reasonably requested from the</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applicable provider of such Banking Services or Swap Agreements.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197" w:name="page198"/>
    <w:bookmarkEnd w:id="197"/>
    <w:p>
      <w:pPr>
        <w:jc w:val="both"/>
        <w:ind w:left="740" w:firstLine="745"/>
        <w:spacing w:after="0" w:line="263" w:lineRule="auto"/>
        <w:tabs>
          <w:tab w:leader="none" w:pos="2008" w:val="left"/>
        </w:tabs>
        <w:numPr>
          <w:ilvl w:val="0"/>
          <w:numId w:val="13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At the election of the Borrower but subject to the conditions set forth in </w:t>
      </w:r>
      <w:r>
        <w:rPr>
          <w:rFonts w:ascii="Times New Roman" w:cs="Times New Roman" w:eastAsia="Times New Roman" w:hAnsi="Times New Roman"/>
          <w:sz w:val="19"/>
          <w:szCs w:val="19"/>
          <w:u w:val="single" w:color="auto"/>
          <w:color w:val="231F20"/>
        </w:rPr>
        <w:t>Section 4.02</w:t>
      </w:r>
      <w:r>
        <w:rPr>
          <w:rFonts w:ascii="Times New Roman" w:cs="Times New Roman" w:eastAsia="Times New Roman" w:hAnsi="Times New Roman"/>
          <w:sz w:val="19"/>
          <w:szCs w:val="19"/>
          <w:color w:val="231F20"/>
        </w:rPr>
        <w:t xml:space="preserve">, all payments of principal, interest, LC Disbursements, fees, premiums, reimbursable expenses (including all reimbursement for fees, costs and expenses pursuant to </w:t>
      </w:r>
      <w:r>
        <w:rPr>
          <w:rFonts w:ascii="Times New Roman" w:cs="Times New Roman" w:eastAsia="Times New Roman" w:hAnsi="Times New Roman"/>
          <w:sz w:val="19"/>
          <w:szCs w:val="19"/>
          <w:u w:val="single" w:color="auto"/>
          <w:color w:val="231F20"/>
        </w:rPr>
        <w:t>Section 9.03</w:t>
      </w:r>
      <w:r>
        <w:rPr>
          <w:rFonts w:ascii="Times New Roman" w:cs="Times New Roman" w:eastAsia="Times New Roman" w:hAnsi="Times New Roman"/>
          <w:sz w:val="19"/>
          <w:szCs w:val="19"/>
          <w:color w:val="231F20"/>
        </w:rPr>
        <w:t xml:space="preserve">), and other sums payable under the Loan Documents, may be paid from the proceeds of Borrowings made hereunder whether made following a request by the Borrower pursuant to </w:t>
      </w:r>
      <w:r>
        <w:rPr>
          <w:rFonts w:ascii="Times New Roman" w:cs="Times New Roman" w:eastAsia="Times New Roman" w:hAnsi="Times New Roman"/>
          <w:sz w:val="19"/>
          <w:szCs w:val="19"/>
          <w:u w:val="single" w:color="auto"/>
          <w:color w:val="231F20"/>
        </w:rPr>
        <w:t>Section 2.03</w:t>
      </w:r>
      <w:r>
        <w:rPr>
          <w:rFonts w:ascii="Times New Roman" w:cs="Times New Roman" w:eastAsia="Times New Roman" w:hAnsi="Times New Roman"/>
          <w:sz w:val="19"/>
          <w:szCs w:val="19"/>
          <w:color w:val="231F20"/>
        </w:rPr>
        <w:t xml:space="preserve"> or a deemed request as provided in this </w:t>
      </w:r>
      <w:r>
        <w:rPr>
          <w:rFonts w:ascii="Times New Roman" w:cs="Times New Roman" w:eastAsia="Times New Roman" w:hAnsi="Times New Roman"/>
          <w:sz w:val="19"/>
          <w:szCs w:val="19"/>
          <w:u w:val="single" w:color="auto"/>
          <w:color w:val="231F20"/>
        </w:rPr>
        <w:t>Section 2.18</w:t>
      </w:r>
      <w:r>
        <w:rPr>
          <w:rFonts w:ascii="Times New Roman" w:cs="Times New Roman" w:eastAsia="Times New Roman" w:hAnsi="Times New Roman"/>
          <w:sz w:val="19"/>
          <w:szCs w:val="19"/>
          <w:color w:val="231F20"/>
        </w:rPr>
        <w:t xml:space="preserve"> or may be deducted from any deposit account of the Borrower maintained with the Administrative Agent.</w:t>
      </w:r>
    </w:p>
    <w:p>
      <w:pPr>
        <w:spacing w:after="0" w:line="166" w:lineRule="exact"/>
        <w:rPr>
          <w:rFonts w:ascii="Times New Roman" w:cs="Times New Roman" w:eastAsia="Times New Roman" w:hAnsi="Times New Roman"/>
          <w:sz w:val="19"/>
          <w:szCs w:val="19"/>
          <w:color w:val="231F20"/>
        </w:rPr>
      </w:pPr>
    </w:p>
    <w:p>
      <w:pPr>
        <w:jc w:val="both"/>
        <w:ind w:left="740" w:right="20" w:firstLine="745"/>
        <w:spacing w:after="0" w:line="241" w:lineRule="auto"/>
        <w:tabs>
          <w:tab w:leader="none" w:pos="2006" w:val="left"/>
        </w:tabs>
        <w:numPr>
          <w:ilvl w:val="0"/>
          <w:numId w:val="1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(y) any payment obtained by a Lender as consideration for the assignment of or sale of a participation in any of its Loans or participations in LC Disbursements to any assignee or participant, other than to the Borrower or any Subsidiary (as to which the provisions of this paragraph shall apply) or (z) the implementation of any Extension Offer accepted by the Required Lenders.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0" w:lineRule="exact"/>
        <w:rPr>
          <w:rFonts w:ascii="Times New Roman" w:cs="Times New Roman" w:eastAsia="Times New Roman" w:hAnsi="Times New Roman"/>
          <w:sz w:val="20"/>
          <w:szCs w:val="20"/>
          <w:color w:val="231F20"/>
        </w:rPr>
      </w:pPr>
    </w:p>
    <w:p>
      <w:pPr>
        <w:jc w:val="both"/>
        <w:ind w:left="740" w:right="20" w:firstLine="745"/>
        <w:spacing w:after="0" w:line="257" w:lineRule="auto"/>
        <w:tabs>
          <w:tab w:leader="none" w:pos="2006" w:val="left"/>
        </w:tabs>
        <w:numPr>
          <w:ilvl w:val="0"/>
          <w:numId w:val="13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Unless the Administrative Agent shall have received notice from the Borrower prior to the date on which any payment is due to the Administrative Agent for the account of the Lenders or any Issuing Bank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75" w:lineRule="exact"/>
        <w:rPr>
          <w:rFonts w:ascii="Times New Roman" w:cs="Times New Roman" w:eastAsia="Times New Roman" w:hAnsi="Times New Roman"/>
          <w:sz w:val="19"/>
          <w:szCs w:val="19"/>
          <w:color w:val="231F20"/>
        </w:rPr>
      </w:pPr>
    </w:p>
    <w:p>
      <w:pPr>
        <w:jc w:val="both"/>
        <w:ind w:left="740" w:firstLine="746"/>
        <w:spacing w:after="0" w:line="245" w:lineRule="auto"/>
        <w:tabs>
          <w:tab w:leader="none" w:pos="2007" w:val="left"/>
        </w:tabs>
        <w:numPr>
          <w:ilvl w:val="0"/>
          <w:numId w:val="1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apply any such amounts to, any future funding obligations of such Lender hereunder; application of amounts pursuant to (i) and (ii) above shall be made in such order as may be determined by the Administrative Agent in its discretion.</w:t>
      </w:r>
    </w:p>
    <w:p>
      <w:pPr>
        <w:spacing w:after="0" w:line="184" w:lineRule="exact"/>
        <w:rPr>
          <w:rFonts w:ascii="Times New Roman" w:cs="Times New Roman" w:eastAsia="Times New Roman" w:hAnsi="Times New Roman"/>
          <w:sz w:val="20"/>
          <w:szCs w:val="20"/>
          <w:color w:val="231F20"/>
        </w:rPr>
      </w:pPr>
    </w:p>
    <w:p>
      <w:pPr>
        <w:jc w:val="both"/>
        <w:ind w:left="740" w:right="40" w:firstLine="745"/>
        <w:spacing w:after="0" w:line="254" w:lineRule="auto"/>
        <w:tabs>
          <w:tab w:leader="none" w:pos="2005" w:val="left"/>
        </w:tabs>
        <w:numPr>
          <w:ilvl w:val="0"/>
          <w:numId w:val="1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Administrative Agent may from time to time provide the Borrower with billing statements or invoices with respect to any of the Secured Obligations (the “</w:t>
      </w:r>
      <w:r>
        <w:rPr>
          <w:rFonts w:ascii="Times New Roman" w:cs="Times New Roman" w:eastAsia="Times New Roman" w:hAnsi="Times New Roman"/>
          <w:sz w:val="20"/>
          <w:szCs w:val="20"/>
          <w:u w:val="single" w:color="auto"/>
          <w:color w:val="231F20"/>
        </w:rPr>
        <w:t>Billing Statements</w:t>
      </w:r>
      <w:r>
        <w:rPr>
          <w:rFonts w:ascii="Times New Roman" w:cs="Times New Roman" w:eastAsia="Times New Roman" w:hAnsi="Times New Roman"/>
          <w:sz w:val="20"/>
          <w:szCs w:val="20"/>
          <w:color w:val="231F20"/>
        </w:rPr>
        <w:t>”). The Administrative Agent is under no duty or obligation to provide Billing Statements, which, if provided,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198" w:name="page199"/>
    <w:bookmarkEnd w:id="198"/>
    <w:p>
      <w:pPr>
        <w:jc w:val="both"/>
        <w:ind w:left="740" w:right="20"/>
        <w:spacing w:after="0" w:line="245" w:lineRule="auto"/>
        <w:rPr>
          <w:sz w:val="20"/>
          <w:szCs w:val="20"/>
          <w:color w:val="auto"/>
        </w:rPr>
      </w:pPr>
      <w:r>
        <w:rPr>
          <w:rFonts w:ascii="Times New Roman" w:cs="Times New Roman" w:eastAsia="Times New Roman" w:hAnsi="Times New Roman"/>
          <w:sz w:val="20"/>
          <w:szCs w:val="20"/>
          <w:color w:val="231F20"/>
        </w:rPr>
        <w:t xml:space="preserve">will be solely for the Borrower’s convenience. The Billing Statements may contain estimates of the amounts owed during the relevant billing period, whether of principal, interest, fees or other Secured Obligations. If the Borrower pays the full amount indicated on a Billing Statement on or before the due date indicated on such Billing Statement, the Borrower shall not be in default;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acceptance by the Administrative Agent, on behalf of the Lenders, of any payment that is less than the payment due at that time shall not constitute a waiver of the Administrative Agent’s or the Lenders’ right to receive payment in full at another time.</w:t>
      </w:r>
    </w:p>
    <w:p>
      <w:pPr>
        <w:spacing w:after="0" w:line="184"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2.19</w:t>
      </w:r>
      <w:r>
        <w:rPr>
          <w:sz w:val="20"/>
          <w:szCs w:val="20"/>
          <w:color w:val="auto"/>
        </w:rPr>
        <w:tab/>
      </w:r>
      <w:r>
        <w:rPr>
          <w:rFonts w:ascii="Times New Roman" w:cs="Times New Roman" w:eastAsia="Times New Roman" w:hAnsi="Times New Roman"/>
          <w:sz w:val="19"/>
          <w:szCs w:val="19"/>
          <w:u w:val="single" w:color="auto"/>
          <w:color w:val="231F20"/>
        </w:rPr>
        <w:t>Mitigation Obligations; Replacement of Lenders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20" w:firstLine="745"/>
        <w:spacing w:after="0" w:line="243" w:lineRule="auto"/>
        <w:tabs>
          <w:tab w:leader="none" w:pos="2006" w:val="left"/>
        </w:tabs>
        <w:numPr>
          <w:ilvl w:val="1"/>
          <w:numId w:val="1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If any Lender requests compensation under </w:t>
      </w:r>
      <w:r>
        <w:rPr>
          <w:rFonts w:ascii="Times New Roman" w:cs="Times New Roman" w:eastAsia="Times New Roman" w:hAnsi="Times New Roman"/>
          <w:sz w:val="20"/>
          <w:szCs w:val="20"/>
          <w:u w:val="single" w:color="auto"/>
          <w:color w:val="231F20"/>
        </w:rPr>
        <w:t>Section 2.15</w:t>
      </w:r>
      <w:r>
        <w:rPr>
          <w:rFonts w:ascii="Times New Roman" w:cs="Times New Roman" w:eastAsia="Times New Roman" w:hAnsi="Times New Roman"/>
          <w:sz w:val="20"/>
          <w:szCs w:val="20"/>
          <w:color w:val="231F20"/>
        </w:rPr>
        <w:t xml:space="preserve">, or if the Borrower or the Loan Guarantors are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231F20"/>
        </w:rPr>
        <w:t>Section 2.17</w:t>
      </w:r>
      <w:r>
        <w:rPr>
          <w:rFonts w:ascii="Times New Roman" w:cs="Times New Roman" w:eastAsia="Times New Roman" w:hAnsi="Times New Roman"/>
          <w:sz w:val="20"/>
          <w:szCs w:val="20"/>
          <w:color w:val="231F20"/>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231F20"/>
        </w:rPr>
        <w:t>Sections 2.15</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2.17</w:t>
      </w:r>
      <w:r>
        <w:rPr>
          <w:rFonts w:ascii="Times New Roman" w:cs="Times New Roman" w:eastAsia="Times New Roman" w:hAnsi="Times New Roman"/>
          <w:sz w:val="20"/>
          <w:szCs w:val="20"/>
          <w:color w:val="231F20"/>
        </w:rPr>
        <w:t>, as the case may be, in the future and (ii) would not subject such Lender to any unreimbursed cost or expense and would not otherwise be disadvantageous to such Lender. The Borrower hereby agrees to pay all reasonable and documented out-of-pocket costs and expenses incurred by any Lender in connection with any such designation or assignment.</w:t>
      </w:r>
    </w:p>
    <w:p>
      <w:pPr>
        <w:spacing w:after="0" w:line="185" w:lineRule="exact"/>
        <w:rPr>
          <w:rFonts w:ascii="Times New Roman" w:cs="Times New Roman" w:eastAsia="Times New Roman" w:hAnsi="Times New Roman"/>
          <w:sz w:val="20"/>
          <w:szCs w:val="20"/>
          <w:color w:val="231F20"/>
        </w:rPr>
      </w:pPr>
    </w:p>
    <w:p>
      <w:pPr>
        <w:ind w:left="740" w:right="100" w:firstLine="746"/>
        <w:spacing w:after="0" w:line="244" w:lineRule="auto"/>
        <w:tabs>
          <w:tab w:leader="none" w:pos="2007" w:val="left"/>
        </w:tabs>
        <w:numPr>
          <w:ilvl w:val="1"/>
          <w:numId w:val="1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If (i) any Lender requests compensation under </w:t>
      </w:r>
      <w:r>
        <w:rPr>
          <w:rFonts w:ascii="Times New Roman" w:cs="Times New Roman" w:eastAsia="Times New Roman" w:hAnsi="Times New Roman"/>
          <w:sz w:val="20"/>
          <w:szCs w:val="20"/>
          <w:u w:val="single" w:color="auto"/>
          <w:color w:val="231F20"/>
        </w:rPr>
        <w:t>Section 2.15</w:t>
      </w:r>
      <w:r>
        <w:rPr>
          <w:rFonts w:ascii="Times New Roman" w:cs="Times New Roman" w:eastAsia="Times New Roman" w:hAnsi="Times New Roman"/>
          <w:sz w:val="20"/>
          <w:szCs w:val="20"/>
          <w:color w:val="231F20"/>
        </w:rPr>
        <w:t xml:space="preserve">, (ii) any Lender fails to consent to a requested amendment, waiver or modification to any Loan Document in which Required Lenders have already consented to such amendment, waiver or modification but the consent of each Lender (or each Lender directly affected thereby, as applicable) is required with respect thereto, (iii) the Borrower or the Loan Guarantors are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231F20"/>
        </w:rPr>
        <w:t>Section 2.17</w:t>
      </w:r>
      <w:r>
        <w:rPr>
          <w:rFonts w:ascii="Times New Roman" w:cs="Times New Roman" w:eastAsia="Times New Roman" w:hAnsi="Times New Roman"/>
          <w:sz w:val="20"/>
          <w:szCs w:val="20"/>
          <w:color w:val="231F20"/>
        </w:rPr>
        <w:t>, or</w:t>
      </w:r>
    </w:p>
    <w:p>
      <w:pPr>
        <w:ind w:left="740" w:hanging="3"/>
        <w:spacing w:after="0" w:line="239" w:lineRule="auto"/>
        <w:tabs>
          <w:tab w:leader="none" w:pos="1075" w:val="left"/>
        </w:tabs>
        <w:numPr>
          <w:ilvl w:val="0"/>
          <w:numId w:val="1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any Lender becomes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 xml:space="preserve">), all of its interests, rights (other than its existing rights to payments pursuant to </w:t>
      </w:r>
      <w:r>
        <w:rPr>
          <w:rFonts w:ascii="Times New Roman" w:cs="Times New Roman" w:eastAsia="Times New Roman" w:hAnsi="Times New Roman"/>
          <w:sz w:val="20"/>
          <w:szCs w:val="20"/>
          <w:u w:val="single" w:color="auto"/>
          <w:color w:val="231F20"/>
        </w:rPr>
        <w:t>Section 2.15</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2.17</w:t>
      </w:r>
      <w:r>
        <w:rPr>
          <w:rFonts w:ascii="Times New Roman" w:cs="Times New Roman" w:eastAsia="Times New Roman" w:hAnsi="Times New Roman"/>
          <w:sz w:val="20"/>
          <w:szCs w:val="20"/>
          <w:color w:val="231F20"/>
        </w:rPr>
        <w:t xml:space="preserve">) and obligations under this Agreement and other Loan Documents to an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(A) the Borrower shall have received the prior written consent of the Administrative Agent (and if a Commitment is being assigned, the Issuing Banks and Swingline Lenders), which consent shall not unreasonably be withheld, conditioned or delayed, (B)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(C) in the case of any such assignment resulting from a claim for compensation under </w:t>
      </w:r>
      <w:r>
        <w:rPr>
          <w:rFonts w:ascii="Times New Roman" w:cs="Times New Roman" w:eastAsia="Times New Roman" w:hAnsi="Times New Roman"/>
          <w:sz w:val="20"/>
          <w:szCs w:val="20"/>
          <w:u w:val="single" w:color="auto"/>
          <w:color w:val="231F20"/>
        </w:rPr>
        <w:t>Section 2.15</w:t>
      </w:r>
      <w:r>
        <w:rPr>
          <w:rFonts w:ascii="Times New Roman" w:cs="Times New Roman" w:eastAsia="Times New Roman" w:hAnsi="Times New Roman"/>
          <w:sz w:val="20"/>
          <w:szCs w:val="20"/>
          <w:color w:val="231F20"/>
        </w:rPr>
        <w:t xml:space="preserve"> or payments required to be made pursuant to </w:t>
      </w:r>
      <w:r>
        <w:rPr>
          <w:rFonts w:ascii="Times New Roman" w:cs="Times New Roman" w:eastAsia="Times New Roman" w:hAnsi="Times New Roman"/>
          <w:sz w:val="20"/>
          <w:szCs w:val="20"/>
          <w:u w:val="single" w:color="auto"/>
          <w:color w:val="231F20"/>
        </w:rPr>
        <w:t>Section 2.17</w:t>
      </w:r>
      <w:r>
        <w:rPr>
          <w:rFonts w:ascii="Times New Roman" w:cs="Times New Roman" w:eastAsia="Times New Roman" w:hAnsi="Times New Roman"/>
          <w:sz w:val="20"/>
          <w:szCs w:val="20"/>
          <w:color w:val="231F20"/>
        </w:rPr>
        <w:t xml:space="preserve">,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Notwithstanding anything herein to the contrary, each party hereto agrees that any assignment pursuant to the terms of this </w:t>
      </w:r>
      <w:r>
        <w:rPr>
          <w:rFonts w:ascii="Times New Roman" w:cs="Times New Roman" w:eastAsia="Times New Roman" w:hAnsi="Times New Roman"/>
          <w:sz w:val="20"/>
          <w:szCs w:val="20"/>
          <w:u w:val="single" w:color="auto"/>
          <w:color w:val="231F20"/>
        </w:rPr>
        <w:t>Section 2.19</w:t>
      </w:r>
      <w:r>
        <w:rPr>
          <w:rFonts w:ascii="Times New Roman" w:cs="Times New Roman" w:eastAsia="Times New Roman" w:hAnsi="Times New Roman"/>
          <w:sz w:val="20"/>
          <w:szCs w:val="20"/>
          <w:color w:val="231F20"/>
        </w:rPr>
        <w:t xml:space="preserve"> may be effected pursuant to an Assignment and Assumption executed by the Borrower, the Administrative Agent and the assignee and that the Lender making such assignment need not be a party thereto.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199" w:name="page200"/>
    <w:bookmarkEnd w:id="199"/>
    <w:p>
      <w:pPr>
        <w:ind w:left="740" w:right="60" w:firstLine="749"/>
        <w:spacing w:after="0" w:line="295" w:lineRule="auto"/>
        <w:rPr>
          <w:sz w:val="20"/>
          <w:szCs w:val="20"/>
          <w:color w:val="auto"/>
        </w:rPr>
      </w:pPr>
      <w:r>
        <w:rPr>
          <w:rFonts w:ascii="Times New Roman" w:cs="Times New Roman" w:eastAsia="Times New Roman" w:hAnsi="Times New Roman"/>
          <w:sz w:val="19"/>
          <w:szCs w:val="19"/>
          <w:color w:val="231F20"/>
        </w:rPr>
        <w:t xml:space="preserve">SECTION 2.20 </w:t>
      </w:r>
      <w:r>
        <w:rPr>
          <w:rFonts w:ascii="Times New Roman" w:cs="Times New Roman" w:eastAsia="Times New Roman" w:hAnsi="Times New Roman"/>
          <w:sz w:val="19"/>
          <w:szCs w:val="19"/>
          <w:u w:val="single" w:color="auto"/>
          <w:color w:val="231F20"/>
        </w:rPr>
        <w:t>Defaulting Lenders</w:t>
      </w:r>
      <w:r>
        <w:rPr>
          <w:rFonts w:ascii="Times New Roman" w:cs="Times New Roman" w:eastAsia="Times New Roman" w:hAnsi="Times New Roman"/>
          <w:sz w:val="19"/>
          <w:szCs w:val="19"/>
          <w:color w:val="231F20"/>
        </w:rPr>
        <w:t>. Notwithstanding any provision of this Agreement to the contrary, if any Lender becomes a Defaulting Lender, then the following provisions shall apply for so long as such Lender is a Defaulting Lender:</w:t>
      </w:r>
    </w:p>
    <w:p>
      <w:pPr>
        <w:spacing w:after="0" w:line="138" w:lineRule="exact"/>
        <w:rPr>
          <w:sz w:val="20"/>
          <w:szCs w:val="20"/>
          <w:color w:val="auto"/>
        </w:rPr>
      </w:pPr>
    </w:p>
    <w:p>
      <w:pPr>
        <w:ind w:left="2000" w:hanging="515"/>
        <w:spacing w:after="0"/>
        <w:tabs>
          <w:tab w:leader="none" w:pos="2000" w:val="left"/>
        </w:tabs>
        <w:numPr>
          <w:ilvl w:val="0"/>
          <w:numId w:val="1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fees shall cease to accrue on the unfunded portion of the Commitment of such Defaulting Lender pursuant to</w:t>
      </w:r>
    </w:p>
    <w:p>
      <w:pPr>
        <w:spacing w:after="0" w:line="21" w:lineRule="exact"/>
        <w:rPr>
          <w:rFonts w:ascii="Times New Roman" w:cs="Times New Roman" w:eastAsia="Times New Roman" w:hAnsi="Times New Roman"/>
          <w:sz w:val="20"/>
          <w:szCs w:val="20"/>
          <w:color w:val="231F20"/>
        </w:rPr>
      </w:pPr>
    </w:p>
    <w:p>
      <w:pPr>
        <w:ind w:left="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Section 2.12(a)</w:t>
      </w:r>
      <w:r>
        <w:rPr>
          <w:rFonts w:ascii="Times New Roman" w:cs="Times New Roman" w:eastAsia="Times New Roman" w:hAnsi="Times New Roman"/>
          <w:sz w:val="20"/>
          <w:szCs w:val="20"/>
          <w:color w:val="231F20"/>
        </w:rPr>
        <w:t>;</w:t>
      </w:r>
    </w:p>
    <w:p>
      <w:pPr>
        <w:spacing w:after="0" w:line="193" w:lineRule="exact"/>
        <w:rPr>
          <w:rFonts w:ascii="Times New Roman" w:cs="Times New Roman" w:eastAsia="Times New Roman" w:hAnsi="Times New Roman"/>
          <w:sz w:val="20"/>
          <w:szCs w:val="20"/>
          <w:color w:val="231F20"/>
        </w:rPr>
      </w:pPr>
    </w:p>
    <w:p>
      <w:pPr>
        <w:jc w:val="both"/>
        <w:ind w:left="740" w:firstLine="745"/>
        <w:spacing w:after="0" w:line="244" w:lineRule="auto"/>
        <w:tabs>
          <w:tab w:leader="none" w:pos="2008" w:val="left"/>
        </w:tabs>
        <w:numPr>
          <w:ilvl w:val="0"/>
          <w:numId w:val="1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such Defaulting Lender shall not have the right to vote on any issue on which voting is required (other than to the extent expressly provided in </w:t>
      </w:r>
      <w:r>
        <w:rPr>
          <w:rFonts w:ascii="Times New Roman" w:cs="Times New Roman" w:eastAsia="Times New Roman" w:hAnsi="Times New Roman"/>
          <w:sz w:val="20"/>
          <w:szCs w:val="20"/>
          <w:u w:val="single" w:color="auto"/>
          <w:color w:val="231F20"/>
        </w:rPr>
        <w:t>Section 9.02(b)</w:t>
      </w:r>
      <w:r>
        <w:rPr>
          <w:rFonts w:ascii="Times New Roman" w:cs="Times New Roman" w:eastAsia="Times New Roman" w:hAnsi="Times New Roman"/>
          <w:sz w:val="20"/>
          <w:szCs w:val="20"/>
          <w:color w:val="231F20"/>
        </w:rPr>
        <w:t xml:space="preserve">) and the Commitment and Credit Exposure of such Defaulting Lender shall not be included in determining whether all Lenders or the Required Lenders have taken or may take any action hereunder (including any consent to any amendment, waiver or other modification pursuant to </w:t>
      </w:r>
      <w:r>
        <w:rPr>
          <w:rFonts w:ascii="Times New Roman" w:cs="Times New Roman" w:eastAsia="Times New Roman" w:hAnsi="Times New Roman"/>
          <w:sz w:val="20"/>
          <w:szCs w:val="20"/>
          <w:u w:val="single" w:color="auto"/>
          <w:color w:val="231F20"/>
        </w:rPr>
        <w:t>Section 9.02</w:t>
      </w:r>
      <w:r>
        <w:rPr>
          <w:rFonts w:ascii="Times New Roman" w:cs="Times New Roman" w:eastAsia="Times New Roman" w:hAnsi="Times New Roman"/>
          <w:sz w:val="20"/>
          <w:szCs w:val="20"/>
          <w:color w:val="231F20"/>
        </w:rPr>
        <w:t xml:space="preserve">) or under any other Loan Document;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except as otherwise provided in </w:t>
      </w:r>
      <w:r>
        <w:rPr>
          <w:rFonts w:ascii="Times New Roman" w:cs="Times New Roman" w:eastAsia="Times New Roman" w:hAnsi="Times New Roman"/>
          <w:sz w:val="20"/>
          <w:szCs w:val="20"/>
          <w:u w:val="single" w:color="auto"/>
          <w:color w:val="231F20"/>
        </w:rPr>
        <w:t>Section 9.02</w:t>
      </w:r>
      <w:r>
        <w:rPr>
          <w:rFonts w:ascii="Times New Roman" w:cs="Times New Roman" w:eastAsia="Times New Roman" w:hAnsi="Times New Roman"/>
          <w:sz w:val="20"/>
          <w:szCs w:val="20"/>
          <w:color w:val="231F20"/>
        </w:rPr>
        <w:t xml:space="preserve">, this </w:t>
      </w:r>
      <w:r>
        <w:rPr>
          <w:rFonts w:ascii="Times New Roman" w:cs="Times New Roman" w:eastAsia="Times New Roman" w:hAnsi="Times New Roman"/>
          <w:sz w:val="20"/>
          <w:szCs w:val="20"/>
          <w:u w:val="single" w:color="auto"/>
          <w:color w:val="231F20"/>
        </w:rPr>
        <w:t>clause (b)</w:t>
      </w:r>
      <w:r>
        <w:rPr>
          <w:rFonts w:ascii="Times New Roman" w:cs="Times New Roman" w:eastAsia="Times New Roman" w:hAnsi="Times New Roman"/>
          <w:sz w:val="20"/>
          <w:szCs w:val="20"/>
          <w:color w:val="231F20"/>
        </w:rPr>
        <w:t xml:space="preserve"> shall not apply to the vote of a Defaulting Lender in the case of an amendment, waiver or other modification requiring the consent of such Lender or each Lender directly affected thereby;</w:t>
      </w:r>
    </w:p>
    <w:p>
      <w:pPr>
        <w:spacing w:after="0" w:line="185" w:lineRule="exact"/>
        <w:rPr>
          <w:rFonts w:ascii="Times New Roman" w:cs="Times New Roman" w:eastAsia="Times New Roman" w:hAnsi="Times New Roman"/>
          <w:sz w:val="20"/>
          <w:szCs w:val="20"/>
          <w:color w:val="231F20"/>
        </w:rPr>
      </w:pPr>
    </w:p>
    <w:p>
      <w:pPr>
        <w:ind w:left="2000" w:hanging="515"/>
        <w:spacing w:after="0"/>
        <w:tabs>
          <w:tab w:leader="none" w:pos="2000" w:val="left"/>
        </w:tabs>
        <w:numPr>
          <w:ilvl w:val="0"/>
          <w:numId w:val="1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any Swingline Exposure or LC Exposure exists at the time such Lender becomes a Defaulting Lender then:</w:t>
      </w:r>
    </w:p>
    <w:p>
      <w:pPr>
        <w:spacing w:after="0" w:line="215" w:lineRule="exact"/>
        <w:rPr>
          <w:rFonts w:ascii="Times New Roman" w:cs="Times New Roman" w:eastAsia="Times New Roman" w:hAnsi="Times New Roman"/>
          <w:sz w:val="20"/>
          <w:szCs w:val="20"/>
          <w:color w:val="231F20"/>
        </w:rPr>
      </w:pPr>
    </w:p>
    <w:p>
      <w:pPr>
        <w:ind w:left="1480" w:firstLine="1503"/>
        <w:spacing w:after="0" w:line="250" w:lineRule="auto"/>
        <w:tabs>
          <w:tab w:leader="none" w:pos="3525" w:val="left"/>
        </w:tabs>
        <w:numPr>
          <w:ilvl w:val="1"/>
          <w:numId w:val="1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all or any part of such Swingline Exposure and/or such LC Exposure of such Defaulting Lender (other than the portion of such Swingline Exposure referred to in </w:t>
      </w:r>
      <w:r>
        <w:rPr>
          <w:rFonts w:ascii="Times New Roman" w:cs="Times New Roman" w:eastAsia="Times New Roman" w:hAnsi="Times New Roman"/>
          <w:sz w:val="20"/>
          <w:szCs w:val="20"/>
          <w:u w:val="single" w:color="auto"/>
          <w:color w:val="231F20"/>
        </w:rPr>
        <w:t>clause</w:t>
      </w:r>
    </w:p>
    <w:p>
      <w:pPr>
        <w:spacing w:after="0" w:line="1" w:lineRule="exact"/>
        <w:rPr>
          <w:rFonts w:ascii="Times New Roman" w:cs="Times New Roman" w:eastAsia="Times New Roman" w:hAnsi="Times New Roman"/>
          <w:sz w:val="20"/>
          <w:szCs w:val="20"/>
          <w:color w:val="231F20"/>
        </w:rPr>
      </w:pPr>
    </w:p>
    <w:p>
      <w:pPr>
        <w:jc w:val="both"/>
        <w:ind w:left="1480" w:right="60" w:firstLine="5"/>
        <w:spacing w:after="0" w:line="241" w:lineRule="auto"/>
        <w:tabs>
          <w:tab w:leader="none" w:pos="1777" w:val="left"/>
        </w:tabs>
        <w:numPr>
          <w:ilvl w:val="0"/>
          <w:numId w:val="138"/>
        </w:numPr>
        <w:rPr>
          <w:rFonts w:ascii="Times New Roman" w:cs="Times New Roman" w:eastAsia="Times New Roman" w:hAnsi="Times New Roman"/>
          <w:sz w:val="20"/>
          <w:szCs w:val="20"/>
          <w:u w:val="single" w:color="auto"/>
          <w:color w:val="231F20"/>
        </w:rPr>
      </w:pPr>
      <w:r>
        <w:rPr>
          <w:rFonts w:ascii="Times New Roman" w:cs="Times New Roman" w:eastAsia="Times New Roman" w:hAnsi="Times New Roman"/>
          <w:sz w:val="20"/>
          <w:szCs w:val="20"/>
          <w:color w:val="231F20"/>
        </w:rPr>
        <w:t>of the definition of such term) shall be reallocated among the non-Defaulting Lenders in accordance with their respective Applicable Percentages but only to the extent that the sum of all non-Defaulting Lenders’ Credit Exposures plus such Defaulting Lender’s Swingline Exposure and/or LC Exposure does not exceed the total of all non-Defaulting Lenders’ Commitments; and</w:t>
      </w:r>
    </w:p>
    <w:p>
      <w:pPr>
        <w:spacing w:after="0" w:line="188" w:lineRule="exact"/>
        <w:rPr>
          <w:sz w:val="20"/>
          <w:szCs w:val="20"/>
          <w:color w:val="auto"/>
        </w:rPr>
      </w:pPr>
    </w:p>
    <w:p>
      <w:pPr>
        <w:jc w:val="both"/>
        <w:ind w:left="1480" w:right="20" w:firstLine="1503"/>
        <w:spacing w:after="0" w:line="245" w:lineRule="auto"/>
        <w:tabs>
          <w:tab w:leader="none" w:pos="3524" w:val="left"/>
        </w:tabs>
        <w:numPr>
          <w:ilvl w:val="0"/>
          <w:numId w:val="1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if the reallocation described in </w:t>
      </w:r>
      <w:r>
        <w:rPr>
          <w:rFonts w:ascii="Times New Roman" w:cs="Times New Roman" w:eastAsia="Times New Roman" w:hAnsi="Times New Roman"/>
          <w:sz w:val="20"/>
          <w:szCs w:val="20"/>
          <w:u w:val="single" w:color="auto"/>
          <w:color w:val="231F20"/>
        </w:rPr>
        <w:t>clause (i)</w:t>
      </w:r>
      <w:r>
        <w:rPr>
          <w:rFonts w:ascii="Times New Roman" w:cs="Times New Roman" w:eastAsia="Times New Roman" w:hAnsi="Times New Roman"/>
          <w:sz w:val="20"/>
          <w:szCs w:val="20"/>
          <w:color w:val="231F20"/>
        </w:rPr>
        <w:t xml:space="preserve"> above cannot, or can only partially, be effected, the Borrower shall within one (1) Business Day following notice by the Administrative Agent (x) first, prepay such Swingline Exposure and (y) second, cash collateralize for the benefit of the Issuing Banks only the Borrower’s obligations corresponding to such Defaulting Lender’s LC Exposure (after giving effect to any partial reallocation pursuant to </w:t>
      </w:r>
      <w:r>
        <w:rPr>
          <w:rFonts w:ascii="Times New Roman" w:cs="Times New Roman" w:eastAsia="Times New Roman" w:hAnsi="Times New Roman"/>
          <w:sz w:val="20"/>
          <w:szCs w:val="20"/>
          <w:u w:val="single" w:color="auto"/>
          <w:color w:val="231F20"/>
        </w:rPr>
        <w:t>clause (i)</w:t>
      </w:r>
      <w:r>
        <w:rPr>
          <w:rFonts w:ascii="Times New Roman" w:cs="Times New Roman" w:eastAsia="Times New Roman" w:hAnsi="Times New Roman"/>
          <w:sz w:val="20"/>
          <w:szCs w:val="20"/>
          <w:color w:val="231F20"/>
        </w:rPr>
        <w:t xml:space="preserve"> above) in accordance with the procedures set forth in </w:t>
      </w:r>
      <w:r>
        <w:rPr>
          <w:rFonts w:ascii="Times New Roman" w:cs="Times New Roman" w:eastAsia="Times New Roman" w:hAnsi="Times New Roman"/>
          <w:sz w:val="20"/>
          <w:szCs w:val="20"/>
          <w:u w:val="single" w:color="auto"/>
          <w:color w:val="231F20"/>
        </w:rPr>
        <w:t>Section 2.06(j)</w:t>
      </w:r>
      <w:r>
        <w:rPr>
          <w:rFonts w:ascii="Times New Roman" w:cs="Times New Roman" w:eastAsia="Times New Roman" w:hAnsi="Times New Roman"/>
          <w:sz w:val="20"/>
          <w:szCs w:val="20"/>
          <w:color w:val="231F20"/>
        </w:rPr>
        <w:t xml:space="preserve"> for so long as such LC Exposure is outstanding;</w:t>
      </w:r>
    </w:p>
    <w:p>
      <w:pPr>
        <w:spacing w:after="0" w:line="184" w:lineRule="exact"/>
        <w:rPr>
          <w:rFonts w:ascii="Times New Roman" w:cs="Times New Roman" w:eastAsia="Times New Roman" w:hAnsi="Times New Roman"/>
          <w:sz w:val="20"/>
          <w:szCs w:val="20"/>
          <w:color w:val="231F20"/>
        </w:rPr>
      </w:pPr>
    </w:p>
    <w:p>
      <w:pPr>
        <w:jc w:val="both"/>
        <w:ind w:left="1480" w:right="40" w:firstLine="1503"/>
        <w:spacing w:after="0" w:line="249" w:lineRule="auto"/>
        <w:tabs>
          <w:tab w:leader="none" w:pos="3522" w:val="left"/>
        </w:tabs>
        <w:numPr>
          <w:ilvl w:val="0"/>
          <w:numId w:val="1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if the Borrower cash collateralizes any portion of such Defaulting Lender’s LC Exposure pursuant to this </w:t>
      </w:r>
      <w:r>
        <w:rPr>
          <w:rFonts w:ascii="Times New Roman" w:cs="Times New Roman" w:eastAsia="Times New Roman" w:hAnsi="Times New Roman"/>
          <w:sz w:val="20"/>
          <w:szCs w:val="20"/>
          <w:u w:val="single" w:color="auto"/>
          <w:color w:val="231F20"/>
        </w:rPr>
        <w:t>Section 2.20(c)</w:t>
      </w:r>
      <w:r>
        <w:rPr>
          <w:rFonts w:ascii="Times New Roman" w:cs="Times New Roman" w:eastAsia="Times New Roman" w:hAnsi="Times New Roman"/>
          <w:sz w:val="20"/>
          <w:szCs w:val="20"/>
          <w:color w:val="231F20"/>
        </w:rPr>
        <w:t xml:space="preserve">, the Borrower shall not be required to pay any fees to such Defaulting Lender pursuant to </w:t>
      </w:r>
      <w:r>
        <w:rPr>
          <w:rFonts w:ascii="Times New Roman" w:cs="Times New Roman" w:eastAsia="Times New Roman" w:hAnsi="Times New Roman"/>
          <w:sz w:val="20"/>
          <w:szCs w:val="20"/>
          <w:u w:val="single" w:color="auto"/>
          <w:color w:val="231F20"/>
        </w:rPr>
        <w:t>Section 2.12(b)</w:t>
      </w:r>
      <w:r>
        <w:rPr>
          <w:rFonts w:ascii="Times New Roman" w:cs="Times New Roman" w:eastAsia="Times New Roman" w:hAnsi="Times New Roman"/>
          <w:sz w:val="20"/>
          <w:szCs w:val="20"/>
          <w:color w:val="231F20"/>
        </w:rPr>
        <w:t xml:space="preserve"> with respect to such Defaulting Lender’s LC Exposure during the period such Defaulting Lender’s LC Exposure is cash collateralized;</w:t>
      </w:r>
    </w:p>
    <w:p>
      <w:pPr>
        <w:spacing w:after="0" w:line="179" w:lineRule="exact"/>
        <w:rPr>
          <w:rFonts w:ascii="Times New Roman" w:cs="Times New Roman" w:eastAsia="Times New Roman" w:hAnsi="Times New Roman"/>
          <w:sz w:val="20"/>
          <w:szCs w:val="20"/>
          <w:color w:val="231F20"/>
        </w:rPr>
      </w:pPr>
    </w:p>
    <w:p>
      <w:pPr>
        <w:jc w:val="both"/>
        <w:ind w:left="1480" w:firstLine="1503"/>
        <w:spacing w:after="0" w:line="254" w:lineRule="auto"/>
        <w:tabs>
          <w:tab w:leader="none" w:pos="3525" w:val="left"/>
        </w:tabs>
        <w:numPr>
          <w:ilvl w:val="0"/>
          <w:numId w:val="1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if the LC Exposure of the non-Defaulting Lenders is reallocated pursuant to </w:t>
      </w:r>
      <w:r>
        <w:rPr>
          <w:rFonts w:ascii="Times New Roman" w:cs="Times New Roman" w:eastAsia="Times New Roman" w:hAnsi="Times New Roman"/>
          <w:sz w:val="20"/>
          <w:szCs w:val="20"/>
          <w:u w:val="single" w:color="auto"/>
          <w:color w:val="231F20"/>
        </w:rPr>
        <w:t>Section 2.20(c)</w:t>
      </w:r>
      <w:r>
        <w:rPr>
          <w:rFonts w:ascii="Times New Roman" w:cs="Times New Roman" w:eastAsia="Times New Roman" w:hAnsi="Times New Roman"/>
          <w:sz w:val="20"/>
          <w:szCs w:val="20"/>
          <w:color w:val="231F20"/>
        </w:rPr>
        <w:t xml:space="preserve">, then the fees payable to the Lenders pursuant to </w:t>
      </w:r>
      <w:r>
        <w:rPr>
          <w:rFonts w:ascii="Times New Roman" w:cs="Times New Roman" w:eastAsia="Times New Roman" w:hAnsi="Times New Roman"/>
          <w:sz w:val="20"/>
          <w:szCs w:val="20"/>
          <w:u w:val="single" w:color="auto"/>
          <w:color w:val="231F20"/>
        </w:rPr>
        <w:t>Section 2.12(a)</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Section 2.12(b)</w:t>
      </w:r>
      <w:r>
        <w:rPr>
          <w:rFonts w:ascii="Times New Roman" w:cs="Times New Roman" w:eastAsia="Times New Roman" w:hAnsi="Times New Roman"/>
          <w:sz w:val="20"/>
          <w:szCs w:val="20"/>
          <w:color w:val="231F20"/>
        </w:rPr>
        <w:t xml:space="preserve"> shall be adjusted in accordance with such non-Defaulting Lenders’ Applicable Percentages; or</w:t>
      </w:r>
    </w:p>
    <w:p>
      <w:pPr>
        <w:spacing w:after="0" w:line="174" w:lineRule="exact"/>
        <w:rPr>
          <w:rFonts w:ascii="Times New Roman" w:cs="Times New Roman" w:eastAsia="Times New Roman" w:hAnsi="Times New Roman"/>
          <w:sz w:val="20"/>
          <w:szCs w:val="20"/>
          <w:color w:val="231F20"/>
        </w:rPr>
      </w:pPr>
    </w:p>
    <w:p>
      <w:pPr>
        <w:jc w:val="both"/>
        <w:ind w:left="1480" w:right="60" w:firstLine="1503"/>
        <w:spacing w:after="0" w:line="263" w:lineRule="auto"/>
        <w:tabs>
          <w:tab w:leader="none" w:pos="3521" w:val="left"/>
        </w:tabs>
        <w:numPr>
          <w:ilvl w:val="0"/>
          <w:numId w:val="13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if all or any portion of such Defaulting Lender’s LC Exposure is neither cash collateralized nor reallocated pursuant to </w:t>
      </w:r>
      <w:r>
        <w:rPr>
          <w:rFonts w:ascii="Times New Roman" w:cs="Times New Roman" w:eastAsia="Times New Roman" w:hAnsi="Times New Roman"/>
          <w:sz w:val="19"/>
          <w:szCs w:val="19"/>
          <w:u w:val="single" w:color="auto"/>
          <w:color w:val="231F20"/>
        </w:rPr>
        <w:t>Section 2.20(c)</w:t>
      </w:r>
      <w:r>
        <w:rPr>
          <w:rFonts w:ascii="Times New Roman" w:cs="Times New Roman" w:eastAsia="Times New Roman" w:hAnsi="Times New Roman"/>
          <w:sz w:val="19"/>
          <w:szCs w:val="19"/>
          <w:color w:val="231F20"/>
        </w:rPr>
        <w:t xml:space="preserve">, then, without prejudice to any rights or remedies of any Issuing Bank or any other Lender hereunder, all facility fees that otherwise would have been payable to such Defaulting Lender (solely with respect to the portion of such Defaulting Lender’s Commitment that was utilized by such LC Exposure) and letter of credit fees payable under </w:t>
      </w:r>
      <w:r>
        <w:rPr>
          <w:rFonts w:ascii="Times New Roman" w:cs="Times New Roman" w:eastAsia="Times New Roman" w:hAnsi="Times New Roman"/>
          <w:sz w:val="19"/>
          <w:szCs w:val="19"/>
          <w:u w:val="single" w:color="auto"/>
          <w:color w:val="231F20"/>
        </w:rPr>
        <w:t>Section 2.12(b)</w:t>
      </w:r>
      <w:r>
        <w:rPr>
          <w:rFonts w:ascii="Times New Roman" w:cs="Times New Roman" w:eastAsia="Times New Roman" w:hAnsi="Times New Roman"/>
          <w:sz w:val="19"/>
          <w:szCs w:val="19"/>
          <w:color w:val="231F20"/>
        </w:rPr>
        <w:t xml:space="preserve"> with respect to such Defaulting Lender’s LC Exposure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00" w:name="page201"/>
    <w:bookmarkEnd w:id="200"/>
    <w:p>
      <w:pPr>
        <w:ind w:left="1480"/>
        <w:spacing w:after="0"/>
        <w:rPr>
          <w:sz w:val="20"/>
          <w:szCs w:val="20"/>
          <w:color w:val="auto"/>
        </w:rPr>
      </w:pPr>
      <w:r>
        <w:rPr>
          <w:rFonts w:ascii="Times New Roman" w:cs="Times New Roman" w:eastAsia="Times New Roman" w:hAnsi="Times New Roman"/>
          <w:sz w:val="20"/>
          <w:szCs w:val="20"/>
          <w:color w:val="231F20"/>
        </w:rPr>
        <w:t>shall be payable to the Issuing Banks until such LC Exposure is cash collateralized and/or reallocated;</w:t>
      </w:r>
    </w:p>
    <w:p>
      <w:pPr>
        <w:spacing w:after="0" w:line="216" w:lineRule="exact"/>
        <w:rPr>
          <w:sz w:val="20"/>
          <w:szCs w:val="20"/>
          <w:color w:val="auto"/>
        </w:rPr>
      </w:pPr>
    </w:p>
    <w:p>
      <w:pPr>
        <w:jc w:val="both"/>
        <w:ind w:left="740" w:right="80" w:firstLine="746"/>
        <w:spacing w:after="0" w:line="244" w:lineRule="auto"/>
        <w:tabs>
          <w:tab w:leader="none" w:pos="2007" w:val="left"/>
        </w:tabs>
        <w:numPr>
          <w:ilvl w:val="0"/>
          <w:numId w:val="1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so long as such Lender is a Defaulting Lender, no Swingline Lender shall be required to fund any Swingline Loan and no Issuing Bank shall be required to issue or increase any Letter of Credit, unless it is reasonably satisfied that the related exposure and the Defaulting Lender’s then outstanding LC Exposure will be 100% covered by the Commitments of the non-Defaulting Lenders and/or cash collateral will be provided by the Borrower in accordance with </w:t>
      </w:r>
      <w:r>
        <w:rPr>
          <w:rFonts w:ascii="Times New Roman" w:cs="Times New Roman" w:eastAsia="Times New Roman" w:hAnsi="Times New Roman"/>
          <w:sz w:val="20"/>
          <w:szCs w:val="20"/>
          <w:u w:val="single" w:color="auto"/>
          <w:color w:val="231F20"/>
        </w:rPr>
        <w:t>Section 2.20(c)</w:t>
      </w:r>
      <w:r>
        <w:rPr>
          <w:rFonts w:ascii="Times New Roman" w:cs="Times New Roman" w:eastAsia="Times New Roman" w:hAnsi="Times New Roman"/>
          <w:sz w:val="20"/>
          <w:szCs w:val="20"/>
          <w:color w:val="231F20"/>
        </w:rPr>
        <w:t xml:space="preserve">, and Swingline Exposure related to any such newly made Swingline Loan or LC Exposure related to any such newly issued or increased Letter of Credit shall be allocated among non-Defaulting Lenders in a manner consistent with </w:t>
      </w:r>
      <w:r>
        <w:rPr>
          <w:rFonts w:ascii="Times New Roman" w:cs="Times New Roman" w:eastAsia="Times New Roman" w:hAnsi="Times New Roman"/>
          <w:sz w:val="20"/>
          <w:szCs w:val="20"/>
          <w:u w:val="single" w:color="auto"/>
          <w:color w:val="231F20"/>
        </w:rPr>
        <w:t>Section 2.20(c)(i)</w:t>
      </w:r>
      <w:r>
        <w:rPr>
          <w:rFonts w:ascii="Times New Roman" w:cs="Times New Roman" w:eastAsia="Times New Roman" w:hAnsi="Times New Roman"/>
          <w:sz w:val="20"/>
          <w:szCs w:val="20"/>
          <w:color w:val="231F20"/>
        </w:rPr>
        <w:t xml:space="preserve"> (and such Defaulting Lender shall not participate therein);</w:t>
      </w:r>
    </w:p>
    <w:p>
      <w:pPr>
        <w:spacing w:after="0" w:line="185" w:lineRule="exact"/>
        <w:rPr>
          <w:rFonts w:ascii="Times New Roman" w:cs="Times New Roman" w:eastAsia="Times New Roman" w:hAnsi="Times New Roman"/>
          <w:sz w:val="20"/>
          <w:szCs w:val="20"/>
          <w:color w:val="231F20"/>
        </w:rPr>
      </w:pPr>
    </w:p>
    <w:p>
      <w:pPr>
        <w:jc w:val="both"/>
        <w:ind w:left="740" w:right="60" w:firstLine="745"/>
        <w:spacing w:after="0" w:line="244" w:lineRule="auto"/>
        <w:tabs>
          <w:tab w:leader="none" w:pos="2008" w:val="left"/>
        </w:tabs>
        <w:numPr>
          <w:ilvl w:val="0"/>
          <w:numId w:val="1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(i) a Bankruptcy Event with respect to a Parent of any Lender shall occur following the date hereof and for so long as such event shall continue or (ii) any Swingline Lender or Issuing Bank has a good faith belief that any Lender has defaulted in fulfilling its obligations under one or more other agreements in which such Lender commits to extend credit, no Swingline Lender shall be required to fund any Swingline Loan and no such Issuing Bank shall be required to issue or increase any Letter of Credit unless such Swingline Lender or Issuing Bank shall have entered into arrangements with the Borrower or such Lender, reasonably satisfactory to such Swingline Lender or Issuing Bank, as the case may be, to defease any risk to it in respect of such Lender hereunder; and</w:t>
      </w:r>
    </w:p>
    <w:p>
      <w:pPr>
        <w:spacing w:after="0" w:line="185" w:lineRule="exact"/>
        <w:rPr>
          <w:rFonts w:ascii="Times New Roman" w:cs="Times New Roman" w:eastAsia="Times New Roman" w:hAnsi="Times New Roman"/>
          <w:sz w:val="20"/>
          <w:szCs w:val="20"/>
          <w:color w:val="231F20"/>
        </w:rPr>
      </w:pPr>
    </w:p>
    <w:p>
      <w:pPr>
        <w:jc w:val="both"/>
        <w:ind w:left="740" w:right="120" w:firstLine="745"/>
        <w:spacing w:after="0" w:line="245" w:lineRule="auto"/>
        <w:tabs>
          <w:tab w:leader="none" w:pos="2005" w:val="left"/>
        </w:tabs>
        <w:numPr>
          <w:ilvl w:val="0"/>
          <w:numId w:val="1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the event and on the date that each of the Administrative Agent, the Borrower, each Swingline Lender and each Issuing Bank agrees that a Defaulting Lender has adequately remedied all matters that caused such Lender to be a Defaulting Lender, then the LC Exposure of the other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4"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231F20"/>
        </w:rPr>
        <w:t>Nothing contained herein shall be deemed to be a release of any claims of the Administrative Agent or the Borrower against any Defaulting Lender for its breach of any of its obligations under this Agreement.</w:t>
      </w:r>
    </w:p>
    <w:p>
      <w:pPr>
        <w:spacing w:after="0" w:line="159" w:lineRule="exact"/>
        <w:rPr>
          <w:sz w:val="20"/>
          <w:szCs w:val="20"/>
          <w:color w:val="auto"/>
        </w:rPr>
      </w:pPr>
    </w:p>
    <w:p>
      <w:pPr>
        <w:jc w:val="both"/>
        <w:ind w:left="740" w:right="80" w:firstLine="749"/>
        <w:spacing w:after="0" w:line="242" w:lineRule="auto"/>
        <w:rPr>
          <w:sz w:val="20"/>
          <w:szCs w:val="20"/>
          <w:color w:val="auto"/>
        </w:rPr>
      </w:pPr>
      <w:r>
        <w:rPr>
          <w:rFonts w:ascii="Times New Roman" w:cs="Times New Roman" w:eastAsia="Times New Roman" w:hAnsi="Times New Roman"/>
          <w:sz w:val="20"/>
          <w:szCs w:val="20"/>
          <w:color w:val="231F20"/>
        </w:rPr>
        <w:t xml:space="preserve">SECTION 2.21 </w:t>
      </w:r>
      <w:r>
        <w:rPr>
          <w:rFonts w:ascii="Times New Roman" w:cs="Times New Roman" w:eastAsia="Times New Roman" w:hAnsi="Times New Roman"/>
          <w:sz w:val="20"/>
          <w:szCs w:val="20"/>
          <w:u w:val="single" w:color="auto"/>
          <w:color w:val="231F20"/>
        </w:rPr>
        <w:t>Returned Payments</w:t>
      </w:r>
      <w:r>
        <w:rPr>
          <w:rFonts w:ascii="Times New Roman" w:cs="Times New Roman" w:eastAsia="Times New Roman" w:hAnsi="Times New Roman"/>
          <w:sz w:val="20"/>
          <w:szCs w:val="20"/>
          <w:color w:val="231F20"/>
        </w:rPr>
        <w:t xml:space="preserve">.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w:t>
      </w:r>
      <w:r>
        <w:rPr>
          <w:rFonts w:ascii="Times New Roman" w:cs="Times New Roman" w:eastAsia="Times New Roman" w:hAnsi="Times New Roman"/>
          <w:sz w:val="20"/>
          <w:szCs w:val="20"/>
          <w:u w:val="single" w:color="auto"/>
          <w:color w:val="231F20"/>
        </w:rPr>
        <w:t>Section 2.21</w:t>
      </w:r>
      <w:r>
        <w:rPr>
          <w:rFonts w:ascii="Times New Roman" w:cs="Times New Roman" w:eastAsia="Times New Roman" w:hAnsi="Times New Roman"/>
          <w:sz w:val="20"/>
          <w:szCs w:val="20"/>
          <w:color w:val="231F20"/>
        </w:rPr>
        <w:t xml:space="preserve"> shall be and remain effective notwithstanding any contrary action which may have been taken by the Administrative Agent or any Lender in reliance upon such payment or application of proceeds. The provisions of this </w:t>
      </w:r>
      <w:r>
        <w:rPr>
          <w:rFonts w:ascii="Times New Roman" w:cs="Times New Roman" w:eastAsia="Times New Roman" w:hAnsi="Times New Roman"/>
          <w:sz w:val="20"/>
          <w:szCs w:val="20"/>
          <w:u w:val="single" w:color="auto"/>
          <w:color w:val="231F20"/>
        </w:rPr>
        <w:t>Section 2.21</w:t>
      </w:r>
      <w:r>
        <w:rPr>
          <w:rFonts w:ascii="Times New Roman" w:cs="Times New Roman" w:eastAsia="Times New Roman" w:hAnsi="Times New Roman"/>
          <w:sz w:val="20"/>
          <w:szCs w:val="20"/>
          <w:color w:val="231F20"/>
        </w:rPr>
        <w:t xml:space="preserve"> shall survive the termination of this Agreement.</w:t>
      </w:r>
    </w:p>
    <w:p>
      <w:pPr>
        <w:spacing w:after="0" w:line="19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 xml:space="preserve">SECTION 2.22 </w:t>
      </w:r>
      <w:r>
        <w:rPr>
          <w:rFonts w:ascii="Times New Roman" w:cs="Times New Roman" w:eastAsia="Times New Roman" w:hAnsi="Times New Roman"/>
          <w:sz w:val="20"/>
          <w:szCs w:val="20"/>
          <w:u w:val="single" w:color="auto"/>
          <w:color w:val="231F20"/>
        </w:rPr>
        <w:t>Increase of Commitments</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100" w:firstLine="745"/>
        <w:spacing w:after="0" w:line="254" w:lineRule="auto"/>
        <w:tabs>
          <w:tab w:leader="none" w:pos="2006" w:val="left"/>
        </w:tabs>
        <w:numPr>
          <w:ilvl w:val="0"/>
          <w:numId w:val="14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Borrower shall have the right at any time after the Effective Date to request that the aggregate Commitments hereunder be increased (a “</w:t>
      </w:r>
      <w:r>
        <w:rPr>
          <w:rFonts w:ascii="Times New Roman" w:cs="Times New Roman" w:eastAsia="Times New Roman" w:hAnsi="Times New Roman"/>
          <w:sz w:val="20"/>
          <w:szCs w:val="20"/>
          <w:u w:val="single" w:color="auto"/>
          <w:color w:val="231F20"/>
        </w:rPr>
        <w:t>Commitment Increase</w:t>
      </w:r>
      <w:r>
        <w:rPr>
          <w:rFonts w:ascii="Times New Roman" w:cs="Times New Roman" w:eastAsia="Times New Roman" w:hAnsi="Times New Roman"/>
          <w:sz w:val="20"/>
          <w:szCs w:val="20"/>
          <w:color w:val="231F20"/>
        </w:rPr>
        <w:t>”) in accordance with the following provisions and subject to the following conditions:</w:t>
      </w:r>
    </w:p>
    <w:p>
      <w:pPr>
        <w:spacing w:after="0" w:line="25" w:lineRule="exact"/>
        <w:rPr>
          <w:rFonts w:ascii="Times New Roman" w:cs="Times New Roman" w:eastAsia="Times New Roman" w:hAnsi="Times New Roman"/>
          <w:sz w:val="20"/>
          <w:szCs w:val="20"/>
          <w:color w:val="231F20"/>
        </w:rPr>
      </w:pPr>
    </w:p>
    <w:p>
      <w:pPr>
        <w:jc w:val="both"/>
        <w:ind w:left="1480" w:right="60" w:firstLine="1503"/>
        <w:spacing w:after="0" w:line="254" w:lineRule="auto"/>
        <w:tabs>
          <w:tab w:leader="none" w:pos="3525" w:val="left"/>
        </w:tabs>
        <w:numPr>
          <w:ilvl w:val="1"/>
          <w:numId w:val="14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Borrower shall give the Administrative Agent, which shall promptly deliver a copy thereof to each of the Lenders, at least ten (10) Business Days’ prior written notice (a “</w:t>
      </w:r>
      <w:r>
        <w:rPr>
          <w:rFonts w:ascii="Times New Roman" w:cs="Times New Roman" w:eastAsia="Times New Roman" w:hAnsi="Times New Roman"/>
          <w:sz w:val="20"/>
          <w:szCs w:val="20"/>
          <w:u w:val="single" w:color="auto"/>
          <w:color w:val="231F20"/>
        </w:rPr>
        <w:t>Notice of Increase</w:t>
      </w:r>
      <w:r>
        <w:rPr>
          <w:rFonts w:ascii="Times New Roman" w:cs="Times New Roman" w:eastAsia="Times New Roman" w:hAnsi="Times New Roman"/>
          <w:sz w:val="20"/>
          <w:szCs w:val="20"/>
          <w:color w:val="231F20"/>
        </w:rPr>
        <w:t>”) of any such requested increase specifying the aggregate amount by which</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291" w:right="659" w:bottom="1440" w:gutter="0" w:footer="0" w:header="0"/>
        </w:sectPr>
      </w:pPr>
    </w:p>
    <w:bookmarkStart w:id="201" w:name="page202"/>
    <w:bookmarkEnd w:id="201"/>
    <w:p>
      <w:pPr>
        <w:jc w:val="both"/>
        <w:ind w:left="1480"/>
        <w:spacing w:after="0" w:line="245" w:lineRule="auto"/>
        <w:rPr>
          <w:sz w:val="20"/>
          <w:szCs w:val="20"/>
          <w:color w:val="auto"/>
        </w:rPr>
      </w:pPr>
      <w:r>
        <w:rPr>
          <w:rFonts w:ascii="Times New Roman" w:cs="Times New Roman" w:eastAsia="Times New Roman" w:hAnsi="Times New Roman"/>
          <w:sz w:val="20"/>
          <w:szCs w:val="20"/>
          <w:color w:val="231F20"/>
        </w:rPr>
        <w:t>the Commitments are to be increased, which shall be at least $5.0 million, the requested date of increase (the “</w:t>
      </w:r>
      <w:r>
        <w:rPr>
          <w:rFonts w:ascii="Times New Roman" w:cs="Times New Roman" w:eastAsia="Times New Roman" w:hAnsi="Times New Roman"/>
          <w:sz w:val="20"/>
          <w:szCs w:val="20"/>
          <w:u w:val="single" w:color="auto"/>
          <w:color w:val="231F20"/>
        </w:rPr>
        <w:t>Requested Increase Date</w:t>
      </w:r>
      <w:r>
        <w:rPr>
          <w:rFonts w:ascii="Times New Roman" w:cs="Times New Roman" w:eastAsia="Times New Roman" w:hAnsi="Times New Roman"/>
          <w:sz w:val="20"/>
          <w:szCs w:val="20"/>
          <w:color w:val="231F20"/>
        </w:rPr>
        <w:t>”) and the date by which the Lenders wishing to participate in the Commitment Increase must commit to an increase in the amount of their respective Commitments (the “</w:t>
      </w:r>
      <w:r>
        <w:rPr>
          <w:rFonts w:ascii="Times New Roman" w:cs="Times New Roman" w:eastAsia="Times New Roman" w:hAnsi="Times New Roman"/>
          <w:sz w:val="20"/>
          <w:szCs w:val="20"/>
          <w:u w:val="single" w:color="auto"/>
          <w:color w:val="231F20"/>
        </w:rPr>
        <w:t>Commitment Date</w:t>
      </w:r>
      <w:r>
        <w:rPr>
          <w:rFonts w:ascii="Times New Roman" w:cs="Times New Roman" w:eastAsia="Times New Roman" w:hAnsi="Times New Roman"/>
          <w:sz w:val="20"/>
          <w:szCs w:val="20"/>
          <w:color w:val="231F20"/>
        </w:rPr>
        <w:t>”). Each Lender that is willing in its sole discretion to participate in such requested Commitment Increase (each an “</w:t>
      </w:r>
      <w:r>
        <w:rPr>
          <w:rFonts w:ascii="Times New Roman" w:cs="Times New Roman" w:eastAsia="Times New Roman" w:hAnsi="Times New Roman"/>
          <w:sz w:val="20"/>
          <w:szCs w:val="20"/>
          <w:u w:val="single" w:color="auto"/>
          <w:color w:val="231F20"/>
        </w:rPr>
        <w:t>Increasing</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Lender</w:t>
      </w:r>
      <w:r>
        <w:rPr>
          <w:rFonts w:ascii="Times New Roman" w:cs="Times New Roman" w:eastAsia="Times New Roman" w:hAnsi="Times New Roman"/>
          <w:sz w:val="20"/>
          <w:szCs w:val="20"/>
          <w:color w:val="231F20"/>
        </w:rPr>
        <w:t>”) shall give written notice to the Administrative Agent on or prior to the Commitment Date of the amount by which it is willing to increase its Commitment.</w:t>
      </w:r>
    </w:p>
    <w:p>
      <w:pPr>
        <w:spacing w:after="0" w:line="184" w:lineRule="exact"/>
        <w:rPr>
          <w:sz w:val="20"/>
          <w:szCs w:val="20"/>
          <w:color w:val="auto"/>
        </w:rPr>
      </w:pPr>
    </w:p>
    <w:p>
      <w:pPr>
        <w:jc w:val="both"/>
        <w:ind w:left="1480" w:right="40" w:firstLine="1503"/>
        <w:spacing w:after="0" w:line="243" w:lineRule="auto"/>
        <w:tabs>
          <w:tab w:leader="none" w:pos="3522" w:val="left"/>
        </w:tabs>
        <w:numPr>
          <w:ilvl w:val="1"/>
          <w:numId w:val="1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Promptly following each Commitment Date, the Administrative Agent shall notify the Borrower as to the amount, if any, by which the Lenders are willing to participate in the requested Commitment Increase. In addition, the Borrower may extend offers to one or more Eligible Assignees, each of which must be reasonably satisfactory to the Administrative Agent, (such consent not to be unreasonably withheld) to participate in any portion of the requested Commitment Increase;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however</w:t>
      </w:r>
      <w:r>
        <w:rPr>
          <w:rFonts w:ascii="Times New Roman" w:cs="Times New Roman" w:eastAsia="Times New Roman" w:hAnsi="Times New Roman"/>
          <w:sz w:val="20"/>
          <w:szCs w:val="20"/>
          <w:color w:val="231F20"/>
        </w:rPr>
        <w:t>, that the Commitment of each such Eligible Assignee shall be in an amount of not less than $1.0 million or an integral multiple of $1.0 million in excess thereof. Any such Eligible Assignee that agrees to acquire a Commitment pursuant hereto is herein called an “</w:t>
      </w:r>
      <w:r>
        <w:rPr>
          <w:rFonts w:ascii="Times New Roman" w:cs="Times New Roman" w:eastAsia="Times New Roman" w:hAnsi="Times New Roman"/>
          <w:sz w:val="20"/>
          <w:szCs w:val="20"/>
          <w:u w:val="single" w:color="auto"/>
          <w:color w:val="231F20"/>
        </w:rPr>
        <w:t>Additional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Lender</w:t>
      </w:r>
      <w:r>
        <w:rPr>
          <w:rFonts w:ascii="Times New Roman" w:cs="Times New Roman" w:eastAsia="Times New Roman" w:hAnsi="Times New Roman"/>
          <w:sz w:val="20"/>
          <w:szCs w:val="20"/>
          <w:color w:val="231F20"/>
        </w:rPr>
        <w:t>”.</w:t>
      </w:r>
    </w:p>
    <w:p>
      <w:pPr>
        <w:spacing w:after="0" w:line="189" w:lineRule="exact"/>
        <w:rPr>
          <w:rFonts w:ascii="Times New Roman" w:cs="Times New Roman" w:eastAsia="Times New Roman" w:hAnsi="Times New Roman"/>
          <w:sz w:val="20"/>
          <w:szCs w:val="20"/>
          <w:color w:val="231F20"/>
        </w:rPr>
      </w:pPr>
    </w:p>
    <w:p>
      <w:pPr>
        <w:jc w:val="both"/>
        <w:ind w:left="1480" w:right="20" w:firstLine="1503"/>
        <w:spacing w:after="0" w:line="257" w:lineRule="auto"/>
        <w:tabs>
          <w:tab w:leader="none" w:pos="3523" w:val="left"/>
        </w:tabs>
        <w:numPr>
          <w:ilvl w:val="1"/>
          <w:numId w:val="14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Effective on the Requested Increase Date, subject to the terms and conditions hereof, (x) the </w:t>
      </w:r>
      <w:r>
        <w:rPr>
          <w:rFonts w:ascii="Times New Roman" w:cs="Times New Roman" w:eastAsia="Times New Roman" w:hAnsi="Times New Roman"/>
          <w:sz w:val="19"/>
          <w:szCs w:val="19"/>
          <w:u w:val="single" w:color="auto"/>
          <w:color w:val="231F20"/>
        </w:rPr>
        <w:t>Commitment Schedule</w:t>
      </w:r>
      <w:r>
        <w:rPr>
          <w:rFonts w:ascii="Times New Roman" w:cs="Times New Roman" w:eastAsia="Times New Roman" w:hAnsi="Times New Roman"/>
          <w:sz w:val="19"/>
          <w:szCs w:val="19"/>
          <w:color w:val="231F20"/>
        </w:rPr>
        <w:t xml:space="preserve"> shall be deemed to be amended to reflect the increases contemplated hereby, (y) the Commitment of each Increasing Lender shall be increased by an amount determined by the Administrative Agent and the Borrower (but in no event greater than the amount by which such Lender is willing to increase its Commitment), and (z) each Additional Lender shall enter into an agreement in form and substance reasonably satisfactory to the Borrower and the Administrative Agent pursuant to which it shall undertake, as of such Requested Increase Date, a new Commitment in an amount determined by the Administrative Agent and the Borrower (but in no event greater than the amount by which such Lender is willing to participate in the requested Commitment Increase), and such Additional Lender shall thereupon be deemed to be a Lender for all purposes of this Agreement.</w:t>
      </w:r>
    </w:p>
    <w:p>
      <w:pPr>
        <w:spacing w:after="0" w:line="175" w:lineRule="exact"/>
        <w:rPr>
          <w:rFonts w:ascii="Times New Roman" w:cs="Times New Roman" w:eastAsia="Times New Roman" w:hAnsi="Times New Roman"/>
          <w:sz w:val="19"/>
          <w:szCs w:val="19"/>
          <w:color w:val="231F20"/>
        </w:rPr>
      </w:pPr>
    </w:p>
    <w:p>
      <w:pPr>
        <w:jc w:val="both"/>
        <w:ind w:left="1480" w:right="60" w:firstLine="1503"/>
        <w:spacing w:after="0" w:line="244" w:lineRule="auto"/>
        <w:tabs>
          <w:tab w:leader="none" w:pos="3521" w:val="left"/>
        </w:tabs>
        <w:numPr>
          <w:ilvl w:val="1"/>
          <w:numId w:val="1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on the Requested Increase Date there are any Loans outstanding hereunder, the Borrower shall borrow from all or certain of the Lenders and/or prepay Loans of all or certain of the Lenders such that, after giving effect thereto, the Loans (including the Types and Interest Periods thereof) and such participations shall be held by the Lenders (including for such purposes the Increasing Lenders and the Additional Lenders) ratably in accordance with their respective Commitments. On and after each Requested Increase Date, the ratable share of each Lender’s participation in Letters of Credit and Loans from draws under Letters of Credit shall be calculated after giving effect to each such Commitment Increase.</w:t>
      </w:r>
    </w:p>
    <w:p>
      <w:pPr>
        <w:spacing w:after="0" w:line="185" w:lineRule="exact"/>
        <w:rPr>
          <w:rFonts w:ascii="Times New Roman" w:cs="Times New Roman" w:eastAsia="Times New Roman" w:hAnsi="Times New Roman"/>
          <w:sz w:val="20"/>
          <w:szCs w:val="20"/>
          <w:color w:val="231F20"/>
        </w:rPr>
      </w:pPr>
    </w:p>
    <w:p>
      <w:pPr>
        <w:ind w:left="740" w:right="500" w:firstLine="745"/>
        <w:spacing w:after="0" w:line="269" w:lineRule="auto"/>
        <w:tabs>
          <w:tab w:leader="none" w:pos="2005" w:val="left"/>
        </w:tabs>
        <w:numPr>
          <w:ilvl w:val="0"/>
          <w:numId w:val="1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Anything in this </w:t>
      </w:r>
      <w:r>
        <w:rPr>
          <w:rFonts w:ascii="Times New Roman" w:cs="Times New Roman" w:eastAsia="Times New Roman" w:hAnsi="Times New Roman"/>
          <w:sz w:val="20"/>
          <w:szCs w:val="20"/>
          <w:u w:val="single" w:color="auto"/>
          <w:color w:val="231F20"/>
        </w:rPr>
        <w:t>Section 2.22</w:t>
      </w:r>
      <w:r>
        <w:rPr>
          <w:rFonts w:ascii="Times New Roman" w:cs="Times New Roman" w:eastAsia="Times New Roman" w:hAnsi="Times New Roman"/>
          <w:sz w:val="20"/>
          <w:szCs w:val="20"/>
          <w:color w:val="231F20"/>
        </w:rPr>
        <w:t xml:space="preserve"> to the contrary notwithstanding, no increase in the aggregate Commitments hereunder pursuant to this </w:t>
      </w:r>
      <w:r>
        <w:rPr>
          <w:rFonts w:ascii="Times New Roman" w:cs="Times New Roman" w:eastAsia="Times New Roman" w:hAnsi="Times New Roman"/>
          <w:sz w:val="20"/>
          <w:szCs w:val="20"/>
          <w:u w:val="single" w:color="auto"/>
          <w:color w:val="231F20"/>
        </w:rPr>
        <w:t>Section 2.22</w:t>
      </w:r>
      <w:r>
        <w:rPr>
          <w:rFonts w:ascii="Times New Roman" w:cs="Times New Roman" w:eastAsia="Times New Roman" w:hAnsi="Times New Roman"/>
          <w:sz w:val="20"/>
          <w:szCs w:val="20"/>
          <w:color w:val="231F20"/>
        </w:rPr>
        <w:t xml:space="preserve"> shall be effective unless:</w:t>
      </w:r>
    </w:p>
    <w:p>
      <w:pPr>
        <w:spacing w:after="0" w:line="159" w:lineRule="exact"/>
        <w:rPr>
          <w:rFonts w:ascii="Times New Roman" w:cs="Times New Roman" w:eastAsia="Times New Roman" w:hAnsi="Times New Roman"/>
          <w:sz w:val="20"/>
          <w:szCs w:val="20"/>
          <w:color w:val="231F20"/>
        </w:rPr>
      </w:pPr>
    </w:p>
    <w:p>
      <w:pPr>
        <w:jc w:val="both"/>
        <w:ind w:left="1480" w:right="40" w:firstLine="1503"/>
        <w:spacing w:after="0" w:line="254" w:lineRule="auto"/>
        <w:tabs>
          <w:tab w:leader="none" w:pos="3522" w:val="left"/>
        </w:tabs>
        <w:numPr>
          <w:ilvl w:val="1"/>
          <w:numId w:val="1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as of the date of the relevant Notice of Increase and on the relevant Requested Increase Date and after giving effect to such increase, (x) no Default or Event of Default shall have occurred and be continuing and (y) the condition set forth in </w:t>
      </w:r>
      <w:r>
        <w:rPr>
          <w:rFonts w:ascii="Times New Roman" w:cs="Times New Roman" w:eastAsia="Times New Roman" w:hAnsi="Times New Roman"/>
          <w:sz w:val="20"/>
          <w:szCs w:val="20"/>
          <w:u w:val="single" w:color="auto"/>
          <w:color w:val="231F20"/>
        </w:rPr>
        <w:t>Section 4.02(a)</w:t>
      </w:r>
      <w:r>
        <w:rPr>
          <w:rFonts w:ascii="Times New Roman" w:cs="Times New Roman" w:eastAsia="Times New Roman" w:hAnsi="Times New Roman"/>
          <w:sz w:val="20"/>
          <w:szCs w:val="20"/>
          <w:color w:val="231F20"/>
        </w:rPr>
        <w:t xml:space="preserve"> shall be satisfied;</w:t>
      </w:r>
    </w:p>
    <w:p>
      <w:pPr>
        <w:spacing w:after="0" w:line="174" w:lineRule="exact"/>
        <w:rPr>
          <w:rFonts w:ascii="Times New Roman" w:cs="Times New Roman" w:eastAsia="Times New Roman" w:hAnsi="Times New Roman"/>
          <w:sz w:val="20"/>
          <w:szCs w:val="20"/>
          <w:color w:val="231F20"/>
        </w:rPr>
      </w:pPr>
    </w:p>
    <w:p>
      <w:pPr>
        <w:ind w:left="1480" w:right="60" w:firstLine="1503"/>
        <w:spacing w:after="0" w:line="269" w:lineRule="auto"/>
        <w:tabs>
          <w:tab w:leader="none" w:pos="3521" w:val="left"/>
        </w:tabs>
        <w:numPr>
          <w:ilvl w:val="1"/>
          <w:numId w:val="1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 the extent reasonably requested by the Administrative Agent, receipt by the Administrative Agent of (A) customary legal opinions, board resolutions and officers’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02" w:name="page203"/>
    <w:bookmarkEnd w:id="202"/>
    <w:p>
      <w:pPr>
        <w:jc w:val="both"/>
        <w:ind w:left="1480" w:right="40"/>
        <w:spacing w:after="0" w:line="246" w:lineRule="auto"/>
        <w:rPr>
          <w:sz w:val="20"/>
          <w:szCs w:val="20"/>
          <w:color w:val="auto"/>
        </w:rPr>
      </w:pPr>
      <w:r>
        <w:rPr>
          <w:rFonts w:ascii="Times New Roman" w:cs="Times New Roman" w:eastAsia="Times New Roman" w:hAnsi="Times New Roman"/>
          <w:sz w:val="20"/>
          <w:szCs w:val="20"/>
          <w:color w:val="231F20"/>
        </w:rPr>
        <w:t>certificates consistent with the documentation delivered on the Effective Date (conformed as appropriate) other than changes to such legal opinions resulting from a change in law, change in fact or change to counsel’s form of opinion reasonably satisfactory to the Administrative Agent and (B) any reaffirmation or similar documentation as reasonably requested by the Administrative Agent in order to ensure that such Increasing Lender or Additional Lender is provided with the benefit of the applicable Loan Documents;</w:t>
      </w:r>
    </w:p>
    <w:p>
      <w:pPr>
        <w:spacing w:after="0" w:line="185" w:lineRule="exact"/>
        <w:rPr>
          <w:sz w:val="20"/>
          <w:szCs w:val="20"/>
          <w:color w:val="auto"/>
        </w:rPr>
      </w:pPr>
    </w:p>
    <w:p>
      <w:pPr>
        <w:jc w:val="both"/>
        <w:ind w:left="1480" w:firstLine="1503"/>
        <w:spacing w:after="0" w:line="249" w:lineRule="auto"/>
        <w:tabs>
          <w:tab w:leader="none" w:pos="3525" w:val="left"/>
        </w:tabs>
        <w:numPr>
          <w:ilvl w:val="0"/>
          <w:numId w:val="1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after giving effect to such Commitment Increases, the aggregate principal amount of all such Commitment Increases incurred since the </w:t>
      </w:r>
      <w:r>
        <w:rPr>
          <w:rFonts w:ascii="Times New Roman" w:cs="Times New Roman" w:eastAsia="Times New Roman" w:hAnsi="Times New Roman"/>
          <w:sz w:val="20"/>
          <w:szCs w:val="20"/>
          <w:u w:val="single" w:color="auto"/>
          <w:color w:val="2251A3"/>
        </w:rPr>
        <w:t>First Amendment</w:t>
      </w:r>
      <w:r>
        <w:rPr>
          <w:rFonts w:ascii="Times New Roman" w:cs="Times New Roman" w:eastAsia="Times New Roman" w:hAnsi="Times New Roman"/>
          <w:sz w:val="20"/>
          <w:szCs w:val="20"/>
          <w:color w:val="231F20"/>
        </w:rPr>
        <w:t xml:space="preserve"> Effective Date shall not exceed an amount equal to the sum of (A) $50.0 million </w:t>
      </w:r>
      <w:r>
        <w:rPr>
          <w:rFonts w:ascii="Times New Roman" w:cs="Times New Roman" w:eastAsia="Times New Roman" w:hAnsi="Times New Roman"/>
          <w:sz w:val="20"/>
          <w:szCs w:val="20"/>
          <w:i w:val="1"/>
          <w:iCs w:val="1"/>
          <w:u w:val="single" w:color="auto"/>
          <w:color w:val="231F20"/>
        </w:rPr>
        <w:t>plus</w:t>
      </w:r>
      <w:r>
        <w:rPr>
          <w:rFonts w:ascii="Times New Roman" w:cs="Times New Roman" w:eastAsia="Times New Roman" w:hAnsi="Times New Roman"/>
          <w:sz w:val="20"/>
          <w:szCs w:val="20"/>
          <w:color w:val="231F20"/>
        </w:rPr>
        <w:t xml:space="preserve"> (B) 100% of Consolidated Adjusted EBITDA for the most recently ended Reference Period, on a pro forma basis; and</w:t>
      </w:r>
    </w:p>
    <w:p>
      <w:pPr>
        <w:spacing w:after="0" w:line="179" w:lineRule="exact"/>
        <w:rPr>
          <w:rFonts w:ascii="Times New Roman" w:cs="Times New Roman" w:eastAsia="Times New Roman" w:hAnsi="Times New Roman"/>
          <w:sz w:val="20"/>
          <w:szCs w:val="20"/>
          <w:color w:val="231F20"/>
        </w:rPr>
      </w:pPr>
    </w:p>
    <w:p>
      <w:pPr>
        <w:jc w:val="both"/>
        <w:ind w:left="1480" w:right="40" w:firstLine="1503"/>
        <w:spacing w:after="0" w:line="254" w:lineRule="auto"/>
        <w:tabs>
          <w:tab w:leader="none" w:pos="3522" w:val="left"/>
        </w:tabs>
        <w:numPr>
          <w:ilvl w:val="0"/>
          <w:numId w:val="1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after giving effect to any such Commitment Increase, the Borrower shall be in pro forma compliance with the Financial Covenants for the most recently ended Reference Period and the Borrower shall have delivered to the Administrative Agent reasonably detailed calculations demonstrating such compliance.</w:t>
      </w:r>
    </w:p>
    <w:p>
      <w:pPr>
        <w:spacing w:after="0" w:line="174"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231F20"/>
        </w:rPr>
        <w:t xml:space="preserve">SECTION 2.23 </w:t>
      </w:r>
      <w:r>
        <w:rPr>
          <w:rFonts w:ascii="Times New Roman" w:cs="Times New Roman" w:eastAsia="Times New Roman" w:hAnsi="Times New Roman"/>
          <w:sz w:val="20"/>
          <w:szCs w:val="20"/>
          <w:u w:val="single" w:color="auto"/>
          <w:color w:val="231F20"/>
        </w:rPr>
        <w:t>Banking Services and Swap Agreements</w:t>
      </w:r>
      <w:r>
        <w:rPr>
          <w:rFonts w:ascii="Times New Roman" w:cs="Times New Roman" w:eastAsia="Times New Roman" w:hAnsi="Times New Roman"/>
          <w:sz w:val="20"/>
          <w:szCs w:val="20"/>
          <w:color w:val="231F20"/>
        </w:rPr>
        <w:t xml:space="preserve">. Each Lender or Affiliate thereof providing Banking Services for, or having Swap Agreements with, the Borrower or any of its Subsidiaries shall deliver to the Administrative Agent, promptly after entering into such Banking Services or Swap Agreements, written notice thereof, in each case, to the extent such Banking Services or Swap Agreements relate to Secured Obligations. In furtherance of that requirement, each such Lender or Affiliate thereof shall </w:t>
      </w:r>
      <w:r>
        <w:rPr>
          <w:rFonts w:ascii="Times New Roman" w:cs="Times New Roman" w:eastAsia="Times New Roman" w:hAnsi="Times New Roman"/>
          <w:sz w:val="20"/>
          <w:szCs w:val="20"/>
          <w:u w:val="single" w:color="auto"/>
          <w:color w:val="2251A3"/>
        </w:rPr>
        <w:t>promptly</w:t>
      </w:r>
      <w:r>
        <w:rPr>
          <w:rFonts w:ascii="Times New Roman" w:cs="Times New Roman" w:eastAsia="Times New Roman" w:hAnsi="Times New Roman"/>
          <w:sz w:val="20"/>
          <w:szCs w:val="20"/>
          <w:color w:val="231F20"/>
        </w:rPr>
        <w:t xml:space="preserve"> furnish the Administrative Agent, from time to time </w:t>
      </w:r>
      <w:r>
        <w:rPr>
          <w:rFonts w:ascii="Times New Roman" w:cs="Times New Roman" w:eastAsia="Times New Roman" w:hAnsi="Times New Roman"/>
          <w:sz w:val="20"/>
          <w:szCs w:val="20"/>
          <w:color w:val="ED1C24"/>
          <w:strike w:val="1"/>
        </w:rPr>
        <w:t>promptly</w:t>
      </w:r>
      <w:r>
        <w:rPr>
          <w:rFonts w:ascii="Times New Roman" w:cs="Times New Roman" w:eastAsia="Times New Roman" w:hAnsi="Times New Roman"/>
          <w:sz w:val="20"/>
          <w:szCs w:val="20"/>
          <w:u w:val="single" w:color="auto"/>
          <w:color w:val="2251A3"/>
        </w:rPr>
        <w:t>after a significant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change therein or</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upon a request therefor, a summary of the amounts due or to become due in respect of such Banking Services</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 xml:space="preserve">Obligations and Swap Agreement Obligations that constitute Secured Obligations, together with such supporting documentation as the Administrative Agent may have reasonably requested from the applicable provider of such Banking Services or Swap Agreement. The most recent information provided to the Administrative Agent shall be used in determining which tier of the waterfall, contained in </w:t>
      </w:r>
      <w:r>
        <w:rPr>
          <w:rFonts w:ascii="Times New Roman" w:cs="Times New Roman" w:eastAsia="Times New Roman" w:hAnsi="Times New Roman"/>
          <w:sz w:val="20"/>
          <w:szCs w:val="20"/>
          <w:u w:val="single" w:color="auto"/>
          <w:color w:val="231F20"/>
        </w:rPr>
        <w:t>Section 2.18(b)</w:t>
      </w:r>
      <w:r>
        <w:rPr>
          <w:rFonts w:ascii="Times New Roman" w:cs="Times New Roman" w:eastAsia="Times New Roman" w:hAnsi="Times New Roman"/>
          <w:sz w:val="20"/>
          <w:szCs w:val="20"/>
          <w:color w:val="231F20"/>
        </w:rPr>
        <w:t xml:space="preserve">, such Banking Services Obligations and/or Swap Agreement Obligations will be placed. </w:t>
      </w:r>
      <w:r>
        <w:rPr>
          <w:rFonts w:ascii="Times New Roman" w:cs="Times New Roman" w:eastAsia="Times New Roman" w:hAnsi="Times New Roman"/>
          <w:sz w:val="20"/>
          <w:szCs w:val="20"/>
          <w:color w:val="2251A3"/>
        </w:rPr>
        <w:t>For the avoidance of doubt, so long as Citi or its Affiliate is 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Administrative Agent, neither Citi</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nor any of its Affiliates providing Banking Services for, or having Swap Agreements with, the Borrower or any of its Subsidiaries shall be required to provide any notice described in this Section 2.23 in respect of such Banking Services or Swap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-460375</wp:posOffset>
            </wp:positionV>
            <wp:extent cx="328803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288030" cy="889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-443230</wp:posOffset>
            </wp:positionV>
            <wp:extent cx="328803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 xml:space="preserve">SECTION 2.24 </w:t>
      </w:r>
      <w:r>
        <w:rPr>
          <w:rFonts w:ascii="Times New Roman" w:cs="Times New Roman" w:eastAsia="Times New Roman" w:hAnsi="Times New Roman"/>
          <w:sz w:val="20"/>
          <w:szCs w:val="20"/>
          <w:u w:val="single" w:color="auto"/>
          <w:color w:val="231F20"/>
        </w:rPr>
        <w:t>Amend and Extend Transactions</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40" w:firstLine="745"/>
        <w:spacing w:after="0" w:line="241" w:lineRule="auto"/>
        <w:tabs>
          <w:tab w:leader="none" w:pos="2006" w:val="left"/>
        </w:tabs>
        <w:numPr>
          <w:ilvl w:val="0"/>
          <w:numId w:val="1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Borrower may, by written notice to the Administrative Agent from time to time, request an extension (each, an “</w:t>
      </w:r>
      <w:r>
        <w:rPr>
          <w:rFonts w:ascii="Times New Roman" w:cs="Times New Roman" w:eastAsia="Times New Roman" w:hAnsi="Times New Roman"/>
          <w:sz w:val="20"/>
          <w:szCs w:val="20"/>
          <w:u w:val="single" w:color="auto"/>
          <w:color w:val="231F20"/>
        </w:rPr>
        <w:t>Extension</w:t>
      </w:r>
      <w:r>
        <w:rPr>
          <w:rFonts w:ascii="Times New Roman" w:cs="Times New Roman" w:eastAsia="Times New Roman" w:hAnsi="Times New Roman"/>
          <w:sz w:val="20"/>
          <w:szCs w:val="20"/>
          <w:color w:val="231F20"/>
        </w:rPr>
        <w:t>”) of the Maturity Date to the extended maturity date specified in such notice. Such notice shall (i) set forth the amount of Commitments that will be subject to the Extension (which request shall be in minimum increments of $1.0 million and a minimum amount of $5.0 million), and (ii) set forth the date on which such Extension is requested to become effective (which shall be not less than ten Business Days nor more than sixty (60) days after the date of such Extension notice (or such longer or shorter periods as the Administrative Agent shall agree in its sole discretion)). The Lenders shall be offered (an “</w:t>
      </w:r>
      <w:r>
        <w:rPr>
          <w:rFonts w:ascii="Times New Roman" w:cs="Times New Roman" w:eastAsia="Times New Roman" w:hAnsi="Times New Roman"/>
          <w:sz w:val="20"/>
          <w:szCs w:val="20"/>
          <w:u w:val="single" w:color="auto"/>
          <w:color w:val="231F20"/>
        </w:rPr>
        <w:t>Extension Offer</w:t>
      </w:r>
      <w:r>
        <w:rPr>
          <w:rFonts w:ascii="Times New Roman" w:cs="Times New Roman" w:eastAsia="Times New Roman" w:hAnsi="Times New Roman"/>
          <w:sz w:val="20"/>
          <w:szCs w:val="20"/>
          <w:color w:val="231F20"/>
        </w:rPr>
        <w:t>”) an opportunity to participate in such Extension on a pro rata basis and on the same terms and conditions as each other Lender pursuant to procedures established by, or reasonably acceptable to, the Administrative Agent and Borrower. If the aggregate principal amount of Commitments in respect of which Lenders shall have accepted the relevant Extension Offer shall exceed the maximum aggregate principal amount of Commitments subject to the Extension Offer as set forth in the Extension notice, then the Commitments of the Lenders shall be extended ratably up to such maximum amount based on the respective principal amounts with respect to which such Lenders have accepted such Extension Offer. Notwithstanding anything to the contrary in this Agreement, 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03" w:name="page204"/>
    <w:bookmarkEnd w:id="203"/>
    <w:p>
      <w:pPr>
        <w:ind w:left="740" w:right="1960"/>
        <w:spacing w:after="0" w:line="269" w:lineRule="auto"/>
        <w:rPr>
          <w:sz w:val="20"/>
          <w:szCs w:val="20"/>
          <w:color w:val="auto"/>
        </w:rPr>
      </w:pPr>
      <w:r>
        <w:rPr>
          <w:rFonts w:ascii="Times New Roman" w:cs="Times New Roman" w:eastAsia="Times New Roman" w:hAnsi="Times New Roman"/>
          <w:sz w:val="20"/>
          <w:szCs w:val="20"/>
          <w:color w:val="231F20"/>
        </w:rPr>
        <w:t xml:space="preserve">individual Lender’s agreement to extend its Commitments, in whole or in part, pursuant to this </w:t>
      </w:r>
      <w:r>
        <w:rPr>
          <w:rFonts w:ascii="Times New Roman" w:cs="Times New Roman" w:eastAsia="Times New Roman" w:hAnsi="Times New Roman"/>
          <w:sz w:val="20"/>
          <w:szCs w:val="20"/>
          <w:u w:val="single" w:color="auto"/>
          <w:color w:val="231F20"/>
        </w:rPr>
        <w:t>Section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2.24</w:t>
      </w:r>
      <w:r>
        <w:rPr>
          <w:rFonts w:ascii="Times New Roman" w:cs="Times New Roman" w:eastAsia="Times New Roman" w:hAnsi="Times New Roman"/>
          <w:sz w:val="20"/>
          <w:szCs w:val="20"/>
          <w:color w:val="231F20"/>
        </w:rPr>
        <w:t xml:space="preserve"> shall be in such Lender’s sole discretion.</w:t>
      </w:r>
    </w:p>
    <w:p>
      <w:pPr>
        <w:spacing w:after="0" w:line="159" w:lineRule="exact"/>
        <w:rPr>
          <w:sz w:val="20"/>
          <w:szCs w:val="20"/>
          <w:color w:val="auto"/>
        </w:rPr>
      </w:pPr>
    </w:p>
    <w:p>
      <w:pPr>
        <w:jc w:val="both"/>
        <w:ind w:left="740" w:right="40" w:firstLine="659"/>
        <w:spacing w:after="0" w:line="244" w:lineRule="auto"/>
        <w:rPr>
          <w:sz w:val="20"/>
          <w:szCs w:val="20"/>
          <w:color w:val="auto"/>
        </w:rPr>
      </w:pPr>
      <w:r>
        <w:rPr>
          <w:rFonts w:ascii="Times New Roman" w:cs="Times New Roman" w:eastAsia="Times New Roman" w:hAnsi="Times New Roman"/>
          <w:sz w:val="20"/>
          <w:szCs w:val="20"/>
          <w:color w:val="231F20"/>
        </w:rPr>
        <w:t xml:space="preserve">(b)The following shall be conditions precedent to the effectiveness of any Extension: (i) no Default or Event of Default shall have occurred and be continuing immediately prior to and immediately after giving effect to such Extension, (ii) the representations and warranties set forth in </w:t>
      </w:r>
      <w:r>
        <w:rPr>
          <w:rFonts w:ascii="Times New Roman" w:cs="Times New Roman" w:eastAsia="Times New Roman" w:hAnsi="Times New Roman"/>
          <w:sz w:val="20"/>
          <w:szCs w:val="20"/>
          <w:u w:val="single" w:color="auto"/>
          <w:color w:val="231F20"/>
        </w:rPr>
        <w:t>Article III</w:t>
      </w:r>
      <w:r>
        <w:rPr>
          <w:rFonts w:ascii="Times New Roman" w:cs="Times New Roman" w:eastAsia="Times New Roman" w:hAnsi="Times New Roman"/>
          <w:sz w:val="20"/>
          <w:szCs w:val="20"/>
          <w:color w:val="231F20"/>
        </w:rPr>
        <w:t xml:space="preserve"> and in each other Loan Document shall be deemed to be made and shall be true and correct in all material respects on and as of the effective date of such Extension, (iii) each relevant Issuing Bank shall have consented to any Extension of the Commitments, to the extent that such Extension provides for the issuance or extension of Letters of Credit at any time during the extended period and (iv) the terms of such Extended Commitments shall comply with </w:t>
      </w:r>
      <w:r>
        <w:rPr>
          <w:rFonts w:ascii="Times New Roman" w:cs="Times New Roman" w:eastAsia="Times New Roman" w:hAnsi="Times New Roman"/>
          <w:sz w:val="20"/>
          <w:szCs w:val="20"/>
          <w:u w:val="single" w:color="auto"/>
          <w:color w:val="231F20"/>
        </w:rPr>
        <w:t>clause (c)</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2.24</w:t>
      </w:r>
      <w:r>
        <w:rPr>
          <w:rFonts w:ascii="Times New Roman" w:cs="Times New Roman" w:eastAsia="Times New Roman" w:hAnsi="Times New Roman"/>
          <w:sz w:val="20"/>
          <w:szCs w:val="20"/>
          <w:color w:val="231F20"/>
        </w:rPr>
        <w:t>.</w:t>
      </w:r>
    </w:p>
    <w:p>
      <w:pPr>
        <w:spacing w:after="0" w:line="186" w:lineRule="exact"/>
        <w:rPr>
          <w:sz w:val="20"/>
          <w:szCs w:val="20"/>
          <w:color w:val="auto"/>
        </w:rPr>
      </w:pPr>
    </w:p>
    <w:p>
      <w:pPr>
        <w:jc w:val="both"/>
        <w:ind w:left="740" w:right="40" w:firstLine="745"/>
        <w:spacing w:after="0" w:line="242" w:lineRule="auto"/>
        <w:tabs>
          <w:tab w:leader="none" w:pos="2006" w:val="left"/>
        </w:tabs>
        <w:numPr>
          <w:ilvl w:val="0"/>
          <w:numId w:val="1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terms of each Extension shall be determined by the Borrower and the applicable extending Lenders and set forth in an Extension Amendment;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(i) the final maturity date of any Extended Commitment shall be no earlier than the Maturity Date, (ii) there shall be no scheduled amortization of the loans or reductions of commitments under any Extended Commitments, (iii) the Extended Loans will rank pari passu in right of payment and security with the existing Loans and the borrower, guarantors and collateral of the Extended Commitments shall be the same as the Borrower, Loan Guarantors and Collateral with respect to the existing Loans, (iv) the interest rate margin and any fees applicable to any Extended Commitment (and the Extended Loans thereunder) shall be determined by Borrower and the applicable extending Lenders, (v) borrowing and prepayment of Extended Loans, or reductions of Extended Commitments, and participation in Letters of Credit, shall be on a pro rata basis with the other Loans or Commitments (other than upon the maturity of the non-extended Loans and Commitments) and (vi) the terms of the Extended Commitments shall be substantially identical to the terms set forth herein (other than upon the maturity of the non-extended Loans and Commitments).</w:t>
      </w:r>
    </w:p>
    <w:p>
      <w:pPr>
        <w:spacing w:after="0" w:line="189" w:lineRule="exact"/>
        <w:rPr>
          <w:rFonts w:ascii="Times New Roman" w:cs="Times New Roman" w:eastAsia="Times New Roman" w:hAnsi="Times New Roman"/>
          <w:sz w:val="20"/>
          <w:szCs w:val="20"/>
          <w:color w:val="231F20"/>
        </w:rPr>
      </w:pPr>
    </w:p>
    <w:p>
      <w:pPr>
        <w:jc w:val="both"/>
        <w:ind w:left="740" w:firstLine="745"/>
        <w:spacing w:after="0" w:line="242" w:lineRule="auto"/>
        <w:tabs>
          <w:tab w:leader="none" w:pos="2008" w:val="left"/>
        </w:tabs>
        <w:numPr>
          <w:ilvl w:val="0"/>
          <w:numId w:val="1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 connection with any Extension, the Borrower, the Administrative Agent and each applicable extending Lender shall execute and deliver to the Administrative Agent an Extension Amendment and such other documentation as the Administrative Agent shall reasonably specify to evidence the Extension.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 to implement the terms of any such Extension, including any amendments necessary to establish Extended Commitments as tranche of Commitments and such other technical amendments as may be necessary or appropriate in the reasonable opinion of the Administrative Agent and the Borrower in connection with the establishment of such new tranche (including to preserve the pro rata treatment of the extended and non-extended tranches and to provide for the reallocation of Credit Exposure upon the expiration or termination of the commitments under any tranche), in each case on terms consistent with this </w:t>
      </w:r>
      <w:r>
        <w:rPr>
          <w:rFonts w:ascii="Times New Roman" w:cs="Times New Roman" w:eastAsia="Times New Roman" w:hAnsi="Times New Roman"/>
          <w:sz w:val="20"/>
          <w:szCs w:val="20"/>
          <w:u w:val="single" w:color="auto"/>
          <w:color w:val="231F20"/>
        </w:rPr>
        <w:t>Section 2.24.</w:t>
      </w:r>
    </w:p>
    <w:p>
      <w:pPr>
        <w:spacing w:after="0" w:line="1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 xml:space="preserve">SECTION 2.25 </w:t>
      </w:r>
      <w:r>
        <w:rPr>
          <w:rFonts w:ascii="Times New Roman" w:cs="Times New Roman" w:eastAsia="Times New Roman" w:hAnsi="Times New Roman"/>
          <w:sz w:val="20"/>
          <w:szCs w:val="20"/>
          <w:u w:val="single" w:color="auto"/>
          <w:color w:val="231F20"/>
        </w:rPr>
        <w:t>Benchmark Replacement Setting</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firstLine="745"/>
        <w:spacing w:after="0" w:line="243" w:lineRule="auto"/>
        <w:tabs>
          <w:tab w:leader="none" w:pos="2008" w:val="left"/>
        </w:tabs>
        <w:numPr>
          <w:ilvl w:val="0"/>
          <w:numId w:val="147"/>
        </w:numPr>
        <w:rPr>
          <w:rFonts w:ascii="Times New Roman" w:cs="Times New Roman" w:eastAsia="Times New Roman" w:hAnsi="Times New Roman"/>
          <w:sz w:val="20"/>
          <w:szCs w:val="20"/>
          <w:color w:val="242021"/>
        </w:rPr>
      </w:pPr>
      <w:r>
        <w:rPr>
          <w:rFonts w:ascii="Times New Roman" w:cs="Times New Roman" w:eastAsia="Times New Roman" w:hAnsi="Times New Roman"/>
          <w:sz w:val="20"/>
          <w:szCs w:val="20"/>
          <w:u w:val="single" w:color="auto"/>
          <w:color w:val="231F20"/>
        </w:rPr>
        <w:t>Benchmark Replacement</w:t>
      </w:r>
      <w:r>
        <w:rPr>
          <w:rFonts w:ascii="Times New Roman" w:cs="Times New Roman" w:eastAsia="Times New Roman" w:hAnsi="Times New Roman"/>
          <w:sz w:val="20"/>
          <w:szCs w:val="20"/>
          <w:color w:val="231F20"/>
        </w:rPr>
        <w:t xml:space="preserve">. Notwithstanding anything to the contrary herein or in any other Loan Document, upon the occurrence of a Benchmark Transition Event, the Administrative Agent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0"/>
          <w:szCs w:val="20"/>
          <w:u w:val="single" w:color="auto"/>
          <w:color w:val="231F20"/>
        </w:rPr>
        <w:t>Section 2.25(a)</w:t>
      </w:r>
      <w:r>
        <w:rPr>
          <w:rFonts w:ascii="Times New Roman" w:cs="Times New Roman" w:eastAsia="Times New Roman" w:hAnsi="Times New Roman"/>
          <w:sz w:val="20"/>
          <w:szCs w:val="20"/>
          <w:color w:val="231F20"/>
        </w:rPr>
        <w:t xml:space="preserve"> will occur prior to the applicable Benchmark Transition Start Date.</w:t>
      </w:r>
    </w:p>
    <w:p>
      <w:pPr>
        <w:spacing w:after="0" w:line="40" w:lineRule="exact"/>
        <w:rPr>
          <w:rFonts w:ascii="Times New Roman" w:cs="Times New Roman" w:eastAsia="Times New Roman" w:hAnsi="Times New Roman"/>
          <w:sz w:val="20"/>
          <w:szCs w:val="20"/>
          <w:color w:val="242021"/>
        </w:rPr>
      </w:pPr>
    </w:p>
    <w:p>
      <w:pPr>
        <w:ind w:left="2000" w:hanging="515"/>
        <w:spacing w:after="0"/>
        <w:tabs>
          <w:tab w:leader="none" w:pos="2000" w:val="left"/>
        </w:tabs>
        <w:numPr>
          <w:ilvl w:val="0"/>
          <w:numId w:val="147"/>
        </w:numPr>
        <w:rPr>
          <w:rFonts w:ascii="Times New Roman" w:cs="Times New Roman" w:eastAsia="Times New Roman" w:hAnsi="Times New Roman"/>
          <w:sz w:val="20"/>
          <w:szCs w:val="20"/>
          <w:color w:val="242021"/>
        </w:rPr>
      </w:pPr>
      <w:r>
        <w:rPr>
          <w:rFonts w:ascii="Times New Roman" w:cs="Times New Roman" w:eastAsia="Times New Roman" w:hAnsi="Times New Roman"/>
          <w:sz w:val="20"/>
          <w:szCs w:val="20"/>
          <w:u w:val="single" w:color="auto"/>
          <w:color w:val="231F20"/>
        </w:rPr>
        <w:t>Benchmark Replacement Conforming Changes</w:t>
      </w:r>
      <w:r>
        <w:rPr>
          <w:rFonts w:ascii="Times New Roman" w:cs="Times New Roman" w:eastAsia="Times New Roman" w:hAnsi="Times New Roman"/>
          <w:sz w:val="20"/>
          <w:szCs w:val="20"/>
          <w:color w:val="231F20"/>
        </w:rPr>
        <w:t>. In connection with the use,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04" w:name="page205"/>
    <w:bookmarkEnd w:id="204"/>
    <w:p>
      <w:pPr>
        <w:jc w:val="both"/>
        <w:ind w:left="740" w:right="40"/>
        <w:spacing w:after="0" w:line="249" w:lineRule="auto"/>
        <w:rPr>
          <w:sz w:val="20"/>
          <w:szCs w:val="20"/>
          <w:color w:val="auto"/>
        </w:rPr>
      </w:pPr>
      <w:r>
        <w:rPr>
          <w:rFonts w:ascii="Times New Roman" w:cs="Times New Roman" w:eastAsia="Times New Roman" w:hAnsi="Times New Roman"/>
          <w:sz w:val="20"/>
          <w:szCs w:val="20"/>
          <w:color w:val="231F20"/>
        </w:rPr>
        <w:t>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0" w:lineRule="exact"/>
        <w:rPr>
          <w:sz w:val="20"/>
          <w:szCs w:val="20"/>
          <w:color w:val="auto"/>
        </w:rPr>
      </w:pPr>
    </w:p>
    <w:p>
      <w:pPr>
        <w:jc w:val="both"/>
        <w:ind w:left="740" w:firstLine="745"/>
        <w:spacing w:after="0" w:line="255" w:lineRule="auto"/>
        <w:tabs>
          <w:tab w:leader="none" w:pos="2008" w:val="left"/>
        </w:tabs>
        <w:numPr>
          <w:ilvl w:val="0"/>
          <w:numId w:val="148"/>
        </w:numPr>
        <w:rPr>
          <w:rFonts w:ascii="Times New Roman" w:cs="Times New Roman" w:eastAsia="Times New Roman" w:hAnsi="Times New Roman"/>
          <w:sz w:val="19"/>
          <w:szCs w:val="19"/>
          <w:color w:val="242021"/>
        </w:rPr>
      </w:pPr>
      <w:r>
        <w:rPr>
          <w:rFonts w:ascii="Times New Roman" w:cs="Times New Roman" w:eastAsia="Times New Roman" w:hAnsi="Times New Roman"/>
          <w:sz w:val="19"/>
          <w:szCs w:val="19"/>
          <w:u w:val="single" w:color="auto"/>
          <w:color w:val="231F20"/>
        </w:rPr>
        <w:t>Notices; Standards for Decisions and Determinations</w:t>
      </w:r>
      <w:r>
        <w:rPr>
          <w:rFonts w:ascii="Times New Roman" w:cs="Times New Roman" w:eastAsia="Times New Roman" w:hAnsi="Times New Roman"/>
          <w:sz w:val="19"/>
          <w:szCs w:val="19"/>
          <w:color w:val="231F20"/>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For the avoidance of doubt, any notice required to be delivered by the Administrative Agent as set forth in this </w:t>
      </w:r>
      <w:r>
        <w:rPr>
          <w:rFonts w:ascii="Times New Roman" w:cs="Times New Roman" w:eastAsia="Times New Roman" w:hAnsi="Times New Roman"/>
          <w:sz w:val="19"/>
          <w:szCs w:val="19"/>
          <w:u w:val="single" w:color="auto"/>
          <w:color w:val="231F20"/>
        </w:rPr>
        <w:t>Section 2.25</w:t>
      </w:r>
      <w:r>
        <w:rPr>
          <w:rFonts w:ascii="Times New Roman" w:cs="Times New Roman" w:eastAsia="Times New Roman" w:hAnsi="Times New Roman"/>
          <w:sz w:val="19"/>
          <w:szCs w:val="19"/>
          <w:color w:val="231F20"/>
        </w:rPr>
        <w:t xml:space="preserve"> may be provided, at the option of the Administrative Agent (in its sole discretion), in one or more notices and may be delivered together with, or as part of any amendment which implements any Benchmark Replacement or Conforming Changes. The Administrative Agent will notify the Borrower of (x) the removal or reinstatement of any tenor of a Benchmark pursuant to </w:t>
      </w:r>
      <w:r>
        <w:rPr>
          <w:rFonts w:ascii="Times New Roman" w:cs="Times New Roman" w:eastAsia="Times New Roman" w:hAnsi="Times New Roman"/>
          <w:sz w:val="19"/>
          <w:szCs w:val="19"/>
          <w:u w:val="single" w:color="auto"/>
          <w:color w:val="231F20"/>
        </w:rPr>
        <w:t>Section 2.25(d)</w:t>
      </w:r>
      <w:r>
        <w:rPr>
          <w:rFonts w:ascii="Times New Roman" w:cs="Times New Roman" w:eastAsia="Times New Roman" w:hAnsi="Times New Roman"/>
          <w:sz w:val="19"/>
          <w:szCs w:val="19"/>
          <w:color w:val="231F20"/>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9"/>
          <w:szCs w:val="19"/>
          <w:u w:val="single" w:color="auto"/>
          <w:color w:val="231F20"/>
        </w:rPr>
        <w:t>Section</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u w:val="single" w:color="auto"/>
          <w:color w:val="231F20"/>
        </w:rPr>
        <w:t>2.25</w:t>
      </w:r>
      <w:r>
        <w:rPr>
          <w:rFonts w:ascii="Times New Roman" w:cs="Times New Roman" w:eastAsia="Times New Roman" w:hAnsi="Times New Roman"/>
          <w:sz w:val="19"/>
          <w:szCs w:val="19"/>
          <w:color w:val="231F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9"/>
          <w:szCs w:val="19"/>
          <w:u w:val="single" w:color="auto"/>
          <w:color w:val="231F20"/>
        </w:rPr>
        <w:t>Section 2.25</w:t>
      </w:r>
      <w:r>
        <w:rPr>
          <w:rFonts w:ascii="Times New Roman" w:cs="Times New Roman" w:eastAsia="Times New Roman" w:hAnsi="Times New Roman"/>
          <w:sz w:val="19"/>
          <w:szCs w:val="19"/>
          <w:color w:val="231F20"/>
        </w:rPr>
        <w:t>.</w:t>
      </w:r>
    </w:p>
    <w:p>
      <w:pPr>
        <w:spacing w:after="0" w:line="181" w:lineRule="exact"/>
        <w:rPr>
          <w:rFonts w:ascii="Times New Roman" w:cs="Times New Roman" w:eastAsia="Times New Roman" w:hAnsi="Times New Roman"/>
          <w:sz w:val="19"/>
          <w:szCs w:val="19"/>
          <w:color w:val="242021"/>
        </w:rPr>
      </w:pPr>
    </w:p>
    <w:p>
      <w:pPr>
        <w:jc w:val="both"/>
        <w:ind w:left="740" w:firstLine="745"/>
        <w:spacing w:after="0" w:line="241" w:lineRule="auto"/>
        <w:tabs>
          <w:tab w:leader="none" w:pos="2008" w:val="left"/>
        </w:tabs>
        <w:numPr>
          <w:ilvl w:val="0"/>
          <w:numId w:val="148"/>
        </w:numPr>
        <w:rPr>
          <w:rFonts w:ascii="Times New Roman" w:cs="Times New Roman" w:eastAsia="Times New Roman" w:hAnsi="Times New Roman"/>
          <w:sz w:val="20"/>
          <w:szCs w:val="20"/>
          <w:color w:val="242021"/>
        </w:rPr>
      </w:pPr>
      <w:r>
        <w:rPr>
          <w:rFonts w:ascii="Times New Roman" w:cs="Times New Roman" w:eastAsia="Times New Roman" w:hAnsi="Times New Roman"/>
          <w:sz w:val="20"/>
          <w:szCs w:val="20"/>
          <w:u w:val="single" w:color="auto"/>
          <w:color w:val="231F20"/>
        </w:rPr>
        <w:t>Unavailability of Tenor of Benchmark</w:t>
      </w:r>
      <w:r>
        <w:rPr>
          <w:rFonts w:ascii="Times New Roman" w:cs="Times New Roman" w:eastAsia="Times New Roman" w:hAnsi="Times New Roman"/>
          <w:sz w:val="20"/>
          <w:szCs w:val="20"/>
          <w:color w:val="231F20"/>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“Interest Payment Date”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“Interest Payment Date” (or any similar or analogous definition) for all Benchmark settings at or after such time to reinstate such previously removed tenor.</w:t>
      </w:r>
    </w:p>
    <w:p>
      <w:pPr>
        <w:spacing w:after="0" w:line="193" w:lineRule="exact"/>
        <w:rPr>
          <w:rFonts w:ascii="Times New Roman" w:cs="Times New Roman" w:eastAsia="Times New Roman" w:hAnsi="Times New Roman"/>
          <w:sz w:val="20"/>
          <w:szCs w:val="20"/>
          <w:color w:val="242021"/>
        </w:rPr>
      </w:pPr>
    </w:p>
    <w:p>
      <w:pPr>
        <w:jc w:val="both"/>
        <w:ind w:left="740" w:right="20" w:firstLine="746"/>
        <w:spacing w:after="0" w:line="263" w:lineRule="auto"/>
        <w:tabs>
          <w:tab w:leader="none" w:pos="2007" w:val="left"/>
        </w:tabs>
        <w:numPr>
          <w:ilvl w:val="0"/>
          <w:numId w:val="148"/>
        </w:numPr>
        <w:rPr>
          <w:rFonts w:ascii="Times New Roman" w:cs="Times New Roman" w:eastAsia="Times New Roman" w:hAnsi="Times New Roman"/>
          <w:sz w:val="19"/>
          <w:szCs w:val="19"/>
          <w:color w:val="242021"/>
        </w:rPr>
      </w:pPr>
      <w:r>
        <w:rPr>
          <w:rFonts w:ascii="Times New Roman" w:cs="Times New Roman" w:eastAsia="Times New Roman" w:hAnsi="Times New Roman"/>
          <w:sz w:val="19"/>
          <w:szCs w:val="19"/>
          <w:u w:val="single" w:color="auto"/>
          <w:color w:val="231F20"/>
        </w:rPr>
        <w:t>Benchmark Unavailability Period</w:t>
      </w:r>
      <w:r>
        <w:rPr>
          <w:rFonts w:ascii="Times New Roman" w:cs="Times New Roman" w:eastAsia="Times New Roman" w:hAnsi="Times New Roman"/>
          <w:sz w:val="19"/>
          <w:szCs w:val="19"/>
          <w:color w:val="231F20"/>
        </w:rPr>
        <w:t>. Upon the Borrower’s receipt of notice of the commencement of a Benchmark Unavailability Period, the Borrower may revoke any pending request for a Term SOFR Loan or conversion to or continuation of any Term SOFR Loan to be made, converted or continued during any Benchmark Unavailability Period and, failing that, the Borrower will be deemed to have converted any such request into a request for a borrowing of or conversion to an ABR Loan. During a Benchmark Unavailability Period or at any time that a tenor for the then-current Benchmark is not 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05" w:name="page206"/>
    <w:bookmarkEnd w:id="205"/>
    <w:p>
      <w:pPr>
        <w:ind w:left="740" w:right="700"/>
        <w:spacing w:after="0" w:line="269" w:lineRule="auto"/>
        <w:rPr>
          <w:sz w:val="20"/>
          <w:szCs w:val="20"/>
          <w:color w:val="auto"/>
        </w:rPr>
      </w:pPr>
      <w:r>
        <w:rPr>
          <w:rFonts w:ascii="Times New Roman" w:cs="Times New Roman" w:eastAsia="Times New Roman" w:hAnsi="Times New Roman"/>
          <w:sz w:val="20"/>
          <w:szCs w:val="20"/>
          <w:color w:val="231F20"/>
        </w:rPr>
        <w:t>Available Tenor, the component of Alternate Base Rate based upon the then-current Benchmark or such tenor for such Benchmark, as applicable, will not be used in any determination of Alternate Base Rate.</w:t>
      </w:r>
    </w:p>
    <w:p>
      <w:pPr>
        <w:spacing w:after="0" w:line="159" w:lineRule="exact"/>
        <w:rPr>
          <w:sz w:val="20"/>
          <w:szCs w:val="20"/>
          <w:color w:val="auto"/>
        </w:rPr>
      </w:pPr>
    </w:p>
    <w:p>
      <w:pPr>
        <w:jc w:val="both"/>
        <w:ind w:left="740" w:firstLine="745"/>
        <w:spacing w:after="0" w:line="241" w:lineRule="auto"/>
        <w:tabs>
          <w:tab w:leader="none" w:pos="2008" w:val="left"/>
        </w:tabs>
        <w:numPr>
          <w:ilvl w:val="0"/>
          <w:numId w:val="149"/>
        </w:numPr>
        <w:rPr>
          <w:rFonts w:ascii="Times New Roman" w:cs="Times New Roman" w:eastAsia="Times New Roman" w:hAnsi="Times New Roman"/>
          <w:sz w:val="20"/>
          <w:szCs w:val="20"/>
          <w:color w:val="242021"/>
        </w:rPr>
      </w:pPr>
      <w:r>
        <w:rPr>
          <w:rFonts w:ascii="Times New Roman" w:cs="Times New Roman" w:eastAsia="Times New Roman" w:hAnsi="Times New Roman"/>
          <w:sz w:val="20"/>
          <w:szCs w:val="20"/>
          <w:u w:val="single" w:color="auto"/>
          <w:color w:val="231F20"/>
        </w:rPr>
        <w:t>Disclaimer</w:t>
      </w:r>
      <w:r>
        <w:rPr>
          <w:rFonts w:ascii="Times New Roman" w:cs="Times New Roman" w:eastAsia="Times New Roman" w:hAnsi="Times New Roman"/>
          <w:sz w:val="20"/>
          <w:szCs w:val="20"/>
          <w:color w:val="231F20"/>
        </w:rPr>
        <w:t>. The Administrative Agent does not warrant or accept responsibility for, and shall not have any liability with respect to (a) the continuation of, administration of, submission of, calculation of or any other matter related to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SOFR, the Term SOFR Reference Rate, Adjusted Term SOFR, Term SOFR or any alternative, successor or replacement rate (including any Benchmark Replacement) prior to its discontinuance or unavailability, or (b) the effect, implementation or composition of any Conforming Changes. The Administrative Agent and its affiliates or other related entities may engage in transactions that affect the calculation of SOFR,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SOFR, the Term SOFR Reference Rate, Term SOFR, Adjusted Term SOFR or any alternative, successor or replacement rate (including any Benchmark Replacement) or any relevant adjustments thereto, in each case pursuant to the terms of the this Agreement, and shall have no liability to the Borrower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231F20"/>
        </w:rPr>
        <w:t>ARTICLE III</w:t>
      </w:r>
    </w:p>
    <w:p>
      <w:pPr>
        <w:spacing w:after="0" w:line="2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u w:val="single" w:color="auto"/>
          <w:color w:val="231F20"/>
        </w:rPr>
        <w:t>REPRESENTATIONS AND WARRANTIES</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Each Loan Party represents and warrants to the Lenders that:</w:t>
      </w:r>
    </w:p>
    <w:p>
      <w:pPr>
        <w:spacing w:after="0" w:line="216" w:lineRule="exact"/>
        <w:rPr>
          <w:sz w:val="20"/>
          <w:szCs w:val="20"/>
          <w:color w:val="auto"/>
        </w:rPr>
      </w:pPr>
    </w:p>
    <w:p>
      <w:pPr>
        <w:jc w:val="both"/>
        <w:ind w:left="740" w:right="40" w:firstLine="747"/>
        <w:spacing w:after="0" w:line="246" w:lineRule="auto"/>
        <w:rPr>
          <w:sz w:val="20"/>
          <w:szCs w:val="20"/>
          <w:color w:val="auto"/>
        </w:rPr>
      </w:pPr>
      <w:r>
        <w:rPr>
          <w:rFonts w:ascii="Times New Roman" w:cs="Times New Roman" w:eastAsia="Times New Roman" w:hAnsi="Times New Roman"/>
          <w:sz w:val="20"/>
          <w:szCs w:val="20"/>
          <w:color w:val="231F20"/>
        </w:rPr>
        <w:t xml:space="preserve">SECTION 3.01 </w:t>
      </w:r>
      <w:r>
        <w:rPr>
          <w:rFonts w:ascii="Times New Roman" w:cs="Times New Roman" w:eastAsia="Times New Roman" w:hAnsi="Times New Roman"/>
          <w:sz w:val="20"/>
          <w:szCs w:val="20"/>
          <w:u w:val="single" w:color="auto"/>
          <w:color w:val="231F20"/>
        </w:rPr>
        <w:t>Organization; Powers</w:t>
      </w:r>
      <w:r>
        <w:rPr>
          <w:rFonts w:ascii="Times New Roman" w:cs="Times New Roman" w:eastAsia="Times New Roman" w:hAnsi="Times New Roman"/>
          <w:sz w:val="20"/>
          <w:szCs w:val="20"/>
          <w:color w:val="231F20"/>
        </w:rPr>
        <w:t>. Each of the Loan Parties and each of its Subsidiaries is duly organized, validly existing and (to the extent applicable in its jurisdiction of organization)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85" w:lineRule="exact"/>
        <w:rPr>
          <w:sz w:val="20"/>
          <w:szCs w:val="20"/>
          <w:color w:val="auto"/>
        </w:rPr>
      </w:pPr>
    </w:p>
    <w:p>
      <w:pPr>
        <w:ind w:left="740" w:right="160" w:firstLine="749"/>
        <w:spacing w:after="0" w:line="244" w:lineRule="auto"/>
        <w:rPr>
          <w:sz w:val="20"/>
          <w:szCs w:val="20"/>
          <w:color w:val="auto"/>
        </w:rPr>
      </w:pPr>
      <w:r>
        <w:rPr>
          <w:rFonts w:ascii="Times New Roman" w:cs="Times New Roman" w:eastAsia="Times New Roman" w:hAnsi="Times New Roman"/>
          <w:sz w:val="20"/>
          <w:szCs w:val="20"/>
          <w:color w:val="231F20"/>
        </w:rPr>
        <w:t xml:space="preserve">SECTION 3.02 </w:t>
      </w:r>
      <w:r>
        <w:rPr>
          <w:rFonts w:ascii="Times New Roman" w:cs="Times New Roman" w:eastAsia="Times New Roman" w:hAnsi="Times New Roman"/>
          <w:sz w:val="20"/>
          <w:szCs w:val="20"/>
          <w:u w:val="single" w:color="auto"/>
          <w:color w:val="231F20"/>
        </w:rPr>
        <w:t>Authorization; Enforceability</w:t>
      </w:r>
      <w:r>
        <w:rPr>
          <w:rFonts w:ascii="Times New Roman" w:cs="Times New Roman" w:eastAsia="Times New Roman" w:hAnsi="Times New Roman"/>
          <w:sz w:val="20"/>
          <w:szCs w:val="20"/>
          <w:color w:val="231F20"/>
        </w:rPr>
        <w:t>. The Transactions are within each Loan Party’s corporate or limited liability company powers, as the case may be, and have been duly authorized by all necessary corporate or limited liability company and, if required, stockholder or member action.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 xml:space="preserve">SECTION 3.03  </w:t>
      </w:r>
      <w:r>
        <w:rPr>
          <w:rFonts w:ascii="Times New Roman" w:cs="Times New Roman" w:eastAsia="Times New Roman" w:hAnsi="Times New Roman"/>
          <w:sz w:val="20"/>
          <w:szCs w:val="20"/>
          <w:u w:val="single" w:color="auto"/>
          <w:color w:val="231F20"/>
        </w:rPr>
        <w:t>Governmental and Third Party Approvals; No Conflicts</w:t>
      </w:r>
      <w:r>
        <w:rPr>
          <w:rFonts w:ascii="Times New Roman" w:cs="Times New Roman" w:eastAsia="Times New Roman" w:hAnsi="Times New Roman"/>
          <w:sz w:val="20"/>
          <w:szCs w:val="20"/>
          <w:color w:val="231F20"/>
        </w:rPr>
        <w:t>. The Transactions</w:t>
      </w:r>
    </w:p>
    <w:p>
      <w:pPr>
        <w:spacing w:after="0" w:line="22" w:lineRule="exact"/>
        <w:rPr>
          <w:sz w:val="20"/>
          <w:szCs w:val="20"/>
          <w:color w:val="auto"/>
        </w:rPr>
      </w:pPr>
    </w:p>
    <w:p>
      <w:pPr>
        <w:jc w:val="both"/>
        <w:ind w:left="740" w:right="20" w:hanging="3"/>
        <w:spacing w:after="0" w:line="242" w:lineRule="auto"/>
        <w:tabs>
          <w:tab w:leader="none" w:pos="1026" w:val="left"/>
        </w:tabs>
        <w:numPr>
          <w:ilvl w:val="0"/>
          <w:numId w:val="1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do not, on the part of any Loan Party or any of its Subsidiaries, require any consent or approval of, registration or filing with, or any other action by, any Governmental Authority or any other Person, except such as have been obtained or made and are in full force and effect and except for filings necessary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06" w:name="page207"/>
    <w:bookmarkEnd w:id="206"/>
    <w:p>
      <w:pPr>
        <w:ind w:left="740" w:right="140"/>
        <w:spacing w:after="0" w:line="243" w:lineRule="auto"/>
        <w:rPr>
          <w:sz w:val="20"/>
          <w:szCs w:val="20"/>
          <w:color w:val="auto"/>
        </w:rPr>
      </w:pPr>
      <w:r>
        <w:rPr>
          <w:rFonts w:ascii="Times New Roman" w:cs="Times New Roman" w:eastAsia="Times New Roman" w:hAnsi="Times New Roman"/>
          <w:sz w:val="20"/>
          <w:szCs w:val="20"/>
          <w:color w:val="231F20"/>
        </w:rPr>
        <w:t xml:space="preserve">to perfect Liens created pursuant to the Loan Documents, (b) will not violate any Requirement of Law applicable to any Loan Party or any of its Subsidiaries or any order of any Governmental Authority applicable to any Loan Party, (c) will not violate or result in a default under, or give rise to a right to require any payment to be made by any Loan Party or any of its Subsidiaries under, (i) any indenture or loan agreement, in each case, evidencing Material Indebtedness, (ii) any Swap Agreement with a Swap Termination Value in excess of $5.0 million or (iii) any other material agreement, in each case which is binding upon any Loan Party or any of its Subsidiaries or its assets, and (d) will not result in the creation or imposition of any Lien on any asset of any Loan Party or any of its Subsidiaries, except Liens created pursuant to the Loan Documents, except, solely in the case of </w:t>
      </w:r>
      <w:r>
        <w:rPr>
          <w:rFonts w:ascii="Times New Roman" w:cs="Times New Roman" w:eastAsia="Times New Roman" w:hAnsi="Times New Roman"/>
          <w:sz w:val="20"/>
          <w:szCs w:val="20"/>
          <w:u w:val="single" w:color="auto"/>
          <w:color w:val="231F20"/>
        </w:rPr>
        <w:t>clauses (a)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(b)</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(c)(iii)</w:t>
      </w:r>
      <w:r>
        <w:rPr>
          <w:rFonts w:ascii="Times New Roman" w:cs="Times New Roman" w:eastAsia="Times New Roman" w:hAnsi="Times New Roman"/>
          <w:sz w:val="20"/>
          <w:szCs w:val="20"/>
          <w:color w:val="231F20"/>
        </w:rPr>
        <w:t xml:space="preserve"> hereof, as could not reasonably be expected to result in a Material Adverse Effect.</w:t>
      </w:r>
    </w:p>
    <w:p>
      <w:pPr>
        <w:spacing w:after="0" w:line="186"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3.04</w:t>
      </w:r>
      <w:r>
        <w:rPr>
          <w:sz w:val="20"/>
          <w:szCs w:val="20"/>
          <w:color w:val="auto"/>
        </w:rPr>
        <w:tab/>
      </w:r>
      <w:r>
        <w:rPr>
          <w:rFonts w:ascii="Times New Roman" w:cs="Times New Roman" w:eastAsia="Times New Roman" w:hAnsi="Times New Roman"/>
          <w:sz w:val="19"/>
          <w:szCs w:val="19"/>
          <w:u w:val="single" w:color="auto"/>
          <w:color w:val="231F20"/>
        </w:rPr>
        <w:t>Financial Condition; No Material Adverse Change</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firstLine="745"/>
        <w:spacing w:after="0" w:line="243" w:lineRule="auto"/>
        <w:tabs>
          <w:tab w:leader="none" w:pos="2008" w:val="left"/>
        </w:tabs>
        <w:numPr>
          <w:ilvl w:val="1"/>
          <w:numId w:val="1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Borrower has heretofore furnished to the Lenders its consolidated balance sheet and statements of income, stockholders equity and cash flows (i) as of and for the fiscal year ended December 31, 2022, reported on by the Accounting Firm and (ii) as of and for the fiscal quarter and the portion of the fiscal year ending September 30, 2023. Such financial statements present fairly, in all material respects, the financial position and results of operations and cash flows of the Borrower and its consolidated Subsidiaries as of such dates and for such periods in accordance with GAAP, subject to year-end audit adjustments and the absence of footnotes in the case of the statements referred to in </w:t>
      </w:r>
      <w:r>
        <w:rPr>
          <w:rFonts w:ascii="Times New Roman" w:cs="Times New Roman" w:eastAsia="Times New Roman" w:hAnsi="Times New Roman"/>
          <w:sz w:val="20"/>
          <w:szCs w:val="20"/>
          <w:u w:val="single" w:color="auto"/>
          <w:color w:val="231F20"/>
        </w:rPr>
        <w:t>clause</w:t>
      </w:r>
    </w:p>
    <w:p>
      <w:pPr>
        <w:spacing w:after="0" w:line="1" w:lineRule="exact"/>
        <w:rPr>
          <w:rFonts w:ascii="Times New Roman" w:cs="Times New Roman" w:eastAsia="Times New Roman" w:hAnsi="Times New Roman"/>
          <w:sz w:val="20"/>
          <w:szCs w:val="20"/>
          <w:color w:val="231F20"/>
        </w:rPr>
      </w:pPr>
    </w:p>
    <w:p>
      <w:pPr>
        <w:ind w:left="1020" w:hanging="283"/>
        <w:spacing w:after="0"/>
        <w:tabs>
          <w:tab w:leader="none" w:pos="1020" w:val="left"/>
        </w:tabs>
        <w:numPr>
          <w:ilvl w:val="0"/>
          <w:numId w:val="152"/>
        </w:numPr>
        <w:rPr>
          <w:rFonts w:ascii="Times New Roman" w:cs="Times New Roman" w:eastAsia="Times New Roman" w:hAnsi="Times New Roman"/>
          <w:sz w:val="20"/>
          <w:szCs w:val="20"/>
          <w:u w:val="single" w:color="auto"/>
          <w:color w:val="231F20"/>
        </w:rPr>
      </w:pPr>
      <w:r>
        <w:rPr>
          <w:rFonts w:ascii="Times New Roman" w:cs="Times New Roman" w:eastAsia="Times New Roman" w:hAnsi="Times New Roman"/>
          <w:sz w:val="20"/>
          <w:szCs w:val="20"/>
          <w:color w:val="231F20"/>
        </w:rPr>
        <w:t>above.</w:t>
      </w:r>
    </w:p>
    <w:p>
      <w:pPr>
        <w:spacing w:after="0" w:line="193" w:lineRule="exact"/>
        <w:rPr>
          <w:rFonts w:ascii="Times New Roman" w:cs="Times New Roman" w:eastAsia="Times New Roman" w:hAnsi="Times New Roman"/>
          <w:sz w:val="20"/>
          <w:szCs w:val="20"/>
          <w:u w:val="single" w:color="auto"/>
          <w:color w:val="231F20"/>
        </w:rPr>
      </w:pPr>
    </w:p>
    <w:p>
      <w:pPr>
        <w:ind w:left="740" w:right="20" w:firstLine="746"/>
        <w:spacing w:after="0" w:line="269" w:lineRule="auto"/>
        <w:tabs>
          <w:tab w:leader="none" w:pos="2007" w:val="left"/>
        </w:tabs>
        <w:numPr>
          <w:ilvl w:val="1"/>
          <w:numId w:val="1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event, change or condition has occurred that has had, or could reasonably be expected to have, a Material Adverse Effect, since December 31, 2022.</w:t>
      </w:r>
    </w:p>
    <w:p>
      <w:pPr>
        <w:spacing w:after="0" w:line="159"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3.05</w:t>
      </w:r>
      <w:r>
        <w:rPr>
          <w:sz w:val="20"/>
          <w:szCs w:val="20"/>
          <w:color w:val="auto"/>
        </w:rPr>
        <w:tab/>
      </w:r>
      <w:r>
        <w:rPr>
          <w:rFonts w:ascii="Times New Roman" w:cs="Times New Roman" w:eastAsia="Times New Roman" w:hAnsi="Times New Roman"/>
          <w:sz w:val="19"/>
          <w:szCs w:val="19"/>
          <w:u w:val="single" w:color="auto"/>
          <w:color w:val="231F20"/>
        </w:rPr>
        <w:t>Properties, Permits, etc.</w:t>
      </w:r>
    </w:p>
    <w:p>
      <w:pPr>
        <w:spacing w:after="0" w:line="216" w:lineRule="exact"/>
        <w:rPr>
          <w:sz w:val="20"/>
          <w:szCs w:val="20"/>
          <w:color w:val="auto"/>
        </w:rPr>
      </w:pPr>
    </w:p>
    <w:p>
      <w:pPr>
        <w:jc w:val="both"/>
        <w:ind w:left="740" w:right="60" w:firstLine="745"/>
        <w:spacing w:after="0" w:line="254" w:lineRule="auto"/>
        <w:tabs>
          <w:tab w:leader="none" w:pos="2005" w:val="left"/>
        </w:tabs>
        <w:numPr>
          <w:ilvl w:val="0"/>
          <w:numId w:val="15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Each of the Loan Parties and its Subsidiaries has good title to, or valid leasehold interests in, or rights to use, all its real and personal property, subject to Permitted Liens and except for defects in title, interests or rights that, individually or in the aggregate, could not reasonably be expected to result in a Material Adverse Effect.</w:t>
      </w:r>
    </w:p>
    <w:p>
      <w:pPr>
        <w:spacing w:after="0" w:line="174" w:lineRule="exact"/>
        <w:rPr>
          <w:rFonts w:ascii="Times New Roman" w:cs="Times New Roman" w:eastAsia="Times New Roman" w:hAnsi="Times New Roman"/>
          <w:sz w:val="20"/>
          <w:szCs w:val="20"/>
          <w:color w:val="231F20"/>
        </w:rPr>
      </w:pPr>
    </w:p>
    <w:p>
      <w:pPr>
        <w:jc w:val="both"/>
        <w:ind w:left="740" w:right="40" w:firstLine="745"/>
        <w:spacing w:after="0" w:line="242" w:lineRule="auto"/>
        <w:tabs>
          <w:tab w:leader="none" w:pos="2006" w:val="left"/>
        </w:tabs>
        <w:numPr>
          <w:ilvl w:val="0"/>
          <w:numId w:val="15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Each Loan Party and each of its Subsidiaries is in compliance with all permits, licenses, authorizations, approvals, entitlements and accreditations of Governmental Authorities or otherwise that are required for such Person to lawfully own, lease, manage or operate, or to acquire, each business currently owned, leased, managed or operated, or to be acquired by such Person, other than those permits, licenses, authorizations, approvals, entitlements and accreditations the lack of which could not reasonably be expected to have, either individually or in the aggregate, a Material Adverse Effect. No condition exists or event has occurred which, in itself or with the giving of notice or lapse of time or both, would result in the suspension, revocation, impairment, forfeiture or non-renewal of any such permit, license, authorization, approval, entitlement or accreditation, and there is no claim that any of the foregoing is not in full force and effect, except where such suspension, revocation, impairment, forfeiture, non-renewal or claim could not reasonably be expected to have, either individually or in the aggregate, a Material Adverse Effect.</w:t>
      </w:r>
    </w:p>
    <w:p>
      <w:pPr>
        <w:spacing w:after="0" w:line="192" w:lineRule="exact"/>
        <w:rPr>
          <w:rFonts w:ascii="Times New Roman" w:cs="Times New Roman" w:eastAsia="Times New Roman" w:hAnsi="Times New Roman"/>
          <w:sz w:val="20"/>
          <w:szCs w:val="20"/>
          <w:color w:val="231F20"/>
        </w:rPr>
      </w:pPr>
    </w:p>
    <w:p>
      <w:pPr>
        <w:jc w:val="both"/>
        <w:ind w:left="740" w:firstLine="745"/>
        <w:spacing w:after="0" w:line="249" w:lineRule="auto"/>
        <w:tabs>
          <w:tab w:leader="none" w:pos="2008" w:val="left"/>
        </w:tabs>
        <w:numPr>
          <w:ilvl w:val="0"/>
          <w:numId w:val="15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Each of the Loan Parties and its Subsidiaries owns, or is licensed to use, all trademarks, tradenames, copyrights, patents and other intellectual property material to its business, and the use thereof by the Loan Parties and its Subsidiaries does not infringe upon the rights of any other Person, except for any such infringements that, individually or in the aggregate, could not reasonably be expected to result in a Material Adverse Effect.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07" w:name="page208"/>
    <w:bookmarkEnd w:id="207"/>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3.06</w:t>
      </w:r>
      <w:r>
        <w:rPr>
          <w:sz w:val="20"/>
          <w:szCs w:val="20"/>
          <w:color w:val="auto"/>
        </w:rPr>
        <w:tab/>
      </w:r>
      <w:r>
        <w:rPr>
          <w:rFonts w:ascii="Times New Roman" w:cs="Times New Roman" w:eastAsia="Times New Roman" w:hAnsi="Times New Roman"/>
          <w:sz w:val="19"/>
          <w:szCs w:val="19"/>
          <w:u w:val="single" w:color="auto"/>
          <w:color w:val="231F20"/>
        </w:rPr>
        <w:t>Litigation and Environmental Matters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firstLine="745"/>
        <w:spacing w:after="0" w:line="266" w:lineRule="auto"/>
        <w:tabs>
          <w:tab w:leader="none" w:pos="2008" w:val="left"/>
        </w:tabs>
        <w:numPr>
          <w:ilvl w:val="0"/>
          <w:numId w:val="15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There are no actions, suits, proceedings or investigations by or before any arbitrator or Governmental Authority or any applicable self-regulatory organization pending against or, to the knowledge of any Loan Party, threatened in writing against the Loan Parties or any of its Subsidiaries or any of their respective properties (i) that could reasonably be expected, individually or in the aggregate, to result in a Material Adverse Effect or (ii) that involve this Agreement or the Transactions.</w:t>
      </w:r>
    </w:p>
    <w:p>
      <w:pPr>
        <w:spacing w:after="0" w:line="165" w:lineRule="exact"/>
        <w:rPr>
          <w:rFonts w:ascii="Times New Roman" w:cs="Times New Roman" w:eastAsia="Times New Roman" w:hAnsi="Times New Roman"/>
          <w:sz w:val="19"/>
          <w:szCs w:val="19"/>
          <w:color w:val="231F20"/>
        </w:rPr>
      </w:pPr>
    </w:p>
    <w:p>
      <w:pPr>
        <w:jc w:val="both"/>
        <w:ind w:left="740" w:right="60" w:firstLine="745"/>
        <w:spacing w:after="0" w:line="246" w:lineRule="auto"/>
        <w:tabs>
          <w:tab w:leader="none" w:pos="2005" w:val="left"/>
        </w:tabs>
        <w:numPr>
          <w:ilvl w:val="0"/>
          <w:numId w:val="15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Loan Party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that, in each case, individually in the aggregate, could reasonably be expected to result in a Material Adverse Effect.</w:t>
      </w:r>
    </w:p>
    <w:p>
      <w:pPr>
        <w:spacing w:after="0" w:line="185"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3.07</w:t>
      </w:r>
      <w:r>
        <w:rPr>
          <w:sz w:val="20"/>
          <w:szCs w:val="20"/>
          <w:color w:val="auto"/>
        </w:rPr>
        <w:tab/>
      </w:r>
      <w:r>
        <w:rPr>
          <w:rFonts w:ascii="Times New Roman" w:cs="Times New Roman" w:eastAsia="Times New Roman" w:hAnsi="Times New Roman"/>
          <w:sz w:val="19"/>
          <w:szCs w:val="19"/>
          <w:u w:val="single" w:color="auto"/>
          <w:color w:val="231F20"/>
        </w:rPr>
        <w:t>Compliance with Laws and Agreements; No Default</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40" w:firstLine="745"/>
        <w:spacing w:after="0" w:line="254" w:lineRule="auto"/>
        <w:tabs>
          <w:tab w:leader="none" w:pos="2006" w:val="left"/>
        </w:tabs>
        <w:numPr>
          <w:ilvl w:val="0"/>
          <w:numId w:val="1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Each Loan Party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74" w:lineRule="exact"/>
        <w:rPr>
          <w:rFonts w:ascii="Times New Roman" w:cs="Times New Roman" w:eastAsia="Times New Roman" w:hAnsi="Times New Roman"/>
          <w:sz w:val="20"/>
          <w:szCs w:val="20"/>
          <w:color w:val="231F20"/>
        </w:rPr>
      </w:pPr>
    </w:p>
    <w:p>
      <w:pPr>
        <w:ind w:left="2240" w:hanging="755"/>
        <w:spacing w:after="0"/>
        <w:tabs>
          <w:tab w:leader="none" w:pos="2240" w:val="left"/>
        </w:tabs>
        <w:numPr>
          <w:ilvl w:val="0"/>
          <w:numId w:val="1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Default has occurred and is continuing.</w:t>
      </w:r>
    </w:p>
    <w:p>
      <w:pPr>
        <w:spacing w:after="0" w:line="216"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 xml:space="preserve">SECTION 3.08 </w:t>
      </w:r>
      <w:r>
        <w:rPr>
          <w:rFonts w:ascii="Times New Roman" w:cs="Times New Roman" w:eastAsia="Times New Roman" w:hAnsi="Times New Roman"/>
          <w:sz w:val="20"/>
          <w:szCs w:val="20"/>
          <w:u w:val="single" w:color="auto"/>
          <w:color w:val="231F20"/>
        </w:rPr>
        <w:t>Investment Company Status</w:t>
      </w:r>
      <w:r>
        <w:rPr>
          <w:rFonts w:ascii="Times New Roman" w:cs="Times New Roman" w:eastAsia="Times New Roman" w:hAnsi="Times New Roman"/>
          <w:sz w:val="20"/>
          <w:szCs w:val="20"/>
          <w:color w:val="231F20"/>
        </w:rPr>
        <w:t>. No Loan Party nor any of its Subsidiaries is an “investment company” as defined in, or subject to regulation under the Investment Company Act of 1940.</w:t>
      </w:r>
    </w:p>
    <w:p>
      <w:pPr>
        <w:spacing w:after="0" w:line="159"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231F20"/>
        </w:rPr>
        <w:t xml:space="preserve">SECTION 3.09 </w:t>
      </w:r>
      <w:r>
        <w:rPr>
          <w:rFonts w:ascii="Times New Roman" w:cs="Times New Roman" w:eastAsia="Times New Roman" w:hAnsi="Times New Roman"/>
          <w:sz w:val="20"/>
          <w:szCs w:val="20"/>
          <w:u w:val="single" w:color="auto"/>
          <w:color w:val="231F20"/>
        </w:rPr>
        <w:t>Taxes</w:t>
      </w:r>
      <w:r>
        <w:rPr>
          <w:rFonts w:ascii="Times New Roman" w:cs="Times New Roman" w:eastAsia="Times New Roman" w:hAnsi="Times New Roman"/>
          <w:sz w:val="20"/>
          <w:szCs w:val="20"/>
          <w:color w:val="231F20"/>
        </w:rPr>
        <w:t>. Each Loan Party and its Subsidiaries has timely filed or caused to be filed all Tax returns and reports required to have been filed and has paid or caused to be paid all Taxes assessments, claims and governmental charges levied or imposed upon them or their properties, income or assets or otherwise due and payable, except (a) Taxes that are being contested in good faith by appropriate proceedings diligently conducted and for which such Loan Party or such Subsidiary, as applicable, has set aside on its books adequate reserves in accordance with GAAP and (b) to the extent that the failure to do so could not reasonably be expected to result in a Material Adverse Effect.</w:t>
      </w:r>
    </w:p>
    <w:p>
      <w:pPr>
        <w:spacing w:after="0" w:line="184"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3.10</w:t>
      </w:r>
      <w:r>
        <w:rPr>
          <w:sz w:val="20"/>
          <w:szCs w:val="20"/>
          <w:color w:val="auto"/>
        </w:rPr>
        <w:tab/>
      </w:r>
      <w:r>
        <w:rPr>
          <w:rFonts w:ascii="Times New Roman" w:cs="Times New Roman" w:eastAsia="Times New Roman" w:hAnsi="Times New Roman"/>
          <w:sz w:val="19"/>
          <w:szCs w:val="19"/>
          <w:u w:val="single" w:color="auto"/>
          <w:color w:val="231F20"/>
        </w:rPr>
        <w:t>ERISA</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20" w:firstLine="745"/>
        <w:spacing w:after="0" w:line="244" w:lineRule="auto"/>
        <w:tabs>
          <w:tab w:leader="none" w:pos="2008" w:val="left"/>
        </w:tabs>
        <w:numPr>
          <w:ilvl w:val="0"/>
          <w:numId w:val="15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ERISA Event has occurred or is reasonably expected to occur that, when taken together with all other such ERISA Events for which liability is reasonably expected to occur, could reasonably be expected to result in a Material Adverse Effect. Except as could not reasonably be expected to result in a Material Adverse Effect, with respect to each Plan, the “funding target,” as defined in Section 430(d)(1) of the Code, with respect to such Plan, does not exceed the fair market value of all such Plan’s assets, as determined pursuant to Section 430(g) of the Code, all determined as of the then-most recent valuation date for such Plan using the actuarial assumptions used to determine the Plan’s “funding target attainment” percentage as defined in Section 430(d) of the Code.</w:t>
      </w:r>
    </w:p>
    <w:p>
      <w:pPr>
        <w:spacing w:after="0" w:line="185" w:lineRule="exact"/>
        <w:rPr>
          <w:rFonts w:ascii="Times New Roman" w:cs="Times New Roman" w:eastAsia="Times New Roman" w:hAnsi="Times New Roman"/>
          <w:sz w:val="20"/>
          <w:szCs w:val="20"/>
          <w:color w:val="231F20"/>
        </w:rPr>
      </w:pPr>
    </w:p>
    <w:p>
      <w:pPr>
        <w:jc w:val="both"/>
        <w:ind w:left="740" w:firstLine="745"/>
        <w:spacing w:after="0" w:line="249" w:lineRule="auto"/>
        <w:tabs>
          <w:tab w:leader="none" w:pos="2008" w:val="left"/>
        </w:tabs>
        <w:numPr>
          <w:ilvl w:val="0"/>
          <w:numId w:val="15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Loan Party holds or will hold Plan Assets or “plan assets” of any governmental plan that is subject to laws or regulations similar to Section 406 of ERISA or 4975 of the Code (“</w:t>
      </w:r>
      <w:r>
        <w:rPr>
          <w:rFonts w:ascii="Times New Roman" w:cs="Times New Roman" w:eastAsia="Times New Roman" w:hAnsi="Times New Roman"/>
          <w:sz w:val="20"/>
          <w:szCs w:val="20"/>
          <w:u w:val="single" w:color="auto"/>
          <w:color w:val="231F20"/>
        </w:rPr>
        <w:t>Similar Law</w:t>
      </w:r>
      <w:r>
        <w:rPr>
          <w:rFonts w:ascii="Times New Roman" w:cs="Times New Roman" w:eastAsia="Times New Roman" w:hAnsi="Times New Roman"/>
          <w:sz w:val="20"/>
          <w:szCs w:val="20"/>
          <w:color w:val="231F20"/>
        </w:rPr>
        <w:t>”). None of the transactions contemplated under the Loan Documents constitutes or will result in a non-exempt prohibited transaction under Section 406 of ERISA or Section 4975 of the Code or any violation of applicable Similar Law.</w:t>
      </w:r>
    </w:p>
    <w:p>
      <w:pPr>
        <w:spacing w:after="0" w:line="31" w:lineRule="exact"/>
        <w:rPr>
          <w:rFonts w:ascii="Times New Roman" w:cs="Times New Roman" w:eastAsia="Times New Roman" w:hAnsi="Times New Roman"/>
          <w:sz w:val="20"/>
          <w:szCs w:val="20"/>
          <w:color w:val="231F20"/>
        </w:rPr>
      </w:pPr>
    </w:p>
    <w:p>
      <w:pPr>
        <w:ind w:left="2000" w:hanging="515"/>
        <w:spacing w:after="0"/>
        <w:tabs>
          <w:tab w:leader="none" w:pos="2000" w:val="left"/>
        </w:tabs>
        <w:numPr>
          <w:ilvl w:val="0"/>
          <w:numId w:val="15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Except as could not reasonably be expected to result in a Material Adverse Effect, (i) each</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08" w:name="page209"/>
    <w:bookmarkEnd w:id="208"/>
    <w:p>
      <w:pPr>
        <w:jc w:val="both"/>
        <w:ind w:left="740"/>
        <w:spacing w:after="0" w:line="260" w:lineRule="auto"/>
        <w:rPr>
          <w:sz w:val="20"/>
          <w:szCs w:val="20"/>
          <w:color w:val="auto"/>
        </w:rPr>
      </w:pPr>
      <w:r>
        <w:rPr>
          <w:rFonts w:ascii="Times New Roman" w:cs="Times New Roman" w:eastAsia="Times New Roman" w:hAnsi="Times New Roman"/>
          <w:sz w:val="19"/>
          <w:szCs w:val="19"/>
          <w:color w:val="231F20"/>
        </w:rPr>
        <w:t>Foreign Pension Plan has been maintained in compliance with its terms and with the requirements of any and all applicable laws, statutes, rules, regulations and orders and has been maintained, where required, in good standing with applicable regulatory authorities; (ii) all contributions required to be made with respect to a Foreign Pension Plan have been timely made;</w:t>
      </w:r>
    </w:p>
    <w:p>
      <w:pPr>
        <w:jc w:val="both"/>
        <w:ind w:left="740" w:hanging="3"/>
        <w:spacing w:after="0" w:line="241" w:lineRule="auto"/>
        <w:tabs>
          <w:tab w:leader="none" w:pos="1114" w:val="left"/>
        </w:tabs>
        <w:numPr>
          <w:ilvl w:val="0"/>
          <w:numId w:val="1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neither the Borrower nor any of its Subsidiaries has incurred any obligation in connection with the termination of, or withdrawal from, any Foreign Pension Plan; and (iv) the present value of the accrued benefit liabilities (whether or not vested) under each Foreign Pension Plan, determined as of the end of the Borrower’s most recently ended fiscal year on the basis of actuarial assumptions, each of which is reasonable, did not exceed the current value of the assets of such Foreign Pension Plan allocable to such benefit liabilities.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09" w:name="page210"/>
    <w:bookmarkEnd w:id="209"/>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3.11</w:t>
      </w:r>
      <w:r>
        <w:rPr>
          <w:sz w:val="20"/>
          <w:szCs w:val="20"/>
          <w:color w:val="auto"/>
        </w:rPr>
        <w:tab/>
      </w:r>
      <w:r>
        <w:rPr>
          <w:rFonts w:ascii="Times New Roman" w:cs="Times New Roman" w:eastAsia="Times New Roman" w:hAnsi="Times New Roman"/>
          <w:sz w:val="19"/>
          <w:szCs w:val="19"/>
          <w:u w:val="single" w:color="auto"/>
          <w:color w:val="231F20"/>
        </w:rPr>
        <w:t>Disclosure</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ind w:left="740" w:right="40" w:firstLine="745"/>
        <w:spacing w:after="0" w:line="241" w:lineRule="auto"/>
        <w:tabs>
          <w:tab w:leader="none" w:pos="2008" w:val="left"/>
        </w:tabs>
        <w:numPr>
          <w:ilvl w:val="0"/>
          <w:numId w:val="1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Borrower has disclosed to the Lenders all agreements, instruments and corporate or other restrictions to which it or any Subsidiary is subject, and all other matters known to it, that, individually or in the aggregate, could reasonably be expected to result in a Material Adverse Effect. None of the reports, financial statements, certificates or other written information (when taken together with the Borrower’s most recently (as of the date hereof) filed and publicly available 10-K and 10-Q, and 8-Ks filed at any time following such 10-K, in each case with the SEC) (other than any projected financial information or other forward-looking information or information of a general economic or general industry specific nature) furnished by or on behalf of any Loan Party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(taken as a whole), in the light of the circumstances under which they were made, not materially misleading;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with respect to projected financial information or other forward-looking information or information of a general economic or general industry specific nature, the Borrower represents only that such information was prepared in good faith based upon assumptions believed to be reasonable at the time (it being understood that any such information may differ from actual results and such differences may be material).</w:t>
      </w:r>
    </w:p>
    <w:p>
      <w:pPr>
        <w:spacing w:after="0" w:line="195" w:lineRule="exact"/>
        <w:rPr>
          <w:rFonts w:ascii="Times New Roman" w:cs="Times New Roman" w:eastAsia="Times New Roman" w:hAnsi="Times New Roman"/>
          <w:sz w:val="20"/>
          <w:szCs w:val="20"/>
          <w:color w:val="231F20"/>
        </w:rPr>
      </w:pPr>
    </w:p>
    <w:p>
      <w:pPr>
        <w:ind w:left="740" w:right="160" w:firstLine="745"/>
        <w:spacing w:after="0" w:line="269" w:lineRule="auto"/>
        <w:tabs>
          <w:tab w:leader="none" w:pos="2005" w:val="left"/>
        </w:tabs>
        <w:numPr>
          <w:ilvl w:val="0"/>
          <w:numId w:val="1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 of the Effective Date, the information included in the Beneficial Ownership Certification is true, complete and correct in all respects.</w:t>
      </w:r>
    </w:p>
    <w:p>
      <w:pPr>
        <w:spacing w:after="0" w:line="159" w:lineRule="exact"/>
        <w:rPr>
          <w:sz w:val="20"/>
          <w:szCs w:val="20"/>
          <w:color w:val="auto"/>
        </w:rPr>
      </w:pPr>
    </w:p>
    <w:p>
      <w:pPr>
        <w:jc w:val="both"/>
        <w:ind w:left="740" w:firstLine="749"/>
        <w:spacing w:after="0" w:line="244" w:lineRule="auto"/>
        <w:rPr>
          <w:sz w:val="20"/>
          <w:szCs w:val="20"/>
          <w:color w:val="auto"/>
        </w:rPr>
      </w:pPr>
      <w:r>
        <w:rPr>
          <w:rFonts w:ascii="Times New Roman" w:cs="Times New Roman" w:eastAsia="Times New Roman" w:hAnsi="Times New Roman"/>
          <w:sz w:val="20"/>
          <w:szCs w:val="20"/>
          <w:color w:val="231F20"/>
        </w:rPr>
        <w:t xml:space="preserve">SECTION 3.12 </w:t>
      </w:r>
      <w:r>
        <w:rPr>
          <w:rFonts w:ascii="Times New Roman" w:cs="Times New Roman" w:eastAsia="Times New Roman" w:hAnsi="Times New Roman"/>
          <w:sz w:val="20"/>
          <w:szCs w:val="20"/>
          <w:u w:val="single" w:color="auto"/>
          <w:color w:val="231F20"/>
        </w:rPr>
        <w:t>Capitalization and Subsidiaries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Schedule 3.12</w:t>
      </w:r>
      <w:r>
        <w:rPr>
          <w:rFonts w:ascii="Times New Roman" w:cs="Times New Roman" w:eastAsia="Times New Roman" w:hAnsi="Times New Roman"/>
          <w:sz w:val="20"/>
          <w:szCs w:val="20"/>
          <w:color w:val="231F20"/>
        </w:rPr>
        <w:t xml:space="preserve"> sets forth, as of the date hereof, (a) a correct and complete list of the name, and identifies the direct equity holders (including the percentage ownership thereof), of each and all of the Borrower’s direct and indirect Subsidiaries, (b) the type of entity and jurisdiction of organization of the Borrower and each of its Subsidiaries, and (c) which of the Borrower’s Subsidiaries are Material Domestic Subsidiaries and Material Foreign Subsidiaries. All of the issued and outstanding Equity Interests of any Subsidiary owned by any Loan Party have been (to the extent such concepts are relevant with respect to such ownership interests) duly authorized and issued and are fully paid and non-assessable.</w:t>
      </w:r>
    </w:p>
    <w:p>
      <w:pPr>
        <w:spacing w:after="0" w:line="186" w:lineRule="exact"/>
        <w:rPr>
          <w:sz w:val="20"/>
          <w:szCs w:val="20"/>
          <w:color w:val="auto"/>
        </w:rPr>
      </w:pPr>
    </w:p>
    <w:p>
      <w:pPr>
        <w:jc w:val="both"/>
        <w:ind w:left="740" w:right="20" w:firstLine="749"/>
        <w:spacing w:after="0" w:line="244" w:lineRule="auto"/>
        <w:rPr>
          <w:sz w:val="20"/>
          <w:szCs w:val="20"/>
          <w:color w:val="auto"/>
        </w:rPr>
      </w:pPr>
      <w:r>
        <w:rPr>
          <w:rFonts w:ascii="Times New Roman" w:cs="Times New Roman" w:eastAsia="Times New Roman" w:hAnsi="Times New Roman"/>
          <w:sz w:val="20"/>
          <w:szCs w:val="20"/>
          <w:color w:val="231F20"/>
        </w:rPr>
        <w:t xml:space="preserve">SECTION 3.13 </w:t>
      </w:r>
      <w:r>
        <w:rPr>
          <w:rFonts w:ascii="Times New Roman" w:cs="Times New Roman" w:eastAsia="Times New Roman" w:hAnsi="Times New Roman"/>
          <w:sz w:val="20"/>
          <w:szCs w:val="20"/>
          <w:u w:val="single" w:color="auto"/>
          <w:color w:val="231F20"/>
        </w:rPr>
        <w:t>Security Interest in Collateral</w:t>
      </w:r>
      <w:r>
        <w:rPr>
          <w:rFonts w:ascii="Times New Roman" w:cs="Times New Roman" w:eastAsia="Times New Roman" w:hAnsi="Times New Roman"/>
          <w:sz w:val="20"/>
          <w:szCs w:val="20"/>
          <w:color w:val="231F20"/>
        </w:rPr>
        <w:t>. The provisions of this Agreement and the other Loan Documents create legal and valid Liens on all of the Collateral in favor of the Administrative Agent, for the benefit of the Secured Parties, and such Liens constitute perfected and continuing Liens on the Collateral in which a security interest can be perfected by filing a UCC financing statement, securing the Secured Obligations, enforceable against the applicable Loan Party and all third parties, and having priority over all other Liens on the Collateral except in the case of (a) Permitted Liens, to the extent any such Permitted Liens would have priority over the Liens in favor of the Administrative Agent pursuant to any applicable law or agreement, and (b) Liens perfected only by possession (including possession of 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40" w:right="739" w:bottom="1440" w:gutter="0" w:footer="0" w:header="0"/>
        </w:sectPr>
      </w:pPr>
    </w:p>
    <w:bookmarkStart w:id="210" w:name="page211"/>
    <w:bookmarkEnd w:id="210"/>
    <w:p>
      <w:pPr>
        <w:ind w:left="740"/>
        <w:spacing w:after="0"/>
        <w:rPr>
          <w:sz w:val="20"/>
          <w:szCs w:val="20"/>
          <w:color w:val="auto"/>
        </w:rPr>
      </w:pPr>
      <w:r>
        <w:rPr>
          <w:rFonts w:ascii="Times New Roman" w:cs="Times New Roman" w:eastAsia="Times New Roman" w:hAnsi="Times New Roman"/>
          <w:sz w:val="20"/>
          <w:szCs w:val="20"/>
          <w:color w:val="231F20"/>
        </w:rPr>
        <w:t>certificate of title), to the extent the Administrative Agent has not obtained or does not maintain possession of such Collateral.</w:t>
      </w:r>
    </w:p>
    <w:p>
      <w:pPr>
        <w:spacing w:after="0" w:line="216"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3.14</w:t>
      </w:r>
      <w:r>
        <w:rPr>
          <w:sz w:val="20"/>
          <w:szCs w:val="20"/>
          <w:color w:val="auto"/>
        </w:rPr>
        <w:tab/>
      </w:r>
      <w:r>
        <w:rPr>
          <w:rFonts w:ascii="Times New Roman" w:cs="Times New Roman" w:eastAsia="Times New Roman" w:hAnsi="Times New Roman"/>
          <w:sz w:val="19"/>
          <w:szCs w:val="19"/>
          <w:u w:val="single" w:color="auto"/>
          <w:color w:val="231F20"/>
        </w:rPr>
        <w:t>Federal Reserve Regulations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ind w:left="740" w:right="60" w:firstLine="745"/>
        <w:spacing w:after="0" w:line="269" w:lineRule="auto"/>
        <w:tabs>
          <w:tab w:leader="none" w:pos="2005" w:val="left"/>
        </w:tabs>
        <w:numPr>
          <w:ilvl w:val="0"/>
          <w:numId w:val="1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part of the proceeds of any Loan or Letter of Credit has been used or will be used, whether directly or indirectly, for any purpose that entails a violation of any of the Regulations of the Board, including Regulations T, U and X.</w:t>
      </w:r>
    </w:p>
    <w:p>
      <w:pPr>
        <w:spacing w:after="0" w:line="159" w:lineRule="exact"/>
        <w:rPr>
          <w:rFonts w:ascii="Times New Roman" w:cs="Times New Roman" w:eastAsia="Times New Roman" w:hAnsi="Times New Roman"/>
          <w:sz w:val="20"/>
          <w:szCs w:val="20"/>
          <w:color w:val="231F20"/>
        </w:rPr>
      </w:pPr>
    </w:p>
    <w:p>
      <w:pPr>
        <w:jc w:val="both"/>
        <w:ind w:left="740" w:firstLine="745"/>
        <w:spacing w:after="0" w:line="254" w:lineRule="auto"/>
        <w:tabs>
          <w:tab w:leader="none" w:pos="2008" w:val="left"/>
        </w:tabs>
        <w:numPr>
          <w:ilvl w:val="0"/>
          <w:numId w:val="1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Loan Party is engaged and will not engage, principally or as one of its important activities, in the business of purchasing or carrying margin stock (within the meaning of Regulation U), or extending credit for the purpose of purchasing or carrying margin stock.</w:t>
      </w:r>
    </w:p>
    <w:p>
      <w:pPr>
        <w:spacing w:after="0" w:line="174"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3.15</w:t>
      </w:r>
      <w:r>
        <w:rPr>
          <w:sz w:val="20"/>
          <w:szCs w:val="20"/>
          <w:color w:val="auto"/>
        </w:rPr>
        <w:tab/>
      </w:r>
      <w:r>
        <w:rPr>
          <w:rFonts w:ascii="Times New Roman" w:cs="Times New Roman" w:eastAsia="Times New Roman" w:hAnsi="Times New Roman"/>
          <w:sz w:val="19"/>
          <w:szCs w:val="19"/>
          <w:u w:val="single" w:color="auto"/>
          <w:color w:val="231F20"/>
        </w:rPr>
        <w:t>Anti-Corruption Laws and Sanctions; USA PATRIOT Act</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ind w:left="740" w:right="160" w:firstLine="745"/>
        <w:spacing w:after="0" w:line="242" w:lineRule="auto"/>
        <w:tabs>
          <w:tab w:leader="none" w:pos="2008" w:val="left"/>
        </w:tabs>
        <w:numPr>
          <w:ilvl w:val="0"/>
          <w:numId w:val="1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employees and, to the knowledge of such Loan Party, its directors and agents, are in compliance with Anti-Corruption Laws and applicable Sanctions in all material respects. None of (a) any Loan Party, any Subsidiary or, to the knowledge of any such Loan Party or Subsidiary,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192" w:lineRule="exact"/>
        <w:rPr>
          <w:rFonts w:ascii="Times New Roman" w:cs="Times New Roman" w:eastAsia="Times New Roman" w:hAnsi="Times New Roman"/>
          <w:sz w:val="20"/>
          <w:szCs w:val="20"/>
          <w:color w:val="231F20"/>
        </w:rPr>
      </w:pPr>
    </w:p>
    <w:p>
      <w:pPr>
        <w:ind w:left="740" w:right="340" w:firstLine="745"/>
        <w:spacing w:after="0" w:line="269" w:lineRule="auto"/>
        <w:tabs>
          <w:tab w:leader="none" w:pos="2005" w:val="left"/>
        </w:tabs>
        <w:numPr>
          <w:ilvl w:val="0"/>
          <w:numId w:val="1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Each Loan Party is in compliance, in all material respects, with the USA PATRIOT Act and any applicable anti-money laundering laws and regulations.</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 xml:space="preserve">SECTION 3.16 </w:t>
      </w:r>
      <w:r>
        <w:rPr>
          <w:rFonts w:ascii="Times New Roman" w:cs="Times New Roman" w:eastAsia="Times New Roman" w:hAnsi="Times New Roman"/>
          <w:sz w:val="20"/>
          <w:szCs w:val="20"/>
          <w:u w:val="single" w:color="auto"/>
          <w:color w:val="231F20"/>
        </w:rPr>
        <w:t>Not an Affected Financial Institution</w:t>
      </w:r>
      <w:r>
        <w:rPr>
          <w:rFonts w:ascii="Times New Roman" w:cs="Times New Roman" w:eastAsia="Times New Roman" w:hAnsi="Times New Roman"/>
          <w:sz w:val="20"/>
          <w:szCs w:val="20"/>
          <w:color w:val="231F20"/>
        </w:rPr>
        <w:t>. No Loan Party is an Affected Financial Institution.</w:t>
      </w:r>
    </w:p>
    <w:p>
      <w:pPr>
        <w:spacing w:after="0" w:line="216"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color w:val="231F20"/>
        </w:rPr>
        <w:t xml:space="preserve">SECTION 3.17 </w:t>
      </w:r>
      <w:r>
        <w:rPr>
          <w:rFonts w:ascii="Times New Roman" w:cs="Times New Roman" w:eastAsia="Times New Roman" w:hAnsi="Times New Roman"/>
          <w:sz w:val="20"/>
          <w:szCs w:val="20"/>
          <w:u w:val="single" w:color="auto"/>
          <w:color w:val="231F20"/>
        </w:rPr>
        <w:t>Solvency</w:t>
      </w:r>
      <w:r>
        <w:rPr>
          <w:rFonts w:ascii="Times New Roman" w:cs="Times New Roman" w:eastAsia="Times New Roman" w:hAnsi="Times New Roman"/>
          <w:sz w:val="20"/>
          <w:szCs w:val="20"/>
          <w:color w:val="231F20"/>
        </w:rPr>
        <w:t>. (a) The fair value of the assets of the Loan Parties and their Subsidiaries, taken as a whole, at a fair valuation, exceeds their debts and liabilities, subordinated, contingent or otherwise; (b) the present fair saleable value of the property of the Loan Parties and their Subsidiaries, taken as a whole, is greater than the amount that will be required to pay the probable liability of their debts and other liabilities, subordinated, contingent or otherwise, as such debts and other liabilities become absolute and matured; (c) the Loan Parties will be able to pay their debts and liabilities, subordinated, contingent or otherwise, as such debts and liabilities become absolute and matured; and (d) the Loan Parties and their Subsidiaries, taken as a whole, will not have unreasonably small capital with which to conduct the business in which they are engaged as such business is now conducted and is proposed to be conducted after the Effective Date.</w:t>
      </w:r>
    </w:p>
    <w:p>
      <w:pPr>
        <w:spacing w:after="0" w:line="189"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3.18</w:t>
      </w:r>
      <w:r>
        <w:rPr>
          <w:sz w:val="20"/>
          <w:szCs w:val="20"/>
          <w:color w:val="auto"/>
        </w:rPr>
        <w:tab/>
      </w:r>
      <w:r>
        <w:rPr>
          <w:rFonts w:ascii="Times New Roman" w:cs="Times New Roman" w:eastAsia="Times New Roman" w:hAnsi="Times New Roman"/>
          <w:sz w:val="19"/>
          <w:szCs w:val="19"/>
          <w:u w:val="single" w:color="auto"/>
          <w:color w:val="231F20"/>
        </w:rPr>
        <w:t>Governmental Authorities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60" w:firstLine="745"/>
        <w:spacing w:after="0" w:line="263" w:lineRule="auto"/>
        <w:tabs>
          <w:tab w:leader="none" w:pos="2005" w:val="left"/>
        </w:tabs>
        <w:numPr>
          <w:ilvl w:val="0"/>
          <w:numId w:val="16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No Loan Party nor its Subsidiaries is subject to any obligation arising under any regulatory action, proceeding or investigation by or on behalf of a Governmental Authority, warning letter, notice of violation letter, consent decree, or other enforcement action by a Governmental Authority and, to the knowledge of each Loan Party and its Subsidiaries, no such obligation has been threatened, verbally or in writing, in each case that would reasonably be expected to have a Material Adverse Effect. To the knowledge of each Loan Party and its Subsidiaries, there is no act, omission or event that would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11" w:name="page212"/>
    <w:bookmarkEnd w:id="211"/>
    <w:p>
      <w:pPr>
        <w:jc w:val="both"/>
        <w:ind w:left="740"/>
        <w:spacing w:after="0" w:line="241" w:lineRule="auto"/>
        <w:rPr>
          <w:sz w:val="20"/>
          <w:szCs w:val="20"/>
          <w:color w:val="auto"/>
        </w:rPr>
      </w:pPr>
      <w:r>
        <w:rPr>
          <w:rFonts w:ascii="Times New Roman" w:cs="Times New Roman" w:eastAsia="Times New Roman" w:hAnsi="Times New Roman"/>
          <w:sz w:val="20"/>
          <w:szCs w:val="20"/>
          <w:color w:val="231F20"/>
        </w:rPr>
        <w:t xml:space="preserve">reasonably be expected to give rise to or lead to, any civil, criminal or administrative action, suit, demand, claim, complaint, hearing, investigation, demand letter, warning letter or enforcement proceeding against any Loan Party or its Subsidiaries, and, to each Loan Party’s and its Subsidiary’s knowledge, no Loan Party nor its Subsidiaries has any liability (whether actual or contingent), in each case that would reasonably be expected to have a Material Adverse Effect. There has not been any material violation of any securities laws or consumer protection laws by any Loan Party or its Subsidiaries that could reasonably be expected to require or lead to investigation, enforcement, regulatory or administrative action by the Department of the Treasury, SEC, FDIC, CFPB, FTC or any comparable Governmental Authority (including state and local agencies), in each case that would reasonably be expected, in the aggregate, to have a Material Adverse Effect. </w:t>
      </w:r>
      <w:r>
        <w:rPr>
          <w:rFonts w:ascii="Times New Roman" w:cs="Times New Roman" w:eastAsia="Times New Roman" w:hAnsi="Times New Roman"/>
          <w:sz w:val="20"/>
          <w:szCs w:val="20"/>
          <w:color w:val="ED1C24"/>
          <w:strike w:val="1"/>
        </w:rPr>
        <w:t>To 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Other than as disclosed in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writing to the Administrative Agent and Lenders from time to time, to the</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knowledge of each Loan Party and each of their</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respective Subsidiaries, there are no civil or criminal proceedings relating to any Loan Party or its Subsidiaries or any officer, director or employee of any Loan Party or Subsidiary of any Loan Party that involve a matter within or related to the Department of the Treasury’s, SEC’s, FDIC’s, CFPB’s, FTC’s or any comparable federal or state Governmental Authority’s jurisdiction.</w:t>
      </w:r>
    </w:p>
    <w:p>
      <w:pPr>
        <w:spacing w:after="0" w:line="197" w:lineRule="exact"/>
        <w:rPr>
          <w:sz w:val="20"/>
          <w:szCs w:val="20"/>
          <w:color w:val="auto"/>
        </w:rPr>
      </w:pPr>
    </w:p>
    <w:p>
      <w:pPr>
        <w:ind w:left="740" w:right="60" w:firstLine="745"/>
        <w:spacing w:after="0" w:line="269" w:lineRule="auto"/>
        <w:tabs>
          <w:tab w:leader="none" w:pos="2005" w:val="left"/>
        </w:tabs>
        <w:numPr>
          <w:ilvl w:val="0"/>
          <w:numId w:val="1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Loan Party nor its Subsidiaries is currently undergoing any investigation by SEC, FTC or any other Governmental Authority investigation that could reasonably be expected to have a Material Adverse Effect.</w:t>
      </w:r>
    </w:p>
    <w:p>
      <w:pPr>
        <w:spacing w:after="0" w:line="159"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231F20"/>
        </w:rPr>
        <w:t xml:space="preserve">SECTION 3.19 </w:t>
      </w:r>
      <w:r>
        <w:rPr>
          <w:rFonts w:ascii="Times New Roman" w:cs="Times New Roman" w:eastAsia="Times New Roman" w:hAnsi="Times New Roman"/>
          <w:sz w:val="20"/>
          <w:szCs w:val="20"/>
          <w:u w:val="single" w:color="auto"/>
          <w:color w:val="231F20"/>
        </w:rPr>
        <w:t>Insurance</w:t>
      </w:r>
      <w:r>
        <w:rPr>
          <w:rFonts w:ascii="Times New Roman" w:cs="Times New Roman" w:eastAsia="Times New Roman" w:hAnsi="Times New Roman"/>
          <w:sz w:val="20"/>
          <w:szCs w:val="20"/>
          <w:color w:val="231F20"/>
        </w:rPr>
        <w:t>. As of the Effective Date, all premiums in respect of such insurance have been paid. The Borrower maintains, and has caused each Material Domestic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85" w:lineRule="exact"/>
        <w:rPr>
          <w:sz w:val="20"/>
          <w:szCs w:val="20"/>
          <w:color w:val="auto"/>
        </w:rPr>
      </w:pPr>
    </w:p>
    <w:p>
      <w:pPr>
        <w:jc w:val="both"/>
        <w:ind w:left="740" w:right="40" w:firstLine="747"/>
        <w:spacing w:after="0" w:line="246" w:lineRule="auto"/>
        <w:rPr>
          <w:sz w:val="20"/>
          <w:szCs w:val="20"/>
          <w:color w:val="auto"/>
        </w:rPr>
      </w:pPr>
      <w:r>
        <w:rPr>
          <w:rFonts w:ascii="Times New Roman" w:cs="Times New Roman" w:eastAsia="Times New Roman" w:hAnsi="Times New Roman"/>
          <w:sz w:val="20"/>
          <w:szCs w:val="20"/>
          <w:color w:val="231F20"/>
        </w:rPr>
        <w:t xml:space="preserve">SECTION 3.20 </w:t>
      </w:r>
      <w:r>
        <w:rPr>
          <w:rFonts w:ascii="Times New Roman" w:cs="Times New Roman" w:eastAsia="Times New Roman" w:hAnsi="Times New Roman"/>
          <w:sz w:val="20"/>
          <w:szCs w:val="20"/>
          <w:u w:val="single" w:color="auto"/>
          <w:color w:val="231F20"/>
        </w:rPr>
        <w:t>Employee Relations</w:t>
      </w:r>
      <w:r>
        <w:rPr>
          <w:rFonts w:ascii="Times New Roman" w:cs="Times New Roman" w:eastAsia="Times New Roman" w:hAnsi="Times New Roman"/>
          <w:sz w:val="20"/>
          <w:szCs w:val="20"/>
          <w:color w:val="231F20"/>
        </w:rPr>
        <w:t>. As of the Effective Date, no Loan Party nor any Subsidiary thereof is party to any collective bargaining agreement, nor has any labor union been recognized as the representative of its employees. The Borrower knows of no pending or threatened in writing strikes, work stoppage or other collective labor disputes involving its employees or those of its Subsidiaries that, individually or in the aggregate, could reasonably be expected to have a Material Adverse Effect.</w:t>
      </w:r>
    </w:p>
    <w:p>
      <w:pPr>
        <w:spacing w:after="0" w:line="185"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3.21</w:t>
      </w:r>
      <w:r>
        <w:rPr>
          <w:sz w:val="20"/>
          <w:szCs w:val="20"/>
          <w:color w:val="auto"/>
        </w:rPr>
        <w:tab/>
      </w:r>
      <w:r>
        <w:rPr>
          <w:rFonts w:ascii="Times New Roman" w:cs="Times New Roman" w:eastAsia="Times New Roman" w:hAnsi="Times New Roman"/>
          <w:sz w:val="19"/>
          <w:szCs w:val="19"/>
          <w:u w:val="single" w:color="auto"/>
          <w:color w:val="231F20"/>
        </w:rPr>
        <w:t>Data Security; Privacy</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40" w:firstLine="745"/>
        <w:spacing w:after="0" w:line="245" w:lineRule="auto"/>
        <w:tabs>
          <w:tab w:leader="none" w:pos="2006" w:val="left"/>
        </w:tabs>
        <w:numPr>
          <w:ilvl w:val="0"/>
          <w:numId w:val="1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Except as individually or in the aggregate would not reasonably be expected to have a Material Adverse Effect, (i) no Loan Party or any of its Subsidiaries has lost or had stolen any cardholder account information, information related to cardholder accounts (including social security numbers) or merchant information and (ii) each Loan Party and each of its Subsidiaries has complied with all applicable laws, requirements of Governmental Authorities and the requirements of all PCI Compliance Programs related to data security, and the protection, use, storage, handling and processing of personal information, including credit card information.</w:t>
      </w:r>
    </w:p>
    <w:p>
      <w:pPr>
        <w:spacing w:after="0" w:line="184" w:lineRule="exact"/>
        <w:rPr>
          <w:rFonts w:ascii="Times New Roman" w:cs="Times New Roman" w:eastAsia="Times New Roman" w:hAnsi="Times New Roman"/>
          <w:sz w:val="20"/>
          <w:szCs w:val="20"/>
          <w:color w:val="231F20"/>
        </w:rPr>
      </w:pPr>
    </w:p>
    <w:p>
      <w:pPr>
        <w:jc w:val="both"/>
        <w:ind w:left="740" w:right="40" w:firstLine="745"/>
        <w:spacing w:after="0" w:line="244" w:lineRule="auto"/>
        <w:tabs>
          <w:tab w:leader="none" w:pos="2006" w:val="left"/>
        </w:tabs>
        <w:numPr>
          <w:ilvl w:val="0"/>
          <w:numId w:val="1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Except as individually or in the aggregate would not reasonably be expected to have a Material Adverse Effect, (i) each applicable Loan Party and each of its Subsidiaries has complied with all Requirements of Law related to data security, and the protection, use, storage, handling and processing of Personal Information, (ii) each applicable Loan Party and each of its Subsidiaries has implemented and is in compliance with technical and organizational measures to assure the integrity and security of (x) transactions executed through its gateway, platform and computer systems and (y) all confidential or proprietary data, including Personal Information, possessed or retained by or on behalf of any Loan Party or any of its Subsidiaries, (iii) there has been no actual or alleged breach of security or unauthorized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12" w:name="page213"/>
    <w:bookmarkEnd w:id="212"/>
    <w:p>
      <w:pPr>
        <w:jc w:val="both"/>
        <w:ind w:left="740" w:right="40"/>
        <w:spacing w:after="0" w:line="245" w:lineRule="auto"/>
        <w:rPr>
          <w:sz w:val="20"/>
          <w:szCs w:val="20"/>
          <w:color w:val="auto"/>
        </w:rPr>
      </w:pPr>
      <w:r>
        <w:rPr>
          <w:rFonts w:ascii="Times New Roman" w:cs="Times New Roman" w:eastAsia="Times New Roman" w:hAnsi="Times New Roman"/>
          <w:sz w:val="20"/>
          <w:szCs w:val="20"/>
          <w:color w:val="231F20"/>
        </w:rPr>
        <w:t>access to or acquisition, use, loss, destruction, compromise or disclosure of any Personal Information, confidential or proprietary data or any other such information maintained or stored by, or on behalf of, any Loan Party or any of its Subsidiaries involving data of merchants, suppliers, customers, clients, cardholders or other Persons and (iv) there have been no facts or circumstances that would require any Loan Party or any of its Subsidiaries to give notice to any merchants, suppliers, customers, clients, cardholders or other Persons of any actual or perceived data security breaches pursuant to the requirements of all PCI Compliance Programs or applicable Requirements of Law requiring notice of such a breach.</w:t>
      </w:r>
    </w:p>
    <w:p>
      <w:pPr>
        <w:spacing w:after="0" w:line="184" w:lineRule="exact"/>
        <w:rPr>
          <w:sz w:val="20"/>
          <w:szCs w:val="20"/>
          <w:color w:val="auto"/>
        </w:rPr>
      </w:pPr>
    </w:p>
    <w:p>
      <w:pPr>
        <w:jc w:val="both"/>
        <w:ind w:left="740" w:right="20" w:firstLine="746"/>
        <w:spacing w:after="0" w:line="244" w:lineRule="auto"/>
        <w:tabs>
          <w:tab w:leader="none" w:pos="2007" w:val="left"/>
        </w:tabs>
        <w:numPr>
          <w:ilvl w:val="0"/>
          <w:numId w:val="1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Except as individually or in the aggregate would not reasonably be expected to have a Material Adverse Effect, (i) the Borrower and its Subsidiaries are in compliance with all Requirements of Law, contractual obligations, and internal and published corporate policies and procedures governing the privacy, security, collection, use, storage, processing, disclosure, transmission, and sharing of all Personal Information, (ii) the Borrower and its Subsidiaries have provided all notices and obtained all consents as required by Requirements of Law, and (iii) no Person has brought any complaint, claim, or action against the Borrower and its Subsidiaries regarding any alleged violation under Requirements of Law regarding their Personal Information.</w:t>
      </w:r>
    </w:p>
    <w:p>
      <w:pPr>
        <w:spacing w:after="0" w:line="186"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u w:val="single" w:color="auto"/>
          <w:color w:val="2251A3"/>
        </w:rPr>
        <w:t>SECTION 3.22 Outbound Investment Rules. As of the Effective Date, neither Borrower nor any of its subsidiaries is a “covered foreign person” as that term is used in the Outbound Investment Rules. Neither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231F20"/>
        </w:rPr>
        <w:t>ARTICLE IV</w:t>
      </w:r>
    </w:p>
    <w:p>
      <w:pPr>
        <w:spacing w:after="0" w:line="22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u w:val="single" w:color="auto"/>
          <w:color w:val="231F20"/>
        </w:rPr>
        <w:t>CONDITIONS</w:t>
      </w:r>
    </w:p>
    <w:p>
      <w:pPr>
        <w:spacing w:after="0" w:line="216" w:lineRule="exact"/>
        <w:rPr>
          <w:sz w:val="20"/>
          <w:szCs w:val="20"/>
          <w:color w:val="auto"/>
        </w:rPr>
      </w:pPr>
    </w:p>
    <w:p>
      <w:pPr>
        <w:jc w:val="both"/>
        <w:ind w:left="740" w:right="60" w:firstLine="747"/>
        <w:spacing w:after="0" w:line="254" w:lineRule="auto"/>
        <w:rPr>
          <w:sz w:val="20"/>
          <w:szCs w:val="20"/>
          <w:color w:val="auto"/>
        </w:rPr>
      </w:pPr>
      <w:r>
        <w:rPr>
          <w:rFonts w:ascii="Times New Roman" w:cs="Times New Roman" w:eastAsia="Times New Roman" w:hAnsi="Times New Roman"/>
          <w:sz w:val="20"/>
          <w:szCs w:val="20"/>
          <w:color w:val="231F20"/>
        </w:rPr>
        <w:t xml:space="preserve">SECTION 4.01 </w:t>
      </w:r>
      <w:r>
        <w:rPr>
          <w:rFonts w:ascii="Times New Roman" w:cs="Times New Roman" w:eastAsia="Times New Roman" w:hAnsi="Times New Roman"/>
          <w:sz w:val="20"/>
          <w:szCs w:val="20"/>
          <w:u w:val="single" w:color="auto"/>
          <w:color w:val="231F20"/>
        </w:rPr>
        <w:t>Conditions to Initial Loans</w:t>
      </w:r>
      <w:r>
        <w:rPr>
          <w:rFonts w:ascii="Times New Roman" w:cs="Times New Roman" w:eastAsia="Times New Roman" w:hAnsi="Times New Roman"/>
          <w:sz w:val="20"/>
          <w:szCs w:val="20"/>
          <w:color w:val="231F20"/>
        </w:rPr>
        <w:t xml:space="preserve">. The obligations of the Lenders to make Loans and of the Issuing Banks to issue Letters of Credit hereunder shall not become effective until each of the following conditions is satisfied (or waived in accordance with </w:t>
      </w:r>
      <w:r>
        <w:rPr>
          <w:rFonts w:ascii="Times New Roman" w:cs="Times New Roman" w:eastAsia="Times New Roman" w:hAnsi="Times New Roman"/>
          <w:sz w:val="20"/>
          <w:szCs w:val="20"/>
          <w:u w:val="single" w:color="auto"/>
          <w:color w:val="231F20"/>
        </w:rPr>
        <w:t>Section 9.02</w:t>
      </w:r>
      <w:r>
        <w:rPr>
          <w:rFonts w:ascii="Times New Roman" w:cs="Times New Roman" w:eastAsia="Times New Roman" w:hAnsi="Times New Roman"/>
          <w:sz w:val="20"/>
          <w:szCs w:val="20"/>
          <w:color w:val="231F20"/>
        </w:rPr>
        <w:t>):</w:t>
      </w:r>
    </w:p>
    <w:p>
      <w:pPr>
        <w:spacing w:after="0" w:line="174" w:lineRule="exact"/>
        <w:rPr>
          <w:sz w:val="20"/>
          <w:szCs w:val="20"/>
          <w:color w:val="auto"/>
        </w:rPr>
      </w:pPr>
    </w:p>
    <w:p>
      <w:pPr>
        <w:ind w:left="2000" w:hanging="515"/>
        <w:spacing w:after="0"/>
        <w:tabs>
          <w:tab w:leader="none" w:pos="2000" w:val="left"/>
        </w:tabs>
        <w:numPr>
          <w:ilvl w:val="1"/>
          <w:numId w:val="1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Credit Agreement and Other Loan Documents</w:t>
      </w:r>
      <w:r>
        <w:rPr>
          <w:rFonts w:ascii="Times New Roman" w:cs="Times New Roman" w:eastAsia="Times New Roman" w:hAnsi="Times New Roman"/>
          <w:sz w:val="20"/>
          <w:szCs w:val="20"/>
          <w:color w:val="231F20"/>
        </w:rPr>
        <w:t>. The Administrative Agent (or its counsel) shall have received</w:t>
      </w:r>
    </w:p>
    <w:p>
      <w:pPr>
        <w:spacing w:after="0" w:line="21" w:lineRule="exact"/>
        <w:rPr>
          <w:rFonts w:ascii="Times New Roman" w:cs="Times New Roman" w:eastAsia="Times New Roman" w:hAnsi="Times New Roman"/>
          <w:sz w:val="20"/>
          <w:szCs w:val="20"/>
          <w:color w:val="231F20"/>
        </w:rPr>
      </w:pPr>
    </w:p>
    <w:p>
      <w:pPr>
        <w:jc w:val="both"/>
        <w:ind w:left="740" w:hanging="3"/>
        <w:spacing w:after="0"/>
        <w:tabs>
          <w:tab w:leader="none" w:pos="993" w:val="left"/>
        </w:tabs>
        <w:numPr>
          <w:ilvl w:val="0"/>
          <w:numId w:val="1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from each party hereto either (A) a counterpart of this Agreement signed on behalf of such party or (B) written evidence satisfactory to the Administrative Agent (which may include fax or other electronic transmission of a signed signature page of this Agreement) that such party has signed a counterpart of this Agreement (which may include any Electronic Signatures transmitted by telecopy, emailed pdf. or any or other electronic means that reproduces an image of an actual executed signature page) and (ii) duly executed copies of any other Loan Documents to be entered into as of the date hereof and such other certificates, documents, instruments and agreements as the Administrative Agent shall reasonably request be delivered on the Effective Date in connection with the transactions contemplated by this Agreement and the other Loan Documents, including any Notes requested by a Lender pursuant to </w:t>
      </w:r>
      <w:r>
        <w:rPr>
          <w:rFonts w:ascii="Times New Roman" w:cs="Times New Roman" w:eastAsia="Times New Roman" w:hAnsi="Times New Roman"/>
          <w:sz w:val="20"/>
          <w:szCs w:val="20"/>
          <w:u w:val="single" w:color="auto"/>
          <w:color w:val="231F20"/>
        </w:rPr>
        <w:t>Section 2.10</w:t>
      </w:r>
      <w:r>
        <w:rPr>
          <w:rFonts w:ascii="Times New Roman" w:cs="Times New Roman" w:eastAsia="Times New Roman" w:hAnsi="Times New Roman"/>
          <w:sz w:val="20"/>
          <w:szCs w:val="20"/>
          <w:color w:val="231F20"/>
        </w:rPr>
        <w:t xml:space="preserve"> payable to such requesting Lender and its registered assigns and a written opinion of the Loan Parties’ counsel, addressed to the Administrative Agent, the Issuing Banks and the Lenders and in form and substance reasonably satisfactory to the Administrative Agent.</w:t>
      </w:r>
    </w:p>
    <w:p>
      <w:pPr>
        <w:spacing w:after="0" w:line="40" w:lineRule="exact"/>
        <w:rPr>
          <w:rFonts w:ascii="Times New Roman" w:cs="Times New Roman" w:eastAsia="Times New Roman" w:hAnsi="Times New Roman"/>
          <w:sz w:val="20"/>
          <w:szCs w:val="20"/>
          <w:color w:val="231F20"/>
        </w:rPr>
      </w:pPr>
    </w:p>
    <w:p>
      <w:pPr>
        <w:jc w:val="both"/>
        <w:ind w:left="740" w:right="40" w:firstLine="745"/>
        <w:spacing w:after="0" w:line="249" w:lineRule="auto"/>
        <w:tabs>
          <w:tab w:leader="none" w:pos="2006" w:val="left"/>
        </w:tabs>
        <w:numPr>
          <w:ilvl w:val="1"/>
          <w:numId w:val="1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Financial Statements and Projections</w:t>
      </w:r>
      <w:r>
        <w:rPr>
          <w:rFonts w:ascii="Times New Roman" w:cs="Times New Roman" w:eastAsia="Times New Roman" w:hAnsi="Times New Roman"/>
          <w:sz w:val="20"/>
          <w:szCs w:val="20"/>
          <w:color w:val="231F20"/>
        </w:rPr>
        <w:t>. The Lenders shall have received (i) audited consolidated financial statements of the Borrower and its Subsidiaries for the two most recent fiscal years ended prior to the Effective Date as to which such financial statements are available, (ii) unaudited interim consolidated financial statements of the Borrower for each quarterly period ended subsequent to the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13" w:name="page214"/>
    <w:bookmarkEnd w:id="213"/>
    <w:p>
      <w:pPr>
        <w:jc w:val="both"/>
        <w:ind w:left="740" w:right="40"/>
        <w:spacing w:after="0" w:line="246" w:lineRule="auto"/>
        <w:rPr>
          <w:sz w:val="20"/>
          <w:szCs w:val="20"/>
          <w:color w:val="auto"/>
        </w:rPr>
      </w:pPr>
      <w:r>
        <w:rPr>
          <w:rFonts w:ascii="Times New Roman" w:cs="Times New Roman" w:eastAsia="Times New Roman" w:hAnsi="Times New Roman"/>
          <w:sz w:val="20"/>
          <w:szCs w:val="20"/>
          <w:color w:val="231F20"/>
        </w:rPr>
        <w:t xml:space="preserve">of the latest financial statements delivered pursuant to </w:t>
      </w:r>
      <w:r>
        <w:rPr>
          <w:rFonts w:ascii="Times New Roman" w:cs="Times New Roman" w:eastAsia="Times New Roman" w:hAnsi="Times New Roman"/>
          <w:sz w:val="20"/>
          <w:szCs w:val="20"/>
          <w:u w:val="single" w:color="auto"/>
          <w:color w:val="231F20"/>
        </w:rPr>
        <w:t>clause (i)</w:t>
      </w:r>
      <w:r>
        <w:rPr>
          <w:rFonts w:ascii="Times New Roman" w:cs="Times New Roman" w:eastAsia="Times New Roman" w:hAnsi="Times New Roman"/>
          <w:sz w:val="20"/>
          <w:szCs w:val="20"/>
          <w:color w:val="231F20"/>
        </w:rPr>
        <w:t xml:space="preserve"> of this paragraph as to which such financial statements are available and (iii) reasonably satisfactory annual financial statement projections (which shall include balance sheet, income and cash flow statement projections) through and including the Borrower’s 2028 fiscal year, together with such information as reasonably requested by the Lead Arranger (including a detailed description of the assumptions used in preparing such projections).</w:t>
      </w:r>
    </w:p>
    <w:p>
      <w:pPr>
        <w:spacing w:after="0" w:line="185" w:lineRule="exact"/>
        <w:rPr>
          <w:sz w:val="20"/>
          <w:szCs w:val="20"/>
          <w:color w:val="auto"/>
        </w:rPr>
      </w:pPr>
    </w:p>
    <w:p>
      <w:pPr>
        <w:jc w:val="both"/>
        <w:ind w:left="740" w:firstLine="745"/>
        <w:spacing w:after="0" w:line="243" w:lineRule="auto"/>
        <w:tabs>
          <w:tab w:leader="none" w:pos="2008" w:val="left"/>
        </w:tabs>
        <w:numPr>
          <w:ilvl w:val="1"/>
          <w:numId w:val="1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Closing Certificates</w:t>
      </w:r>
      <w:r>
        <w:rPr>
          <w:rFonts w:ascii="Times New Roman" w:cs="Times New Roman" w:eastAsia="Times New Roman" w:hAnsi="Times New Roman"/>
          <w:sz w:val="20"/>
          <w:szCs w:val="20"/>
          <w:color w:val="231F20"/>
        </w:rPr>
        <w:t>. The Administrative Agent shall have received (i) a certificate (in form and substance satisfactory to the Administrative Agent) of each Loan Party, dated the Effective Date and executed by its Secretary, Assistant Secretary or other Responsible Officer, which shall (A) certify the resolutions of its board of directors, members or other body authorizing the execution, delivery and performance of the Loan Documents to which it is a party, (B) identify by name and title and bear the signatures of the Financial Officers and any other officers of such Loan Party authorized to sign the Loan Documents to which it is a party, and (C) contain appropriate attachments, including the certificate or articles of incorporation or organization of each Loan Party certified by the relevant authority of the jurisdiction of organization of such Loan Party and a true and correct copy of its by-laws or operating, management or partnership agreement, and (ii) a long form good standing certificate dated as of a recent date for each Loan Party from its jurisdiction of organization.</w:t>
      </w:r>
    </w:p>
    <w:p>
      <w:pPr>
        <w:spacing w:after="0" w:line="185" w:lineRule="exact"/>
        <w:rPr>
          <w:rFonts w:ascii="Times New Roman" w:cs="Times New Roman" w:eastAsia="Times New Roman" w:hAnsi="Times New Roman"/>
          <w:sz w:val="20"/>
          <w:szCs w:val="20"/>
          <w:color w:val="231F20"/>
        </w:rPr>
      </w:pPr>
    </w:p>
    <w:p>
      <w:pPr>
        <w:jc w:val="both"/>
        <w:ind w:left="740" w:firstLine="745"/>
        <w:spacing w:after="0" w:line="243" w:lineRule="auto"/>
        <w:tabs>
          <w:tab w:leader="none" w:pos="2008" w:val="left"/>
        </w:tabs>
        <w:numPr>
          <w:ilvl w:val="1"/>
          <w:numId w:val="1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No Default Certificate</w:t>
      </w:r>
      <w:r>
        <w:rPr>
          <w:rFonts w:ascii="Times New Roman" w:cs="Times New Roman" w:eastAsia="Times New Roman" w:hAnsi="Times New Roman"/>
          <w:sz w:val="20"/>
          <w:szCs w:val="20"/>
          <w:color w:val="231F20"/>
        </w:rPr>
        <w:t xml:space="preserve">. The Administrative Agent shall have received a certificate (in form and substance satisfactory to the Administrative Agent), signed by the chief financial officer of the Borrower on the Effective Date (i) stating that no Default has occurred and is continuing, (ii) stating that the representations and warranties contained in </w:t>
      </w:r>
      <w:r>
        <w:rPr>
          <w:rFonts w:ascii="Times New Roman" w:cs="Times New Roman" w:eastAsia="Times New Roman" w:hAnsi="Times New Roman"/>
          <w:sz w:val="20"/>
          <w:szCs w:val="20"/>
          <w:u w:val="single" w:color="auto"/>
          <w:color w:val="231F20"/>
        </w:rPr>
        <w:t>Article III</w:t>
      </w:r>
      <w:r>
        <w:rPr>
          <w:rFonts w:ascii="Times New Roman" w:cs="Times New Roman" w:eastAsia="Times New Roman" w:hAnsi="Times New Roman"/>
          <w:sz w:val="20"/>
          <w:szCs w:val="20"/>
          <w:color w:val="231F20"/>
        </w:rPr>
        <w:t xml:space="preserve"> are true and correct in all material respects as of such date except that (a) to the extent that such representations and warranties specifically refer to an earlier date, such representations and warranties shall be true and correct in all material respects as of such earlier date and (b) any representation and warranty that is qualified as to “materiality” or “Material Adverse Effect” shall be true and correct in all respects, and (iii) certifying as to any other factual matters as may be reasonably requested by the Administrative Agent.</w:t>
      </w:r>
    </w:p>
    <w:p>
      <w:pPr>
        <w:spacing w:after="0" w:line="189" w:lineRule="exact"/>
        <w:rPr>
          <w:rFonts w:ascii="Times New Roman" w:cs="Times New Roman" w:eastAsia="Times New Roman" w:hAnsi="Times New Roman"/>
          <w:sz w:val="20"/>
          <w:szCs w:val="20"/>
          <w:color w:val="231F20"/>
        </w:rPr>
      </w:pPr>
    </w:p>
    <w:p>
      <w:pPr>
        <w:jc w:val="both"/>
        <w:ind w:left="740" w:firstLine="745"/>
        <w:spacing w:after="0" w:line="246" w:lineRule="auto"/>
        <w:tabs>
          <w:tab w:leader="none" w:pos="2008" w:val="left"/>
        </w:tabs>
        <w:numPr>
          <w:ilvl w:val="1"/>
          <w:numId w:val="1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Fees</w:t>
      </w:r>
      <w:r>
        <w:rPr>
          <w:rFonts w:ascii="Times New Roman" w:cs="Times New Roman" w:eastAsia="Times New Roman" w:hAnsi="Times New Roman"/>
          <w:sz w:val="20"/>
          <w:szCs w:val="20"/>
          <w:color w:val="231F20"/>
        </w:rPr>
        <w:t>. The Lenders and the Administrative Agent shall have received all fees required to be paid on or before the Effective Date, and all expenses (including the reasonable fees and expenses of outside legal counsel) for which invoices have been presented no later than two (2) Business Days prior to the Effective Date (or a shorter period as reasonably agreed to by the Borrower). All such amounts will be paid with proceeds of Loans made on the Effective Date and will be reflected in the funding instructions given by the Borrower to the Administrative Agent on or before the Effective Date.</w:t>
      </w:r>
    </w:p>
    <w:p>
      <w:pPr>
        <w:spacing w:after="0" w:line="184" w:lineRule="exact"/>
        <w:rPr>
          <w:rFonts w:ascii="Times New Roman" w:cs="Times New Roman" w:eastAsia="Times New Roman" w:hAnsi="Times New Roman"/>
          <w:sz w:val="20"/>
          <w:szCs w:val="20"/>
          <w:color w:val="231F20"/>
        </w:rPr>
      </w:pPr>
    </w:p>
    <w:p>
      <w:pPr>
        <w:jc w:val="both"/>
        <w:ind w:left="740" w:right="20" w:firstLine="745"/>
        <w:spacing w:after="0" w:line="249" w:lineRule="auto"/>
        <w:tabs>
          <w:tab w:leader="none" w:pos="2008" w:val="left"/>
        </w:tabs>
        <w:numPr>
          <w:ilvl w:val="1"/>
          <w:numId w:val="1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Lien Searches</w:t>
      </w:r>
      <w:r>
        <w:rPr>
          <w:rFonts w:ascii="Times New Roman" w:cs="Times New Roman" w:eastAsia="Times New Roman" w:hAnsi="Times New Roman"/>
          <w:sz w:val="20"/>
          <w:szCs w:val="20"/>
          <w:color w:val="231F20"/>
        </w:rPr>
        <w:t xml:space="preserve">. The Administrative Agent shall have received the results of recent customary lien searches (including with respect to intellectual property), and such searches shall reveal no liens on any of the assets of the Loan Parties except for liens permitted by </w:t>
      </w:r>
      <w:r>
        <w:rPr>
          <w:rFonts w:ascii="Times New Roman" w:cs="Times New Roman" w:eastAsia="Times New Roman" w:hAnsi="Times New Roman"/>
          <w:sz w:val="20"/>
          <w:szCs w:val="20"/>
          <w:u w:val="single" w:color="auto"/>
          <w:color w:val="231F20"/>
        </w:rPr>
        <w:t>Section 6.02</w:t>
      </w:r>
      <w:r>
        <w:rPr>
          <w:rFonts w:ascii="Times New Roman" w:cs="Times New Roman" w:eastAsia="Times New Roman" w:hAnsi="Times New Roman"/>
          <w:sz w:val="20"/>
          <w:szCs w:val="20"/>
          <w:color w:val="231F20"/>
        </w:rPr>
        <w:t xml:space="preserve"> or discharged on or prior to the Effective Date pursuant to a payoff letter or other documentation reasonably satisfactory to the Administrative Agent.</w:t>
      </w:r>
    </w:p>
    <w:p>
      <w:pPr>
        <w:spacing w:after="0" w:line="179" w:lineRule="exact"/>
        <w:rPr>
          <w:rFonts w:ascii="Times New Roman" w:cs="Times New Roman" w:eastAsia="Times New Roman" w:hAnsi="Times New Roman"/>
          <w:sz w:val="20"/>
          <w:szCs w:val="20"/>
          <w:color w:val="231F20"/>
        </w:rPr>
      </w:pPr>
    </w:p>
    <w:p>
      <w:pPr>
        <w:jc w:val="both"/>
        <w:ind w:left="740" w:right="40" w:firstLine="745"/>
        <w:spacing w:after="0" w:line="260" w:lineRule="auto"/>
        <w:tabs>
          <w:tab w:leader="none" w:pos="2006" w:val="left"/>
        </w:tabs>
        <w:numPr>
          <w:ilvl w:val="1"/>
          <w:numId w:val="16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Pledged Stock; Stock Powers; Pledged Notes</w:t>
      </w:r>
      <w:r>
        <w:rPr>
          <w:rFonts w:ascii="Times New Roman" w:cs="Times New Roman" w:eastAsia="Times New Roman" w:hAnsi="Times New Roman"/>
          <w:sz w:val="19"/>
          <w:szCs w:val="19"/>
          <w:color w:val="231F20"/>
        </w:rPr>
        <w:t>. The Administrative Agent shall have received (i) to the extent certificated, the certificates representing the shares of Equity Interests pledged pursuant to the Security Agreement, together with an undated stock power for each such certificate executed in blank by a duly authorized officer of the pledgor thereof and</w:t>
      </w:r>
    </w:p>
    <w:p>
      <w:pPr>
        <w:ind w:left="1020" w:hanging="283"/>
        <w:spacing w:after="0"/>
        <w:tabs>
          <w:tab w:leader="none" w:pos="1020" w:val="left"/>
        </w:tabs>
        <w:numPr>
          <w:ilvl w:val="0"/>
          <w:numId w:val="16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 the extent required to be delivered pursuant to the Security Agreement, each promissory note (if any) pledged to the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14" w:name="page215"/>
    <w:bookmarkEnd w:id="214"/>
    <w:p>
      <w:pPr>
        <w:ind w:left="740"/>
        <w:spacing w:after="0" w:line="269" w:lineRule="auto"/>
        <w:rPr>
          <w:sz w:val="20"/>
          <w:szCs w:val="20"/>
          <w:color w:val="auto"/>
        </w:rPr>
      </w:pPr>
      <w:r>
        <w:rPr>
          <w:rFonts w:ascii="Times New Roman" w:cs="Times New Roman" w:eastAsia="Times New Roman" w:hAnsi="Times New Roman"/>
          <w:sz w:val="20"/>
          <w:szCs w:val="20"/>
          <w:color w:val="231F20"/>
        </w:rPr>
        <w:t>Administrative Agent pursuant to the Security Agreement endorsed (without recourse) in blank (or accompanied by an executed transfer form in blank) by the pledgor thereof.</w:t>
      </w:r>
    </w:p>
    <w:p>
      <w:pPr>
        <w:spacing w:after="0" w:line="159" w:lineRule="exact"/>
        <w:rPr>
          <w:sz w:val="20"/>
          <w:szCs w:val="20"/>
          <w:color w:val="auto"/>
        </w:rPr>
      </w:pPr>
    </w:p>
    <w:p>
      <w:pPr>
        <w:jc w:val="both"/>
        <w:ind w:left="740" w:right="60" w:firstLine="745"/>
        <w:spacing w:after="0" w:line="245" w:lineRule="auto"/>
        <w:tabs>
          <w:tab w:leader="none" w:pos="2008" w:val="left"/>
        </w:tabs>
        <w:numPr>
          <w:ilvl w:val="0"/>
          <w:numId w:val="1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Filings, Registrations and Recordings</w:t>
      </w:r>
      <w:r>
        <w:rPr>
          <w:rFonts w:ascii="Times New Roman" w:cs="Times New Roman" w:eastAsia="Times New Roman" w:hAnsi="Times New Roman"/>
          <w:sz w:val="20"/>
          <w:szCs w:val="20"/>
          <w:color w:val="231F20"/>
        </w:rPr>
        <w:t xml:space="preserve">. 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Secured Parties, a valid and perfected Lien on the Collateral described therein (but only to the extent required therein) as security for the Secured Obligations, prior and superior in right to any other Person (other than with respect to Liens expressly permitted by </w:t>
      </w:r>
      <w:r>
        <w:rPr>
          <w:rFonts w:ascii="Times New Roman" w:cs="Times New Roman" w:eastAsia="Times New Roman" w:hAnsi="Times New Roman"/>
          <w:sz w:val="20"/>
          <w:szCs w:val="20"/>
          <w:u w:val="single" w:color="auto"/>
          <w:color w:val="231F20"/>
        </w:rPr>
        <w:t>Section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6.02</w:t>
      </w:r>
      <w:r>
        <w:rPr>
          <w:rFonts w:ascii="Times New Roman" w:cs="Times New Roman" w:eastAsia="Times New Roman" w:hAnsi="Times New Roman"/>
          <w:sz w:val="20"/>
          <w:szCs w:val="20"/>
          <w:color w:val="231F20"/>
        </w:rPr>
        <w:t>), shall be in proper form for filing, registration or recordation.</w:t>
      </w:r>
    </w:p>
    <w:p>
      <w:pPr>
        <w:spacing w:after="0" w:line="184" w:lineRule="exact"/>
        <w:rPr>
          <w:rFonts w:ascii="Times New Roman" w:cs="Times New Roman" w:eastAsia="Times New Roman" w:hAnsi="Times New Roman"/>
          <w:sz w:val="20"/>
          <w:szCs w:val="20"/>
          <w:color w:val="231F20"/>
        </w:rPr>
      </w:pPr>
    </w:p>
    <w:p>
      <w:pPr>
        <w:jc w:val="both"/>
        <w:ind w:left="740" w:right="80" w:firstLine="746"/>
        <w:spacing w:after="0" w:line="254" w:lineRule="auto"/>
        <w:tabs>
          <w:tab w:leader="none" w:pos="2007" w:val="left"/>
        </w:tabs>
        <w:numPr>
          <w:ilvl w:val="0"/>
          <w:numId w:val="1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Insurance</w:t>
      </w:r>
      <w:r>
        <w:rPr>
          <w:rFonts w:ascii="Times New Roman" w:cs="Times New Roman" w:eastAsia="Times New Roman" w:hAnsi="Times New Roman"/>
          <w:sz w:val="20"/>
          <w:szCs w:val="20"/>
          <w:color w:val="231F20"/>
        </w:rPr>
        <w:t xml:space="preserve">. The Administrative Agent shall have received evidence of insurance coverage in form, scope, and substance reasonably satisfactory to the Administrative Agent and otherwise in compliance with the terms of </w:t>
      </w:r>
      <w:r>
        <w:rPr>
          <w:rFonts w:ascii="Times New Roman" w:cs="Times New Roman" w:eastAsia="Times New Roman" w:hAnsi="Times New Roman"/>
          <w:sz w:val="20"/>
          <w:szCs w:val="20"/>
          <w:u w:val="single" w:color="auto"/>
          <w:color w:val="231F20"/>
        </w:rPr>
        <w:t>Section 5.05</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Section 4.10</w:t>
      </w:r>
      <w:r>
        <w:rPr>
          <w:rFonts w:ascii="Times New Roman" w:cs="Times New Roman" w:eastAsia="Times New Roman" w:hAnsi="Times New Roman"/>
          <w:sz w:val="20"/>
          <w:szCs w:val="20"/>
          <w:color w:val="231F20"/>
        </w:rPr>
        <w:t xml:space="preserve"> of the Security Agreement.</w:t>
      </w:r>
    </w:p>
    <w:p>
      <w:pPr>
        <w:spacing w:after="0" w:line="174" w:lineRule="exact"/>
        <w:rPr>
          <w:rFonts w:ascii="Times New Roman" w:cs="Times New Roman" w:eastAsia="Times New Roman" w:hAnsi="Times New Roman"/>
          <w:sz w:val="20"/>
          <w:szCs w:val="20"/>
          <w:color w:val="231F20"/>
        </w:rPr>
      </w:pPr>
    </w:p>
    <w:p>
      <w:pPr>
        <w:ind w:left="740" w:right="120" w:firstLine="745"/>
        <w:spacing w:after="0" w:line="269" w:lineRule="auto"/>
        <w:tabs>
          <w:tab w:leader="none" w:pos="2006" w:val="left"/>
        </w:tabs>
        <w:numPr>
          <w:ilvl w:val="0"/>
          <w:numId w:val="1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Solvency</w:t>
      </w:r>
      <w:r>
        <w:rPr>
          <w:rFonts w:ascii="Times New Roman" w:cs="Times New Roman" w:eastAsia="Times New Roman" w:hAnsi="Times New Roman"/>
          <w:sz w:val="20"/>
          <w:szCs w:val="20"/>
          <w:color w:val="231F20"/>
        </w:rPr>
        <w:t xml:space="preserve">. The Administrative Agent shall have received a solvency certificate from a Financial Officer of the Borrower substantially in the form attached hereto as </w:t>
      </w:r>
      <w:r>
        <w:rPr>
          <w:rFonts w:ascii="Times New Roman" w:cs="Times New Roman" w:eastAsia="Times New Roman" w:hAnsi="Times New Roman"/>
          <w:sz w:val="20"/>
          <w:szCs w:val="20"/>
          <w:u w:val="single" w:color="auto"/>
          <w:color w:val="231F20"/>
        </w:rPr>
        <w:t>Exhibit D</w:t>
      </w:r>
      <w:r>
        <w:rPr>
          <w:rFonts w:ascii="Times New Roman" w:cs="Times New Roman" w:eastAsia="Times New Roman" w:hAnsi="Times New Roman"/>
          <w:sz w:val="20"/>
          <w:szCs w:val="20"/>
          <w:color w:val="231F20"/>
        </w:rPr>
        <w:t>.</w:t>
      </w:r>
    </w:p>
    <w:p>
      <w:pPr>
        <w:spacing w:after="0" w:line="159" w:lineRule="exact"/>
        <w:rPr>
          <w:rFonts w:ascii="Times New Roman" w:cs="Times New Roman" w:eastAsia="Times New Roman" w:hAnsi="Times New Roman"/>
          <w:sz w:val="20"/>
          <w:szCs w:val="20"/>
          <w:color w:val="231F20"/>
        </w:rPr>
      </w:pPr>
    </w:p>
    <w:p>
      <w:pPr>
        <w:ind w:left="740" w:right="120" w:firstLine="745"/>
        <w:spacing w:after="0" w:line="269" w:lineRule="auto"/>
        <w:tabs>
          <w:tab w:leader="none" w:pos="2005" w:val="left"/>
        </w:tabs>
        <w:numPr>
          <w:ilvl w:val="0"/>
          <w:numId w:val="1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Tax Withholding Forms</w:t>
      </w:r>
      <w:r>
        <w:rPr>
          <w:rFonts w:ascii="Times New Roman" w:cs="Times New Roman" w:eastAsia="Times New Roman" w:hAnsi="Times New Roman"/>
          <w:sz w:val="20"/>
          <w:szCs w:val="20"/>
          <w:color w:val="231F20"/>
        </w:rPr>
        <w:t>. The Administrative Agent shall have received a properly completed and signed IRS Form W-8 or W-9, as applicable, for each Loan Party.</w:t>
      </w:r>
    </w:p>
    <w:p>
      <w:pPr>
        <w:spacing w:after="0" w:line="159" w:lineRule="exact"/>
        <w:rPr>
          <w:rFonts w:ascii="Times New Roman" w:cs="Times New Roman" w:eastAsia="Times New Roman" w:hAnsi="Times New Roman"/>
          <w:sz w:val="20"/>
          <w:szCs w:val="20"/>
          <w:color w:val="231F20"/>
        </w:rPr>
      </w:pPr>
    </w:p>
    <w:p>
      <w:pPr>
        <w:jc w:val="both"/>
        <w:ind w:left="740" w:right="120" w:firstLine="745"/>
        <w:spacing w:after="0" w:line="249" w:lineRule="auto"/>
        <w:tabs>
          <w:tab w:leader="none" w:pos="2005" w:val="left"/>
        </w:tabs>
        <w:numPr>
          <w:ilvl w:val="0"/>
          <w:numId w:val="1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Refinancing</w:t>
      </w:r>
      <w:r>
        <w:rPr>
          <w:rFonts w:ascii="Times New Roman" w:cs="Times New Roman" w:eastAsia="Times New Roman" w:hAnsi="Times New Roman"/>
          <w:sz w:val="20"/>
          <w:szCs w:val="20"/>
          <w:color w:val="231F20"/>
        </w:rPr>
        <w:t>. The Administrative Agent shall have received evidence reasonably satisfactory to the Administrative Agent (including, if applicable, a satisfactory payoff letter) that the Existing Credit Agreement has been, or concurrently with the Effective Date is being, terminated and all Liens securing obligations under the Existing Credit Agreement have been, or concurrently with the Effective Date are being, released (collectively, the “</w:t>
      </w:r>
      <w:r>
        <w:rPr>
          <w:rFonts w:ascii="Times New Roman" w:cs="Times New Roman" w:eastAsia="Times New Roman" w:hAnsi="Times New Roman"/>
          <w:sz w:val="20"/>
          <w:szCs w:val="20"/>
          <w:u w:val="single" w:color="auto"/>
          <w:color w:val="231F20"/>
        </w:rPr>
        <w:t>Refinancing</w:t>
      </w:r>
      <w:r>
        <w:rPr>
          <w:rFonts w:ascii="Times New Roman" w:cs="Times New Roman" w:eastAsia="Times New Roman" w:hAnsi="Times New Roman"/>
          <w:sz w:val="20"/>
          <w:szCs w:val="20"/>
          <w:color w:val="231F20"/>
        </w:rPr>
        <w:t>”).</w:t>
      </w:r>
    </w:p>
    <w:p>
      <w:pPr>
        <w:spacing w:after="0" w:line="179" w:lineRule="exact"/>
        <w:rPr>
          <w:rFonts w:ascii="Times New Roman" w:cs="Times New Roman" w:eastAsia="Times New Roman" w:hAnsi="Times New Roman"/>
          <w:sz w:val="20"/>
          <w:szCs w:val="20"/>
          <w:color w:val="231F20"/>
        </w:rPr>
      </w:pPr>
    </w:p>
    <w:p>
      <w:pPr>
        <w:jc w:val="both"/>
        <w:ind w:left="740" w:right="120" w:firstLine="745"/>
        <w:spacing w:after="0" w:line="254" w:lineRule="auto"/>
        <w:tabs>
          <w:tab w:leader="none" w:pos="2005" w:val="left"/>
        </w:tabs>
        <w:numPr>
          <w:ilvl w:val="0"/>
          <w:numId w:val="1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Funding Account</w:t>
      </w:r>
      <w:r>
        <w:rPr>
          <w:rFonts w:ascii="Times New Roman" w:cs="Times New Roman" w:eastAsia="Times New Roman" w:hAnsi="Times New Roman"/>
          <w:sz w:val="20"/>
          <w:szCs w:val="20"/>
          <w:color w:val="231F20"/>
        </w:rPr>
        <w:t>. The Administrative Agent shall have received a notice setting forth the deposit account of the Borrower (the “</w:t>
      </w:r>
      <w:r>
        <w:rPr>
          <w:rFonts w:ascii="Times New Roman" w:cs="Times New Roman" w:eastAsia="Times New Roman" w:hAnsi="Times New Roman"/>
          <w:sz w:val="20"/>
          <w:szCs w:val="20"/>
          <w:u w:val="single" w:color="auto"/>
          <w:color w:val="231F20"/>
        </w:rPr>
        <w:t>Funding Account</w:t>
      </w:r>
      <w:r>
        <w:rPr>
          <w:rFonts w:ascii="Times New Roman" w:cs="Times New Roman" w:eastAsia="Times New Roman" w:hAnsi="Times New Roman"/>
          <w:sz w:val="20"/>
          <w:szCs w:val="20"/>
          <w:color w:val="231F20"/>
        </w:rPr>
        <w:t>”) to which the Administrative Agent is authorized by the Borrower to transfer the proceeds of any Borrowings requested or authorized pursuant to this Agreement.</w:t>
      </w:r>
    </w:p>
    <w:p>
      <w:pPr>
        <w:spacing w:after="0" w:line="174" w:lineRule="exact"/>
        <w:rPr>
          <w:rFonts w:ascii="Times New Roman" w:cs="Times New Roman" w:eastAsia="Times New Roman" w:hAnsi="Times New Roman"/>
          <w:sz w:val="20"/>
          <w:szCs w:val="20"/>
          <w:color w:val="231F20"/>
        </w:rPr>
      </w:pPr>
    </w:p>
    <w:p>
      <w:pPr>
        <w:jc w:val="both"/>
        <w:ind w:left="740" w:right="120" w:firstLine="745"/>
        <w:spacing w:after="0" w:line="254" w:lineRule="auto"/>
        <w:tabs>
          <w:tab w:leader="none" w:pos="2005" w:val="left"/>
        </w:tabs>
        <w:numPr>
          <w:ilvl w:val="0"/>
          <w:numId w:val="1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Approvals</w:t>
      </w:r>
      <w:r>
        <w:rPr>
          <w:rFonts w:ascii="Times New Roman" w:cs="Times New Roman" w:eastAsia="Times New Roman" w:hAnsi="Times New Roman"/>
          <w:sz w:val="20"/>
          <w:szCs w:val="20"/>
          <w:color w:val="231F20"/>
        </w:rPr>
        <w:t>. All material consents, authorizations and approvals of, and filings and registrations with, and all other actions in respect of, any Governmental Authority or other Person required in connection with the consummation of the Transactions or the conduct of the Loan Parties’ business shall have been obtained and shall be in full force and effect.</w:t>
      </w:r>
    </w:p>
    <w:p>
      <w:pPr>
        <w:spacing w:after="0" w:line="174" w:lineRule="exact"/>
        <w:rPr>
          <w:rFonts w:ascii="Times New Roman" w:cs="Times New Roman" w:eastAsia="Times New Roman" w:hAnsi="Times New Roman"/>
          <w:sz w:val="20"/>
          <w:szCs w:val="20"/>
          <w:color w:val="231F20"/>
        </w:rPr>
      </w:pPr>
    </w:p>
    <w:p>
      <w:pPr>
        <w:ind w:left="2240" w:hanging="755"/>
        <w:spacing w:after="0"/>
        <w:tabs>
          <w:tab w:leader="none" w:pos="2240" w:val="left"/>
        </w:tabs>
        <w:numPr>
          <w:ilvl w:val="0"/>
          <w:numId w:val="1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[Reserved]</w:t>
      </w:r>
      <w:r>
        <w:rPr>
          <w:rFonts w:ascii="Times New Roman" w:cs="Times New Roman" w:eastAsia="Times New Roman" w:hAnsi="Times New Roman"/>
          <w:sz w:val="20"/>
          <w:szCs w:val="20"/>
          <w:color w:val="231F20"/>
        </w:rPr>
        <w:t>.</w:t>
      </w:r>
    </w:p>
    <w:p>
      <w:pPr>
        <w:spacing w:after="0" w:line="215" w:lineRule="exact"/>
        <w:rPr>
          <w:rFonts w:ascii="Times New Roman" w:cs="Times New Roman" w:eastAsia="Times New Roman" w:hAnsi="Times New Roman"/>
          <w:sz w:val="20"/>
          <w:szCs w:val="20"/>
          <w:color w:val="231F20"/>
        </w:rPr>
      </w:pPr>
    </w:p>
    <w:p>
      <w:pPr>
        <w:jc w:val="both"/>
        <w:ind w:left="740" w:right="120" w:firstLine="745"/>
        <w:spacing w:after="0" w:line="254" w:lineRule="auto"/>
        <w:tabs>
          <w:tab w:leader="none" w:pos="2005" w:val="left"/>
        </w:tabs>
        <w:numPr>
          <w:ilvl w:val="0"/>
          <w:numId w:val="1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Corporate Structure</w:t>
      </w:r>
      <w:r>
        <w:rPr>
          <w:rFonts w:ascii="Times New Roman" w:cs="Times New Roman" w:eastAsia="Times New Roman" w:hAnsi="Times New Roman"/>
          <w:sz w:val="20"/>
          <w:szCs w:val="20"/>
          <w:color w:val="231F20"/>
        </w:rPr>
        <w:t>. The corporate structure, capital structure and other material debt instruments, material accounts and governing documents of the Borrower and its Subsidiaries shall be reasonably acceptable to the Administrative Agent.</w:t>
      </w:r>
    </w:p>
    <w:p>
      <w:pPr>
        <w:spacing w:after="0" w:line="174" w:lineRule="exact"/>
        <w:rPr>
          <w:rFonts w:ascii="Times New Roman" w:cs="Times New Roman" w:eastAsia="Times New Roman" w:hAnsi="Times New Roman"/>
          <w:sz w:val="20"/>
          <w:szCs w:val="20"/>
          <w:color w:val="231F20"/>
        </w:rPr>
      </w:pPr>
    </w:p>
    <w:p>
      <w:pPr>
        <w:ind w:left="2240" w:hanging="755"/>
        <w:spacing w:after="0"/>
        <w:tabs>
          <w:tab w:leader="none" w:pos="2240" w:val="left"/>
        </w:tabs>
        <w:numPr>
          <w:ilvl w:val="0"/>
          <w:numId w:val="1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USA PATRIOT Act, Etc</w:t>
      </w:r>
      <w:r>
        <w:rPr>
          <w:rFonts w:ascii="Times New Roman" w:cs="Times New Roman" w:eastAsia="Times New Roman" w:hAnsi="Times New Roman"/>
          <w:sz w:val="20"/>
          <w:szCs w:val="20"/>
          <w:color w:val="231F20"/>
        </w:rPr>
        <w:t>.</w:t>
      </w:r>
    </w:p>
    <w:p>
      <w:pPr>
        <w:spacing w:after="0" w:line="215" w:lineRule="exact"/>
        <w:rPr>
          <w:rFonts w:ascii="Times New Roman" w:cs="Times New Roman" w:eastAsia="Times New Roman" w:hAnsi="Times New Roman"/>
          <w:sz w:val="20"/>
          <w:szCs w:val="20"/>
          <w:color w:val="231F20"/>
        </w:rPr>
      </w:pPr>
    </w:p>
    <w:p>
      <w:pPr>
        <w:jc w:val="both"/>
        <w:ind w:left="1480" w:right="60" w:firstLine="1503"/>
        <w:spacing w:after="0" w:line="246" w:lineRule="auto"/>
        <w:tabs>
          <w:tab w:leader="none" w:pos="3525" w:val="left"/>
        </w:tabs>
        <w:numPr>
          <w:ilvl w:val="1"/>
          <w:numId w:val="1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At least three (3) Business Days prior to the Effective Date, the Borrower and each of the other Loan Parties shall have provided to the Administrative Agent or the Lenders the documentation and other information theretofore requested in writing by the Administrative Agent or the Lenders at least five (5) Business Days prior to the Effective Date that is required by regulatory authorities under applicable “know your customer” and anti-money-laundering rules and regulations, including the USA PATRIOT Act.</w:t>
      </w:r>
    </w:p>
    <w:p>
      <w:pPr>
        <w:spacing w:after="0" w:line="36" w:lineRule="exact"/>
        <w:rPr>
          <w:rFonts w:ascii="Times New Roman" w:cs="Times New Roman" w:eastAsia="Times New Roman" w:hAnsi="Times New Roman"/>
          <w:sz w:val="20"/>
          <w:szCs w:val="20"/>
          <w:color w:val="231F20"/>
        </w:rPr>
      </w:pPr>
    </w:p>
    <w:p>
      <w:pPr>
        <w:ind w:left="3540" w:hanging="557"/>
        <w:spacing w:after="0"/>
        <w:tabs>
          <w:tab w:leader="none" w:pos="3540" w:val="left"/>
        </w:tabs>
        <w:numPr>
          <w:ilvl w:val="1"/>
          <w:numId w:val="1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At least five (5) Business Days prior to the Effective Date, if the Borrower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291" w:right="659" w:bottom="1440" w:gutter="0" w:footer="0" w:header="0"/>
        </w:sectPr>
      </w:pPr>
    </w:p>
    <w:bookmarkStart w:id="215" w:name="page216"/>
    <w:bookmarkEnd w:id="215"/>
    <w:p>
      <w:pPr>
        <w:ind w:left="1480"/>
        <w:spacing w:after="0" w:line="269" w:lineRule="auto"/>
        <w:rPr>
          <w:sz w:val="20"/>
          <w:szCs w:val="20"/>
          <w:color w:val="auto"/>
        </w:rPr>
      </w:pPr>
      <w:r>
        <w:rPr>
          <w:rFonts w:ascii="Times New Roman" w:cs="Times New Roman" w:eastAsia="Times New Roman" w:hAnsi="Times New Roman"/>
          <w:sz w:val="20"/>
          <w:szCs w:val="20"/>
          <w:color w:val="231F20"/>
        </w:rPr>
        <w:t>qualifies as a “legal entity customer” under the Beneficial Ownership Regulation, the Borrower shall deliver a Beneficial Ownership Certification to each Lender who requests the same.</w:t>
      </w:r>
    </w:p>
    <w:p>
      <w:pPr>
        <w:spacing w:after="0" w:line="159" w:lineRule="exact"/>
        <w:rPr>
          <w:sz w:val="20"/>
          <w:szCs w:val="20"/>
          <w:color w:val="auto"/>
        </w:rPr>
      </w:pPr>
    </w:p>
    <w:p>
      <w:pPr>
        <w:jc w:val="both"/>
        <w:ind w:left="740" w:right="40" w:firstLine="745"/>
        <w:spacing w:after="0" w:line="249" w:lineRule="auto"/>
        <w:tabs>
          <w:tab w:leader="none" w:pos="2006" w:val="left"/>
        </w:tabs>
        <w:numPr>
          <w:ilvl w:val="0"/>
          <w:numId w:val="17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Other Documents</w:t>
      </w:r>
      <w:r>
        <w:rPr>
          <w:rFonts w:ascii="Times New Roman" w:cs="Times New Roman" w:eastAsia="Times New Roman" w:hAnsi="Times New Roman"/>
          <w:sz w:val="20"/>
          <w:szCs w:val="20"/>
          <w:color w:val="231F20"/>
        </w:rPr>
        <w:t>. The Administrative Agent shall have received such other agreements, opinions, reports, approvals, consents, certificates and other documents set forth on the closing checklist last delivered to the Borrower and such other documents as the Administrative Agent, the Issuing Bank, any Lender or their respective counsel may have reasonably requested.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16" w:name="page217"/>
    <w:bookmarkEnd w:id="216"/>
    <w:p>
      <w:pPr>
        <w:ind w:left="740"/>
        <w:spacing w:after="0" w:line="269" w:lineRule="auto"/>
        <w:rPr>
          <w:sz w:val="20"/>
          <w:szCs w:val="20"/>
          <w:color w:val="auto"/>
        </w:rPr>
      </w:pPr>
      <w:r>
        <w:rPr>
          <w:rFonts w:ascii="Times New Roman" w:cs="Times New Roman" w:eastAsia="Times New Roman" w:hAnsi="Times New Roman"/>
          <w:sz w:val="20"/>
          <w:szCs w:val="20"/>
          <w:color w:val="231F20"/>
        </w:rPr>
        <w:t>The Administrative Agent shall notify the Borrower, the Lenders and the Issuing Banks of the Effective Date, and such notice shall be conclusive and binding.</w:t>
      </w:r>
    </w:p>
    <w:p>
      <w:pPr>
        <w:spacing w:after="0" w:line="159" w:lineRule="exact"/>
        <w:rPr>
          <w:sz w:val="20"/>
          <w:szCs w:val="20"/>
          <w:color w:val="auto"/>
        </w:rPr>
      </w:pPr>
    </w:p>
    <w:p>
      <w:pPr>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 xml:space="preserve">SECTION 4.02 </w:t>
      </w:r>
      <w:r>
        <w:rPr>
          <w:rFonts w:ascii="Times New Roman" w:cs="Times New Roman" w:eastAsia="Times New Roman" w:hAnsi="Times New Roman"/>
          <w:sz w:val="20"/>
          <w:szCs w:val="20"/>
          <w:u w:val="single" w:color="auto"/>
          <w:color w:val="231F20"/>
        </w:rPr>
        <w:t>Each Credit Event</w:t>
      </w:r>
      <w:r>
        <w:rPr>
          <w:rFonts w:ascii="Times New Roman" w:cs="Times New Roman" w:eastAsia="Times New Roman" w:hAnsi="Times New Roman"/>
          <w:sz w:val="20"/>
          <w:szCs w:val="20"/>
          <w:color w:val="231F20"/>
        </w:rPr>
        <w:t>. The obligation of each Lender to make any Loan, and of the Issuing Banks to issue or increase any Letter of Credit, is subject to the satisfaction of the following conditions:</w:t>
      </w:r>
    </w:p>
    <w:p>
      <w:pPr>
        <w:spacing w:after="0" w:line="159" w:lineRule="exact"/>
        <w:rPr>
          <w:sz w:val="20"/>
          <w:szCs w:val="20"/>
          <w:color w:val="auto"/>
        </w:rPr>
      </w:pPr>
    </w:p>
    <w:p>
      <w:pPr>
        <w:jc w:val="both"/>
        <w:ind w:left="740" w:right="20" w:firstLine="745"/>
        <w:spacing w:after="0" w:line="246" w:lineRule="auto"/>
        <w:tabs>
          <w:tab w:leader="none" w:pos="2005" w:val="left"/>
        </w:tabs>
        <w:numPr>
          <w:ilvl w:val="0"/>
          <w:numId w:val="1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representations and warranties of the Borrower set forth in this Agreement shall be true and correct in all material respects on and as of the date of such Loan or the date of issuance or increase of such Letter of Credit, as applicable, except that (i) to the extent that such representations and warranties specifically refer to an earlier date, such representations and warranties shall be true and correct in all material respects as of such earlier date and (ii) any representation and warranty that is qualified as to “materiality” or “Material Adverse Effect” shall be true and correct in all respects.</w:t>
      </w:r>
    </w:p>
    <w:p>
      <w:pPr>
        <w:spacing w:after="0" w:line="184" w:lineRule="exact"/>
        <w:rPr>
          <w:rFonts w:ascii="Times New Roman" w:cs="Times New Roman" w:eastAsia="Times New Roman" w:hAnsi="Times New Roman"/>
          <w:sz w:val="20"/>
          <w:szCs w:val="20"/>
          <w:color w:val="231F20"/>
        </w:rPr>
      </w:pPr>
    </w:p>
    <w:p>
      <w:pPr>
        <w:ind w:left="740" w:right="20" w:firstLine="745"/>
        <w:spacing w:after="0" w:line="269" w:lineRule="auto"/>
        <w:tabs>
          <w:tab w:leader="none" w:pos="2005" w:val="left"/>
        </w:tabs>
        <w:numPr>
          <w:ilvl w:val="0"/>
          <w:numId w:val="1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At the time of and immediately after giving effect to such Loan or the issuance or increase of such Letter of Credit, as applicable, no Default shall have occurred and be continuing.</w:t>
      </w:r>
    </w:p>
    <w:p>
      <w:pPr>
        <w:spacing w:after="0" w:line="159" w:lineRule="exact"/>
        <w:rPr>
          <w:rFonts w:ascii="Times New Roman" w:cs="Times New Roman" w:eastAsia="Times New Roman" w:hAnsi="Times New Roman"/>
          <w:sz w:val="20"/>
          <w:szCs w:val="20"/>
          <w:color w:val="231F20"/>
        </w:rPr>
      </w:pPr>
    </w:p>
    <w:p>
      <w:pPr>
        <w:ind w:left="2000" w:hanging="515"/>
        <w:spacing w:after="0"/>
        <w:tabs>
          <w:tab w:leader="none" w:pos="2000" w:val="left"/>
        </w:tabs>
        <w:numPr>
          <w:ilvl w:val="0"/>
          <w:numId w:val="1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Borrower shall have delivered a completed Borrowing Request or application for a Letter of Credit, as</w:t>
      </w:r>
    </w:p>
    <w:p>
      <w:pPr>
        <w:spacing w:after="0" w:line="21" w:lineRule="exact"/>
        <w:rPr>
          <w:rFonts w:ascii="Times New Roman" w:cs="Times New Roman" w:eastAsia="Times New Roman" w:hAnsi="Times New Roman"/>
          <w:sz w:val="20"/>
          <w:szCs w:val="20"/>
          <w:color w:val="231F20"/>
        </w:rPr>
      </w:pPr>
    </w:p>
    <w:p>
      <w:pPr>
        <w:ind w:left="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applicable.</w:t>
      </w:r>
    </w:p>
    <w:p>
      <w:pPr>
        <w:spacing w:after="0" w:line="194" w:lineRule="exact"/>
        <w:rPr>
          <w:sz w:val="20"/>
          <w:szCs w:val="20"/>
          <w:color w:val="auto"/>
        </w:rPr>
      </w:pPr>
    </w:p>
    <w:p>
      <w:pPr>
        <w:ind w:left="740" w:right="20"/>
        <w:spacing w:after="0" w:line="269" w:lineRule="auto"/>
        <w:rPr>
          <w:sz w:val="20"/>
          <w:szCs w:val="20"/>
          <w:color w:val="auto"/>
        </w:rPr>
      </w:pPr>
      <w:r>
        <w:rPr>
          <w:rFonts w:ascii="Times New Roman" w:cs="Times New Roman" w:eastAsia="Times New Roman" w:hAnsi="Times New Roman"/>
          <w:sz w:val="20"/>
          <w:szCs w:val="20"/>
          <w:color w:val="231F20"/>
        </w:rPr>
        <w:t xml:space="preserve">Each Loan and each issuance or increase of a Letter of Credit shall be deemed to constitute a representation and warranty by the Borrower on the date thereof as to the matters specified in </w:t>
      </w:r>
      <w:r>
        <w:rPr>
          <w:rFonts w:ascii="Times New Roman" w:cs="Times New Roman" w:eastAsia="Times New Roman" w:hAnsi="Times New Roman"/>
          <w:sz w:val="20"/>
          <w:szCs w:val="20"/>
          <w:u w:val="single" w:color="auto"/>
          <w:color w:val="231F20"/>
        </w:rPr>
        <w:t>clauses (a)</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(b)</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4.02</w:t>
      </w:r>
      <w:r>
        <w:rPr>
          <w:rFonts w:ascii="Times New Roman" w:cs="Times New Roman" w:eastAsia="Times New Roman" w:hAnsi="Times New Roman"/>
          <w:sz w:val="20"/>
          <w:szCs w:val="20"/>
          <w:color w:val="231F20"/>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3756660</wp:posOffset>
            </wp:positionH>
            <wp:positionV relativeFrom="paragraph">
              <wp:posOffset>-10795</wp:posOffset>
            </wp:positionV>
            <wp:extent cx="10096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00965" cy="8255"/>
                    </a:xfrm>
                    <a:prstGeom prst="rect">
                      <a:avLst/>
                    </a:prstGeom>
                    <a:noFill/>
                  </pic:spPr>
                </pic:pic>
              </a:graphicData>
            </a:graphic>
          </wp:anchor>
        </w:drawing>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u w:val="single" w:color="auto"/>
          <w:color w:val="231F20"/>
        </w:rPr>
        <w:t>AFFIRMATIVE COVENANTS</w:t>
      </w:r>
    </w:p>
    <w:p>
      <w:pPr>
        <w:spacing w:after="0" w:line="216" w:lineRule="exact"/>
        <w:rPr>
          <w:sz w:val="20"/>
          <w:szCs w:val="20"/>
          <w:color w:val="auto"/>
        </w:rPr>
      </w:pPr>
    </w:p>
    <w:p>
      <w:pPr>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Until Payment in Full has occurred, each Loan Party executing this Agreement covenants and agrees, jointly and severally with all of the Loan Parties, with the Lenders that:</w:t>
      </w:r>
    </w:p>
    <w:p>
      <w:pPr>
        <w:spacing w:after="0" w:line="159" w:lineRule="exact"/>
        <w:rPr>
          <w:sz w:val="20"/>
          <w:szCs w:val="20"/>
          <w:color w:val="auto"/>
        </w:rPr>
      </w:pPr>
    </w:p>
    <w:p>
      <w:pPr>
        <w:ind w:left="740" w:right="20" w:firstLine="749"/>
        <w:spacing w:after="0" w:line="269" w:lineRule="auto"/>
        <w:rPr>
          <w:sz w:val="20"/>
          <w:szCs w:val="20"/>
          <w:color w:val="auto"/>
        </w:rPr>
      </w:pPr>
      <w:r>
        <w:rPr>
          <w:rFonts w:ascii="Times New Roman" w:cs="Times New Roman" w:eastAsia="Times New Roman" w:hAnsi="Times New Roman"/>
          <w:sz w:val="20"/>
          <w:szCs w:val="20"/>
          <w:color w:val="231F20"/>
        </w:rPr>
        <w:t xml:space="preserve">SECTION 5.01 </w:t>
      </w:r>
      <w:r>
        <w:rPr>
          <w:rFonts w:ascii="Times New Roman" w:cs="Times New Roman" w:eastAsia="Times New Roman" w:hAnsi="Times New Roman"/>
          <w:sz w:val="20"/>
          <w:szCs w:val="20"/>
          <w:u w:val="single" w:color="auto"/>
          <w:color w:val="231F20"/>
        </w:rPr>
        <w:t>Financial Statements and Other Information</w:t>
      </w:r>
      <w:r>
        <w:rPr>
          <w:rFonts w:ascii="Times New Roman" w:cs="Times New Roman" w:eastAsia="Times New Roman" w:hAnsi="Times New Roman"/>
          <w:sz w:val="20"/>
          <w:szCs w:val="20"/>
          <w:color w:val="231F20"/>
        </w:rPr>
        <w:t>. The Borrower will furnish to the Administrative Agent (which shall promptly make such information available to the Lenders in accordance with its customary practices):</w:t>
      </w:r>
    </w:p>
    <w:p>
      <w:pPr>
        <w:spacing w:after="0" w:line="159" w:lineRule="exact"/>
        <w:rPr>
          <w:sz w:val="20"/>
          <w:szCs w:val="20"/>
          <w:color w:val="auto"/>
        </w:rPr>
      </w:pPr>
    </w:p>
    <w:p>
      <w:pPr>
        <w:jc w:val="both"/>
        <w:ind w:left="740" w:firstLine="745"/>
        <w:spacing w:after="0" w:line="263" w:lineRule="auto"/>
        <w:tabs>
          <w:tab w:leader="none" w:pos="2006" w:val="left"/>
        </w:tabs>
        <w:numPr>
          <w:ilvl w:val="0"/>
          <w:numId w:val="17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within ninety (90) days after the end of each fiscal year of the Borrower, its audited consolidated balance sheet and related statements of operations, stockholders’ equity and cash flows as of the end of and for such year, setting forth in each case in comparative form the figures for the previous fiscal year, all reported on by the Accounting Firm (without a “going concern” or like qualification or exception and without any qualification or exception as to the scope of such audit) to the effect that such consolidated financial statements present fairly in all material respects the financial condition and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40" w:right="759" w:bottom="1440" w:gutter="0" w:footer="0" w:header="0"/>
        </w:sectPr>
      </w:pPr>
    </w:p>
    <w:bookmarkStart w:id="217" w:name="page218"/>
    <w:bookmarkEnd w:id="217"/>
    <w:p>
      <w:pPr>
        <w:ind w:left="740"/>
        <w:spacing w:after="0" w:line="269" w:lineRule="auto"/>
        <w:rPr>
          <w:sz w:val="20"/>
          <w:szCs w:val="20"/>
          <w:color w:val="auto"/>
        </w:rPr>
      </w:pPr>
      <w:r>
        <w:rPr>
          <w:rFonts w:ascii="Times New Roman" w:cs="Times New Roman" w:eastAsia="Times New Roman" w:hAnsi="Times New Roman"/>
          <w:sz w:val="20"/>
          <w:szCs w:val="20"/>
          <w:color w:val="231F20"/>
        </w:rPr>
        <w:t>of operations of the Borrower and its consolidated Subsidiaries on a consolidated basis in accordance with GAAP consistently applied;</w:t>
      </w:r>
    </w:p>
    <w:p>
      <w:pPr>
        <w:spacing w:after="0" w:line="159" w:lineRule="exact"/>
        <w:rPr>
          <w:sz w:val="20"/>
          <w:szCs w:val="20"/>
          <w:color w:val="auto"/>
        </w:rPr>
      </w:pPr>
    </w:p>
    <w:p>
      <w:pPr>
        <w:jc w:val="both"/>
        <w:ind w:left="740" w:right="40" w:firstLine="745"/>
        <w:spacing w:after="0" w:line="243" w:lineRule="auto"/>
        <w:tabs>
          <w:tab w:leader="none" w:pos="2006" w:val="left"/>
        </w:tabs>
        <w:numPr>
          <w:ilvl w:val="0"/>
          <w:numId w:val="1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within forty five (45) days after the end of each of the first three fiscal quarters of each fiscal year of the Borrower, its consolidated balance sheet and related statements of operations, as of the end of and for such fiscal quarter and the then elapsed portion of the fiscal year and stockholders’ equity and cash flows for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89" w:lineRule="exact"/>
        <w:rPr>
          <w:rFonts w:ascii="Times New Roman" w:cs="Times New Roman" w:eastAsia="Times New Roman" w:hAnsi="Times New Roman"/>
          <w:sz w:val="20"/>
          <w:szCs w:val="20"/>
          <w:color w:val="231F20"/>
        </w:rPr>
      </w:pPr>
    </w:p>
    <w:p>
      <w:pPr>
        <w:jc w:val="both"/>
        <w:ind w:left="740" w:firstLine="745"/>
        <w:spacing w:after="0" w:line="243" w:lineRule="auto"/>
        <w:tabs>
          <w:tab w:leader="none" w:pos="2008" w:val="left"/>
        </w:tabs>
        <w:numPr>
          <w:ilvl w:val="0"/>
          <w:numId w:val="1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concurrently with any delivery of financial statements under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(b)</w:t>
      </w:r>
      <w:r>
        <w:rPr>
          <w:rFonts w:ascii="Times New Roman" w:cs="Times New Roman" w:eastAsia="Times New Roman" w:hAnsi="Times New Roman"/>
          <w:sz w:val="20"/>
          <w:szCs w:val="20"/>
          <w:color w:val="231F20"/>
        </w:rPr>
        <w:t xml:space="preserve"> above, a certificate of a Financial Officer of the Borrower in substantially the form of </w:t>
      </w:r>
      <w:r>
        <w:rPr>
          <w:rFonts w:ascii="Times New Roman" w:cs="Times New Roman" w:eastAsia="Times New Roman" w:hAnsi="Times New Roman"/>
          <w:sz w:val="20"/>
          <w:szCs w:val="20"/>
          <w:u w:val="single" w:color="auto"/>
          <w:color w:val="231F20"/>
        </w:rPr>
        <w:t>Exhibit B</w:t>
      </w:r>
      <w:r>
        <w:rPr>
          <w:rFonts w:ascii="Times New Roman" w:cs="Times New Roman" w:eastAsia="Times New Roman" w:hAnsi="Times New Roman"/>
          <w:sz w:val="20"/>
          <w:szCs w:val="20"/>
          <w:color w:val="231F20"/>
        </w:rPr>
        <w:t xml:space="preserve"> (i) certifying as to whether a Default or Event of Default has occurred and, if a Default or Event of Default has occurred, specifying the details thereof and any action taken or proposed to be taken with respect thereto, (ii) setting forth reasonably detailed calculations demonstrating compliance with the Financial Covenants and compliance with </w:t>
      </w:r>
      <w:r>
        <w:rPr>
          <w:rFonts w:ascii="Times New Roman" w:cs="Times New Roman" w:eastAsia="Times New Roman" w:hAnsi="Times New Roman"/>
          <w:sz w:val="20"/>
          <w:szCs w:val="20"/>
          <w:u w:val="single" w:color="auto"/>
          <w:color w:val="ED1C24"/>
          <w:strike w:val="1"/>
        </w:rPr>
        <w:t>Sections 6.04(c)</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ED1C24"/>
          <w:strike w:val="1"/>
        </w:rPr>
        <w:t>and (d)</w:t>
      </w:r>
      <w:r>
        <w:rPr>
          <w:rFonts w:ascii="Times New Roman" w:cs="Times New Roman" w:eastAsia="Times New Roman" w:hAnsi="Times New Roman"/>
          <w:sz w:val="20"/>
          <w:szCs w:val="20"/>
          <w:color w:val="2251A3"/>
        </w:rPr>
        <w:t>the Non-Loan Party Cap</w:t>
      </w:r>
      <w:r>
        <w:rPr>
          <w:rFonts w:ascii="Times New Roman" w:cs="Times New Roman" w:eastAsia="Times New Roman" w:hAnsi="Times New Roman"/>
          <w:sz w:val="20"/>
          <w:szCs w:val="20"/>
          <w:color w:val="231F20"/>
        </w:rPr>
        <w:t xml:space="preserve">, (iii) identifying any Subsidiary of the Borrower that has become, or ceased to be, an Immaterial Subsidiary during the most recently ended fiscal quarter and (iv) stating whether any change in GAAP or in the application thereof has occurred since the later of December 31, 2022 and the end date of the financial statements most recently delivered pursuant to </w:t>
      </w:r>
      <w:r>
        <w:rPr>
          <w:rFonts w:ascii="Times New Roman" w:cs="Times New Roman" w:eastAsia="Times New Roman" w:hAnsi="Times New Roman"/>
          <w:sz w:val="20"/>
          <w:szCs w:val="20"/>
          <w:u w:val="single" w:color="auto"/>
          <w:color w:val="231F20"/>
        </w:rPr>
        <w:t>Section 5.01(a)</w:t>
      </w:r>
      <w:r>
        <w:rPr>
          <w:rFonts w:ascii="Times New Roman" w:cs="Times New Roman" w:eastAsia="Times New Roman" w:hAnsi="Times New Roman"/>
          <w:sz w:val="20"/>
          <w:szCs w:val="20"/>
          <w:color w:val="231F20"/>
        </w:rPr>
        <w:t xml:space="preserve"> and, if any such change has occurred, specifying the effect of such change on the financial statements accompanying such certificate;</w:t>
      </w:r>
    </w:p>
    <w:p>
      <w:pPr>
        <w:spacing w:after="0" w:line="185" w:lineRule="exact"/>
        <w:rPr>
          <w:rFonts w:ascii="Times New Roman" w:cs="Times New Roman" w:eastAsia="Times New Roman" w:hAnsi="Times New Roman"/>
          <w:sz w:val="20"/>
          <w:szCs w:val="20"/>
          <w:color w:val="231F20"/>
        </w:rPr>
      </w:pPr>
    </w:p>
    <w:p>
      <w:pPr>
        <w:jc w:val="both"/>
        <w:ind w:left="740" w:right="40" w:firstLine="746"/>
        <w:spacing w:after="0" w:line="249" w:lineRule="auto"/>
        <w:tabs>
          <w:tab w:leader="none" w:pos="2007" w:val="left"/>
        </w:tabs>
        <w:numPr>
          <w:ilvl w:val="0"/>
          <w:numId w:val="1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 soon as available, but in any event within ninety (90) days after the start of each fiscal year of the Borrower, a copy of the plan and forecast (including a projected consolidated balance sheet, income statement and funds flow statement) of the Borrower and its Subsidiaries for each fiscal quarter of such fiscal year (the “</w:t>
      </w:r>
      <w:r>
        <w:rPr>
          <w:rFonts w:ascii="Times New Roman" w:cs="Times New Roman" w:eastAsia="Times New Roman" w:hAnsi="Times New Roman"/>
          <w:sz w:val="20"/>
          <w:szCs w:val="20"/>
          <w:u w:val="single" w:color="auto"/>
          <w:color w:val="231F20"/>
        </w:rPr>
        <w:t>Projections</w:t>
      </w:r>
      <w:r>
        <w:rPr>
          <w:rFonts w:ascii="Times New Roman" w:cs="Times New Roman" w:eastAsia="Times New Roman" w:hAnsi="Times New Roman"/>
          <w:sz w:val="20"/>
          <w:szCs w:val="20"/>
          <w:color w:val="231F20"/>
        </w:rPr>
        <w:t>”) in form reasonably satisfactory to the Administrative Agent;</w:t>
      </w:r>
    </w:p>
    <w:p>
      <w:pPr>
        <w:spacing w:after="0" w:line="179" w:lineRule="exact"/>
        <w:rPr>
          <w:rFonts w:ascii="Times New Roman" w:cs="Times New Roman" w:eastAsia="Times New Roman" w:hAnsi="Times New Roman"/>
          <w:sz w:val="20"/>
          <w:szCs w:val="20"/>
          <w:color w:val="231F20"/>
        </w:rPr>
      </w:pPr>
    </w:p>
    <w:p>
      <w:pPr>
        <w:jc w:val="both"/>
        <w:ind w:left="740" w:firstLine="745"/>
        <w:spacing w:after="0" w:line="245" w:lineRule="auto"/>
        <w:tabs>
          <w:tab w:leader="none" w:pos="2008" w:val="left"/>
        </w:tabs>
        <w:numPr>
          <w:ilvl w:val="0"/>
          <w:numId w:val="1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promptly following any request therefor, (i) such other information regarding the operations, business affairs and financial condition of the Borrower or any Subsidiary, or compliance with the terms of this Agreement, as the Administrative Agent may reasonably request, on behalf of itself or any Lender hereunder; or (ii) information and documentation reasonably requested by the Administrative Agent or any Lender for purposes of compliance with applicable “know your customer” requirements under the USA PATRIOT Act or any applicable anti-money laundering laws and the Beneficial Ownership Regulation; and</w:t>
      </w:r>
    </w:p>
    <w:p>
      <w:pPr>
        <w:spacing w:after="0" w:line="184" w:lineRule="exact"/>
        <w:rPr>
          <w:rFonts w:ascii="Times New Roman" w:cs="Times New Roman" w:eastAsia="Times New Roman" w:hAnsi="Times New Roman"/>
          <w:sz w:val="20"/>
          <w:szCs w:val="20"/>
          <w:color w:val="231F20"/>
        </w:rPr>
      </w:pPr>
    </w:p>
    <w:p>
      <w:pPr>
        <w:jc w:val="both"/>
        <w:ind w:left="740" w:right="60" w:firstLine="745"/>
        <w:spacing w:after="0" w:line="249" w:lineRule="auto"/>
        <w:tabs>
          <w:tab w:leader="none" w:pos="2005" w:val="left"/>
        </w:tabs>
        <w:numPr>
          <w:ilvl w:val="0"/>
          <w:numId w:val="1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promptly after the same become publicly available, copies of all periodic and other reports, proxy statements and other materials filed by the Borrower or any of its Subsidiaries with the SEC, or any Governmental Authority succeeding to any or all of the functions of the SEC, or with any national securities exchange, or distributed by the Borrower to its shareholders generally, as the case may be.</w:t>
      </w:r>
    </w:p>
    <w:p>
      <w:pPr>
        <w:spacing w:after="0" w:line="180" w:lineRule="exact"/>
        <w:rPr>
          <w:sz w:val="20"/>
          <w:szCs w:val="20"/>
          <w:color w:val="auto"/>
        </w:rPr>
      </w:pPr>
    </w:p>
    <w:p>
      <w:pPr>
        <w:jc w:val="both"/>
        <w:ind w:left="740" w:right="40"/>
        <w:spacing w:after="0" w:line="249" w:lineRule="auto"/>
        <w:rPr>
          <w:sz w:val="20"/>
          <w:szCs w:val="20"/>
          <w:color w:val="auto"/>
        </w:rPr>
      </w:pPr>
      <w:r>
        <w:rPr>
          <w:rFonts w:ascii="Times New Roman" w:cs="Times New Roman" w:eastAsia="Times New Roman" w:hAnsi="Times New Roman"/>
          <w:sz w:val="20"/>
          <w:szCs w:val="20"/>
          <w:color w:val="231F20"/>
        </w:rPr>
        <w:t xml:space="preserve">Notwithstanding anything to the contrary in this </w:t>
      </w:r>
      <w:r>
        <w:rPr>
          <w:rFonts w:ascii="Times New Roman" w:cs="Times New Roman" w:eastAsia="Times New Roman" w:hAnsi="Times New Roman"/>
          <w:sz w:val="20"/>
          <w:szCs w:val="20"/>
          <w:u w:val="single" w:color="auto"/>
          <w:color w:val="231F20"/>
        </w:rPr>
        <w:t>Section 5.01</w:t>
      </w:r>
      <w:r>
        <w:rPr>
          <w:rFonts w:ascii="Times New Roman" w:cs="Times New Roman" w:eastAsia="Times New Roman" w:hAnsi="Times New Roman"/>
          <w:sz w:val="20"/>
          <w:szCs w:val="20"/>
          <w:color w:val="231F20"/>
        </w:rPr>
        <w:t xml:space="preserve">, any documents required to be delivered pursuant to </w:t>
      </w:r>
      <w:r>
        <w:rPr>
          <w:rFonts w:ascii="Times New Roman" w:cs="Times New Roman" w:eastAsia="Times New Roman" w:hAnsi="Times New Roman"/>
          <w:sz w:val="20"/>
          <w:szCs w:val="20"/>
          <w:u w:val="single" w:color="auto"/>
          <w:color w:val="231F20"/>
        </w:rPr>
        <w:t>Sections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5.01(a)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(b)</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(f)</w:t>
      </w:r>
      <w:r>
        <w:rPr>
          <w:rFonts w:ascii="Times New Roman" w:cs="Times New Roman" w:eastAsia="Times New Roman" w:hAnsi="Times New Roman"/>
          <w:sz w:val="20"/>
          <w:szCs w:val="20"/>
          <w:color w:val="231F20"/>
        </w:rPr>
        <w:t xml:space="preserve"> may be delivered electronically and if so delivered, shall be deemed to have been delivered on the date on which such documents are filed for public availability on the SEC’s Electronic Data Gathering and Retrieval System or on which the Borrower posts such documents, or provides a link thereto on the Borrower’s website on the Internet.</w:t>
      </w:r>
    </w:p>
    <w:p>
      <w:pPr>
        <w:spacing w:after="0" w:line="180" w:lineRule="exact"/>
        <w:rPr>
          <w:sz w:val="20"/>
          <w:szCs w:val="20"/>
          <w:color w:val="auto"/>
        </w:rPr>
      </w:pPr>
    </w:p>
    <w:p>
      <w:pPr>
        <w:ind w:left="740" w:right="180" w:firstLine="749"/>
        <w:spacing w:after="0" w:line="269" w:lineRule="auto"/>
        <w:rPr>
          <w:sz w:val="20"/>
          <w:szCs w:val="20"/>
          <w:color w:val="auto"/>
        </w:rPr>
      </w:pPr>
      <w:r>
        <w:rPr>
          <w:rFonts w:ascii="Times New Roman" w:cs="Times New Roman" w:eastAsia="Times New Roman" w:hAnsi="Times New Roman"/>
          <w:sz w:val="20"/>
          <w:szCs w:val="20"/>
          <w:color w:val="231F20"/>
        </w:rPr>
        <w:t xml:space="preserve">SECTION 5.02 </w:t>
      </w:r>
      <w:r>
        <w:rPr>
          <w:rFonts w:ascii="Times New Roman" w:cs="Times New Roman" w:eastAsia="Times New Roman" w:hAnsi="Times New Roman"/>
          <w:sz w:val="20"/>
          <w:szCs w:val="20"/>
          <w:u w:val="single" w:color="auto"/>
          <w:color w:val="231F20"/>
        </w:rPr>
        <w:t>Notices of Material Events</w:t>
      </w:r>
      <w:r>
        <w:rPr>
          <w:rFonts w:ascii="Times New Roman" w:cs="Times New Roman" w:eastAsia="Times New Roman" w:hAnsi="Times New Roman"/>
          <w:sz w:val="20"/>
          <w:szCs w:val="20"/>
          <w:color w:val="231F20"/>
        </w:rPr>
        <w:t>. The Borrower will furnish to the Administrative Agent (which shall promptly make such information available to the Lenders in accordance with 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18" w:name="page219"/>
    <w:bookmarkEnd w:id="218"/>
    <w:p>
      <w:pPr>
        <w:ind w:left="740"/>
        <w:spacing w:after="0"/>
        <w:rPr>
          <w:sz w:val="20"/>
          <w:szCs w:val="20"/>
          <w:color w:val="auto"/>
        </w:rPr>
      </w:pPr>
      <w:r>
        <w:rPr>
          <w:rFonts w:ascii="Times New Roman" w:cs="Times New Roman" w:eastAsia="Times New Roman" w:hAnsi="Times New Roman"/>
          <w:sz w:val="20"/>
          <w:szCs w:val="20"/>
          <w:color w:val="231F20"/>
        </w:rPr>
        <w:t>customary practices) prompt written notice of the following (and in any event no later than five (5) Business Days after any</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31F20"/>
        </w:rPr>
        <w:t>Responsible Officer’s knowledge of the occurrence thereof):</w:t>
      </w:r>
    </w:p>
    <w:p>
      <w:pPr>
        <w:spacing w:after="0" w:line="194" w:lineRule="exact"/>
        <w:rPr>
          <w:sz w:val="20"/>
          <w:szCs w:val="20"/>
          <w:color w:val="auto"/>
        </w:rPr>
      </w:pPr>
    </w:p>
    <w:p>
      <w:pPr>
        <w:ind w:left="2240" w:hanging="755"/>
        <w:spacing w:after="0"/>
        <w:tabs>
          <w:tab w:leader="none" w:pos="2240" w:val="left"/>
        </w:tabs>
        <w:numPr>
          <w:ilvl w:val="0"/>
          <w:numId w:val="1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occurrence of any Default;</w:t>
      </w:r>
    </w:p>
    <w:p>
      <w:pPr>
        <w:spacing w:after="0" w:line="215" w:lineRule="exact"/>
        <w:rPr>
          <w:rFonts w:ascii="Times New Roman" w:cs="Times New Roman" w:eastAsia="Times New Roman" w:hAnsi="Times New Roman"/>
          <w:sz w:val="20"/>
          <w:szCs w:val="20"/>
          <w:color w:val="231F20"/>
        </w:rPr>
      </w:pPr>
    </w:p>
    <w:p>
      <w:pPr>
        <w:jc w:val="both"/>
        <w:ind w:left="740" w:right="20" w:firstLine="745"/>
        <w:spacing w:after="0" w:line="254" w:lineRule="auto"/>
        <w:tabs>
          <w:tab w:leader="none" w:pos="2005" w:val="left"/>
        </w:tabs>
        <w:numPr>
          <w:ilvl w:val="0"/>
          <w:numId w:val="1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filing or commencement of any litigation, investigation, action, suit or proceeding by or before any arbitrator or Governmental Authority against or involving the Borrower, any of its Subsidiaries or any Affiliate thereof or any of their respective properties, assets or business that could reasonably be expected to result in a Material Adverse Effect;</w:t>
      </w:r>
    </w:p>
    <w:p>
      <w:pPr>
        <w:spacing w:after="0" w:line="174" w:lineRule="exact"/>
        <w:rPr>
          <w:rFonts w:ascii="Times New Roman" w:cs="Times New Roman" w:eastAsia="Times New Roman" w:hAnsi="Times New Roman"/>
          <w:sz w:val="20"/>
          <w:szCs w:val="20"/>
          <w:color w:val="231F20"/>
        </w:rPr>
      </w:pPr>
    </w:p>
    <w:p>
      <w:pPr>
        <w:jc w:val="both"/>
        <w:ind w:left="740" w:right="20" w:firstLine="745"/>
        <w:spacing w:after="0" w:line="254" w:lineRule="auto"/>
        <w:tabs>
          <w:tab w:leader="none" w:pos="2005" w:val="left"/>
        </w:tabs>
        <w:numPr>
          <w:ilvl w:val="0"/>
          <w:numId w:val="1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occurrence of any ERISA Event that, alone or together with any other ERISA Events that have occurred, could reasonably be expected to result in liability of the Borrower and its Subsidiaries in an aggregate amount exceeding $5.0 million;</w:t>
      </w:r>
    </w:p>
    <w:p>
      <w:pPr>
        <w:spacing w:after="0" w:line="174" w:lineRule="exact"/>
        <w:rPr>
          <w:rFonts w:ascii="Times New Roman" w:cs="Times New Roman" w:eastAsia="Times New Roman" w:hAnsi="Times New Roman"/>
          <w:sz w:val="20"/>
          <w:szCs w:val="20"/>
          <w:color w:val="231F20"/>
        </w:rPr>
      </w:pPr>
    </w:p>
    <w:p>
      <w:pPr>
        <w:jc w:val="both"/>
        <w:ind w:left="740" w:firstLine="745"/>
        <w:spacing w:after="0" w:line="249" w:lineRule="auto"/>
        <w:tabs>
          <w:tab w:leader="none" w:pos="2006" w:val="left"/>
        </w:tabs>
        <w:numPr>
          <w:ilvl w:val="0"/>
          <w:numId w:val="1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occurrence and nature of any Prohibited Transaction or any funding deficiency with respect to any Plan, or a transaction that Borrower reasonably knows the IRS or Department of Labor or any other Governmental Authority is reviewing to determine whether a Prohibited Transaction might have occurred, in each case, that could reasonably be expected to result in a Material Adverse Effect;</w:t>
      </w:r>
    </w:p>
    <w:p>
      <w:pPr>
        <w:spacing w:after="0" w:line="179" w:lineRule="exact"/>
        <w:rPr>
          <w:rFonts w:ascii="Times New Roman" w:cs="Times New Roman" w:eastAsia="Times New Roman" w:hAnsi="Times New Roman"/>
          <w:sz w:val="20"/>
          <w:szCs w:val="20"/>
          <w:color w:val="231F20"/>
        </w:rPr>
      </w:pPr>
    </w:p>
    <w:p>
      <w:pPr>
        <w:ind w:left="2240" w:hanging="755"/>
        <w:spacing w:after="0"/>
        <w:tabs>
          <w:tab w:leader="none" w:pos="2240" w:val="left"/>
        </w:tabs>
        <w:numPr>
          <w:ilvl w:val="0"/>
          <w:numId w:val="1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Loan Party’s intention to terminate or withdraw from any Plan;</w:t>
      </w:r>
    </w:p>
    <w:p>
      <w:pPr>
        <w:spacing w:after="0" w:line="215" w:lineRule="exact"/>
        <w:rPr>
          <w:rFonts w:ascii="Times New Roman" w:cs="Times New Roman" w:eastAsia="Times New Roman" w:hAnsi="Times New Roman"/>
          <w:sz w:val="20"/>
          <w:szCs w:val="20"/>
          <w:color w:val="231F20"/>
        </w:rPr>
      </w:pPr>
    </w:p>
    <w:p>
      <w:pPr>
        <w:jc w:val="both"/>
        <w:ind w:left="740" w:right="20" w:firstLine="745"/>
        <w:spacing w:after="0" w:line="249" w:lineRule="auto"/>
        <w:tabs>
          <w:tab w:leader="none" w:pos="2005" w:val="left"/>
        </w:tabs>
        <w:numPr>
          <w:ilvl w:val="0"/>
          <w:numId w:val="1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aggregate present value of accrued benefit liabilities (whether or not vested) under all Foreign Pension Plans, determined as of the end of the Borrower’s most recently ended fiscal year on the basis of actuarial assumptions, each of which is reasonable, did not exceed the current aggregate value of the assets of such Foreign Pension Plans allocable to such benefit liabilities by more than $5.0 million;</w:t>
      </w:r>
    </w:p>
    <w:p>
      <w:pPr>
        <w:spacing w:after="0" w:line="179" w:lineRule="exact"/>
        <w:rPr>
          <w:rFonts w:ascii="Times New Roman" w:cs="Times New Roman" w:eastAsia="Times New Roman" w:hAnsi="Times New Roman"/>
          <w:sz w:val="20"/>
          <w:szCs w:val="20"/>
          <w:color w:val="231F20"/>
        </w:rPr>
      </w:pPr>
    </w:p>
    <w:p>
      <w:pPr>
        <w:jc w:val="both"/>
        <w:ind w:left="740" w:firstLine="745"/>
        <w:spacing w:after="0" w:line="254" w:lineRule="auto"/>
        <w:tabs>
          <w:tab w:leader="none" w:pos="2006" w:val="left"/>
        </w:tabs>
        <w:numPr>
          <w:ilvl w:val="0"/>
          <w:numId w:val="1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notice of any violation received by any Loan Party or any Subsidiary thereof from any Governmental Authority including any notice of violation of Environmental Laws which in any such case could reasonably be expected to have a Material Adverse Effect;</w:t>
      </w:r>
    </w:p>
    <w:p>
      <w:pPr>
        <w:spacing w:after="0" w:line="174" w:lineRule="exact"/>
        <w:rPr>
          <w:rFonts w:ascii="Times New Roman" w:cs="Times New Roman" w:eastAsia="Times New Roman" w:hAnsi="Times New Roman"/>
          <w:sz w:val="20"/>
          <w:szCs w:val="20"/>
          <w:color w:val="231F20"/>
        </w:rPr>
      </w:pPr>
    </w:p>
    <w:p>
      <w:pPr>
        <w:ind w:left="740" w:right="20" w:firstLine="745"/>
        <w:spacing w:after="0" w:line="269" w:lineRule="auto"/>
        <w:tabs>
          <w:tab w:leader="none" w:pos="2005" w:val="left"/>
        </w:tabs>
        <w:numPr>
          <w:ilvl w:val="0"/>
          <w:numId w:val="1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labor controversy that has resulted in, or threatens to result in, a strike or other work action against any Loan Party or any Subsidiary thereof in each case that could reasonably be expected to result in a Material Adverse Effect;</w:t>
      </w:r>
    </w:p>
    <w:p>
      <w:pPr>
        <w:spacing w:after="0" w:line="159" w:lineRule="exact"/>
        <w:rPr>
          <w:rFonts w:ascii="Times New Roman" w:cs="Times New Roman" w:eastAsia="Times New Roman" w:hAnsi="Times New Roman"/>
          <w:sz w:val="20"/>
          <w:szCs w:val="20"/>
          <w:color w:val="231F20"/>
        </w:rPr>
      </w:pPr>
    </w:p>
    <w:p>
      <w:pPr>
        <w:jc w:val="both"/>
        <w:ind w:left="740" w:right="20" w:firstLine="745"/>
        <w:spacing w:after="0" w:line="254" w:lineRule="auto"/>
        <w:tabs>
          <w:tab w:leader="none" w:pos="2005" w:val="left"/>
        </w:tabs>
        <w:numPr>
          <w:ilvl w:val="0"/>
          <w:numId w:val="1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Loan Party entering into a Swap Agreement or an amendment to a Swap Agreement, in each case, to the extent such Swap Agreement relates to Secured Swap Agreement Obligations, together with copies of all agreements evidencing such Swap Agreement or amendment;</w:t>
      </w:r>
    </w:p>
    <w:p>
      <w:pPr>
        <w:spacing w:after="0" w:line="174" w:lineRule="exact"/>
        <w:rPr>
          <w:rFonts w:ascii="Times New Roman" w:cs="Times New Roman" w:eastAsia="Times New Roman" w:hAnsi="Times New Roman"/>
          <w:sz w:val="20"/>
          <w:szCs w:val="20"/>
          <w:color w:val="231F20"/>
        </w:rPr>
      </w:pPr>
    </w:p>
    <w:p>
      <w:pPr>
        <w:ind w:left="2000" w:hanging="515"/>
        <w:spacing w:after="0"/>
        <w:tabs>
          <w:tab w:leader="none" w:pos="2000" w:val="left"/>
        </w:tabs>
        <w:numPr>
          <w:ilvl w:val="0"/>
          <w:numId w:val="17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any material notice provided to the holders of any Material Indebtedness along with a copy of such notice; and</w:t>
      </w:r>
    </w:p>
    <w:p>
      <w:pPr>
        <w:spacing w:after="0" w:line="227" w:lineRule="exact"/>
        <w:rPr>
          <w:rFonts w:ascii="Times New Roman" w:cs="Times New Roman" w:eastAsia="Times New Roman" w:hAnsi="Times New Roman"/>
          <w:sz w:val="19"/>
          <w:szCs w:val="19"/>
          <w:color w:val="231F20"/>
        </w:rPr>
      </w:pPr>
    </w:p>
    <w:p>
      <w:pPr>
        <w:ind w:left="2000" w:hanging="515"/>
        <w:spacing w:after="0"/>
        <w:tabs>
          <w:tab w:leader="none" w:pos="2000" w:val="left"/>
        </w:tabs>
        <w:numPr>
          <w:ilvl w:val="0"/>
          <w:numId w:val="17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any other development that results in, or would reasonably be expected to result in, a Material Adverse Effect.</w:t>
      </w:r>
    </w:p>
    <w:p>
      <w:pPr>
        <w:spacing w:after="0" w:line="227" w:lineRule="exact"/>
        <w:rPr>
          <w:sz w:val="20"/>
          <w:szCs w:val="20"/>
          <w:color w:val="auto"/>
        </w:rPr>
      </w:pPr>
    </w:p>
    <w:p>
      <w:pPr>
        <w:jc w:val="both"/>
        <w:ind w:left="740" w:right="20"/>
        <w:spacing w:after="0" w:line="254" w:lineRule="auto"/>
        <w:rPr>
          <w:sz w:val="20"/>
          <w:szCs w:val="20"/>
          <w:color w:val="auto"/>
        </w:rPr>
      </w:pPr>
      <w:r>
        <w:rPr>
          <w:rFonts w:ascii="Times New Roman" w:cs="Times New Roman" w:eastAsia="Times New Roman" w:hAnsi="Times New Roman"/>
          <w:sz w:val="20"/>
          <w:szCs w:val="20"/>
          <w:color w:val="231F20"/>
        </w:rPr>
        <w:t xml:space="preserve">Each notice delivered under this </w:t>
      </w:r>
      <w:r>
        <w:rPr>
          <w:rFonts w:ascii="Times New Roman" w:cs="Times New Roman" w:eastAsia="Times New Roman" w:hAnsi="Times New Roman"/>
          <w:sz w:val="20"/>
          <w:szCs w:val="20"/>
          <w:u w:val="single" w:color="auto"/>
          <w:color w:val="231F20"/>
        </w:rPr>
        <w:t>Section 5.02</w:t>
      </w:r>
      <w:r>
        <w:rPr>
          <w:rFonts w:ascii="Times New Roman" w:cs="Times New Roman" w:eastAsia="Times New Roman" w:hAnsi="Times New Roman"/>
          <w:sz w:val="20"/>
          <w:szCs w:val="20"/>
          <w:color w:val="231F20"/>
        </w:rPr>
        <w:t xml:space="preserve"> (other than </w:t>
      </w:r>
      <w:r>
        <w:rPr>
          <w:rFonts w:ascii="Times New Roman" w:cs="Times New Roman" w:eastAsia="Times New Roman" w:hAnsi="Times New Roman"/>
          <w:sz w:val="20"/>
          <w:szCs w:val="20"/>
          <w:u w:val="single" w:color="auto"/>
          <w:color w:val="231F20"/>
        </w:rPr>
        <w:t>clause (h)</w:t>
      </w:r>
      <w:r>
        <w:rPr>
          <w:rFonts w:ascii="Times New Roman" w:cs="Times New Roman" w:eastAsia="Times New Roman" w:hAnsi="Times New Roman"/>
          <w:sz w:val="20"/>
          <w:szCs w:val="20"/>
          <w:color w:val="231F20"/>
        </w:rPr>
        <w:t xml:space="preserve"> above)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74"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231F20"/>
        </w:rPr>
        <w:t xml:space="preserve">SECTION 5.03 </w:t>
      </w:r>
      <w:r>
        <w:rPr>
          <w:rFonts w:ascii="Times New Roman" w:cs="Times New Roman" w:eastAsia="Times New Roman" w:hAnsi="Times New Roman"/>
          <w:sz w:val="20"/>
          <w:szCs w:val="20"/>
          <w:u w:val="single" w:color="auto"/>
          <w:color w:val="231F20"/>
        </w:rPr>
        <w:t>Existence; Conduct of Business</w:t>
      </w:r>
      <w:r>
        <w:rPr>
          <w:rFonts w:ascii="Times New Roman" w:cs="Times New Roman" w:eastAsia="Times New Roman" w:hAnsi="Times New Roman"/>
          <w:sz w:val="20"/>
          <w:szCs w:val="20"/>
          <w:color w:val="231F20"/>
        </w:rPr>
        <w:t>. Each Loan Party will, and will cause each Subsidiary to, (a) do or cause to be done all things necessary to preserve, renew and keep in full force and effect its legal existence and the rights, qualifications, licenses, permits, franchises, governmental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291" w:right="759" w:bottom="1440" w:gutter="0" w:footer="0" w:header="0"/>
        </w:sectPr>
      </w:pPr>
    </w:p>
    <w:bookmarkStart w:id="219" w:name="page220"/>
    <w:bookmarkEnd w:id="219"/>
    <w:p>
      <w:pPr>
        <w:ind w:left="740"/>
        <w:spacing w:after="0"/>
        <w:rPr>
          <w:sz w:val="20"/>
          <w:szCs w:val="20"/>
          <w:color w:val="auto"/>
        </w:rPr>
      </w:pPr>
      <w:r>
        <w:rPr>
          <w:rFonts w:ascii="Times New Roman" w:cs="Times New Roman" w:eastAsia="Times New Roman" w:hAnsi="Times New Roman"/>
          <w:sz w:val="19"/>
          <w:szCs w:val="19"/>
          <w:color w:val="231F20"/>
        </w:rPr>
        <w:t>authorizations, intellectual property rights, licenses and permits material to the conduct of its business;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20" w:name="page221"/>
    <w:bookmarkEnd w:id="220"/>
    <w:p>
      <w:pPr>
        <w:jc w:val="both"/>
        <w:ind w:left="740" w:right="40"/>
        <w:spacing w:after="0" w:line="249" w:lineRule="auto"/>
        <w:rPr>
          <w:sz w:val="20"/>
          <w:szCs w:val="20"/>
          <w:color w:val="auto"/>
        </w:rPr>
      </w:pP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the foregoing shall not prohibit any merger, consolidation, Division, liquidation or dissolution permitted under </w:t>
      </w:r>
      <w:r>
        <w:rPr>
          <w:rFonts w:ascii="Times New Roman" w:cs="Times New Roman" w:eastAsia="Times New Roman" w:hAnsi="Times New Roman"/>
          <w:sz w:val="20"/>
          <w:szCs w:val="20"/>
          <w:u w:val="single" w:color="auto"/>
          <w:color w:val="231F20"/>
        </w:rPr>
        <w:t>Section 6.03</w:t>
      </w:r>
      <w:r>
        <w:rPr>
          <w:rFonts w:ascii="Times New Roman" w:cs="Times New Roman" w:eastAsia="Times New Roman" w:hAnsi="Times New Roman"/>
          <w:sz w:val="20"/>
          <w:szCs w:val="20"/>
          <w:color w:val="231F20"/>
        </w:rPr>
        <w:t xml:space="preserve"> and (b) carry on and conduct its business in substantially the same manner and in substantially the same fields of enterprise as it is presently conducted or in fields which are, in the good faith judgment of the Borrower, similar, complimentary, ancillary or substantially related thereto or are reasonable extensions thereof.</w:t>
      </w:r>
    </w:p>
    <w:p>
      <w:pPr>
        <w:spacing w:after="0" w:line="180" w:lineRule="exact"/>
        <w:rPr>
          <w:sz w:val="20"/>
          <w:szCs w:val="20"/>
          <w:color w:val="auto"/>
        </w:rPr>
      </w:pPr>
    </w:p>
    <w:p>
      <w:pPr>
        <w:jc w:val="both"/>
        <w:ind w:left="740" w:right="20" w:firstLine="749"/>
        <w:spacing w:after="0" w:line="244" w:lineRule="auto"/>
        <w:rPr>
          <w:sz w:val="20"/>
          <w:szCs w:val="20"/>
          <w:color w:val="auto"/>
        </w:rPr>
      </w:pPr>
      <w:r>
        <w:rPr>
          <w:rFonts w:ascii="Times New Roman" w:cs="Times New Roman" w:eastAsia="Times New Roman" w:hAnsi="Times New Roman"/>
          <w:sz w:val="20"/>
          <w:szCs w:val="20"/>
          <w:color w:val="231F20"/>
        </w:rPr>
        <w:t xml:space="preserve">SECTION 5.04 </w:t>
      </w:r>
      <w:r>
        <w:rPr>
          <w:rFonts w:ascii="Times New Roman" w:cs="Times New Roman" w:eastAsia="Times New Roman" w:hAnsi="Times New Roman"/>
          <w:sz w:val="20"/>
          <w:szCs w:val="20"/>
          <w:u w:val="single" w:color="auto"/>
          <w:color w:val="231F20"/>
        </w:rPr>
        <w:t>Payment of Taxes</w:t>
      </w:r>
      <w:r>
        <w:rPr>
          <w:rFonts w:ascii="Times New Roman" w:cs="Times New Roman" w:eastAsia="Times New Roman" w:hAnsi="Times New Roman"/>
          <w:sz w:val="20"/>
          <w:szCs w:val="20"/>
          <w:color w:val="231F20"/>
        </w:rPr>
        <w:t>. Each Loan Party will, and will cause each Subsidiary to, pay or discharge all Taxes, before the same shall become delinquent or in default, except (a) where the validity or amount thereof is being contested in good faith by appropriate proceedings diligently conducted, and (i) such Loan Party or such Subsidiary has set aside on its books adequate reserves with respect thereto in accordance with GAAP, and (ii) in the case of a Tax which has resulted or may result in the creation of a Lien on any of the Collateral, such contest proceedings conclusively operate to stay the sale of any portion of the Collateral to satisfy such Tax, and (b) to the extent the failure to pay or discharge such Taxes could not reasonably be expected to result in a Material Adverse Effect.</w:t>
      </w:r>
    </w:p>
    <w:p>
      <w:pPr>
        <w:spacing w:after="0" w:line="186" w:lineRule="exact"/>
        <w:rPr>
          <w:sz w:val="20"/>
          <w:szCs w:val="20"/>
          <w:color w:val="auto"/>
        </w:rPr>
      </w:pPr>
    </w:p>
    <w:p>
      <w:pPr>
        <w:ind w:left="2240"/>
        <w:spacing w:after="0"/>
        <w:tabs>
          <w:tab w:leader="none" w:pos="3800" w:val="left"/>
        </w:tabs>
        <w:rPr>
          <w:sz w:val="20"/>
          <w:szCs w:val="20"/>
          <w:color w:val="auto"/>
        </w:rPr>
      </w:pPr>
      <w:r>
        <w:rPr>
          <w:rFonts w:ascii="Times New Roman" w:cs="Times New Roman" w:eastAsia="Times New Roman" w:hAnsi="Times New Roman"/>
          <w:sz w:val="20"/>
          <w:szCs w:val="20"/>
          <w:color w:val="231F20"/>
        </w:rPr>
        <w:t>SECTION 5.05</w:t>
      </w:r>
      <w:r>
        <w:rPr>
          <w:sz w:val="20"/>
          <w:szCs w:val="20"/>
          <w:color w:val="auto"/>
        </w:rPr>
        <w:tab/>
      </w:r>
      <w:r>
        <w:rPr>
          <w:rFonts w:ascii="Times New Roman" w:cs="Times New Roman" w:eastAsia="Times New Roman" w:hAnsi="Times New Roman"/>
          <w:sz w:val="19"/>
          <w:szCs w:val="19"/>
          <w:u w:val="single" w:color="auto"/>
          <w:color w:val="231F20"/>
        </w:rPr>
        <w:t>Maintenance of Properties; Insurance; Casualty and Condemnation</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40" w:firstLine="745"/>
        <w:spacing w:after="0" w:line="249" w:lineRule="auto"/>
        <w:tabs>
          <w:tab w:leader="none" w:pos="2005" w:val="left"/>
        </w:tabs>
        <w:numPr>
          <w:ilvl w:val="0"/>
          <w:numId w:val="1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Each Loan Party will, and will cause each Subsidiary to, (i) keep and maintain all property material to the conduct of its business in good working order and condition, ordinary wear and tear excepted and (ii)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79" w:lineRule="exact"/>
        <w:rPr>
          <w:rFonts w:ascii="Times New Roman" w:cs="Times New Roman" w:eastAsia="Times New Roman" w:hAnsi="Times New Roman"/>
          <w:sz w:val="20"/>
          <w:szCs w:val="20"/>
          <w:color w:val="231F20"/>
        </w:rPr>
      </w:pPr>
    </w:p>
    <w:p>
      <w:pPr>
        <w:jc w:val="both"/>
        <w:ind w:left="740" w:right="40" w:firstLine="745"/>
        <w:spacing w:after="0" w:line="249" w:lineRule="auto"/>
        <w:tabs>
          <w:tab w:leader="none" w:pos="2005" w:val="left"/>
        </w:tabs>
        <w:numPr>
          <w:ilvl w:val="0"/>
          <w:numId w:val="1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Borrower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180"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231F20"/>
        </w:rPr>
        <w:t xml:space="preserve">SECTION 5.06 </w:t>
      </w:r>
      <w:r>
        <w:rPr>
          <w:rFonts w:ascii="Times New Roman" w:cs="Times New Roman" w:eastAsia="Times New Roman" w:hAnsi="Times New Roman"/>
          <w:sz w:val="20"/>
          <w:szCs w:val="20"/>
          <w:u w:val="single" w:color="auto"/>
          <w:color w:val="231F20"/>
        </w:rPr>
        <w:t>Books and Records; Inspection Rights</w:t>
      </w:r>
      <w:r>
        <w:rPr>
          <w:rFonts w:ascii="Times New Roman" w:cs="Times New Roman" w:eastAsia="Times New Roman" w:hAnsi="Times New Roman"/>
          <w:sz w:val="20"/>
          <w:szCs w:val="20"/>
          <w:color w:val="231F20"/>
        </w:rPr>
        <w:t>. Each Loan Party will, and will cause each Subsidiary to, (i) keep proper books of record and account in which full, true and correct entries are made of all dealings and transactions in relation to its business and activities and (ii) permit any representatives designated by the Administrative Agent or, during the occurrence and continuance of an Event of Default, any Lender (including employees of the Administrative Agent, such Lender or any consultants, accountants, lawyers, appraisers and field examiners retained by the Administrative Agent), upon reasonable prior notice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no such notice needs to be provided if an Event of Default has occurred or is continuing) to visit and inspect its properties, to examine and make extracts from its books and records, and to discuss its affairs, finances and condition with its officers and independent accountants, all at such reasonable times during normal business hours and as often as reasonably requested, all at the expense of the Loan Parties;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the Borrower shall not be required to reimburse the Administrative Agent or any Lender for the cost of more than one such visit during any single fiscal year, except during the occurrence and continuation of an Event of Default. The Loan Parties acknowledge that the Administrative Agent, after exercising its rights of inspection, may prepare and distribute to the Lenders certain reports pertaining to the Loan Parties’ assets for internal use by the Administrative Agent and the Lenders. Notwithstanding anything to the contrary in this </w:t>
      </w:r>
      <w:r>
        <w:rPr>
          <w:rFonts w:ascii="Times New Roman" w:cs="Times New Roman" w:eastAsia="Times New Roman" w:hAnsi="Times New Roman"/>
          <w:sz w:val="20"/>
          <w:szCs w:val="20"/>
          <w:u w:val="single" w:color="auto"/>
          <w:color w:val="231F20"/>
        </w:rPr>
        <w:t>Section 5.06</w:t>
      </w:r>
      <w:r>
        <w:rPr>
          <w:rFonts w:ascii="Times New Roman" w:cs="Times New Roman" w:eastAsia="Times New Roman" w:hAnsi="Times New Roman"/>
          <w:sz w:val="20"/>
          <w:szCs w:val="20"/>
          <w:color w:val="231F20"/>
        </w:rPr>
        <w:t xml:space="preserve">, neither the Borrower nor any other Loan Party will be required to disclose, permit the inspection, examination or making copies or abstracts of, or discussion of, any document, information or other matter in respect of which disclosure to the Administrative Agent or any Lender (or their respective representatives or contractors) is prohibited by applicable law or any binding agreement (not entered into in contemplation of any request for disclosure or otherwise to evade the disclosure requirements contained in this </w:t>
      </w:r>
      <w:r>
        <w:rPr>
          <w:rFonts w:ascii="Times New Roman" w:cs="Times New Roman" w:eastAsia="Times New Roman" w:hAnsi="Times New Roman"/>
          <w:sz w:val="20"/>
          <w:szCs w:val="20"/>
          <w:u w:val="single" w:color="auto"/>
          <w:color w:val="231F20"/>
        </w:rPr>
        <w:t>Section 5.06</w:t>
      </w:r>
      <w:r>
        <w:rPr>
          <w:rFonts w:ascii="Times New Roman" w:cs="Times New Roman" w:eastAsia="Times New Roman" w:hAnsi="Times New Roman"/>
          <w:sz w:val="20"/>
          <w:szCs w:val="20"/>
          <w:color w:val="231F20"/>
        </w:rPr>
        <w:t>), or is subject to attorney client privilege or that constitutes attorney work product (in each case, as determined in good faith by legal counsel to any Loan Party and not in contemplation of any request for disclosure or otherwise to evade the disclosure requirements contained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221" w:name="page222"/>
    <w:bookmarkEnd w:id="221"/>
    <w:p>
      <w:pPr>
        <w:jc w:val="both"/>
        <w:ind w:left="740" w:right="60"/>
        <w:spacing w:after="0" w:line="269" w:lineRule="auto"/>
        <w:rPr>
          <w:sz w:val="20"/>
          <w:szCs w:val="20"/>
          <w:color w:val="auto"/>
        </w:rPr>
      </w:pPr>
      <w:r>
        <w:rPr>
          <w:rFonts w:ascii="Times New Roman" w:cs="Times New Roman" w:eastAsia="Times New Roman" w:hAnsi="Times New Roman"/>
          <w:sz w:val="20"/>
          <w:szCs w:val="20"/>
          <w:color w:val="231F20"/>
        </w:rPr>
        <w:t xml:space="preserve">in this </w:t>
      </w:r>
      <w:r>
        <w:rPr>
          <w:rFonts w:ascii="Times New Roman" w:cs="Times New Roman" w:eastAsia="Times New Roman" w:hAnsi="Times New Roman"/>
          <w:sz w:val="20"/>
          <w:szCs w:val="20"/>
          <w:u w:val="single" w:color="auto"/>
          <w:color w:val="231F20"/>
        </w:rPr>
        <w:t>Section 5.06</w:t>
      </w:r>
      <w:r>
        <w:rPr>
          <w:rFonts w:ascii="Times New Roman" w:cs="Times New Roman" w:eastAsia="Times New Roman" w:hAnsi="Times New Roman"/>
          <w:sz w:val="20"/>
          <w:szCs w:val="20"/>
          <w:color w:val="231F20"/>
        </w:rPr>
        <w:t>); it being understood that the Borrower shall use its commercially reasonable efforts to communicate any requested information in a way that would not violate the applicable law or agreement or waive the applicable privilege.</w:t>
      </w:r>
    </w:p>
    <w:p>
      <w:pPr>
        <w:spacing w:after="0" w:line="159" w:lineRule="exact"/>
        <w:rPr>
          <w:sz w:val="20"/>
          <w:szCs w:val="20"/>
          <w:color w:val="auto"/>
        </w:rPr>
      </w:pPr>
    </w:p>
    <w:p>
      <w:pPr>
        <w:jc w:val="both"/>
        <w:ind w:left="740" w:right="40" w:firstLine="749"/>
        <w:spacing w:after="0" w:line="254" w:lineRule="auto"/>
        <w:rPr>
          <w:sz w:val="20"/>
          <w:szCs w:val="20"/>
          <w:color w:val="auto"/>
        </w:rPr>
      </w:pPr>
      <w:r>
        <w:rPr>
          <w:rFonts w:ascii="Times New Roman" w:cs="Times New Roman" w:eastAsia="Times New Roman" w:hAnsi="Times New Roman"/>
          <w:sz w:val="20"/>
          <w:szCs w:val="20"/>
          <w:color w:val="231F20"/>
        </w:rPr>
        <w:t xml:space="preserve">SECTION 5.07 </w:t>
      </w:r>
      <w:r>
        <w:rPr>
          <w:rFonts w:ascii="Times New Roman" w:cs="Times New Roman" w:eastAsia="Times New Roman" w:hAnsi="Times New Roman"/>
          <w:sz w:val="20"/>
          <w:szCs w:val="20"/>
          <w:u w:val="single" w:color="auto"/>
          <w:color w:val="231F20"/>
        </w:rPr>
        <w:t>Compliance with Laws</w:t>
      </w:r>
      <w:r>
        <w:rPr>
          <w:rFonts w:ascii="Times New Roman" w:cs="Times New Roman" w:eastAsia="Times New Roman" w:hAnsi="Times New Roman"/>
          <w:sz w:val="20"/>
          <w:szCs w:val="20"/>
          <w:color w:val="231F20"/>
        </w:rPr>
        <w:t>. Each Loan Party will, and will cause each Subsidiary to, comply with all Requirements of Law applicable to it or its property, except where the failure to do so, individually or in the aggregate, could not reasonably be expected to result in a Material Adverse Effect.</w:t>
      </w:r>
    </w:p>
    <w:p>
      <w:pPr>
        <w:spacing w:after="0" w:line="174"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5.08</w:t>
      </w:r>
      <w:r>
        <w:rPr>
          <w:sz w:val="20"/>
          <w:szCs w:val="20"/>
          <w:color w:val="auto"/>
        </w:rPr>
        <w:tab/>
      </w:r>
      <w:r>
        <w:rPr>
          <w:rFonts w:ascii="Times New Roman" w:cs="Times New Roman" w:eastAsia="Times New Roman" w:hAnsi="Times New Roman"/>
          <w:sz w:val="19"/>
          <w:szCs w:val="19"/>
          <w:u w:val="single" w:color="auto"/>
          <w:color w:val="231F20"/>
        </w:rPr>
        <w:t>Use of Proceeds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40" w:firstLine="745"/>
        <w:spacing w:after="0" w:line="246" w:lineRule="auto"/>
        <w:tabs>
          <w:tab w:leader="none" w:pos="2006" w:val="left"/>
        </w:tabs>
        <w:numPr>
          <w:ilvl w:val="0"/>
          <w:numId w:val="1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proceeds of the Loans will be used only for (i) refinancing Indebtedness and other obligations under the Existing Credit Agreement and (ii) working capital and general corporate purposes, including Permitted Acquisitions. Letters of Credit will be used only for general corporate purposes. No part of the proceeds of any Loan and no Letter of Credit will be used, whether directly or indirectly, for any purpose that entails a violation of any of the Regulations of the Board, including Regulations T, U and X.</w:t>
      </w:r>
    </w:p>
    <w:p>
      <w:pPr>
        <w:spacing w:after="0" w:line="184" w:lineRule="exact"/>
        <w:rPr>
          <w:rFonts w:ascii="Times New Roman" w:cs="Times New Roman" w:eastAsia="Times New Roman" w:hAnsi="Times New Roman"/>
          <w:sz w:val="20"/>
          <w:szCs w:val="20"/>
          <w:color w:val="231F20"/>
        </w:rPr>
      </w:pPr>
    </w:p>
    <w:p>
      <w:pPr>
        <w:jc w:val="both"/>
        <w:ind w:left="740" w:right="40" w:firstLine="745"/>
        <w:spacing w:after="0" w:line="243" w:lineRule="auto"/>
        <w:tabs>
          <w:tab w:leader="none" w:pos="2006" w:val="left"/>
        </w:tabs>
        <w:numPr>
          <w:ilvl w:val="0"/>
          <w:numId w:val="1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Borrower will not request any Borrowing or Letter of Credit, and the Borrower shall not use, and shall procure that its Subsidiaries and its and their respective directors, officers, employees and agents shall not use, the proceeds of any Borrowing or Letter of Credit (a) in furtherance of an offer, payment, promise to pay, or authorization of the payment or giving of money, or anything else of value, to any Person (including any joint venture partner) in violation of any Anti-Corruption Laws, (b) for the purpose of funding, financing or facilitating any activities, business or transaction of or with any Sanctioned Person, or in any Sanctioned Country, (c) in any manner that would result in the violation of any Sanctions applicable to any party hereto or (d) in any manner that would result in a violation of any anti-money laundering laws or regulations.</w:t>
      </w:r>
    </w:p>
    <w:p>
      <w:pPr>
        <w:spacing w:after="0" w:line="189"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5.09</w:t>
      </w:r>
      <w:r>
        <w:rPr>
          <w:sz w:val="20"/>
          <w:szCs w:val="20"/>
          <w:color w:val="auto"/>
        </w:rPr>
        <w:tab/>
      </w:r>
      <w:r>
        <w:rPr>
          <w:rFonts w:ascii="Times New Roman" w:cs="Times New Roman" w:eastAsia="Times New Roman" w:hAnsi="Times New Roman"/>
          <w:sz w:val="19"/>
          <w:szCs w:val="19"/>
          <w:u w:val="single" w:color="auto"/>
          <w:color w:val="231F20"/>
        </w:rPr>
        <w:t>Additional Collateral; Further Assurances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firstLine="745"/>
        <w:spacing w:after="0" w:line="241" w:lineRule="auto"/>
        <w:tabs>
          <w:tab w:leader="none" w:pos="2008" w:val="left"/>
        </w:tabs>
        <w:numPr>
          <w:ilvl w:val="0"/>
          <w:numId w:val="1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Subject to applicable law, the Borrower and each other Loan Party shall cause each of its wholly-owned Material Domestic Subsidiaries formed or acquired on or after the date of this Agreement in accordance with the terms of this Agreement and each Subsidiary which hereafter becomes a Material Domestic Subsidiary, in each case, to become a Loan Party, within </w:t>
      </w:r>
      <w:r>
        <w:rPr>
          <w:rFonts w:ascii="Times New Roman" w:cs="Times New Roman" w:eastAsia="Times New Roman" w:hAnsi="Times New Roman"/>
          <w:sz w:val="20"/>
          <w:szCs w:val="20"/>
          <w:color w:val="ED1C24"/>
          <w:strike w:val="1"/>
        </w:rPr>
        <w:t>thirty</w:t>
      </w:r>
      <w:r>
        <w:rPr>
          <w:rFonts w:ascii="Times New Roman" w:cs="Times New Roman" w:eastAsia="Times New Roman" w:hAnsi="Times New Roman"/>
          <w:sz w:val="20"/>
          <w:szCs w:val="20"/>
          <w:u w:val="single" w:color="auto"/>
          <w:color w:val="2251A3"/>
        </w:rPr>
        <w:t>sixty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ED1C24"/>
          <w:strike w:val="1"/>
        </w:rPr>
        <w:t>30</w:t>
      </w:r>
      <w:r>
        <w:rPr>
          <w:rFonts w:ascii="Times New Roman" w:cs="Times New Roman" w:eastAsia="Times New Roman" w:hAnsi="Times New Roman"/>
          <w:sz w:val="20"/>
          <w:szCs w:val="20"/>
          <w:u w:val="single" w:color="auto"/>
          <w:color w:val="2251A3"/>
        </w:rPr>
        <w:t>60</w:t>
      </w:r>
      <w:r>
        <w:rPr>
          <w:rFonts w:ascii="Times New Roman" w:cs="Times New Roman" w:eastAsia="Times New Roman" w:hAnsi="Times New Roman"/>
          <w:sz w:val="20"/>
          <w:szCs w:val="20"/>
          <w:color w:val="231F20"/>
        </w:rPr>
        <w:t xml:space="preserve">) days (or such later date as the Administrative Agent may agree) after the date of such formation or acquisition (or after the date on which such Subsidiary becomes a Material Domestic Subsidiary, as applicable), by executing a joinder agreement substantially in the form of </w:t>
      </w:r>
      <w:r>
        <w:rPr>
          <w:rFonts w:ascii="Times New Roman" w:cs="Times New Roman" w:eastAsia="Times New Roman" w:hAnsi="Times New Roman"/>
          <w:sz w:val="20"/>
          <w:szCs w:val="20"/>
          <w:u w:val="single" w:color="auto"/>
          <w:color w:val="231F20"/>
        </w:rPr>
        <w:t>Exhibit C</w:t>
      </w:r>
      <w:r>
        <w:rPr>
          <w:rFonts w:ascii="Times New Roman" w:cs="Times New Roman" w:eastAsia="Times New Roman" w:hAnsi="Times New Roman"/>
          <w:sz w:val="20"/>
          <w:szCs w:val="20"/>
          <w:color w:val="231F20"/>
        </w:rPr>
        <w:t xml:space="preserve"> (a “</w:t>
      </w:r>
      <w:r>
        <w:rPr>
          <w:rFonts w:ascii="Times New Roman" w:cs="Times New Roman" w:eastAsia="Times New Roman" w:hAnsi="Times New Roman"/>
          <w:sz w:val="20"/>
          <w:szCs w:val="20"/>
          <w:u w:val="single" w:color="auto"/>
          <w:color w:val="231F20"/>
        </w:rPr>
        <w:t>Joinder Agreement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 notwithstanding the foregoing, any Division Successor that becomes a Material Domestic Subsidiary as a result of a Division, shall become a Loan Party and deliver a Joinder Agreement on the effective date of the applicable Division and (ii) this </w:t>
      </w:r>
      <w:r>
        <w:rPr>
          <w:rFonts w:ascii="Times New Roman" w:cs="Times New Roman" w:eastAsia="Times New Roman" w:hAnsi="Times New Roman"/>
          <w:sz w:val="20"/>
          <w:szCs w:val="20"/>
          <w:u w:val="single" w:color="auto"/>
          <w:color w:val="231F20"/>
        </w:rPr>
        <w:t>Section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5.09</w:t>
      </w:r>
      <w:r>
        <w:rPr>
          <w:rFonts w:ascii="Times New Roman" w:cs="Times New Roman" w:eastAsia="Times New Roman" w:hAnsi="Times New Roman"/>
          <w:sz w:val="20"/>
          <w:szCs w:val="20"/>
          <w:color w:val="231F20"/>
        </w:rPr>
        <w:t xml:space="preserve"> shall not be deemed to exclude (or release) any Domestic Subsidiary which is a Loan Guarantor in the case of a disposition of a portion of the Equity Interests in such Loan Guarantor as a result of (A) the disposition or issuance of Equity Interests of such Domestic Subsidiary in either case to an Affiliate that is not the Borrower or a Subsidiary, (B) any transaction entered into primarily in contemplation of such Domestic Subsidiary’s ceasing to constitute a Loan Party or (C) the disposition or issuance of Equity Interests of such Domestic Subsidiary for materially less than the fair market value of such shares as reasonably determined by the Borrower. Upon execution and delivery thereof, each such Person shall automatically become a Loan Guarantor hereunder and thereupon shall have all of the rights, benefits, duties, and obligations in such capacity under the Loan Documents.</w:t>
      </w:r>
    </w:p>
    <w:p>
      <w:pPr>
        <w:spacing w:after="0" w:line="193"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0"/>
          <w:numId w:val="1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Subject to applicable law, the Borrower and each other Loan Party shall cause each of its wholly-owned Material Domestic Subsidiaries formed or acquired after the date of this Agreement 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22" w:name="page223"/>
    <w:bookmarkEnd w:id="222"/>
    <w:p>
      <w:pPr>
        <w:jc w:val="both"/>
        <w:ind w:left="740" w:right="40"/>
        <w:spacing w:after="0" w:line="245" w:lineRule="auto"/>
        <w:rPr>
          <w:sz w:val="20"/>
          <w:szCs w:val="20"/>
          <w:color w:val="auto"/>
        </w:rPr>
      </w:pPr>
      <w:r>
        <w:rPr>
          <w:rFonts w:ascii="Times New Roman" w:cs="Times New Roman" w:eastAsia="Times New Roman" w:hAnsi="Times New Roman"/>
          <w:sz w:val="20"/>
          <w:szCs w:val="20"/>
          <w:color w:val="231F20"/>
        </w:rPr>
        <w:t xml:space="preserve">accordance with the terms of this Agreement and each Subsidiary who hereafter becomes a Material Domestic Subsidiary, in each case, within </w:t>
      </w:r>
      <w:r>
        <w:rPr>
          <w:rFonts w:ascii="Times New Roman" w:cs="Times New Roman" w:eastAsia="Times New Roman" w:hAnsi="Times New Roman"/>
          <w:sz w:val="20"/>
          <w:szCs w:val="20"/>
          <w:color w:val="ED1C24"/>
          <w:strike w:val="1"/>
        </w:rPr>
        <w:t>thirty</w:t>
      </w:r>
      <w:r>
        <w:rPr>
          <w:rFonts w:ascii="Times New Roman" w:cs="Times New Roman" w:eastAsia="Times New Roman" w:hAnsi="Times New Roman"/>
          <w:sz w:val="20"/>
          <w:szCs w:val="20"/>
          <w:u w:val="single" w:color="auto"/>
          <w:color w:val="2251A3"/>
        </w:rPr>
        <w:t>sixty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ED1C24"/>
          <w:strike w:val="1"/>
        </w:rPr>
        <w:t>30</w:t>
      </w:r>
      <w:r>
        <w:rPr>
          <w:rFonts w:ascii="Times New Roman" w:cs="Times New Roman" w:eastAsia="Times New Roman" w:hAnsi="Times New Roman"/>
          <w:sz w:val="20"/>
          <w:szCs w:val="20"/>
          <w:u w:val="single" w:color="auto"/>
          <w:color w:val="2251A3"/>
        </w:rPr>
        <w:t>60</w:t>
      </w:r>
      <w:r>
        <w:rPr>
          <w:rFonts w:ascii="Times New Roman" w:cs="Times New Roman" w:eastAsia="Times New Roman" w:hAnsi="Times New Roman"/>
          <w:sz w:val="20"/>
          <w:szCs w:val="20"/>
          <w:color w:val="231F20"/>
        </w:rPr>
        <w:t>) days (or such later date as the Administrative Agent may agree) after the date of such formation or acquisition (or after the date on which such Subsidiary becomes a Material Domestic Subsidiary, as applicable) to execute a joinder to the Security Agreement, pursuant to which such Material Domestic Subsidiary shall grant Liens to the Administrative Agent, for the benefit of the Administrative Agent and the Lenders, in any property of such Loan Party which constitutes Collateral.</w:t>
      </w:r>
    </w:p>
    <w:p>
      <w:pPr>
        <w:spacing w:after="0" w:line="184" w:lineRule="exact"/>
        <w:rPr>
          <w:sz w:val="20"/>
          <w:szCs w:val="20"/>
          <w:color w:val="auto"/>
        </w:rPr>
      </w:pPr>
    </w:p>
    <w:p>
      <w:pPr>
        <w:jc w:val="both"/>
        <w:ind w:left="740" w:right="40" w:firstLine="745"/>
        <w:spacing w:after="0" w:line="242" w:lineRule="auto"/>
        <w:tabs>
          <w:tab w:leader="none" w:pos="2006" w:val="left"/>
        </w:tabs>
        <w:numPr>
          <w:ilvl w:val="0"/>
          <w:numId w:val="1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Subject to the foregoing </w:t>
      </w:r>
      <w:r>
        <w:rPr>
          <w:rFonts w:ascii="Times New Roman" w:cs="Times New Roman" w:eastAsia="Times New Roman" w:hAnsi="Times New Roman"/>
          <w:sz w:val="20"/>
          <w:szCs w:val="20"/>
          <w:u w:val="single" w:color="auto"/>
          <w:color w:val="231F20"/>
        </w:rPr>
        <w:t>clauses (a)</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(b)</w:t>
      </w:r>
      <w:r>
        <w:rPr>
          <w:rFonts w:ascii="Times New Roman" w:cs="Times New Roman" w:eastAsia="Times New Roman" w:hAnsi="Times New Roman"/>
          <w:sz w:val="20"/>
          <w:szCs w:val="20"/>
          <w:color w:val="231F20"/>
        </w:rPr>
        <w:t xml:space="preserve">, each Loan Party will cause 100% of the issued and outstanding Equity Interests owned by it to be subject at all times to a first priority, perfected Lien in favor of the Administrative Agent pursuant to the terms and conditions of the Loan Documents or other security documents as the Administrative Agent shall reasonably request;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until an Event of Default has occurred and is continuing and thereafter until otherwise required by the Administrative Agent, if any such Lien with respect to 100% of the issued and outstanding voting Equity Interests of any Foreign Subsidiary that is a CFC or of any Foreign Subsidiary Holding Company would reasonably be expected by the Borrower in consultation with the Administrative Agent to result in material adverse U.S. federal tax consequences pursuant to Section 956 of the Code or otherwise, the pledge of such Equity Interests that are entitled to vote (within the meaning of Treas. Reg. Section 1.956-2(c)(2)) shall be limited to such lesser amount (in no event less than 65%) that would not reasonably be expected to result in such consequences.</w:t>
      </w:r>
    </w:p>
    <w:p>
      <w:pPr>
        <w:spacing w:after="0" w:line="192" w:lineRule="exact"/>
        <w:rPr>
          <w:rFonts w:ascii="Times New Roman" w:cs="Times New Roman" w:eastAsia="Times New Roman" w:hAnsi="Times New Roman"/>
          <w:sz w:val="20"/>
          <w:szCs w:val="20"/>
          <w:color w:val="231F20"/>
        </w:rPr>
      </w:pPr>
    </w:p>
    <w:p>
      <w:pPr>
        <w:jc w:val="both"/>
        <w:ind w:left="740" w:firstLine="745"/>
        <w:spacing w:after="0" w:line="256" w:lineRule="auto"/>
        <w:tabs>
          <w:tab w:leader="none" w:pos="2008" w:val="left"/>
        </w:tabs>
        <w:numPr>
          <w:ilvl w:val="0"/>
          <w:numId w:val="17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w:t>
      </w:r>
      <w:r>
        <w:rPr>
          <w:rFonts w:ascii="Times New Roman" w:cs="Times New Roman" w:eastAsia="Times New Roman" w:hAnsi="Times New Roman"/>
          <w:sz w:val="19"/>
          <w:szCs w:val="19"/>
          <w:u w:val="single" w:color="auto"/>
          <w:color w:val="231F20"/>
        </w:rPr>
        <w:t>Section 4.01</w:t>
      </w:r>
      <w:r>
        <w:rPr>
          <w:rFonts w:ascii="Times New Roman" w:cs="Times New Roman" w:eastAsia="Times New Roman" w:hAnsi="Times New Roman"/>
          <w:sz w:val="19"/>
          <w:szCs w:val="19"/>
          <w:color w:val="231F20"/>
        </w:rPr>
        <w:t>, as applicable), which may be required by law or which the Administrative Agent may, from time to time, reasonably request to carry out the terms and conditions of this Agreement and the other Loan Documents and, to the extent required by the Security Agreement, to ensure perfection and priority of the Liens created or intended to be created by the Collateral Documents, all at the expense of the Loan Parties. Notwithstanding the foregoing no Loan Party shall be required (i) to take any such action if the Administrative Agent and the Borrower reasonably agree in writing that the cost of obtaining such a security interest or perfection thereof are excessive in relation to the benefit to the Lenders of the security to be afforded thereby (ii) to authorize or file any document or registration in a jurisdiction located outside of the United States (other than with respect to a Voluntary Foreign Guarantor) or (iii) to take any action with respect to any assets located outside of the United States (other than with respect to a Voluntary Foreign Guarantor).</w:t>
      </w:r>
    </w:p>
    <w:p>
      <w:pPr>
        <w:spacing w:after="0" w:line="173" w:lineRule="exact"/>
        <w:rPr>
          <w:rFonts w:ascii="Times New Roman" w:cs="Times New Roman" w:eastAsia="Times New Roman" w:hAnsi="Times New Roman"/>
          <w:sz w:val="19"/>
          <w:szCs w:val="19"/>
          <w:color w:val="231F20"/>
        </w:rPr>
      </w:pPr>
    </w:p>
    <w:p>
      <w:pPr>
        <w:jc w:val="both"/>
        <w:ind w:left="740" w:right="60" w:firstLine="745"/>
        <w:spacing w:after="0" w:line="254" w:lineRule="auto"/>
        <w:tabs>
          <w:tab w:leader="none" w:pos="2005" w:val="left"/>
        </w:tabs>
        <w:numPr>
          <w:ilvl w:val="0"/>
          <w:numId w:val="1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As promptly as practicable, and in any event within the time periods after the Effective Date specified in </w:t>
      </w:r>
      <w:r>
        <w:rPr>
          <w:rFonts w:ascii="Times New Roman" w:cs="Times New Roman" w:eastAsia="Times New Roman" w:hAnsi="Times New Roman"/>
          <w:sz w:val="20"/>
          <w:szCs w:val="20"/>
          <w:u w:val="single" w:color="auto"/>
          <w:color w:val="231F20"/>
        </w:rPr>
        <w:t>Schedule 5.09</w:t>
      </w:r>
      <w:r>
        <w:rPr>
          <w:rFonts w:ascii="Times New Roman" w:cs="Times New Roman" w:eastAsia="Times New Roman" w:hAnsi="Times New Roman"/>
          <w:sz w:val="20"/>
          <w:szCs w:val="20"/>
          <w:color w:val="231F20"/>
        </w:rPr>
        <w:t xml:space="preserve"> (or such later date as the Administrative Agent may agree), the Borrower shall deliver, or cause to be delivered, the documents or take the actions specified on </w:t>
      </w:r>
      <w:r>
        <w:rPr>
          <w:rFonts w:ascii="Times New Roman" w:cs="Times New Roman" w:eastAsia="Times New Roman" w:hAnsi="Times New Roman"/>
          <w:sz w:val="20"/>
          <w:szCs w:val="20"/>
          <w:u w:val="single" w:color="auto"/>
          <w:color w:val="231F20"/>
        </w:rPr>
        <w:t>Schedule 5.09</w:t>
      </w:r>
      <w:r>
        <w:rPr>
          <w:rFonts w:ascii="Times New Roman" w:cs="Times New Roman" w:eastAsia="Times New Roman" w:hAnsi="Times New Roman"/>
          <w:sz w:val="20"/>
          <w:szCs w:val="20"/>
          <w:color w:val="231F20"/>
        </w:rPr>
        <w:t>.</w:t>
      </w:r>
    </w:p>
    <w:p>
      <w:pPr>
        <w:spacing w:after="0" w:line="174"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231F20"/>
        </w:rPr>
        <w:t xml:space="preserve">SECTION 5.10 </w:t>
      </w:r>
      <w:r>
        <w:rPr>
          <w:rFonts w:ascii="Times New Roman" w:cs="Times New Roman" w:eastAsia="Times New Roman" w:hAnsi="Times New Roman"/>
          <w:sz w:val="20"/>
          <w:szCs w:val="20"/>
          <w:u w:val="single" w:color="auto"/>
          <w:color w:val="231F20"/>
        </w:rPr>
        <w:t>Anti-Corruption Laws and Sanctions</w:t>
      </w:r>
      <w:r>
        <w:rPr>
          <w:rFonts w:ascii="Times New Roman" w:cs="Times New Roman" w:eastAsia="Times New Roman" w:hAnsi="Times New Roman"/>
          <w:sz w:val="20"/>
          <w:szCs w:val="20"/>
          <w:color w:val="231F20"/>
        </w:rPr>
        <w:t>. Each Loan Party shall implement and maintain in effect policies and procedures designed to ensure compliance by such Loan Party, its Subsidiaries and their respective directors, officers, employees and agents with Anti-Corruption Laws and applicable Sanctions.</w:t>
      </w:r>
    </w:p>
    <w:p>
      <w:pPr>
        <w:spacing w:after="0" w:line="174"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231F20"/>
        </w:rPr>
        <w:t xml:space="preserve">SECTION 5.11 </w:t>
      </w:r>
      <w:r>
        <w:rPr>
          <w:rFonts w:ascii="Times New Roman" w:cs="Times New Roman" w:eastAsia="Times New Roman" w:hAnsi="Times New Roman"/>
          <w:sz w:val="20"/>
          <w:szCs w:val="20"/>
          <w:u w:val="single" w:color="auto"/>
          <w:color w:val="231F20"/>
        </w:rPr>
        <w:t>Compliance with Environmental Laws</w:t>
      </w:r>
      <w:r>
        <w:rPr>
          <w:rFonts w:ascii="Times New Roman" w:cs="Times New Roman" w:eastAsia="Times New Roman" w:hAnsi="Times New Roman"/>
          <w:sz w:val="20"/>
          <w:szCs w:val="20"/>
          <w:color w:val="231F20"/>
        </w:rPr>
        <w:t>. Each Loan Party shall, and shall cause each Subsidiary to, comply with all Environmental Laws applicable to its operations and properties; and obtain and renew all material authorizations and permits required pursuant to Environmental Laws for its operations and properties, in each case in accordance with Environmental Laws, except, in each case,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23" w:name="page224"/>
    <w:bookmarkEnd w:id="223"/>
    <w:p>
      <w:pPr>
        <w:ind w:left="740"/>
        <w:spacing w:after="0"/>
        <w:rPr>
          <w:sz w:val="20"/>
          <w:szCs w:val="20"/>
          <w:color w:val="auto"/>
        </w:rPr>
      </w:pPr>
      <w:r>
        <w:rPr>
          <w:rFonts w:ascii="Times New Roman" w:cs="Times New Roman" w:eastAsia="Times New Roman" w:hAnsi="Times New Roman"/>
          <w:sz w:val="19"/>
          <w:szCs w:val="19"/>
          <w:color w:val="231F20"/>
        </w:rPr>
        <w:t>to the extent failure to do so could not reasonably be expected to have, individually or in the aggregate, a Material Adverse Effect.</w:t>
      </w:r>
    </w:p>
    <w:p>
      <w:pPr>
        <w:spacing w:after="0" w:line="227" w:lineRule="exact"/>
        <w:rPr>
          <w:sz w:val="20"/>
          <w:szCs w:val="20"/>
          <w:color w:val="auto"/>
        </w:rPr>
      </w:pPr>
    </w:p>
    <w:p>
      <w:pPr>
        <w:jc w:val="both"/>
        <w:ind w:left="740" w:right="260" w:firstLine="747"/>
        <w:spacing w:after="0" w:line="249" w:lineRule="auto"/>
        <w:rPr>
          <w:sz w:val="20"/>
          <w:szCs w:val="20"/>
          <w:color w:val="auto"/>
        </w:rPr>
      </w:pPr>
      <w:r>
        <w:rPr>
          <w:rFonts w:ascii="Times New Roman" w:cs="Times New Roman" w:eastAsia="Times New Roman" w:hAnsi="Times New Roman"/>
          <w:sz w:val="20"/>
          <w:szCs w:val="20"/>
          <w:color w:val="231F20"/>
        </w:rPr>
        <w:t xml:space="preserve">SECTION 5.12 </w:t>
      </w:r>
      <w:r>
        <w:rPr>
          <w:rFonts w:ascii="Times New Roman" w:cs="Times New Roman" w:eastAsia="Times New Roman" w:hAnsi="Times New Roman"/>
          <w:sz w:val="20"/>
          <w:szCs w:val="20"/>
          <w:u w:val="single" w:color="auto"/>
          <w:color w:val="231F20"/>
        </w:rPr>
        <w:t>Intellectual Property</w:t>
      </w:r>
      <w:r>
        <w:rPr>
          <w:rFonts w:ascii="Times New Roman" w:cs="Times New Roman" w:eastAsia="Times New Roman" w:hAnsi="Times New Roman"/>
          <w:sz w:val="20"/>
          <w:szCs w:val="20"/>
          <w:color w:val="231F20"/>
        </w:rPr>
        <w:t>. Each Loan Party shall maintain adequate licenses, patents, patent applications, copyrights, service marks, trademarks, trademark applications, tradestyles and trade names to continue its business as heretofore conducted by it or as hereafter conducted by it unless the failure to maintain any of the foregoing could not reasonably be expected to have a Material Adverse Effect on such Loan Party.</w:t>
      </w:r>
    </w:p>
    <w:p>
      <w:pPr>
        <w:spacing w:after="0" w:line="180" w:lineRule="exact"/>
        <w:rPr>
          <w:sz w:val="20"/>
          <w:szCs w:val="20"/>
          <w:color w:val="auto"/>
        </w:rPr>
      </w:pPr>
    </w:p>
    <w:p>
      <w:pPr>
        <w:jc w:val="both"/>
        <w:ind w:left="740" w:right="260" w:firstLine="749"/>
        <w:spacing w:after="0" w:line="254" w:lineRule="auto"/>
        <w:rPr>
          <w:sz w:val="20"/>
          <w:szCs w:val="20"/>
          <w:color w:val="auto"/>
        </w:rPr>
      </w:pPr>
      <w:r>
        <w:rPr>
          <w:rFonts w:ascii="Times New Roman" w:cs="Times New Roman" w:eastAsia="Times New Roman" w:hAnsi="Times New Roman"/>
          <w:sz w:val="20"/>
          <w:szCs w:val="20"/>
          <w:color w:val="231F20"/>
        </w:rPr>
        <w:t xml:space="preserve">SECTION 5.13 </w:t>
      </w:r>
      <w:r>
        <w:rPr>
          <w:rFonts w:ascii="Times New Roman" w:cs="Times New Roman" w:eastAsia="Times New Roman" w:hAnsi="Times New Roman"/>
          <w:sz w:val="20"/>
          <w:szCs w:val="20"/>
          <w:u w:val="single" w:color="auto"/>
          <w:color w:val="231F20"/>
        </w:rPr>
        <w:t>ERISA</w:t>
      </w:r>
      <w:r>
        <w:rPr>
          <w:rFonts w:ascii="Times New Roman" w:cs="Times New Roman" w:eastAsia="Times New Roman" w:hAnsi="Times New Roman"/>
          <w:sz w:val="20"/>
          <w:szCs w:val="20"/>
          <w:color w:val="231F20"/>
        </w:rPr>
        <w:t>. Borrower shall, and shall cause each Subsidiary to, promptly pay and discharge all obligations and liabilities arising under ERISA of a character, which if unpaid or unperformed could reasonably be expected to result in the imposition of a Lien against any of its property.</w:t>
      </w:r>
    </w:p>
    <w:p>
      <w:pPr>
        <w:spacing w:after="0" w:line="174" w:lineRule="exact"/>
        <w:rPr>
          <w:sz w:val="20"/>
          <w:szCs w:val="20"/>
          <w:color w:val="auto"/>
        </w:rPr>
      </w:pPr>
    </w:p>
    <w:p>
      <w:pPr>
        <w:jc w:val="both"/>
        <w:ind w:left="740" w:right="200" w:firstLine="749"/>
        <w:spacing w:after="0" w:line="244" w:lineRule="auto"/>
        <w:rPr>
          <w:sz w:val="20"/>
          <w:szCs w:val="20"/>
          <w:color w:val="auto"/>
        </w:rPr>
      </w:pPr>
      <w:r>
        <w:rPr>
          <w:rFonts w:ascii="Times New Roman" w:cs="Times New Roman" w:eastAsia="Times New Roman" w:hAnsi="Times New Roman"/>
          <w:sz w:val="20"/>
          <w:szCs w:val="20"/>
          <w:color w:val="231F20"/>
        </w:rPr>
        <w:t xml:space="preserve">SECTION 5.14 </w:t>
      </w:r>
      <w:r>
        <w:rPr>
          <w:rFonts w:ascii="Times New Roman" w:cs="Times New Roman" w:eastAsia="Times New Roman" w:hAnsi="Times New Roman"/>
          <w:sz w:val="20"/>
          <w:szCs w:val="20"/>
          <w:u w:val="single" w:color="auto"/>
          <w:color w:val="231F20"/>
        </w:rPr>
        <w:t>PCI Compliance; Data Security</w:t>
      </w:r>
      <w:r>
        <w:rPr>
          <w:rFonts w:ascii="Times New Roman" w:cs="Times New Roman" w:eastAsia="Times New Roman" w:hAnsi="Times New Roman"/>
          <w:sz w:val="20"/>
          <w:szCs w:val="20"/>
          <w:color w:val="231F20"/>
        </w:rPr>
        <w:t>. Except as individually or in the aggregate would not reasonably be expected to have a Material Adverse Effect, each applicable Loan Party will, and will cause each of its Subsidiaries to, (a) maintain compliance with all PCI Requirements and all Requirements of Law, (b) maintain and implement controls, policies, procedures, and technical safeguards to protect the privacy, security, and integrity of Personal Information, computer systems and processes as required by Requirements of Law and consistent with industry standards and practices and</w:t>
      </w:r>
    </w:p>
    <w:p>
      <w:pPr>
        <w:ind w:left="740" w:right="260" w:hanging="3"/>
        <w:spacing w:after="0" w:line="246" w:lineRule="auto"/>
        <w:tabs>
          <w:tab w:leader="none" w:pos="998" w:val="left"/>
        </w:tabs>
        <w:numPr>
          <w:ilvl w:val="0"/>
          <w:numId w:val="17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prevent the authorized access to or acquisition, use, loss, destruction, compromise or disclosure of any Personal Information, confidential or proprietary data maintained or stored by it.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ARTICLE VI</w:t>
      </w:r>
    </w:p>
    <w:p>
      <w:pPr>
        <w:spacing w:after="0" w:line="2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u w:val="single" w:color="auto"/>
          <w:color w:val="231F20"/>
        </w:rPr>
        <w:t>NEGATIVE COVENANTS</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Until Payment in Full has occurred, the Loan Parties covenant and agree, jointly and severally, with the Lenders that:</w:t>
      </w:r>
    </w:p>
    <w:p>
      <w:pPr>
        <w:spacing w:after="0" w:line="216" w:lineRule="exact"/>
        <w:rPr>
          <w:sz w:val="20"/>
          <w:szCs w:val="20"/>
          <w:color w:val="auto"/>
        </w:rPr>
      </w:pPr>
    </w:p>
    <w:p>
      <w:pPr>
        <w:ind w:left="740" w:right="440" w:firstLine="749"/>
        <w:spacing w:after="0" w:line="269" w:lineRule="auto"/>
        <w:rPr>
          <w:sz w:val="20"/>
          <w:szCs w:val="20"/>
          <w:color w:val="auto"/>
        </w:rPr>
      </w:pPr>
      <w:r>
        <w:rPr>
          <w:rFonts w:ascii="Times New Roman" w:cs="Times New Roman" w:eastAsia="Times New Roman" w:hAnsi="Times New Roman"/>
          <w:sz w:val="20"/>
          <w:szCs w:val="20"/>
          <w:color w:val="231F20"/>
        </w:rPr>
        <w:t xml:space="preserve">SECTION 6.01 </w:t>
      </w:r>
      <w:r>
        <w:rPr>
          <w:rFonts w:ascii="Times New Roman" w:cs="Times New Roman" w:eastAsia="Times New Roman" w:hAnsi="Times New Roman"/>
          <w:sz w:val="20"/>
          <w:szCs w:val="20"/>
          <w:u w:val="single" w:color="auto"/>
          <w:color w:val="231F20"/>
        </w:rPr>
        <w:t>Indebtedness</w:t>
      </w:r>
      <w:r>
        <w:rPr>
          <w:rFonts w:ascii="Times New Roman" w:cs="Times New Roman" w:eastAsia="Times New Roman" w:hAnsi="Times New Roman"/>
          <w:sz w:val="20"/>
          <w:szCs w:val="20"/>
          <w:color w:val="231F20"/>
        </w:rPr>
        <w:t>. No Loan Party will, nor will it permit any Subsidiary to, create, incur or suffer to exist any Indebtedness, except:</w:t>
      </w:r>
    </w:p>
    <w:p>
      <w:pPr>
        <w:spacing w:after="0" w:line="159" w:lineRule="exact"/>
        <w:rPr>
          <w:sz w:val="20"/>
          <w:szCs w:val="20"/>
          <w:color w:val="auto"/>
        </w:rPr>
      </w:pPr>
    </w:p>
    <w:p>
      <w:pPr>
        <w:ind w:left="2240" w:hanging="755"/>
        <w:spacing w:after="0"/>
        <w:tabs>
          <w:tab w:leader="none" w:pos="2240" w:val="left"/>
        </w:tabs>
        <w:numPr>
          <w:ilvl w:val="0"/>
          <w:numId w:val="18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Secured Obligations;</w:t>
      </w:r>
    </w:p>
    <w:p>
      <w:pPr>
        <w:spacing w:after="0" w:line="215" w:lineRule="exact"/>
        <w:rPr>
          <w:rFonts w:ascii="Times New Roman" w:cs="Times New Roman" w:eastAsia="Times New Roman" w:hAnsi="Times New Roman"/>
          <w:sz w:val="20"/>
          <w:szCs w:val="20"/>
          <w:color w:val="231F20"/>
        </w:rPr>
      </w:pPr>
    </w:p>
    <w:p>
      <w:pPr>
        <w:ind w:left="740" w:right="260" w:firstLine="745"/>
        <w:spacing w:after="0" w:line="269" w:lineRule="auto"/>
        <w:tabs>
          <w:tab w:leader="none" w:pos="2005" w:val="left"/>
        </w:tabs>
        <w:numPr>
          <w:ilvl w:val="0"/>
          <w:numId w:val="18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 Indebtedness existing on the date hereof and set forth on </w:t>
      </w:r>
      <w:r>
        <w:rPr>
          <w:rFonts w:ascii="Times New Roman" w:cs="Times New Roman" w:eastAsia="Times New Roman" w:hAnsi="Times New Roman"/>
          <w:sz w:val="20"/>
          <w:szCs w:val="20"/>
          <w:u w:val="single" w:color="auto"/>
          <w:color w:val="231F20"/>
        </w:rPr>
        <w:t>Schedule 6.01</w:t>
      </w:r>
      <w:r>
        <w:rPr>
          <w:rFonts w:ascii="Times New Roman" w:cs="Times New Roman" w:eastAsia="Times New Roman" w:hAnsi="Times New Roman"/>
          <w:sz w:val="20"/>
          <w:szCs w:val="20"/>
          <w:color w:val="231F20"/>
        </w:rPr>
        <w:t xml:space="preserve"> and (ii) extensions, renewals and replacements of any such Indebtedness in accordance with </w:t>
      </w:r>
      <w:r>
        <w:rPr>
          <w:rFonts w:ascii="Times New Roman" w:cs="Times New Roman" w:eastAsia="Times New Roman" w:hAnsi="Times New Roman"/>
          <w:sz w:val="20"/>
          <w:szCs w:val="20"/>
          <w:u w:val="single" w:color="auto"/>
          <w:color w:val="231F20"/>
        </w:rPr>
        <w:t>clause (f)</w:t>
      </w:r>
      <w:r>
        <w:rPr>
          <w:rFonts w:ascii="Times New Roman" w:cs="Times New Roman" w:eastAsia="Times New Roman" w:hAnsi="Times New Roman"/>
          <w:sz w:val="20"/>
          <w:szCs w:val="20"/>
          <w:color w:val="231F20"/>
        </w:rPr>
        <w:t xml:space="preserve"> hereof;</w:t>
      </w:r>
    </w:p>
    <w:p>
      <w:pPr>
        <w:spacing w:after="0" w:line="159" w:lineRule="exact"/>
        <w:rPr>
          <w:rFonts w:ascii="Times New Roman" w:cs="Times New Roman" w:eastAsia="Times New Roman" w:hAnsi="Times New Roman"/>
          <w:sz w:val="20"/>
          <w:szCs w:val="20"/>
          <w:color w:val="231F20"/>
        </w:rPr>
      </w:pPr>
    </w:p>
    <w:p>
      <w:pPr>
        <w:jc w:val="both"/>
        <w:ind w:left="740" w:right="220" w:firstLine="745"/>
        <w:spacing w:after="0" w:line="263" w:lineRule="auto"/>
        <w:tabs>
          <w:tab w:leader="none" w:pos="2008" w:val="left"/>
        </w:tabs>
        <w:numPr>
          <w:ilvl w:val="0"/>
          <w:numId w:val="18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Indebtedness of the Borrower to any Subsidiary and of any Subsidiary to the Borrower or any other Subsidiary;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xml:space="preserve">, that (i) Indebtedness of any Subsidiary that is not a Loan Party </w:t>
      </w:r>
      <w:r>
        <w:rPr>
          <w:rFonts w:ascii="Times New Roman" w:cs="Times New Roman" w:eastAsia="Times New Roman" w:hAnsi="Times New Roman"/>
          <w:sz w:val="19"/>
          <w:szCs w:val="19"/>
          <w:u w:val="single" w:color="auto"/>
          <w:color w:val="2251A3"/>
        </w:rPr>
        <w:t>owed</w:t>
      </w:r>
      <w:r>
        <w:rPr>
          <w:rFonts w:ascii="Times New Roman" w:cs="Times New Roman" w:eastAsia="Times New Roman" w:hAnsi="Times New Roman"/>
          <w:sz w:val="19"/>
          <w:szCs w:val="19"/>
          <w:color w:val="231F20"/>
        </w:rPr>
        <w:t xml:space="preserve"> to the Borrower or to any Subsidiary that is a Loan Party shall be </w:t>
      </w:r>
      <w:r>
        <w:rPr>
          <w:rFonts w:ascii="Times New Roman" w:cs="Times New Roman" w:eastAsia="Times New Roman" w:hAnsi="Times New Roman"/>
          <w:sz w:val="19"/>
          <w:szCs w:val="19"/>
          <w:color w:val="ED1C24"/>
          <w:strike w:val="1"/>
        </w:rPr>
        <w:t>subject to</w:t>
      </w:r>
      <w:r>
        <w:rPr>
          <w:rFonts w:ascii="Times New Roman" w:cs="Times New Roman" w:eastAsia="Times New Roman" w:hAnsi="Times New Roman"/>
          <w:sz w:val="19"/>
          <w:szCs w:val="19"/>
          <w:u w:val="single" w:color="auto"/>
          <w:color w:val="2251A3"/>
        </w:rPr>
        <w:t>permitted as an Investment under</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u w:val="single" w:color="auto"/>
          <w:color w:val="231F20"/>
        </w:rPr>
        <w:t>Section 6.04</w:t>
      </w:r>
      <w:r>
        <w:rPr>
          <w:rFonts w:ascii="Times New Roman" w:cs="Times New Roman" w:eastAsia="Times New Roman" w:hAnsi="Times New Roman"/>
          <w:sz w:val="19"/>
          <w:szCs w:val="19"/>
          <w:color w:val="231F20"/>
        </w:rPr>
        <w:t xml:space="preserve"> and (ii) Indebtedness of a Loan Party to any Subsidiary that is not a Loan Party in an aggregate principal amount in excess of $</w:t>
      </w:r>
      <w:r>
        <w:rPr>
          <w:rFonts w:ascii="Times New Roman" w:cs="Times New Roman" w:eastAsia="Times New Roman" w:hAnsi="Times New Roman"/>
          <w:sz w:val="19"/>
          <w:szCs w:val="19"/>
          <w:color w:val="ED1C24"/>
          <w:strike w:val="1"/>
        </w:rPr>
        <w:t>15.0</w:t>
      </w:r>
      <w:r>
        <w:rPr>
          <w:rFonts w:ascii="Times New Roman" w:cs="Times New Roman" w:eastAsia="Times New Roman" w:hAnsi="Times New Roman"/>
          <w:sz w:val="19"/>
          <w:szCs w:val="19"/>
          <w:u w:val="single" w:color="auto"/>
          <w:color w:val="2251A3"/>
        </w:rPr>
        <w:t>20.0</w:t>
      </w:r>
      <w:r>
        <w:rPr>
          <w:rFonts w:ascii="Times New Roman" w:cs="Times New Roman" w:eastAsia="Times New Roman" w:hAnsi="Times New Roman"/>
          <w:sz w:val="19"/>
          <w:szCs w:val="19"/>
          <w:color w:val="231F20"/>
        </w:rPr>
        <w:t xml:space="preserve"> million for all such Indebtedness shall be subordinated to the Secured Obligations on terms reasonably satisfactory to the Administrative Agent;</w:t>
      </w:r>
    </w:p>
    <w:p>
      <w:pPr>
        <w:spacing w:after="0" w:line="166" w:lineRule="exact"/>
        <w:rPr>
          <w:rFonts w:ascii="Times New Roman" w:cs="Times New Roman" w:eastAsia="Times New Roman" w:hAnsi="Times New Roman"/>
          <w:sz w:val="19"/>
          <w:szCs w:val="19"/>
          <w:color w:val="231F20"/>
        </w:rPr>
      </w:pPr>
    </w:p>
    <w:p>
      <w:pPr>
        <w:jc w:val="both"/>
        <w:ind w:left="740" w:right="200" w:firstLine="745"/>
        <w:spacing w:after="0" w:line="246" w:lineRule="auto"/>
        <w:tabs>
          <w:tab w:leader="none" w:pos="2008" w:val="left"/>
        </w:tabs>
        <w:numPr>
          <w:ilvl w:val="0"/>
          <w:numId w:val="18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Guarantees by the Borrower of Indebtedness of any Subsidiary and by any Subsidiary of Indebtedness of the Borrower or any other Subsidiary;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 the Indebtedness so Guaranteed is permitted by this </w:t>
      </w:r>
      <w:r>
        <w:rPr>
          <w:rFonts w:ascii="Times New Roman" w:cs="Times New Roman" w:eastAsia="Times New Roman" w:hAnsi="Times New Roman"/>
          <w:sz w:val="20"/>
          <w:szCs w:val="20"/>
          <w:u w:val="single" w:color="auto"/>
          <w:color w:val="231F20"/>
        </w:rPr>
        <w:t>Section 6.01</w:t>
      </w:r>
      <w:r>
        <w:rPr>
          <w:rFonts w:ascii="Times New Roman" w:cs="Times New Roman" w:eastAsia="Times New Roman" w:hAnsi="Times New Roman"/>
          <w:sz w:val="20"/>
          <w:szCs w:val="20"/>
          <w:color w:val="231F20"/>
        </w:rPr>
        <w:t xml:space="preserve">, (ii) Guarantees by the Borrower or any Subsidiary that is a Loan Party of Indebtedness </w:t>
      </w:r>
      <w:r>
        <w:rPr>
          <w:rFonts w:ascii="Times New Roman" w:cs="Times New Roman" w:eastAsia="Times New Roman" w:hAnsi="Times New Roman"/>
          <w:sz w:val="20"/>
          <w:szCs w:val="20"/>
          <w:u w:val="single" w:color="auto"/>
          <w:color w:val="2251A3"/>
        </w:rPr>
        <w:t>for borrowed money</w:t>
      </w:r>
      <w:r>
        <w:rPr>
          <w:rFonts w:ascii="Times New Roman" w:cs="Times New Roman" w:eastAsia="Times New Roman" w:hAnsi="Times New Roman"/>
          <w:sz w:val="20"/>
          <w:szCs w:val="20"/>
          <w:color w:val="231F20"/>
        </w:rPr>
        <w:t xml:space="preserve"> of any Subsidiary that is not a Loan Party shall be </w:t>
      </w:r>
      <w:r>
        <w:rPr>
          <w:rFonts w:ascii="Times New Roman" w:cs="Times New Roman" w:eastAsia="Times New Roman" w:hAnsi="Times New Roman"/>
          <w:sz w:val="20"/>
          <w:szCs w:val="20"/>
          <w:color w:val="ED1C24"/>
          <w:strike w:val="1"/>
        </w:rPr>
        <w:t>subject to</w:t>
      </w:r>
      <w:r>
        <w:rPr>
          <w:rFonts w:ascii="Times New Roman" w:cs="Times New Roman" w:eastAsia="Times New Roman" w:hAnsi="Times New Roman"/>
          <w:sz w:val="20"/>
          <w:szCs w:val="20"/>
          <w:u w:val="single" w:color="auto"/>
          <w:color w:val="2251A3"/>
        </w:rPr>
        <w:t>permitted as an Investment under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Section 6.04</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and shall be subject to the Non-Loan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Party Cap</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and (iii)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291" w:right="519" w:bottom="1440" w:gutter="0" w:footer="0" w:header="0"/>
        </w:sectPr>
      </w:pPr>
    </w:p>
    <w:bookmarkStart w:id="224" w:name="page225"/>
    <w:bookmarkEnd w:id="224"/>
    <w:p>
      <w:pPr>
        <w:ind w:left="740" w:right="260"/>
        <w:spacing w:after="0" w:line="269" w:lineRule="auto"/>
        <w:rPr>
          <w:sz w:val="20"/>
          <w:szCs w:val="20"/>
          <w:color w:val="auto"/>
        </w:rPr>
      </w:pPr>
      <w:r>
        <w:rPr>
          <w:rFonts w:ascii="Times New Roman" w:cs="Times New Roman" w:eastAsia="Times New Roman" w:hAnsi="Times New Roman"/>
          <w:sz w:val="20"/>
          <w:szCs w:val="20"/>
          <w:color w:val="231F20"/>
        </w:rPr>
        <w:t xml:space="preserve">Guarantees permitted under this </w:t>
      </w:r>
      <w:r>
        <w:rPr>
          <w:rFonts w:ascii="Times New Roman" w:cs="Times New Roman" w:eastAsia="Times New Roman" w:hAnsi="Times New Roman"/>
          <w:sz w:val="20"/>
          <w:szCs w:val="20"/>
          <w:u w:val="single" w:color="auto"/>
          <w:color w:val="231F20"/>
        </w:rPr>
        <w:t>clause (d)</w:t>
      </w:r>
      <w:r>
        <w:rPr>
          <w:rFonts w:ascii="Times New Roman" w:cs="Times New Roman" w:eastAsia="Times New Roman" w:hAnsi="Times New Roman"/>
          <w:sz w:val="20"/>
          <w:szCs w:val="20"/>
          <w:color w:val="231F20"/>
        </w:rPr>
        <w:t xml:space="preserve"> shall be subordinated to the Obligations on the same terms as the Indebtedness so Guaranteed is subordinated to the Obligations;</w:t>
      </w:r>
    </w:p>
    <w:p>
      <w:pPr>
        <w:spacing w:after="0" w:line="159" w:lineRule="exact"/>
        <w:rPr>
          <w:sz w:val="20"/>
          <w:szCs w:val="20"/>
          <w:color w:val="auto"/>
        </w:rPr>
      </w:pPr>
    </w:p>
    <w:p>
      <w:pPr>
        <w:jc w:val="both"/>
        <w:ind w:left="740" w:right="20" w:firstLine="746"/>
        <w:spacing w:after="0" w:line="242" w:lineRule="auto"/>
        <w:tabs>
          <w:tab w:leader="none" w:pos="2007" w:val="left"/>
        </w:tabs>
        <w:numPr>
          <w:ilvl w:val="0"/>
          <w:numId w:val="1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 acquisition (including by way of any Permitted Acquisition or otherwise) of any such assets or secured by a Lien on any such assets prior to the acquisition thereof, and extensions, renewals and replacements of any such Indebtedness in accordance with </w:t>
      </w:r>
      <w:r>
        <w:rPr>
          <w:rFonts w:ascii="Times New Roman" w:cs="Times New Roman" w:eastAsia="Times New Roman" w:hAnsi="Times New Roman"/>
          <w:sz w:val="20"/>
          <w:szCs w:val="20"/>
          <w:u w:val="single" w:color="auto"/>
          <w:color w:val="231F20"/>
        </w:rPr>
        <w:t>clause (f)</w:t>
      </w:r>
      <w:r>
        <w:rPr>
          <w:rFonts w:ascii="Times New Roman" w:cs="Times New Roman" w:eastAsia="Times New Roman" w:hAnsi="Times New Roman"/>
          <w:sz w:val="20"/>
          <w:szCs w:val="20"/>
          <w:color w:val="231F20"/>
        </w:rPr>
        <w:t xml:space="preserve"> hereof;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 such Indebtedness is incurred prior to or within ninety (90) days after such acquisition or the completion of such construction or improvement and (ii) the aggregate principal amount of Indebtedness permitted by this </w:t>
      </w:r>
      <w:r>
        <w:rPr>
          <w:rFonts w:ascii="Times New Roman" w:cs="Times New Roman" w:eastAsia="Times New Roman" w:hAnsi="Times New Roman"/>
          <w:sz w:val="20"/>
          <w:szCs w:val="20"/>
          <w:u w:val="single" w:color="auto"/>
          <w:color w:val="231F20"/>
        </w:rPr>
        <w:t>clause (e)</w:t>
      </w:r>
      <w:r>
        <w:rPr>
          <w:rFonts w:ascii="Times New Roman" w:cs="Times New Roman" w:eastAsia="Times New Roman" w:hAnsi="Times New Roman"/>
          <w:sz w:val="20"/>
          <w:szCs w:val="20"/>
          <w:color w:val="231F20"/>
        </w:rPr>
        <w:t xml:space="preserve"> (including any refinancing thereof permitted by </w:t>
      </w:r>
      <w:r>
        <w:rPr>
          <w:rFonts w:ascii="Times New Roman" w:cs="Times New Roman" w:eastAsia="Times New Roman" w:hAnsi="Times New Roman"/>
          <w:sz w:val="20"/>
          <w:szCs w:val="20"/>
          <w:u w:val="single" w:color="auto"/>
          <w:color w:val="231F20"/>
        </w:rPr>
        <w:t>clause (f)</w:t>
      </w:r>
      <w:r>
        <w:rPr>
          <w:rFonts w:ascii="Times New Roman" w:cs="Times New Roman" w:eastAsia="Times New Roman" w:hAnsi="Times New Roman"/>
          <w:sz w:val="20"/>
          <w:szCs w:val="20"/>
          <w:color w:val="231F20"/>
        </w:rPr>
        <w:t xml:space="preserve">) shall not exceed </w:t>
      </w:r>
      <w:r>
        <w:rPr>
          <w:rFonts w:ascii="Times New Roman" w:cs="Times New Roman" w:eastAsia="Times New Roman" w:hAnsi="Times New Roman"/>
          <w:sz w:val="20"/>
          <w:szCs w:val="20"/>
          <w:color w:val="ED1C24"/>
          <w:strike w:val="1"/>
        </w:rPr>
        <w:t>$20.0 million</w:t>
      </w:r>
      <w:r>
        <w:rPr>
          <w:rFonts w:ascii="Times New Roman" w:cs="Times New Roman" w:eastAsia="Times New Roman" w:hAnsi="Times New Roman"/>
          <w:sz w:val="20"/>
          <w:szCs w:val="20"/>
          <w:color w:val="231F20"/>
        </w:rPr>
        <w:t xml:space="preserve"> at any time outstanding </w:t>
      </w:r>
      <w:r>
        <w:rPr>
          <w:rFonts w:ascii="Times New Roman" w:cs="Times New Roman" w:eastAsia="Times New Roman" w:hAnsi="Times New Roman"/>
          <w:sz w:val="20"/>
          <w:szCs w:val="20"/>
          <w:color w:val="2251A3"/>
        </w:rPr>
        <w:t>the greater of (A) $20.0 million and (B)</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20% of Consolidated Adjusted EBITDA for the most recently ended Reference Period</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the Indebtedness</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 xml:space="preserve">permitted by this clause (e), shall be in addition to and not duplicative of those amounts permitted by </w:t>
      </w:r>
      <w:r>
        <w:rPr>
          <w:rFonts w:ascii="Times New Roman" w:cs="Times New Roman" w:eastAsia="Times New Roman" w:hAnsi="Times New Roman"/>
          <w:sz w:val="20"/>
          <w:szCs w:val="20"/>
          <w:u w:val="single" w:color="auto"/>
          <w:color w:val="231F20"/>
        </w:rPr>
        <w:t>clause (o)</w:t>
      </w:r>
      <w:r>
        <w:rPr>
          <w:rFonts w:ascii="Times New Roman" w:cs="Times New Roman" w:eastAsia="Times New Roman" w:hAnsi="Times New Roman"/>
          <w:sz w:val="20"/>
          <w:szCs w:val="20"/>
          <w:color w:val="231F20"/>
        </w:rPr>
        <w:t xml:space="preserve"> hereof;</w:t>
      </w:r>
    </w:p>
    <w:p>
      <w:pPr>
        <w:spacing w:after="0" w:line="192" w:lineRule="exact"/>
        <w:rPr>
          <w:rFonts w:ascii="Times New Roman" w:cs="Times New Roman" w:eastAsia="Times New Roman" w:hAnsi="Times New Roman"/>
          <w:sz w:val="20"/>
          <w:szCs w:val="20"/>
          <w:color w:val="231F20"/>
        </w:rPr>
      </w:pPr>
    </w:p>
    <w:p>
      <w:pPr>
        <w:jc w:val="both"/>
        <w:ind w:left="740" w:firstLine="745"/>
        <w:spacing w:after="0" w:line="241" w:lineRule="auto"/>
        <w:tabs>
          <w:tab w:leader="none" w:pos="2008" w:val="left"/>
        </w:tabs>
        <w:numPr>
          <w:ilvl w:val="0"/>
          <w:numId w:val="1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Indebtedness which represents an extension, refinancing, or renewal of any of the Indebtedness described in </w:t>
      </w:r>
      <w:r>
        <w:rPr>
          <w:rFonts w:ascii="Times New Roman" w:cs="Times New Roman" w:eastAsia="Times New Roman" w:hAnsi="Times New Roman"/>
          <w:sz w:val="20"/>
          <w:szCs w:val="20"/>
          <w:u w:val="single" w:color="auto"/>
          <w:color w:val="231F20"/>
        </w:rPr>
        <w:t>clauses (b)</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(e)</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(s)</w:t>
      </w:r>
      <w:r>
        <w:rPr>
          <w:rFonts w:ascii="Times New Roman" w:cs="Times New Roman" w:eastAsia="Times New Roman" w:hAnsi="Times New Roman"/>
          <w:sz w:val="20"/>
          <w:szCs w:val="20"/>
          <w:color w:val="231F20"/>
        </w:rPr>
        <w:t xml:space="preserve"> hereof (with any such extension, refinancing or renewal being deemed to constitute Indebtedness that has been incurred under such applicable clause);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(i) the aggregate principal amount of such Indebtedness does not exceed the principal amount of such Indebtedness being refinanced plus the amount of any interest, premiums or penalties required to be paid plus fees and expenses associated therewith, (ii) any Liens securing such Indebtedness are not extended to any additional property of any Loan Party, (iii) no Loan Party that is not originally obligated (or required to become obligated) with respect to repayment of such Indebtedness is required to become obligated with respect thereto, (iv) such extension, refinancing or renewal does not result in a shortening of the average weighted maturity of the Indebtedness so extended, refinanced or renewed, (v) the terms of any such extension, refinancing, or renewal (other than pricing, premiums and optional prepayment or optional redemption provisions) are not materially less favorable to the obligor thereunder than the original terms of such Indebtedness, taken as a whole, and (vi) if the Indebtedness that is refinanced, renewed, or extended was subordinated in right of payment to the Secured Obligations, then the terms and conditions of the refinancing, renewal, or extension Indebtedness must include subordination terms and conditions that are at least as favorable to the Administrative Agent and the Lenders as those that were applicable to the refinanced, renewed, or extended Indebtedness;</w:t>
      </w:r>
    </w:p>
    <w:p>
      <w:pPr>
        <w:spacing w:after="0" w:line="195" w:lineRule="exact"/>
        <w:rPr>
          <w:rFonts w:ascii="Times New Roman" w:cs="Times New Roman" w:eastAsia="Times New Roman" w:hAnsi="Times New Roman"/>
          <w:sz w:val="20"/>
          <w:szCs w:val="20"/>
          <w:color w:val="231F20"/>
        </w:rPr>
      </w:pPr>
    </w:p>
    <w:p>
      <w:pPr>
        <w:jc w:val="both"/>
        <w:ind w:left="740" w:right="60" w:firstLine="745"/>
        <w:spacing w:after="0" w:line="254" w:lineRule="auto"/>
        <w:tabs>
          <w:tab w:leader="none" w:pos="2005" w:val="left"/>
        </w:tabs>
        <w:numPr>
          <w:ilvl w:val="0"/>
          <w:numId w:val="1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74" w:lineRule="exact"/>
        <w:rPr>
          <w:rFonts w:ascii="Times New Roman" w:cs="Times New Roman" w:eastAsia="Times New Roman" w:hAnsi="Times New Roman"/>
          <w:sz w:val="20"/>
          <w:szCs w:val="20"/>
          <w:color w:val="231F20"/>
        </w:rPr>
      </w:pPr>
    </w:p>
    <w:p>
      <w:pPr>
        <w:jc w:val="both"/>
        <w:ind w:left="740" w:right="60" w:firstLine="745"/>
        <w:spacing w:after="0" w:line="249" w:lineRule="auto"/>
        <w:tabs>
          <w:tab w:leader="none" w:pos="2005" w:val="left"/>
        </w:tabs>
        <w:numPr>
          <w:ilvl w:val="0"/>
          <w:numId w:val="1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Indebtedness of the Borrower or any Subsidiary in respect of performance bonds, bid bonds, appeal bonds, surety bonds</w:t>
      </w:r>
      <w:r>
        <w:rPr>
          <w:rFonts w:ascii="Times New Roman" w:cs="Times New Roman" w:eastAsia="Times New Roman" w:hAnsi="Times New Roman"/>
          <w:sz w:val="20"/>
          <w:szCs w:val="20"/>
          <w:u w:val="single" w:color="auto"/>
          <w:color w:val="2251A3"/>
        </w:rPr>
        <w:t>, leases, performance and completion guarantees</w:t>
      </w:r>
      <w:r>
        <w:rPr>
          <w:rFonts w:ascii="Times New Roman" w:cs="Times New Roman" w:eastAsia="Times New Roman" w:hAnsi="Times New Roman"/>
          <w:sz w:val="20"/>
          <w:szCs w:val="20"/>
          <w:color w:val="231F20"/>
        </w:rPr>
        <w:t xml:space="preserve"> and similar obligations or obligations in respect of letters of credit, surety bonds, bank guarantees or similar instruments related thereto, in each case provided in the ordinary course of business or in respect of judgments that do not constitute an Event of Default;</w:t>
      </w:r>
    </w:p>
    <w:p>
      <w:pPr>
        <w:spacing w:after="0" w:line="179"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0"/>
          <w:numId w:val="1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Indebtedness or Guarantees of the Borrower or any Subsidiary in connection with any Swap Agreement permitted under </w:t>
      </w:r>
      <w:r>
        <w:rPr>
          <w:rFonts w:ascii="Times New Roman" w:cs="Times New Roman" w:eastAsia="Times New Roman" w:hAnsi="Times New Roman"/>
          <w:sz w:val="20"/>
          <w:szCs w:val="20"/>
          <w:u w:val="single" w:color="auto"/>
          <w:color w:val="231F20"/>
        </w:rPr>
        <w:t>Section 6.06</w:t>
      </w:r>
      <w:r>
        <w:rPr>
          <w:rFonts w:ascii="Times New Roman" w:cs="Times New Roman" w:eastAsia="Times New Roman" w:hAnsi="Times New Roman"/>
          <w:sz w:val="20"/>
          <w:szCs w:val="20"/>
          <w:color w:val="231F20"/>
        </w:rPr>
        <w:t>;</w:t>
      </w:r>
    </w:p>
    <w:p>
      <w:pPr>
        <w:spacing w:after="0" w:line="159" w:lineRule="exact"/>
        <w:rPr>
          <w:rFonts w:ascii="Times New Roman" w:cs="Times New Roman" w:eastAsia="Times New Roman" w:hAnsi="Times New Roman"/>
          <w:sz w:val="20"/>
          <w:szCs w:val="20"/>
          <w:color w:val="231F20"/>
        </w:rPr>
      </w:pPr>
    </w:p>
    <w:p>
      <w:pPr>
        <w:jc w:val="both"/>
        <w:ind w:left="740" w:right="40" w:firstLine="745"/>
        <w:spacing w:after="0" w:line="246" w:lineRule="auto"/>
        <w:tabs>
          <w:tab w:leader="none" w:pos="2006" w:val="left"/>
        </w:tabs>
        <w:numPr>
          <w:ilvl w:val="0"/>
          <w:numId w:val="1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Indebtedness arising from customary agreements providing for indemnification, adjustment of purchase price, earnout, deferred purchase price or similar obligations in connection with acquisitions or dispositions of any business or assets by or of the Borrower or any Subsidiary permitted hereunder or from guaranties or letters of credit, surety bonds or performance bonds securing the performance of the Borrower or any such Subsidiary pursuant to such agreements,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4810760</wp:posOffset>
            </wp:positionH>
            <wp:positionV relativeFrom="paragraph">
              <wp:posOffset>-5088255</wp:posOffset>
            </wp:positionV>
            <wp:extent cx="20529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052955" cy="825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-5071110</wp:posOffset>
            </wp:positionV>
            <wp:extent cx="205295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05295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25" w:name="page226"/>
    <w:bookmarkEnd w:id="225"/>
    <w:p>
      <w:pPr>
        <w:ind w:left="740"/>
        <w:spacing w:after="0"/>
        <w:rPr>
          <w:sz w:val="20"/>
          <w:szCs w:val="20"/>
          <w:color w:val="auto"/>
        </w:rPr>
      </w:pPr>
      <w:r>
        <w:rPr>
          <w:rFonts w:ascii="Times New Roman" w:cs="Times New Roman" w:eastAsia="Times New Roman" w:hAnsi="Times New Roman"/>
          <w:sz w:val="20"/>
          <w:szCs w:val="20"/>
          <w:color w:val="231F20"/>
        </w:rPr>
        <w:t>permitted Acquisitions or permitted dispositions of any business or assets (including stock of a Subsidiary);</w:t>
      </w:r>
    </w:p>
    <w:p>
      <w:pPr>
        <w:spacing w:after="0" w:line="216" w:lineRule="exact"/>
        <w:rPr>
          <w:sz w:val="20"/>
          <w:szCs w:val="20"/>
          <w:color w:val="auto"/>
        </w:rPr>
      </w:pPr>
    </w:p>
    <w:p>
      <w:pPr>
        <w:ind w:left="2000" w:hanging="515"/>
        <w:spacing w:after="0"/>
        <w:tabs>
          <w:tab w:leader="none" w:pos="2000" w:val="left"/>
        </w:tabs>
        <w:numPr>
          <w:ilvl w:val="0"/>
          <w:numId w:val="1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Judgments entered against the Borrower or any Subsidiary to the extent not constituting an Event of Default;</w:t>
      </w:r>
    </w:p>
    <w:p>
      <w:pPr>
        <w:spacing w:after="0" w:line="215"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0"/>
          <w:numId w:val="1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Indebtedness or Guarantees incurred in the ordinary course of business in connection with Banking Services and other cash pooling, netting and cash management arrangements consisting of overdrafts or similar arrangements;</w:t>
      </w:r>
    </w:p>
    <w:p>
      <w:pPr>
        <w:spacing w:after="0" w:line="159" w:lineRule="exact"/>
        <w:rPr>
          <w:rFonts w:ascii="Times New Roman" w:cs="Times New Roman" w:eastAsia="Times New Roman" w:hAnsi="Times New Roman"/>
          <w:sz w:val="20"/>
          <w:szCs w:val="20"/>
          <w:color w:val="231F20"/>
        </w:rPr>
      </w:pPr>
    </w:p>
    <w:p>
      <w:pPr>
        <w:jc w:val="both"/>
        <w:ind w:left="740" w:right="40" w:firstLine="745"/>
        <w:spacing w:after="0" w:line="254" w:lineRule="auto"/>
        <w:tabs>
          <w:tab w:leader="none" w:pos="2006" w:val="left"/>
        </w:tabs>
        <w:numPr>
          <w:ilvl w:val="0"/>
          <w:numId w:val="1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Indebtedness of Foreign Subsidiaries owed to a third-party lender that is not a Loan Party or another Subsidiary;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the aggregate outstanding principal amount of such Indebtedness shall not exceed $</w:t>
      </w:r>
      <w:r>
        <w:rPr>
          <w:rFonts w:ascii="Times New Roman" w:cs="Times New Roman" w:eastAsia="Times New Roman" w:hAnsi="Times New Roman"/>
          <w:sz w:val="20"/>
          <w:szCs w:val="20"/>
          <w:color w:val="ED1C24"/>
          <w:strike w:val="1"/>
        </w:rPr>
        <w:t>10.0</w:t>
      </w:r>
      <w:r>
        <w:rPr>
          <w:rFonts w:ascii="Times New Roman" w:cs="Times New Roman" w:eastAsia="Times New Roman" w:hAnsi="Times New Roman"/>
          <w:sz w:val="20"/>
          <w:szCs w:val="20"/>
          <w:u w:val="single" w:color="auto"/>
          <w:color w:val="2251A3"/>
        </w:rPr>
        <w:t>20.0</w:t>
      </w:r>
      <w:r>
        <w:rPr>
          <w:rFonts w:ascii="Times New Roman" w:cs="Times New Roman" w:eastAsia="Times New Roman" w:hAnsi="Times New Roman"/>
          <w:sz w:val="20"/>
          <w:szCs w:val="20"/>
          <w:color w:val="231F20"/>
        </w:rPr>
        <w:t xml:space="preserve"> million (or the equivalent thereof outstanding at such time) at any time;</w:t>
      </w:r>
    </w:p>
    <w:p>
      <w:pPr>
        <w:spacing w:after="0" w:line="174" w:lineRule="exact"/>
        <w:rPr>
          <w:rFonts w:ascii="Times New Roman" w:cs="Times New Roman" w:eastAsia="Times New Roman" w:hAnsi="Times New Roman"/>
          <w:sz w:val="20"/>
          <w:szCs w:val="20"/>
          <w:color w:val="231F20"/>
        </w:rPr>
      </w:pPr>
    </w:p>
    <w:p>
      <w:pPr>
        <w:ind w:left="2240" w:hanging="755"/>
        <w:spacing w:after="0"/>
        <w:tabs>
          <w:tab w:leader="none" w:pos="2240" w:val="left"/>
        </w:tabs>
        <w:numPr>
          <w:ilvl w:val="0"/>
          <w:numId w:val="1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Indebtedness owed to sellers constituting consideration for Permitted Acquisitions;</w:t>
      </w:r>
    </w:p>
    <w:p>
      <w:pPr>
        <w:spacing w:after="0" w:line="215" w:lineRule="exact"/>
        <w:rPr>
          <w:rFonts w:ascii="Times New Roman" w:cs="Times New Roman" w:eastAsia="Times New Roman" w:hAnsi="Times New Roman"/>
          <w:sz w:val="20"/>
          <w:szCs w:val="20"/>
          <w:color w:val="231F20"/>
        </w:rPr>
      </w:pPr>
    </w:p>
    <w:p>
      <w:pPr>
        <w:jc w:val="both"/>
        <w:ind w:left="740" w:firstLine="745"/>
        <w:spacing w:after="0" w:line="245" w:lineRule="auto"/>
        <w:tabs>
          <w:tab w:leader="none" w:pos="2008" w:val="left"/>
        </w:tabs>
        <w:numPr>
          <w:ilvl w:val="0"/>
          <w:numId w:val="1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Indebtedness of a Person or Indebtedness attaching to assets of a Person that, in either case, becomes a Subsidiary or Indebtedness attaching to assets that are acquired by the Borrower or any of its Subsidiaries, in each case as the result of a Permitted Acquisition;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 such Indebtedness existed at the time such Person became a Subsidiary or at the time such assets were acquired and, in each case, was not created in anticipation thereof and (ii) (x) such Indebtedness incurred in connection with any single Permitted Acquisition shall not exceed $6.0 million and (y) the aggregate amount of such Indebtedness permitted to be incurred shall under this </w:t>
      </w:r>
      <w:r>
        <w:rPr>
          <w:rFonts w:ascii="Times New Roman" w:cs="Times New Roman" w:eastAsia="Times New Roman" w:hAnsi="Times New Roman"/>
          <w:sz w:val="20"/>
          <w:szCs w:val="20"/>
          <w:u w:val="single" w:color="auto"/>
          <w:color w:val="231F20"/>
        </w:rPr>
        <w:t>clause (o)</w:t>
      </w:r>
      <w:r>
        <w:rPr>
          <w:rFonts w:ascii="Times New Roman" w:cs="Times New Roman" w:eastAsia="Times New Roman" w:hAnsi="Times New Roman"/>
          <w:sz w:val="20"/>
          <w:szCs w:val="20"/>
          <w:color w:val="231F20"/>
        </w:rPr>
        <w:t xml:space="preserve"> not exceed $20.0 million;</w:t>
      </w:r>
    </w:p>
    <w:p>
      <w:pPr>
        <w:spacing w:after="0" w:line="184" w:lineRule="exact"/>
        <w:rPr>
          <w:rFonts w:ascii="Times New Roman" w:cs="Times New Roman" w:eastAsia="Times New Roman" w:hAnsi="Times New Roman"/>
          <w:sz w:val="20"/>
          <w:szCs w:val="20"/>
          <w:color w:val="231F20"/>
        </w:rPr>
      </w:pPr>
    </w:p>
    <w:p>
      <w:pPr>
        <w:jc w:val="both"/>
        <w:ind w:left="740" w:right="40" w:firstLine="745"/>
        <w:spacing w:after="0" w:line="254" w:lineRule="auto"/>
        <w:tabs>
          <w:tab w:leader="none" w:pos="2006" w:val="left"/>
        </w:tabs>
        <w:numPr>
          <w:ilvl w:val="0"/>
          <w:numId w:val="1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Indebtedness of the Borrower or any Subsidiary in connection with any Guarantees given by them, or any letters of credit or bank guarantees issued by any bank or financial institution, in favor of any Governmental Authority to secure the payment of Taxes owed by the Borrower or any Subsidiary to such Governmental Authorities;</w:t>
      </w:r>
    </w:p>
    <w:p>
      <w:pPr>
        <w:spacing w:after="0" w:line="174" w:lineRule="exact"/>
        <w:rPr>
          <w:rFonts w:ascii="Times New Roman" w:cs="Times New Roman" w:eastAsia="Times New Roman" w:hAnsi="Times New Roman"/>
          <w:sz w:val="20"/>
          <w:szCs w:val="20"/>
          <w:color w:val="231F20"/>
        </w:rPr>
      </w:pPr>
    </w:p>
    <w:p>
      <w:pPr>
        <w:jc w:val="both"/>
        <w:ind w:left="740" w:right="60" w:firstLine="745"/>
        <w:spacing w:after="0" w:line="254" w:lineRule="auto"/>
        <w:tabs>
          <w:tab w:leader="none" w:pos="2005" w:val="left"/>
        </w:tabs>
        <w:numPr>
          <w:ilvl w:val="0"/>
          <w:numId w:val="1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Indebtedness of the Borrower or any Subsidiary owed to sublessees in respect of security deposits or advances held by the Borrower or any Subsidiary in connection with the subletting sublessees of any leasehold interests of the Borrower or any Subsidiary;</w:t>
      </w:r>
    </w:p>
    <w:p>
      <w:pPr>
        <w:spacing w:after="0" w:line="174" w:lineRule="exact"/>
        <w:rPr>
          <w:rFonts w:ascii="Times New Roman" w:cs="Times New Roman" w:eastAsia="Times New Roman" w:hAnsi="Times New Roman"/>
          <w:sz w:val="20"/>
          <w:szCs w:val="20"/>
          <w:color w:val="231F20"/>
        </w:rPr>
      </w:pPr>
    </w:p>
    <w:p>
      <w:pPr>
        <w:jc w:val="both"/>
        <w:ind w:left="740" w:right="40" w:firstLine="745"/>
        <w:spacing w:after="0" w:line="254" w:lineRule="auto"/>
        <w:tabs>
          <w:tab w:leader="none" w:pos="2006" w:val="left"/>
        </w:tabs>
        <w:numPr>
          <w:ilvl w:val="0"/>
          <w:numId w:val="1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 the extent categorized as Indebtedness, contingent chargeback obligations arising from the Borrower or its Subsidiaries acting as “merchant of record” under applicable credit card payment processes, as incurred in the ordinary course of business of the Borrower and its Subsidiaries;</w:t>
      </w:r>
    </w:p>
    <w:p>
      <w:pPr>
        <w:spacing w:after="0" w:line="174" w:lineRule="exact"/>
        <w:rPr>
          <w:rFonts w:ascii="Times New Roman" w:cs="Times New Roman" w:eastAsia="Times New Roman" w:hAnsi="Times New Roman"/>
          <w:sz w:val="20"/>
          <w:szCs w:val="20"/>
          <w:color w:val="231F20"/>
        </w:rPr>
      </w:pPr>
    </w:p>
    <w:p>
      <w:pPr>
        <w:jc w:val="both"/>
        <w:ind w:left="740" w:firstLine="745"/>
        <w:spacing w:after="0" w:line="256" w:lineRule="auto"/>
        <w:tabs>
          <w:tab w:leader="none" w:pos="2008" w:val="left"/>
        </w:tabs>
        <w:numPr>
          <w:ilvl w:val="0"/>
          <w:numId w:val="18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unsecured Indebtedness of the Borrower (and any extensions, renewals and replacements of any such Indebtedness in accordance with </w:t>
      </w:r>
      <w:r>
        <w:rPr>
          <w:rFonts w:ascii="Times New Roman" w:cs="Times New Roman" w:eastAsia="Times New Roman" w:hAnsi="Times New Roman"/>
          <w:sz w:val="19"/>
          <w:szCs w:val="19"/>
          <w:u w:val="single" w:color="auto"/>
          <w:color w:val="231F20"/>
        </w:rPr>
        <w:t>clause (f)</w:t>
      </w:r>
      <w:r>
        <w:rPr>
          <w:rFonts w:ascii="Times New Roman" w:cs="Times New Roman" w:eastAsia="Times New Roman" w:hAnsi="Times New Roman"/>
          <w:sz w:val="19"/>
          <w:szCs w:val="19"/>
          <w:color w:val="231F20"/>
        </w:rPr>
        <w:t xml:space="preserve"> hereof), so long as (i) after giving effect to the incurrence thereof, the Borrower shall be in pro forma compliance with a Consolidated Total Net Leverage Ratio of not more than 3.25 to 1.00 for the most recently ended Reference Period and the Borrower shall have delivered to the Administrative Agent reasonably detailed calculations demonstrating such compliance, (ii) the final maturity of any such unsecured Indebtedness shall be no earlier than ninety one (91) days following the latest Maturity Date at the time of incurrence, (iii) after giving effect to the incurrence thereof, the Borrower shall be in pro forma compliance with the Financial Covenants for the most recently ended Reference Period and the Borrower shall have delivered to the Administrative Agent reasonably detailed calculations demonstrating such compliance, (iv) such unsecured Indebtedness </w:t>
      </w:r>
      <w:r>
        <w:rPr>
          <w:rFonts w:ascii="Times New Roman" w:cs="Times New Roman" w:eastAsia="Times New Roman" w:hAnsi="Times New Roman"/>
          <w:sz w:val="19"/>
          <w:szCs w:val="19"/>
          <w:u w:val="single" w:color="auto"/>
          <w:color w:val="2251A3"/>
        </w:rPr>
        <w:t>(other than Convertible Debt)</w:t>
      </w:r>
      <w:r>
        <w:rPr>
          <w:rFonts w:ascii="Times New Roman" w:cs="Times New Roman" w:eastAsia="Times New Roman" w:hAnsi="Times New Roman"/>
          <w:sz w:val="19"/>
          <w:szCs w:val="19"/>
          <w:color w:val="231F20"/>
        </w:rPr>
        <w:t xml:space="preserve"> shall be subordinated to the Secured Obligations on terms reasonably satisfactory to the Administrative Agent and (v) the terms and covenants of such Indebtedness are not less favorable to the Borrower and its Subsidiaries than those applicable to this Agreement unless such terms 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26" w:name="page227"/>
    <w:bookmarkEnd w:id="226"/>
    <w:p>
      <w:pPr>
        <w:ind w:left="740" w:right="480"/>
        <w:spacing w:after="0" w:line="269" w:lineRule="auto"/>
        <w:rPr>
          <w:sz w:val="20"/>
          <w:szCs w:val="20"/>
          <w:color w:val="auto"/>
        </w:rPr>
      </w:pPr>
      <w:r>
        <w:rPr>
          <w:rFonts w:ascii="Times New Roman" w:cs="Times New Roman" w:eastAsia="Times New Roman" w:hAnsi="Times New Roman"/>
          <w:sz w:val="20"/>
          <w:szCs w:val="20"/>
          <w:color w:val="231F20"/>
        </w:rPr>
        <w:t>covenants apply only to periods after the Maturity Date in effect at the time of incurrence, issuance or obtainment of such Indebtedness;</w:t>
      </w:r>
    </w:p>
    <w:p>
      <w:pPr>
        <w:spacing w:after="0" w:line="159" w:lineRule="exact"/>
        <w:rPr>
          <w:sz w:val="20"/>
          <w:szCs w:val="20"/>
          <w:color w:val="auto"/>
        </w:rPr>
      </w:pPr>
    </w:p>
    <w:p>
      <w:pPr>
        <w:ind w:left="2240" w:hanging="755"/>
        <w:spacing w:after="0"/>
        <w:tabs>
          <w:tab w:leader="none" w:pos="2240" w:val="left"/>
        </w:tabs>
        <w:numPr>
          <w:ilvl w:val="0"/>
          <w:numId w:val="18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Indebtedness in respect of letters of credit or bankers’ acceptances supporting facility</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31F20"/>
        </w:rPr>
        <w:t>leases;</w:t>
      </w:r>
    </w:p>
    <w:p>
      <w:pPr>
        <w:spacing w:after="0" w:line="194" w:lineRule="exact"/>
        <w:rPr>
          <w:sz w:val="20"/>
          <w:szCs w:val="20"/>
          <w:color w:val="auto"/>
        </w:rPr>
      </w:pPr>
    </w:p>
    <w:p>
      <w:pPr>
        <w:ind w:left="2000" w:hanging="515"/>
        <w:spacing w:after="0"/>
        <w:tabs>
          <w:tab w:leader="none" w:pos="2000" w:val="left"/>
        </w:tabs>
        <w:numPr>
          <w:ilvl w:val="0"/>
          <w:numId w:val="18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Indebtedness representing installment insurance premiums owing in the ordinary course of business;</w:t>
      </w:r>
    </w:p>
    <w:p>
      <w:pPr>
        <w:spacing w:after="0" w:line="215" w:lineRule="exact"/>
        <w:rPr>
          <w:rFonts w:ascii="Times New Roman" w:cs="Times New Roman" w:eastAsia="Times New Roman" w:hAnsi="Times New Roman"/>
          <w:sz w:val="20"/>
          <w:szCs w:val="20"/>
          <w:color w:val="231F20"/>
        </w:rPr>
      </w:pPr>
    </w:p>
    <w:p>
      <w:pPr>
        <w:ind w:left="2240" w:hanging="755"/>
        <w:spacing w:after="0"/>
        <w:tabs>
          <w:tab w:leader="none" w:pos="2240" w:val="left"/>
        </w:tabs>
        <w:numPr>
          <w:ilvl w:val="0"/>
          <w:numId w:val="18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Cash Pooling Obligations and Cash Pooling Guaranty Obligations; and</w:t>
      </w:r>
    </w:p>
    <w:p>
      <w:pPr>
        <w:spacing w:after="0" w:line="215" w:lineRule="exact"/>
        <w:rPr>
          <w:rFonts w:ascii="Times New Roman" w:cs="Times New Roman" w:eastAsia="Times New Roman" w:hAnsi="Times New Roman"/>
          <w:sz w:val="20"/>
          <w:szCs w:val="20"/>
          <w:color w:val="231F20"/>
        </w:rPr>
      </w:pPr>
    </w:p>
    <w:p>
      <w:pPr>
        <w:jc w:val="both"/>
        <w:ind w:left="740" w:firstLine="745"/>
        <w:spacing w:after="0" w:line="254" w:lineRule="auto"/>
        <w:tabs>
          <w:tab w:leader="none" w:pos="2008" w:val="left"/>
        </w:tabs>
        <w:numPr>
          <w:ilvl w:val="0"/>
          <w:numId w:val="18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other Indebtedness in an aggregate principal amount </w:t>
      </w:r>
      <w:r>
        <w:rPr>
          <w:rFonts w:ascii="Times New Roman" w:cs="Times New Roman" w:eastAsia="Times New Roman" w:hAnsi="Times New Roman"/>
          <w:sz w:val="20"/>
          <w:szCs w:val="20"/>
          <w:color w:val="ED1C24"/>
          <w:strike w:val="1"/>
        </w:rPr>
        <w:t>not exceeding $20.0 million</w:t>
      </w:r>
      <w:r>
        <w:rPr>
          <w:rFonts w:ascii="Times New Roman" w:cs="Times New Roman" w:eastAsia="Times New Roman" w:hAnsi="Times New Roman"/>
          <w:sz w:val="20"/>
          <w:szCs w:val="20"/>
          <w:color w:val="231F20"/>
        </w:rPr>
        <w:t xml:space="preserve"> at any time outstanding </w:t>
      </w:r>
      <w:r>
        <w:rPr>
          <w:rFonts w:ascii="Times New Roman" w:cs="Times New Roman" w:eastAsia="Times New Roman" w:hAnsi="Times New Roman"/>
          <w:sz w:val="20"/>
          <w:szCs w:val="20"/>
          <w:color w:val="2251A3"/>
        </w:rPr>
        <w:t>not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exceeding the greater of (i) $20.0 million and (ii) 20% of Consolidated Adjusted EBITDA for the most recently ended Reference Period</w:t>
      </w:r>
      <w:r>
        <w:rPr>
          <w:rFonts w:ascii="Times New Roman" w:cs="Times New Roman" w:eastAsia="Times New Roman" w:hAnsi="Times New Roman"/>
          <w:sz w:val="20"/>
          <w:szCs w:val="20"/>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6680835</wp:posOffset>
            </wp:positionH>
            <wp:positionV relativeFrom="paragraph">
              <wp:posOffset>-328295</wp:posOffset>
            </wp:positionV>
            <wp:extent cx="20066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00660" cy="8255"/>
                    </a:xfrm>
                    <a:prstGeom prst="rect">
                      <a:avLst/>
                    </a:prstGeom>
                    <a:noFill/>
                  </pic:spPr>
                </pic:pic>
              </a:graphicData>
            </a:graphic>
          </wp:anchor>
        </w:drawing>
        <w:drawing>
          <wp:anchor simplePos="0" relativeHeight="251657728" behindDoc="1" locked="0" layoutInCell="0" allowOverlap="1">
            <wp:simplePos x="0" y="0"/>
            <wp:positionH relativeFrom="column">
              <wp:posOffset>6680835</wp:posOffset>
            </wp:positionH>
            <wp:positionV relativeFrom="paragraph">
              <wp:posOffset>-311150</wp:posOffset>
            </wp:positionV>
            <wp:extent cx="20066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00660" cy="8255"/>
                    </a:xfrm>
                    <a:prstGeom prst="rect">
                      <a:avLst/>
                    </a:prstGeom>
                    <a:noFill/>
                  </pic:spPr>
                </pic:pic>
              </a:graphicData>
            </a:graphic>
          </wp:anchor>
        </w:drawing>
      </w:r>
    </w:p>
    <w:p>
      <w:pPr>
        <w:spacing w:after="0" w:line="154" w:lineRule="exact"/>
        <w:rPr>
          <w:sz w:val="20"/>
          <w:szCs w:val="20"/>
          <w:color w:val="auto"/>
        </w:rPr>
      </w:pPr>
    </w:p>
    <w:p>
      <w:pPr>
        <w:jc w:val="both"/>
        <w:ind w:left="740" w:right="40" w:firstLine="749"/>
        <w:spacing w:after="0" w:line="254" w:lineRule="auto"/>
        <w:rPr>
          <w:sz w:val="20"/>
          <w:szCs w:val="20"/>
          <w:color w:val="auto"/>
        </w:rPr>
      </w:pPr>
      <w:r>
        <w:rPr>
          <w:rFonts w:ascii="Times New Roman" w:cs="Times New Roman" w:eastAsia="Times New Roman" w:hAnsi="Times New Roman"/>
          <w:sz w:val="20"/>
          <w:szCs w:val="20"/>
          <w:color w:val="231F20"/>
        </w:rPr>
        <w:t xml:space="preserve">SECTION 6.02 </w:t>
      </w:r>
      <w:r>
        <w:rPr>
          <w:rFonts w:ascii="Times New Roman" w:cs="Times New Roman" w:eastAsia="Times New Roman" w:hAnsi="Times New Roman"/>
          <w:sz w:val="20"/>
          <w:szCs w:val="20"/>
          <w:u w:val="single" w:color="auto"/>
          <w:color w:val="231F20"/>
        </w:rPr>
        <w:t>Liens</w:t>
      </w:r>
      <w:r>
        <w:rPr>
          <w:rFonts w:ascii="Times New Roman" w:cs="Times New Roman" w:eastAsia="Times New Roman" w:hAnsi="Times New Roman"/>
          <w:sz w:val="20"/>
          <w:szCs w:val="20"/>
          <w:color w:val="231F20"/>
        </w:rPr>
        <w:t>.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74" w:lineRule="exact"/>
        <w:rPr>
          <w:sz w:val="20"/>
          <w:szCs w:val="20"/>
          <w:color w:val="auto"/>
        </w:rPr>
      </w:pPr>
    </w:p>
    <w:p>
      <w:pPr>
        <w:ind w:left="2240" w:hanging="755"/>
        <w:spacing w:after="0"/>
        <w:tabs>
          <w:tab w:leader="none" w:pos="2240" w:val="left"/>
        </w:tabs>
        <w:numPr>
          <w:ilvl w:val="0"/>
          <w:numId w:val="18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Liens created pursuant to any Loan Document;</w:t>
      </w:r>
    </w:p>
    <w:p>
      <w:pPr>
        <w:spacing w:after="0" w:line="215" w:lineRule="exact"/>
        <w:rPr>
          <w:rFonts w:ascii="Times New Roman" w:cs="Times New Roman" w:eastAsia="Times New Roman" w:hAnsi="Times New Roman"/>
          <w:sz w:val="20"/>
          <w:szCs w:val="20"/>
          <w:color w:val="231F20"/>
        </w:rPr>
      </w:pPr>
    </w:p>
    <w:p>
      <w:pPr>
        <w:ind w:left="2240" w:hanging="755"/>
        <w:spacing w:after="0"/>
        <w:tabs>
          <w:tab w:leader="none" w:pos="2240" w:val="left"/>
        </w:tabs>
        <w:numPr>
          <w:ilvl w:val="0"/>
          <w:numId w:val="18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Permitted Encumbrances;</w:t>
      </w:r>
    </w:p>
    <w:p>
      <w:pPr>
        <w:spacing w:after="0" w:line="215" w:lineRule="exact"/>
        <w:rPr>
          <w:rFonts w:ascii="Times New Roman" w:cs="Times New Roman" w:eastAsia="Times New Roman" w:hAnsi="Times New Roman"/>
          <w:sz w:val="20"/>
          <w:szCs w:val="20"/>
          <w:color w:val="231F20"/>
        </w:rPr>
      </w:pPr>
    </w:p>
    <w:p>
      <w:pPr>
        <w:jc w:val="both"/>
        <w:ind w:left="740" w:right="60" w:firstLine="745"/>
        <w:spacing w:after="0" w:line="246" w:lineRule="auto"/>
        <w:tabs>
          <w:tab w:leader="none" w:pos="2005" w:val="left"/>
        </w:tabs>
        <w:numPr>
          <w:ilvl w:val="0"/>
          <w:numId w:val="18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any Lien on any property or asset of the Borrower or any Subsidiary existing on the date hereof and set forth in </w:t>
      </w:r>
      <w:r>
        <w:rPr>
          <w:rFonts w:ascii="Times New Roman" w:cs="Times New Roman" w:eastAsia="Times New Roman" w:hAnsi="Times New Roman"/>
          <w:sz w:val="20"/>
          <w:szCs w:val="20"/>
          <w:u w:val="single" w:color="auto"/>
          <w:color w:val="231F20"/>
        </w:rPr>
        <w:t>Schedule 6.02</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(i) such Lien shall not apply to any property or asset of the Borrower or such Subsidiary other than the properties and assets to which such Lien applies on the date hereof and (ii) such Lien shall secure only those obligations which it secures on the date hereof and extensions, renewals and replacements thereof that do not increase the outstanding principal amount thereof;</w:t>
      </w:r>
    </w:p>
    <w:p>
      <w:pPr>
        <w:spacing w:after="0" w:line="184" w:lineRule="exact"/>
        <w:rPr>
          <w:rFonts w:ascii="Times New Roman" w:cs="Times New Roman" w:eastAsia="Times New Roman" w:hAnsi="Times New Roman"/>
          <w:sz w:val="20"/>
          <w:szCs w:val="20"/>
          <w:color w:val="231F20"/>
        </w:rPr>
      </w:pPr>
    </w:p>
    <w:p>
      <w:pPr>
        <w:jc w:val="both"/>
        <w:ind w:left="740" w:right="20" w:firstLine="746"/>
        <w:spacing w:after="0" w:line="244" w:lineRule="auto"/>
        <w:tabs>
          <w:tab w:leader="none" w:pos="2007" w:val="left"/>
        </w:tabs>
        <w:numPr>
          <w:ilvl w:val="0"/>
          <w:numId w:val="18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any Lien existing on any property or asset prior to the acquisition thereof (including by way of any Permitted Acquisition) by the Borrower or any Subsidiary or existing on any property or asset of any Person that becomes a Subsidiary after the Effective Date prior to the time such Person becomes a Subsidiary;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(i) such Lien is not created in contemplation of or in connection with such acquisition or such Person becoming a Subsidiary, as the case may be, (ii) such Lien shall not apply to any other property or assets of the Borrower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85" w:lineRule="exact"/>
        <w:rPr>
          <w:rFonts w:ascii="Times New Roman" w:cs="Times New Roman" w:eastAsia="Times New Roman" w:hAnsi="Times New Roman"/>
          <w:sz w:val="20"/>
          <w:szCs w:val="20"/>
          <w:color w:val="231F20"/>
        </w:rPr>
      </w:pPr>
    </w:p>
    <w:p>
      <w:pPr>
        <w:jc w:val="both"/>
        <w:ind w:left="740" w:firstLine="745"/>
        <w:spacing w:after="0" w:line="244" w:lineRule="auto"/>
        <w:tabs>
          <w:tab w:leader="none" w:pos="2008" w:val="left"/>
        </w:tabs>
        <w:numPr>
          <w:ilvl w:val="0"/>
          <w:numId w:val="18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Liens on fixed or capital assets (including any accessions, additions, parts, fixtures, improvements and attachments thereto and the proceeds thereof) acquired, constructed or improved by the Borrower or any Subsidiary; provided, that (i) such security interests secure Indebtedness permitted by </w:t>
      </w:r>
      <w:r>
        <w:rPr>
          <w:rFonts w:ascii="Times New Roman" w:cs="Times New Roman" w:eastAsia="Times New Roman" w:hAnsi="Times New Roman"/>
          <w:sz w:val="20"/>
          <w:szCs w:val="20"/>
          <w:u w:val="single" w:color="auto"/>
          <w:color w:val="231F20"/>
        </w:rPr>
        <w:t>clause (e)</w:t>
      </w:r>
      <w:r>
        <w:rPr>
          <w:rFonts w:ascii="Times New Roman" w:cs="Times New Roman" w:eastAsia="Times New Roman" w:hAnsi="Times New Roman"/>
          <w:sz w:val="20"/>
          <w:szCs w:val="20"/>
          <w:color w:val="231F20"/>
        </w:rPr>
        <w:t xml:space="preserve"> of </w:t>
      </w:r>
      <w:r>
        <w:rPr>
          <w:rFonts w:ascii="Times New Roman" w:cs="Times New Roman" w:eastAsia="Times New Roman" w:hAnsi="Times New Roman"/>
          <w:sz w:val="20"/>
          <w:szCs w:val="20"/>
          <w:u w:val="single" w:color="auto"/>
          <w:color w:val="231F20"/>
        </w:rPr>
        <w:t>Section 6.01</w:t>
      </w:r>
      <w:r>
        <w:rPr>
          <w:rFonts w:ascii="Times New Roman" w:cs="Times New Roman" w:eastAsia="Times New Roman" w:hAnsi="Times New Roman"/>
          <w:sz w:val="20"/>
          <w:szCs w:val="20"/>
          <w:color w:val="231F20"/>
        </w:rPr>
        <w:t>, (ii) such security interests and the Indebtedness secured thereby are incurred prior to or within ninety (90) days after such acquisition or the completion of such construction or improvement, (iii) the Indebtedness secured thereby does not exceed 110% of the cost of acquiring, constructing or improving such fixed or capital assets and (iv) such security interests shall not apply to any other property or assets of the Borrower or Subsidiary;</w:t>
      </w:r>
    </w:p>
    <w:p>
      <w:pPr>
        <w:spacing w:after="0" w:line="37" w:lineRule="exact"/>
        <w:rPr>
          <w:rFonts w:ascii="Times New Roman" w:cs="Times New Roman" w:eastAsia="Times New Roman" w:hAnsi="Times New Roman"/>
          <w:sz w:val="20"/>
          <w:szCs w:val="20"/>
          <w:color w:val="231F20"/>
        </w:rPr>
      </w:pPr>
    </w:p>
    <w:p>
      <w:pPr>
        <w:ind w:left="740" w:right="40" w:firstLine="745"/>
        <w:spacing w:after="0" w:line="269" w:lineRule="auto"/>
        <w:tabs>
          <w:tab w:leader="none" w:pos="2006" w:val="left"/>
        </w:tabs>
        <w:numPr>
          <w:ilvl w:val="0"/>
          <w:numId w:val="18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Liens of a collecting bank arising in the ordinary course of business under Section 4-208 of the Uniform Commercial Code in effect in the relevant jurisdiction covering only the items being collected upon;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27" w:name="page228"/>
    <w:bookmarkEnd w:id="227"/>
    <w:p>
      <w:pPr>
        <w:ind w:left="740" w:right="20" w:firstLine="745"/>
        <w:spacing w:after="0" w:line="269" w:lineRule="auto"/>
        <w:tabs>
          <w:tab w:leader="none" w:pos="2008" w:val="left"/>
        </w:tabs>
        <w:numPr>
          <w:ilvl w:val="0"/>
          <w:numId w:val="1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Liens granted by a Subsidiary that is not a Loan Party in favor of the Borrower or another Loan Party in respect of Indebtedness owed by such Subsidiary;</w:t>
      </w:r>
    </w:p>
    <w:p>
      <w:pPr>
        <w:spacing w:after="0" w:line="159"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0"/>
          <w:numId w:val="1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Liens arising by operation of law under Article 2 of the Uniform Commercial Code in favor of a reclaiming seller of goods or buyer of goods;</w:t>
      </w:r>
    </w:p>
    <w:p>
      <w:pPr>
        <w:spacing w:after="0" w:line="159" w:lineRule="exact"/>
        <w:rPr>
          <w:rFonts w:ascii="Times New Roman" w:cs="Times New Roman" w:eastAsia="Times New Roman" w:hAnsi="Times New Roman"/>
          <w:sz w:val="20"/>
          <w:szCs w:val="20"/>
          <w:color w:val="231F20"/>
        </w:rPr>
      </w:pPr>
    </w:p>
    <w:p>
      <w:pPr>
        <w:jc w:val="both"/>
        <w:ind w:left="740" w:firstLine="745"/>
        <w:spacing w:after="0" w:line="244" w:lineRule="auto"/>
        <w:tabs>
          <w:tab w:leader="none" w:pos="2008" w:val="left"/>
        </w:tabs>
        <w:numPr>
          <w:ilvl w:val="0"/>
          <w:numId w:val="1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broker’s Liens, bankers’ Liens, rights of setoff and other similar Liens existing solely with respect to cash and Cash Equivalents on deposit in one or more accounts maintained by the Borrower or any Subsidiary, in each case, granted in the ordinary course of business in favor of the bank or banks with which such accounts are maintained, including any such Liens or rights of setoff securing amounts owing in the ordinary course of business to such bank with respect to cash management and operating account arrangements, including those involving pooled accounts and netting arrangements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the aggregate amount of cash collateral under this clause (i) shall not exceed $3.0 million in the aggregate at any one time;</w:t>
      </w:r>
    </w:p>
    <w:p>
      <w:pPr>
        <w:spacing w:after="0" w:line="185" w:lineRule="exact"/>
        <w:rPr>
          <w:rFonts w:ascii="Times New Roman" w:cs="Times New Roman" w:eastAsia="Times New Roman" w:hAnsi="Times New Roman"/>
          <w:sz w:val="20"/>
          <w:szCs w:val="20"/>
          <w:color w:val="231F20"/>
        </w:rPr>
      </w:pPr>
    </w:p>
    <w:p>
      <w:pPr>
        <w:jc w:val="both"/>
        <w:ind w:left="740" w:right="40" w:firstLine="745"/>
        <w:spacing w:after="0" w:line="246" w:lineRule="auto"/>
        <w:tabs>
          <w:tab w:leader="none" w:pos="2006" w:val="left"/>
        </w:tabs>
        <w:numPr>
          <w:ilvl w:val="0"/>
          <w:numId w:val="1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non-exclusive licenses of intellectual property or an assignment of, the right to commercialize intellectual property (including the rights to make, have made, use, sell, offer for sale and import intellectual property and any associated goodwill) and other licenses, sub-licenses and other similar encumbrances incurred in the ordinary course of business that do not materially detract from the value of the property subject thereto or materially interfere with the ordinary conduct of the business of the Borrower or any Subsidiary;</w:t>
      </w:r>
    </w:p>
    <w:p>
      <w:pPr>
        <w:spacing w:after="0" w:line="184"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0"/>
          <w:numId w:val="1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Liens on assets of Foreign Subsidiaries to secure Indebtedness of such Foreign Subsidiaries permitted under </w:t>
      </w:r>
      <w:r>
        <w:rPr>
          <w:rFonts w:ascii="Times New Roman" w:cs="Times New Roman" w:eastAsia="Times New Roman" w:hAnsi="Times New Roman"/>
          <w:sz w:val="20"/>
          <w:szCs w:val="20"/>
          <w:u w:val="single" w:color="auto"/>
          <w:color w:val="231F20"/>
        </w:rPr>
        <w:t>Section 6.01(m)</w:t>
      </w:r>
      <w:r>
        <w:rPr>
          <w:rFonts w:ascii="Times New Roman" w:cs="Times New Roman" w:eastAsia="Times New Roman" w:hAnsi="Times New Roman"/>
          <w:sz w:val="20"/>
          <w:szCs w:val="20"/>
          <w:color w:val="231F20"/>
        </w:rPr>
        <w:t>;</w:t>
      </w:r>
    </w:p>
    <w:p>
      <w:pPr>
        <w:spacing w:after="0" w:line="159"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0"/>
          <w:numId w:val="1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Liens in the nature of the right of setoff in favor of counterparties to contractual agreements not otherwise prohibited hereunder with the Borrower or any other Subsidiary in the ordinary course of business;</w:t>
      </w:r>
    </w:p>
    <w:p>
      <w:pPr>
        <w:spacing w:after="0" w:line="159" w:lineRule="exact"/>
        <w:rPr>
          <w:rFonts w:ascii="Times New Roman" w:cs="Times New Roman" w:eastAsia="Times New Roman" w:hAnsi="Times New Roman"/>
          <w:sz w:val="20"/>
          <w:szCs w:val="20"/>
          <w:color w:val="231F20"/>
        </w:rPr>
      </w:pPr>
    </w:p>
    <w:p>
      <w:pPr>
        <w:jc w:val="both"/>
        <w:ind w:left="740" w:right="40" w:firstLine="745"/>
        <w:spacing w:after="0" w:line="254" w:lineRule="auto"/>
        <w:tabs>
          <w:tab w:leader="none" w:pos="2006" w:val="left"/>
        </w:tabs>
        <w:numPr>
          <w:ilvl w:val="0"/>
          <w:numId w:val="1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Liens on cash collateral to secure obligations of Borrower or any Subsidiary under any Swap Agreement (other than Swap Agreement Obligations) permitted under Section 6.06, so long as the aggregate amount of such cash collateral does not, as of any date of determination, exceed $3.0 million;</w:t>
      </w:r>
    </w:p>
    <w:p>
      <w:pPr>
        <w:spacing w:after="0" w:line="174" w:lineRule="exact"/>
        <w:rPr>
          <w:rFonts w:ascii="Times New Roman" w:cs="Times New Roman" w:eastAsia="Times New Roman" w:hAnsi="Times New Roman"/>
          <w:sz w:val="20"/>
          <w:szCs w:val="20"/>
          <w:color w:val="231F20"/>
        </w:rPr>
      </w:pPr>
    </w:p>
    <w:p>
      <w:pPr>
        <w:jc w:val="both"/>
        <w:ind w:left="740" w:right="40" w:firstLine="745"/>
        <w:spacing w:after="0" w:line="254" w:lineRule="auto"/>
        <w:tabs>
          <w:tab w:leader="none" w:pos="2006" w:val="left"/>
        </w:tabs>
        <w:numPr>
          <w:ilvl w:val="0"/>
          <w:numId w:val="1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Liens deemed to exist in connection with the sale or transfer of any assets in a transaction not prohibited hereunder, customary rights and restrictions contained in agreements relating to such sale or transfer pending the completion thereof;</w:t>
      </w:r>
    </w:p>
    <w:p>
      <w:pPr>
        <w:spacing w:after="0" w:line="174"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0"/>
          <w:numId w:val="1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Liens securing Indebtedness to finance insurance premiums owing in the ordinary course of business to the extent such financing is not prohibited hereunder;</w:t>
      </w:r>
    </w:p>
    <w:p>
      <w:pPr>
        <w:spacing w:after="0" w:line="159" w:lineRule="exact"/>
        <w:rPr>
          <w:rFonts w:ascii="Times New Roman" w:cs="Times New Roman" w:eastAsia="Times New Roman" w:hAnsi="Times New Roman"/>
          <w:sz w:val="20"/>
          <w:szCs w:val="20"/>
          <w:color w:val="231F20"/>
        </w:rPr>
      </w:pPr>
    </w:p>
    <w:p>
      <w:pPr>
        <w:ind w:left="740" w:right="40" w:firstLine="745"/>
        <w:spacing w:after="0" w:line="269" w:lineRule="auto"/>
        <w:tabs>
          <w:tab w:leader="none" w:pos="2006" w:val="left"/>
        </w:tabs>
        <w:numPr>
          <w:ilvl w:val="0"/>
          <w:numId w:val="1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Liens on cash or Cash Equivalents constituting earnest money deposits made by the Borrower or any Subsidiary in connection with any letter of intent or purchase agreement for a Permitted Acquisition;</w:t>
      </w:r>
    </w:p>
    <w:p>
      <w:pPr>
        <w:spacing w:after="0" w:line="159"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0"/>
          <w:numId w:val="1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Liens on cash of the Borrower and/or its Subsidiaries on deposit with any Cash Pooling Bank securing Cash Pooling Obligations and/or Cash Pooling Guaranty Obligations owed to such Cash Pooling Bank; and</w:t>
      </w:r>
    </w:p>
    <w:p>
      <w:pPr>
        <w:spacing w:after="0" w:line="10" w:lineRule="exact"/>
        <w:rPr>
          <w:rFonts w:ascii="Times New Roman" w:cs="Times New Roman" w:eastAsia="Times New Roman" w:hAnsi="Times New Roman"/>
          <w:sz w:val="20"/>
          <w:szCs w:val="20"/>
          <w:color w:val="231F20"/>
        </w:rPr>
      </w:pPr>
    </w:p>
    <w:p>
      <w:pPr>
        <w:ind w:left="2240" w:hanging="755"/>
        <w:spacing w:after="0"/>
        <w:tabs>
          <w:tab w:leader="none" w:pos="2240" w:val="left"/>
        </w:tabs>
        <w:numPr>
          <w:ilvl w:val="0"/>
          <w:numId w:val="1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other Liens </w:t>
      </w:r>
      <w:r>
        <w:rPr>
          <w:rFonts w:ascii="Times New Roman" w:cs="Times New Roman" w:eastAsia="Times New Roman" w:hAnsi="Times New Roman"/>
          <w:sz w:val="20"/>
          <w:szCs w:val="20"/>
          <w:u w:val="single" w:color="auto"/>
          <w:color w:val="2251A3"/>
        </w:rPr>
        <w:t>securing obligations</w:t>
      </w:r>
      <w:r>
        <w:rPr>
          <w:rFonts w:ascii="Times New Roman" w:cs="Times New Roman" w:eastAsia="Times New Roman" w:hAnsi="Times New Roman"/>
          <w:sz w:val="20"/>
          <w:szCs w:val="20"/>
          <w:color w:val="231F20"/>
        </w:rPr>
        <w:t xml:space="preserve"> in an aggregate amount not exceeding </w:t>
      </w:r>
      <w:r>
        <w:rPr>
          <w:rFonts w:ascii="Times New Roman" w:cs="Times New Roman" w:eastAsia="Times New Roman" w:hAnsi="Times New Roman"/>
          <w:sz w:val="20"/>
          <w:szCs w:val="20"/>
          <w:u w:val="single" w:color="auto"/>
          <w:color w:val="2251A3"/>
        </w:rPr>
        <w:t>the greater of (i)</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40" w:right="719" w:bottom="1440" w:gutter="0" w:footer="0" w:header="0"/>
        </w:sectPr>
      </w:pPr>
    </w:p>
    <w:bookmarkStart w:id="228" w:name="page229"/>
    <w:bookmarkEnd w:id="228"/>
    <w:p>
      <w:pPr>
        <w:ind w:left="740"/>
        <w:spacing w:after="0" w:line="269"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ED1C24"/>
          <w:strike w:val="1"/>
        </w:rPr>
        <w:t>10.0</w:t>
      </w:r>
      <w:r>
        <w:rPr>
          <w:rFonts w:ascii="Times New Roman" w:cs="Times New Roman" w:eastAsia="Times New Roman" w:hAnsi="Times New Roman"/>
          <w:sz w:val="20"/>
          <w:szCs w:val="20"/>
          <w:u w:val="single" w:color="auto"/>
          <w:color w:val="2251A3"/>
        </w:rPr>
        <w:t>20.0</w:t>
      </w:r>
      <w:r>
        <w:rPr>
          <w:rFonts w:ascii="Times New Roman" w:cs="Times New Roman" w:eastAsia="Times New Roman" w:hAnsi="Times New Roman"/>
          <w:sz w:val="20"/>
          <w:szCs w:val="20"/>
          <w:color w:val="231F20"/>
        </w:rPr>
        <w:t xml:space="preserve"> million </w:t>
      </w:r>
      <w:r>
        <w:rPr>
          <w:rFonts w:ascii="Times New Roman" w:cs="Times New Roman" w:eastAsia="Times New Roman" w:hAnsi="Times New Roman"/>
          <w:sz w:val="20"/>
          <w:szCs w:val="20"/>
          <w:color w:val="ED1C24"/>
          <w:strike w:val="1"/>
        </w:rPr>
        <w:t>at any time outstanding</w:t>
      </w:r>
      <w:r>
        <w:rPr>
          <w:rFonts w:ascii="Times New Roman" w:cs="Times New Roman" w:eastAsia="Times New Roman" w:hAnsi="Times New Roman"/>
          <w:sz w:val="20"/>
          <w:szCs w:val="20"/>
          <w:u w:val="single" w:color="auto"/>
          <w:color w:val="2251A3"/>
        </w:rPr>
        <w:t>and (ii) 20% of Consolidated Adjusted EBITDA for the most recently ended Reference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Period</w:t>
      </w:r>
      <w:r>
        <w:rPr>
          <w:rFonts w:ascii="Times New Roman" w:cs="Times New Roman" w:eastAsia="Times New Roman" w:hAnsi="Times New Roman"/>
          <w:sz w:val="20"/>
          <w:szCs w:val="20"/>
          <w:color w:val="231F20"/>
        </w:rPr>
        <w:t>.</w:t>
      </w:r>
    </w:p>
    <w:p>
      <w:pPr>
        <w:spacing w:after="0" w:line="159" w:lineRule="exact"/>
        <w:rPr>
          <w:sz w:val="20"/>
          <w:szCs w:val="20"/>
          <w:color w:val="auto"/>
        </w:rPr>
      </w:pPr>
    </w:p>
    <w:p>
      <w:pPr>
        <w:ind w:left="740" w:right="220"/>
        <w:spacing w:after="0" w:line="269" w:lineRule="auto"/>
        <w:rPr>
          <w:sz w:val="20"/>
          <w:szCs w:val="20"/>
          <w:color w:val="auto"/>
        </w:rPr>
      </w:pPr>
      <w:r>
        <w:rPr>
          <w:rFonts w:ascii="Times New Roman" w:cs="Times New Roman" w:eastAsia="Times New Roman" w:hAnsi="Times New Roman"/>
          <w:sz w:val="20"/>
          <w:szCs w:val="20"/>
          <w:color w:val="231F20"/>
        </w:rPr>
        <w:t>Notwithstanding anything herein to the contrary, neither the Borrower nor any of its Subsidiaries shall permit any consensual Lien in respect of any of its owned real property other than the Liens securing the Secured Obligations.</w:t>
      </w:r>
    </w:p>
    <w:p>
      <w:pPr>
        <w:spacing w:after="0" w:line="159"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6.03</w:t>
      </w:r>
      <w:r>
        <w:rPr>
          <w:sz w:val="20"/>
          <w:szCs w:val="20"/>
          <w:color w:val="auto"/>
        </w:rPr>
        <w:tab/>
      </w:r>
      <w:r>
        <w:rPr>
          <w:rFonts w:ascii="Times New Roman" w:cs="Times New Roman" w:eastAsia="Times New Roman" w:hAnsi="Times New Roman"/>
          <w:sz w:val="19"/>
          <w:szCs w:val="19"/>
          <w:u w:val="single" w:color="auto"/>
          <w:color w:val="231F20"/>
        </w:rPr>
        <w:t>Fundamental Changes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160" w:firstLine="745"/>
        <w:spacing w:after="0"/>
        <w:tabs>
          <w:tab w:leader="none" w:pos="2008" w:val="left"/>
        </w:tabs>
        <w:numPr>
          <w:ilvl w:val="0"/>
          <w:numId w:val="18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No Loan Party will, nor will it permit any Subsidiary to, merge into or consolidate with any other Person, or permit any other Person to merge into or consolidate with it, consummate a Division as the Dividing Person, or otherwise sell, transfer, lease or otherwise dispose of (in one transaction or in a series of transactions)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any Subsidiary of the Borrower may merge into the Borrower in a transaction in which the Borrower is the surviving corporation, (ii) any Subsidiary may merge into any Loan Party in a transaction in which the surviving entity is a Loan Party, (iii) any Person may merge into any Loan Party or any of its Subsidiaries in connection with a Permitted Acquisition or any Investment permitted under </w:t>
      </w:r>
      <w:r>
        <w:rPr>
          <w:rFonts w:ascii="Times New Roman" w:cs="Times New Roman" w:eastAsia="Times New Roman" w:hAnsi="Times New Roman"/>
          <w:sz w:val="20"/>
          <w:szCs w:val="20"/>
          <w:u w:val="single" w:color="auto"/>
          <w:color w:val="231F20"/>
        </w:rPr>
        <w:t>Section 6.04</w:t>
      </w:r>
      <w:r>
        <w:rPr>
          <w:rFonts w:ascii="Times New Roman" w:cs="Times New Roman" w:eastAsia="Times New Roman" w:hAnsi="Times New Roman"/>
          <w:sz w:val="20"/>
          <w:szCs w:val="20"/>
          <w:color w:val="231F20"/>
        </w:rPr>
        <w:t xml:space="preserve"> so long as, in the case of a merger involving any Loan Party, such Loan Party is the surviving entity (or the surviving entity becomes a Loan Party in accordance with this Agreement), (iv) the Borrower or any Subsidiary may sell, transfer, lease or otherwise dispose of its assets to the Borrower or to a Loan Party, (v) any Subsidiary that is not a Loan Party may merge into any other Subsidiary that is not a Loan Party, (vi) any Subsidiary that is a Loan Party may consummate a Division as the Dividing Person if, immediately upon the consummation of the Division, the assets of the applicable Dividing Person are held by one or more Loan Parties at such time and the applicable parties shall have complied with the obligations set forth in </w:t>
      </w:r>
      <w:r>
        <w:rPr>
          <w:rFonts w:ascii="Times New Roman" w:cs="Times New Roman" w:eastAsia="Times New Roman" w:hAnsi="Times New Roman"/>
          <w:sz w:val="20"/>
          <w:szCs w:val="20"/>
          <w:u w:val="single" w:color="auto"/>
          <w:color w:val="231F20"/>
        </w:rPr>
        <w:t>Section 5.09</w:t>
      </w:r>
      <w:r>
        <w:rPr>
          <w:rFonts w:ascii="Times New Roman" w:cs="Times New Roman" w:eastAsia="Times New Roman" w:hAnsi="Times New Roman"/>
          <w:sz w:val="20"/>
          <w:szCs w:val="20"/>
          <w:color w:val="231F20"/>
        </w:rPr>
        <w:t xml:space="preserve"> and each of the other further assurances obligations set forth in the Loan Documents and (vii) any Subsidiary may liquidate or dissolve if the Borrower reasonably determines in good faith that such liquidation or dissolution is in the best interests of the Borrower and its Subsidiaries, and is not materially disadvantageous to the Lenders and, in the case of a Loan Party, its assets are transferred to another Loan Party;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any such merger involving a Person that is not a wholly owned Subsidiary immediately prior to such merger shall not be permitted unless also permitted by </w:t>
      </w:r>
      <w:r>
        <w:rPr>
          <w:rFonts w:ascii="Times New Roman" w:cs="Times New Roman" w:eastAsia="Times New Roman" w:hAnsi="Times New Roman"/>
          <w:sz w:val="20"/>
          <w:szCs w:val="20"/>
          <w:u w:val="single" w:color="auto"/>
          <w:color w:val="231F20"/>
        </w:rPr>
        <w:t>Section 6.04</w:t>
      </w:r>
      <w:r>
        <w:rPr>
          <w:rFonts w:ascii="Times New Roman" w:cs="Times New Roman" w:eastAsia="Times New Roman" w:hAnsi="Times New Roman"/>
          <w:sz w:val="20"/>
          <w:szCs w:val="20"/>
          <w:color w:val="231F20"/>
        </w:rPr>
        <w:t xml:space="preserve">. Notwithstanding the foregoing, any Disposition permitted by </w:t>
      </w:r>
      <w:r>
        <w:rPr>
          <w:rFonts w:ascii="Times New Roman" w:cs="Times New Roman" w:eastAsia="Times New Roman" w:hAnsi="Times New Roman"/>
          <w:sz w:val="20"/>
          <w:szCs w:val="20"/>
          <w:u w:val="single" w:color="auto"/>
          <w:color w:val="231F20"/>
        </w:rPr>
        <w:t>Section 6.05</w:t>
      </w:r>
      <w:r>
        <w:rPr>
          <w:rFonts w:ascii="Times New Roman" w:cs="Times New Roman" w:eastAsia="Times New Roman" w:hAnsi="Times New Roman"/>
          <w:sz w:val="20"/>
          <w:szCs w:val="20"/>
          <w:color w:val="231F20"/>
        </w:rPr>
        <w:t xml:space="preserve"> shall be permitted under this </w:t>
      </w:r>
      <w:r>
        <w:rPr>
          <w:rFonts w:ascii="Times New Roman" w:cs="Times New Roman" w:eastAsia="Times New Roman" w:hAnsi="Times New Roman"/>
          <w:sz w:val="20"/>
          <w:szCs w:val="20"/>
          <w:u w:val="single" w:color="auto"/>
          <w:color w:val="231F20"/>
        </w:rPr>
        <w:t>Section 6.03</w:t>
      </w:r>
      <w:r>
        <w:rPr>
          <w:rFonts w:ascii="Times New Roman" w:cs="Times New Roman" w:eastAsia="Times New Roman" w:hAnsi="Times New Roman"/>
          <w:sz w:val="20"/>
          <w:szCs w:val="20"/>
          <w:color w:val="231F20"/>
        </w:rPr>
        <w:t xml:space="preserve"> (including any Disposition by way of merger or consolidation of a Subsidiary into another Person).</w:t>
      </w:r>
    </w:p>
    <w:p>
      <w:pPr>
        <w:spacing w:after="0" w:line="205" w:lineRule="exact"/>
        <w:rPr>
          <w:sz w:val="20"/>
          <w:szCs w:val="20"/>
          <w:color w:val="auto"/>
        </w:rPr>
      </w:pPr>
    </w:p>
    <w:p>
      <w:pPr>
        <w:jc w:val="both"/>
        <w:ind w:left="740" w:right="200" w:firstLine="749"/>
        <w:spacing w:after="0" w:line="244" w:lineRule="auto"/>
        <w:rPr>
          <w:sz w:val="20"/>
          <w:szCs w:val="20"/>
          <w:color w:val="auto"/>
        </w:rPr>
      </w:pPr>
      <w:r>
        <w:rPr>
          <w:rFonts w:ascii="Times New Roman" w:cs="Times New Roman" w:eastAsia="Times New Roman" w:hAnsi="Times New Roman"/>
          <w:sz w:val="20"/>
          <w:szCs w:val="20"/>
          <w:color w:val="231F20"/>
        </w:rPr>
        <w:t xml:space="preserve">Notwithstanding anything to the contrary in the foregoing, each Loan Party and each of its Subsidiaries shall be permitted to enter into an agreement to effect any transaction of merger or consolidation that is not otherwise permitted under this </w:t>
      </w:r>
      <w:r>
        <w:rPr>
          <w:rFonts w:ascii="Times New Roman" w:cs="Times New Roman" w:eastAsia="Times New Roman" w:hAnsi="Times New Roman"/>
          <w:sz w:val="20"/>
          <w:szCs w:val="20"/>
          <w:u w:val="single" w:color="auto"/>
          <w:color w:val="231F20"/>
        </w:rPr>
        <w:t>Section 6.03</w:t>
      </w:r>
      <w:r>
        <w:rPr>
          <w:rFonts w:ascii="Times New Roman" w:cs="Times New Roman" w:eastAsia="Times New Roman" w:hAnsi="Times New Roman"/>
          <w:sz w:val="20"/>
          <w:szCs w:val="20"/>
          <w:color w:val="231F20"/>
        </w:rPr>
        <w:t xml:space="preserve"> at a future time;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such agreement shall be conditioned on (i) obtaining requisite approvals permitting the respective transaction (and any related financing or other transactions) in accordance with the requirements of </w:t>
      </w:r>
      <w:r>
        <w:rPr>
          <w:rFonts w:ascii="Times New Roman" w:cs="Times New Roman" w:eastAsia="Times New Roman" w:hAnsi="Times New Roman"/>
          <w:sz w:val="20"/>
          <w:szCs w:val="20"/>
          <w:u w:val="single" w:color="auto"/>
          <w:color w:val="231F20"/>
        </w:rPr>
        <w:t>Section 9.02</w:t>
      </w:r>
      <w:r>
        <w:rPr>
          <w:rFonts w:ascii="Times New Roman" w:cs="Times New Roman" w:eastAsia="Times New Roman" w:hAnsi="Times New Roman"/>
          <w:sz w:val="20"/>
          <w:szCs w:val="20"/>
          <w:color w:val="231F20"/>
        </w:rPr>
        <w:t xml:space="preserve"> or</w:t>
      </w:r>
    </w:p>
    <w:p>
      <w:pPr>
        <w:ind w:left="1020" w:hanging="283"/>
        <w:spacing w:after="0"/>
        <w:tabs>
          <w:tab w:leader="none" w:pos="1020" w:val="left"/>
        </w:tabs>
        <w:numPr>
          <w:ilvl w:val="0"/>
          <w:numId w:val="1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Payment in Full.</w:t>
      </w:r>
    </w:p>
    <w:p>
      <w:pPr>
        <w:spacing w:after="0" w:line="193" w:lineRule="exact"/>
        <w:rPr>
          <w:rFonts w:ascii="Times New Roman" w:cs="Times New Roman" w:eastAsia="Times New Roman" w:hAnsi="Times New Roman"/>
          <w:sz w:val="20"/>
          <w:szCs w:val="20"/>
          <w:color w:val="231F20"/>
        </w:rPr>
      </w:pPr>
    </w:p>
    <w:p>
      <w:pPr>
        <w:jc w:val="both"/>
        <w:ind w:left="740" w:right="200" w:firstLine="745"/>
        <w:spacing w:after="0" w:line="249" w:lineRule="auto"/>
        <w:tabs>
          <w:tab w:leader="none" w:pos="2006" w:val="left"/>
        </w:tabs>
        <w:numPr>
          <w:ilvl w:val="1"/>
          <w:numId w:val="1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Loan Party will, nor will it permit any of its Subsidiaries to, engage to any material extent in any business other than businesses of the type conducted by the Borrower and its Subsidiaries on the date of execution of this Agreement and businesses which are, in the good faith judgment of the Borrower, similar, complementary or substantially related thereto or are reasonable extensions thereof.</w:t>
      </w:r>
    </w:p>
    <w:p>
      <w:pPr>
        <w:spacing w:after="0" w:line="180" w:lineRule="exact"/>
        <w:rPr>
          <w:sz w:val="20"/>
          <w:szCs w:val="20"/>
          <w:color w:val="auto"/>
        </w:rPr>
      </w:pPr>
    </w:p>
    <w:p>
      <w:pPr>
        <w:jc w:val="both"/>
        <w:ind w:left="740" w:right="220" w:firstLine="749"/>
        <w:spacing w:after="0" w:line="254" w:lineRule="auto"/>
        <w:rPr>
          <w:sz w:val="20"/>
          <w:szCs w:val="20"/>
          <w:color w:val="auto"/>
        </w:rPr>
      </w:pPr>
      <w:r>
        <w:rPr>
          <w:rFonts w:ascii="Times New Roman" w:cs="Times New Roman" w:eastAsia="Times New Roman" w:hAnsi="Times New Roman"/>
          <w:sz w:val="20"/>
          <w:szCs w:val="20"/>
          <w:color w:val="231F20"/>
        </w:rPr>
        <w:t xml:space="preserve">SECTION 6.04 </w:t>
      </w:r>
      <w:r>
        <w:rPr>
          <w:rFonts w:ascii="Times New Roman" w:cs="Times New Roman" w:eastAsia="Times New Roman" w:hAnsi="Times New Roman"/>
          <w:sz w:val="20"/>
          <w:szCs w:val="20"/>
          <w:u w:val="single" w:color="auto"/>
          <w:color w:val="231F20"/>
        </w:rPr>
        <w:t>Investments, Loans, Advances, Guarantees and Acquisitions</w:t>
      </w:r>
      <w:r>
        <w:rPr>
          <w:rFonts w:ascii="Times New Roman" w:cs="Times New Roman" w:eastAsia="Times New Roman" w:hAnsi="Times New Roman"/>
          <w:sz w:val="20"/>
          <w:szCs w:val="20"/>
          <w:color w:val="231F20"/>
        </w:rPr>
        <w:t>. No Loan Party will, nor will it permit any Subsidiary to, purchase, hold or acquire (including pursuant to any merger with any Person that was not a Loan Party and a wholly owned Subsidiary prior to such merger) 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224" w:right="559" w:bottom="1440" w:gutter="0" w:footer="0" w:header="0"/>
        </w:sectPr>
      </w:pPr>
    </w:p>
    <w:bookmarkStart w:id="229" w:name="page230"/>
    <w:bookmarkEnd w:id="229"/>
    <w:p>
      <w:pPr>
        <w:jc w:val="both"/>
        <w:ind w:left="740" w:right="40"/>
        <w:spacing w:after="0" w:line="249" w:lineRule="auto"/>
        <w:rPr>
          <w:sz w:val="20"/>
          <w:szCs w:val="20"/>
          <w:color w:val="auto"/>
        </w:rPr>
      </w:pPr>
      <w:r>
        <w:rPr>
          <w:rFonts w:ascii="Times New Roman" w:cs="Times New Roman" w:eastAsia="Times New Roman" w:hAnsi="Times New Roman"/>
          <w:sz w:val="20"/>
          <w:szCs w:val="20"/>
          <w:color w:val="231F20"/>
        </w:rPr>
        <w:t>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(each such action, an “</w:t>
      </w:r>
      <w:r>
        <w:rPr>
          <w:rFonts w:ascii="Times New Roman" w:cs="Times New Roman" w:eastAsia="Times New Roman" w:hAnsi="Times New Roman"/>
          <w:sz w:val="20"/>
          <w:szCs w:val="20"/>
          <w:u w:val="single" w:color="auto"/>
          <w:color w:val="231F20"/>
        </w:rPr>
        <w:t>Investment</w:t>
      </w:r>
      <w:r>
        <w:rPr>
          <w:rFonts w:ascii="Times New Roman" w:cs="Times New Roman" w:eastAsia="Times New Roman" w:hAnsi="Times New Roman"/>
          <w:sz w:val="20"/>
          <w:szCs w:val="20"/>
          <w:color w:val="231F20"/>
        </w:rPr>
        <w:t>”), except:</w:t>
      </w:r>
    </w:p>
    <w:p>
      <w:pPr>
        <w:spacing w:after="0" w:line="180" w:lineRule="exact"/>
        <w:rPr>
          <w:sz w:val="20"/>
          <w:szCs w:val="20"/>
          <w:color w:val="auto"/>
        </w:rPr>
      </w:pPr>
    </w:p>
    <w:p>
      <w:pPr>
        <w:ind w:left="2240" w:hanging="755"/>
        <w:spacing w:after="0"/>
        <w:tabs>
          <w:tab w:leader="none" w:pos="2240" w:val="left"/>
        </w:tabs>
        <w:numPr>
          <w:ilvl w:val="0"/>
          <w:numId w:val="18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investments in cash and Cash Equivalents;</w:t>
      </w:r>
    </w:p>
    <w:p>
      <w:pPr>
        <w:spacing w:after="0" w:line="215" w:lineRule="exact"/>
        <w:rPr>
          <w:rFonts w:ascii="Times New Roman" w:cs="Times New Roman" w:eastAsia="Times New Roman" w:hAnsi="Times New Roman"/>
          <w:sz w:val="20"/>
          <w:szCs w:val="20"/>
          <w:color w:val="231F20"/>
        </w:rPr>
      </w:pPr>
    </w:p>
    <w:p>
      <w:pPr>
        <w:jc w:val="both"/>
        <w:ind w:left="740" w:firstLine="745"/>
        <w:spacing w:after="0" w:line="254" w:lineRule="auto"/>
        <w:tabs>
          <w:tab w:leader="none" w:pos="2008" w:val="left"/>
        </w:tabs>
        <w:numPr>
          <w:ilvl w:val="0"/>
          <w:numId w:val="18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investments in existence on the date of this Agreement and described in </w:t>
      </w:r>
      <w:r>
        <w:rPr>
          <w:rFonts w:ascii="Times New Roman" w:cs="Times New Roman" w:eastAsia="Times New Roman" w:hAnsi="Times New Roman"/>
          <w:sz w:val="20"/>
          <w:szCs w:val="20"/>
          <w:u w:val="single" w:color="auto"/>
          <w:color w:val="231F20"/>
        </w:rPr>
        <w:t>Schedule 6.04</w:t>
      </w:r>
      <w:r>
        <w:rPr>
          <w:rFonts w:ascii="Times New Roman" w:cs="Times New Roman" w:eastAsia="Times New Roman" w:hAnsi="Times New Roman"/>
          <w:sz w:val="20"/>
          <w:szCs w:val="20"/>
          <w:color w:val="231F20"/>
        </w:rPr>
        <w:t xml:space="preserve"> and any modification, replacement, renewal, reinvestment or extension thereof; provided, that the amount of the original Investment is not increased except by the terms of such Investment or as otherwise permitted by this </w:t>
      </w:r>
      <w:r>
        <w:rPr>
          <w:rFonts w:ascii="Times New Roman" w:cs="Times New Roman" w:eastAsia="Times New Roman" w:hAnsi="Times New Roman"/>
          <w:sz w:val="20"/>
          <w:szCs w:val="20"/>
          <w:u w:val="single" w:color="auto"/>
          <w:color w:val="231F20"/>
        </w:rPr>
        <w:t>Section 6.04</w:t>
      </w:r>
      <w:r>
        <w:rPr>
          <w:rFonts w:ascii="Times New Roman" w:cs="Times New Roman" w:eastAsia="Times New Roman" w:hAnsi="Times New Roman"/>
          <w:sz w:val="20"/>
          <w:szCs w:val="20"/>
          <w:color w:val="231F20"/>
        </w:rPr>
        <w:t>;</w:t>
      </w:r>
    </w:p>
    <w:p>
      <w:pPr>
        <w:spacing w:after="0" w:line="174" w:lineRule="exact"/>
        <w:rPr>
          <w:rFonts w:ascii="Times New Roman" w:cs="Times New Roman" w:eastAsia="Times New Roman" w:hAnsi="Times New Roman"/>
          <w:sz w:val="20"/>
          <w:szCs w:val="20"/>
          <w:color w:val="231F20"/>
        </w:rPr>
      </w:pPr>
    </w:p>
    <w:p>
      <w:pPr>
        <w:ind w:left="2240" w:hanging="755"/>
        <w:spacing w:after="0"/>
        <w:tabs>
          <w:tab w:leader="none" w:pos="2240" w:val="left"/>
        </w:tabs>
        <w:numPr>
          <w:ilvl w:val="0"/>
          <w:numId w:val="189"/>
        </w:numPr>
        <w:rPr>
          <w:rFonts w:ascii="Times New Roman" w:cs="Times New Roman" w:eastAsia="Times New Roman" w:hAnsi="Times New Roman"/>
          <w:sz w:val="20"/>
          <w:szCs w:val="20"/>
          <w:color w:val="2251A3"/>
        </w:rPr>
      </w:pPr>
      <w:r>
        <w:rPr>
          <w:rFonts w:ascii="Times New Roman" w:cs="Times New Roman" w:eastAsia="Times New Roman" w:hAnsi="Times New Roman"/>
          <w:sz w:val="20"/>
          <w:szCs w:val="20"/>
          <w:u w:val="single" w:color="auto"/>
          <w:color w:val="2251A3"/>
        </w:rPr>
        <w:t>[reserved];</w:t>
      </w:r>
    </w:p>
    <w:p>
      <w:pPr>
        <w:spacing w:after="0" w:line="216" w:lineRule="exact"/>
        <w:rPr>
          <w:sz w:val="20"/>
          <w:szCs w:val="20"/>
          <w:color w:val="auto"/>
        </w:rPr>
      </w:pPr>
    </w:p>
    <w:p>
      <w:pPr>
        <w:ind w:left="740" w:right="20" w:firstLine="749"/>
        <w:spacing w:after="0" w:line="242"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ED1C24"/>
          <w:strike w:val="1"/>
        </w:rPr>
        <w:t>c</w:t>
      </w:r>
      <w:r>
        <w:rPr>
          <w:rFonts w:ascii="Times New Roman" w:cs="Times New Roman" w:eastAsia="Times New Roman" w:hAnsi="Times New Roman"/>
          <w:sz w:val="20"/>
          <w:szCs w:val="20"/>
          <w:u w:val="single" w:color="auto"/>
          <w:color w:val="2251A3"/>
        </w:rPr>
        <w:t>d</w:t>
      </w:r>
      <w:r>
        <w:rPr>
          <w:rFonts w:ascii="Times New Roman" w:cs="Times New Roman" w:eastAsia="Times New Roman" w:hAnsi="Times New Roman"/>
          <w:sz w:val="20"/>
          <w:szCs w:val="20"/>
          <w:color w:val="231F20"/>
        </w:rPr>
        <w:t>) investments</w:t>
      </w:r>
      <w:r>
        <w:rPr>
          <w:rFonts w:ascii="Times New Roman" w:cs="Times New Roman" w:eastAsia="Times New Roman" w:hAnsi="Times New Roman"/>
          <w:sz w:val="20"/>
          <w:szCs w:val="20"/>
          <w:u w:val="single" w:color="auto"/>
          <w:color w:val="2251A3"/>
        </w:rPr>
        <w:t>, loans or advances made</w:t>
      </w:r>
      <w:r>
        <w:rPr>
          <w:rFonts w:ascii="Times New Roman" w:cs="Times New Roman" w:eastAsia="Times New Roman" w:hAnsi="Times New Roman"/>
          <w:sz w:val="20"/>
          <w:szCs w:val="20"/>
          <w:color w:val="231F20"/>
        </w:rPr>
        <w:t xml:space="preserve"> by the Borrower </w:t>
      </w:r>
      <w:r>
        <w:rPr>
          <w:rFonts w:ascii="Times New Roman" w:cs="Times New Roman" w:eastAsia="Times New Roman" w:hAnsi="Times New Roman"/>
          <w:sz w:val="20"/>
          <w:szCs w:val="20"/>
          <w:color w:val="ED1C24"/>
          <w:strike w:val="1"/>
        </w:rPr>
        <w:t>and</w:t>
      </w:r>
      <w:r>
        <w:rPr>
          <w:rFonts w:ascii="Times New Roman" w:cs="Times New Roman" w:eastAsia="Times New Roman" w:hAnsi="Times New Roman"/>
          <w:sz w:val="20"/>
          <w:szCs w:val="20"/>
          <w:u w:val="single" w:color="auto"/>
          <w:color w:val="2251A3"/>
        </w:rPr>
        <w:t>or any of</w:t>
      </w:r>
      <w:r>
        <w:rPr>
          <w:rFonts w:ascii="Times New Roman" w:cs="Times New Roman" w:eastAsia="Times New Roman" w:hAnsi="Times New Roman"/>
          <w:sz w:val="20"/>
          <w:szCs w:val="20"/>
          <w:color w:val="231F20"/>
        </w:rPr>
        <w:t xml:space="preserve"> its Subsidiaries in the </w:t>
      </w:r>
      <w:r>
        <w:rPr>
          <w:rFonts w:ascii="Times New Roman" w:cs="Times New Roman" w:eastAsia="Times New Roman" w:hAnsi="Times New Roman"/>
          <w:sz w:val="20"/>
          <w:szCs w:val="20"/>
          <w:color w:val="ED1C24"/>
          <w:strike w:val="1"/>
        </w:rPr>
        <w:t>capital stock of their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ED1C24"/>
          <w:strike w:val="1"/>
        </w:rPr>
        <w:t>respective Subsidiaries</w:t>
      </w:r>
      <w:r>
        <w:rPr>
          <w:rFonts w:ascii="Times New Roman" w:cs="Times New Roman" w:eastAsia="Times New Roman" w:hAnsi="Times New Roman"/>
          <w:sz w:val="20"/>
          <w:szCs w:val="20"/>
          <w:u w:val="single" w:color="auto"/>
          <w:color w:val="2251A3"/>
        </w:rPr>
        <w:t>Borrower or any other Subsidiary</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the aggregate amount of</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u w:val="single" w:color="auto"/>
          <w:color w:val="2251A3"/>
        </w:rPr>
        <w:t>all such</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231F20"/>
        </w:rPr>
        <w:t>investments</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ED1C24"/>
          <w:strike w:val="1"/>
        </w:rPr>
        <w:t>(together</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ED1C24"/>
          <w:strike w:val="1"/>
        </w:rPr>
        <w:t>with the aggregate amount of</w:t>
      </w:r>
      <w:r>
        <w:rPr>
          <w:rFonts w:ascii="Times New Roman" w:cs="Times New Roman" w:eastAsia="Times New Roman" w:hAnsi="Times New Roman"/>
          <w:sz w:val="20"/>
          <w:szCs w:val="20"/>
          <w:color w:val="2251A3"/>
        </w:rPr>
        <w:t>,</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231F20"/>
        </w:rPr>
        <w:t>loans</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ED1C24"/>
          <w:strike w:val="1"/>
        </w:rPr>
        <w:t>and</w:t>
      </w:r>
      <w:r>
        <w:rPr>
          <w:rFonts w:ascii="Times New Roman" w:cs="Times New Roman" w:eastAsia="Times New Roman" w:hAnsi="Times New Roman"/>
          <w:sz w:val="20"/>
          <w:szCs w:val="20"/>
          <w:u w:val="single" w:color="auto"/>
          <w:color w:val="2251A3"/>
        </w:rPr>
        <w:t>or</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231F20"/>
        </w:rPr>
        <w:t>advances</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ED1C24"/>
          <w:strike w:val="1"/>
        </w:rPr>
        <w:t>described in</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u w:val="single" w:color="auto"/>
          <w:color w:val="ED1C24"/>
          <w:strike w:val="1"/>
        </w:rPr>
        <w:t>Section 6.04(d)</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231F20"/>
        </w:rPr>
        <w:t>(excluding any amounts relating to the</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231F20"/>
        </w:rPr>
        <w:t xml:space="preserve">processing of payments on the Borrower’s and its Subsidiaries’ payments platform and any intercompany accounts payable in connection therewith) </w:t>
      </w:r>
      <w:r>
        <w:rPr>
          <w:rFonts w:ascii="Times New Roman" w:cs="Times New Roman" w:eastAsia="Times New Roman" w:hAnsi="Times New Roman"/>
          <w:sz w:val="20"/>
          <w:szCs w:val="20"/>
          <w:color w:val="ED1C24"/>
          <w:strike w:val="1"/>
        </w:rPr>
        <w:t>and amounts described in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ED1C24"/>
          <w:strike w:val="1"/>
        </w:rPr>
        <w:t>Section 6.04(l)(iv)</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ED1C24"/>
          <w:strike w:val="1"/>
        </w:rPr>
        <w:t>or in</w:t>
      </w:r>
      <w:r>
        <w:rPr>
          <w:rFonts w:ascii="Times New Roman" w:cs="Times New Roman" w:eastAsia="Times New Roman" w:hAnsi="Times New Roman"/>
          <w:sz w:val="20"/>
          <w:szCs w:val="20"/>
          <w:u w:val="single" w:color="auto"/>
          <w:color w:val="2251A3"/>
        </w:rPr>
        <w:t>pursuant to this</w:t>
      </w:r>
      <w:r>
        <w:rPr>
          <w:rFonts w:ascii="Times New Roman" w:cs="Times New Roman" w:eastAsia="Times New Roman" w:hAnsi="Times New Roman"/>
          <w:sz w:val="20"/>
          <w:szCs w:val="20"/>
          <w:color w:val="231F20"/>
        </w:rPr>
        <w:t xml:space="preserve"> clause (</w:t>
      </w:r>
      <w:r>
        <w:rPr>
          <w:rFonts w:ascii="Times New Roman" w:cs="Times New Roman" w:eastAsia="Times New Roman" w:hAnsi="Times New Roman"/>
          <w:sz w:val="20"/>
          <w:szCs w:val="20"/>
          <w:color w:val="ED1C24"/>
          <w:strike w:val="1"/>
        </w:rPr>
        <w:t>h</w:t>
      </w:r>
      <w:r>
        <w:rPr>
          <w:rFonts w:ascii="Times New Roman" w:cs="Times New Roman" w:eastAsia="Times New Roman" w:hAnsi="Times New Roman"/>
          <w:sz w:val="20"/>
          <w:szCs w:val="20"/>
          <w:color w:val="2251A3"/>
        </w:rPr>
        <w:t>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ED1C24"/>
          <w:strike w:val="1"/>
        </w:rPr>
        <w:t>of the definition of</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ED1C24"/>
          <w:strike w:val="1"/>
        </w:rPr>
        <w:t>“Permitted Acquisition”), as of any date of determination,</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231F20"/>
        </w:rPr>
        <w:t>made by the Borrower or the other Loan Parties in</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ED1C24"/>
          <w:strike w:val="1"/>
        </w:rPr>
        <w:t>the capital stock</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ED1C24"/>
          <w:strike w:val="1"/>
        </w:rPr>
        <w:t>of their respective</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231F20"/>
        </w:rPr>
        <w:t>Subsidiaries who are not Loan Parties</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ED1C24"/>
          <w:strike w:val="1"/>
        </w:rPr>
        <w:t>does not at any</w:t>
      </w:r>
      <w:r>
        <w:rPr>
          <w:rFonts w:ascii="Times New Roman" w:cs="Times New Roman" w:eastAsia="Times New Roman" w:hAnsi="Times New Roman"/>
          <w:sz w:val="20"/>
          <w:szCs w:val="20"/>
          <w:color w:val="ED1C24"/>
        </w:rPr>
        <w:t xml:space="preserve"> time exceed an amount equal to the greater of (i) $50.0 million and (ii) 25% of Consolidated Adjusted </w:t>
      </w:r>
      <w:r>
        <w:rPr>
          <w:rFonts w:ascii="Times New Roman" w:cs="Times New Roman" w:eastAsia="Times New Roman" w:hAnsi="Times New Roman"/>
          <w:sz w:val="20"/>
          <w:szCs w:val="20"/>
          <w:color w:val="ED1C24"/>
          <w:strike w:val="1"/>
        </w:rPr>
        <w:t>EBITDA for the most recently ended Reference Period, on a pro forma</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ED1C24"/>
          <w:strike w:val="1"/>
        </w:rPr>
        <w:t>basis</w:t>
      </w:r>
      <w:r>
        <w:rPr>
          <w:rFonts w:ascii="Times New Roman" w:cs="Times New Roman" w:eastAsia="Times New Roman" w:hAnsi="Times New Roman"/>
          <w:sz w:val="20"/>
          <w:szCs w:val="20"/>
          <w:u w:val="single" w:color="auto"/>
          <w:color w:val="2251A3"/>
        </w:rPr>
        <w:t>shall not exceed the Non-Loan Party Cap</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231F20"/>
        </w:rPr>
        <w:t>(with the amount of any such investments</w:t>
      </w:r>
      <w:r>
        <w:rPr>
          <w:rFonts w:ascii="Times New Roman" w:cs="Times New Roman" w:eastAsia="Times New Roman" w:hAnsi="Times New Roman"/>
          <w:sz w:val="20"/>
          <w:szCs w:val="20"/>
          <w:u w:val="single" w:color="auto"/>
          <w:color w:val="2251A3"/>
        </w:rPr>
        <w:t>, loans or advances</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231F20"/>
        </w:rPr>
        <w:t>being the original</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231F20"/>
        </w:rPr>
        <w:t>cost of such investment</w:t>
      </w:r>
      <w:r>
        <w:rPr>
          <w:rFonts w:ascii="Times New Roman" w:cs="Times New Roman" w:eastAsia="Times New Roman" w:hAnsi="Times New Roman"/>
          <w:sz w:val="20"/>
          <w:szCs w:val="20"/>
          <w:u w:val="single" w:color="auto"/>
          <w:color w:val="2251A3"/>
        </w:rPr>
        <w:t>, loan or advance</w:t>
      </w:r>
      <w:r>
        <w:rPr>
          <w:rFonts w:ascii="Times New Roman" w:cs="Times New Roman" w:eastAsia="Times New Roman" w:hAnsi="Times New Roman"/>
          <w:sz w:val="20"/>
          <w:szCs w:val="20"/>
          <w:color w:val="231F20"/>
        </w:rPr>
        <w:t>, less all repayments, returns, dividends and distributions, in each case received in cash in respect of such investment</w:t>
      </w:r>
      <w:r>
        <w:rPr>
          <w:rFonts w:ascii="Times New Roman" w:cs="Times New Roman" w:eastAsia="Times New Roman" w:hAnsi="Times New Roman"/>
          <w:sz w:val="20"/>
          <w:szCs w:val="20"/>
          <w:u w:val="single" w:color="auto"/>
          <w:color w:val="2251A3"/>
        </w:rPr>
        <w:t>, loan or advance</w:t>
      </w:r>
      <w:r>
        <w:rPr>
          <w:rFonts w:ascii="Times New Roman" w:cs="Times New Roman" w:eastAsia="Times New Roman" w:hAnsi="Times New Roman"/>
          <w:sz w:val="20"/>
          <w:szCs w:val="20"/>
          <w:color w:val="231F20"/>
        </w:rPr>
        <w:t xml:space="preserve"> and less all liabilities effectively assumed by a person other than any Loan Party or any Subsidiary thereof in connection with the sale of any such investment</w:t>
      </w:r>
      <w:r>
        <w:rPr>
          <w:rFonts w:ascii="Times New Roman" w:cs="Times New Roman" w:eastAsia="Times New Roman" w:hAnsi="Times New Roman"/>
          <w:sz w:val="20"/>
          <w:szCs w:val="20"/>
          <w:u w:val="single" w:color="auto"/>
          <w:color w:val="2251A3"/>
        </w:rPr>
        <w:t>, loan or advance</w:t>
      </w:r>
      <w:r>
        <w:rPr>
          <w:rFonts w:ascii="Times New Roman" w:cs="Times New Roman" w:eastAsia="Times New Roman" w:hAnsi="Times New Roman"/>
          <w:sz w:val="20"/>
          <w:szCs w:val="20"/>
          <w:color w:val="231F20"/>
        </w:rPr>
        <w:t>);</w:t>
      </w:r>
    </w:p>
    <w:p>
      <w:pPr>
        <w:spacing w:after="0" w:line="187" w:lineRule="exact"/>
        <w:rPr>
          <w:sz w:val="20"/>
          <w:szCs w:val="20"/>
          <w:color w:val="auto"/>
        </w:rPr>
      </w:pPr>
    </w:p>
    <w:p>
      <w:pPr>
        <w:ind w:left="740" w:right="40" w:firstLine="746"/>
        <w:spacing w:after="0" w:line="243" w:lineRule="auto"/>
        <w:tabs>
          <w:tab w:leader="none" w:pos="2011" w:val="left"/>
        </w:tabs>
        <w:numPr>
          <w:ilvl w:val="0"/>
          <w:numId w:val="190"/>
        </w:numPr>
        <w:rPr>
          <w:rFonts w:ascii="Times New Roman" w:cs="Times New Roman" w:eastAsia="Times New Roman" w:hAnsi="Times New Roman"/>
          <w:sz w:val="20"/>
          <w:szCs w:val="20"/>
          <w:color w:val="ED1C24"/>
        </w:rPr>
      </w:pPr>
      <w:r>
        <w:rPr>
          <w:rFonts w:ascii="Times New Roman" w:cs="Times New Roman" w:eastAsia="Times New Roman" w:hAnsi="Times New Roman"/>
          <w:sz w:val="20"/>
          <w:szCs w:val="20"/>
          <w:color w:val="ED1C24"/>
          <w:strike w:val="1"/>
        </w:rPr>
        <w:t>loans or advances made by the Borrower or any of its Subsidiaries to the Borrower or any</w:t>
      </w:r>
      <w:r>
        <w:rPr>
          <w:rFonts w:ascii="Times New Roman" w:cs="Times New Roman" w:eastAsia="Times New Roman" w:hAnsi="Times New Roman"/>
          <w:sz w:val="20"/>
          <w:szCs w:val="20"/>
          <w:color w:val="ED1C24"/>
        </w:rPr>
        <w:t xml:space="preserve"> other Subsidiary; </w:t>
      </w:r>
      <w:r>
        <w:rPr>
          <w:rFonts w:ascii="Times New Roman" w:cs="Times New Roman" w:eastAsia="Times New Roman" w:hAnsi="Times New Roman"/>
          <w:sz w:val="20"/>
          <w:szCs w:val="20"/>
          <w:u w:val="single" w:color="auto"/>
          <w:color w:val="ED1C24"/>
        </w:rPr>
        <w:t>provided</w:t>
      </w:r>
      <w:r>
        <w:rPr>
          <w:rFonts w:ascii="Times New Roman" w:cs="Times New Roman" w:eastAsia="Times New Roman" w:hAnsi="Times New Roman"/>
          <w:sz w:val="20"/>
          <w:szCs w:val="20"/>
          <w:color w:val="ED1C24"/>
        </w:rPr>
        <w:t xml:space="preserve">, that the aggregate amount of loans and advances, excluding any amounts relating to the processing of payments on the Borrower’s and its Subsidiaries’ payments platform and any intercompany accounts payable in connection therewith, together with the aggregate amount of investments described in </w:t>
      </w:r>
      <w:r>
        <w:rPr>
          <w:rFonts w:ascii="Times New Roman" w:cs="Times New Roman" w:eastAsia="Times New Roman" w:hAnsi="Times New Roman"/>
          <w:sz w:val="20"/>
          <w:szCs w:val="20"/>
          <w:u w:val="single" w:color="auto"/>
          <w:color w:val="ED1C24"/>
        </w:rPr>
        <w:t>Section 6.04(c)</w:t>
      </w:r>
      <w:r>
        <w:rPr>
          <w:rFonts w:ascii="Times New Roman" w:cs="Times New Roman" w:eastAsia="Times New Roman" w:hAnsi="Times New Roman"/>
          <w:sz w:val="20"/>
          <w:szCs w:val="20"/>
          <w:color w:val="ED1C24"/>
        </w:rPr>
        <w:t xml:space="preserve"> or </w:t>
      </w:r>
      <w:r>
        <w:rPr>
          <w:rFonts w:ascii="Times New Roman" w:cs="Times New Roman" w:eastAsia="Times New Roman" w:hAnsi="Times New Roman"/>
          <w:sz w:val="20"/>
          <w:szCs w:val="20"/>
          <w:u w:val="single" w:color="auto"/>
          <w:color w:val="ED1C24"/>
        </w:rPr>
        <w:t>Section 6.04(l)(iv)</w:t>
      </w:r>
      <w:r>
        <w:rPr>
          <w:rFonts w:ascii="Times New Roman" w:cs="Times New Roman" w:eastAsia="Times New Roman" w:hAnsi="Times New Roman"/>
          <w:sz w:val="20"/>
          <w:szCs w:val="20"/>
          <w:color w:val="ED1C24"/>
        </w:rPr>
        <w:t xml:space="preserve"> and amounts described in </w:t>
      </w:r>
      <w:r>
        <w:rPr>
          <w:rFonts w:ascii="Times New Roman" w:cs="Times New Roman" w:eastAsia="Times New Roman" w:hAnsi="Times New Roman"/>
          <w:sz w:val="20"/>
          <w:szCs w:val="20"/>
          <w:u w:val="single" w:color="auto"/>
          <w:color w:val="ED1C24"/>
        </w:rPr>
        <w:t>clause (h)</w:t>
      </w:r>
      <w:r>
        <w:rPr>
          <w:rFonts w:ascii="Times New Roman" w:cs="Times New Roman" w:eastAsia="Times New Roman" w:hAnsi="Times New Roman"/>
          <w:sz w:val="20"/>
          <w:szCs w:val="20"/>
          <w:color w:val="ED1C24"/>
        </w:rPr>
        <w:t xml:space="preserve"> of the definition of “Permitted Acquisition”, made by the Borrower or the other Loan Parties to Subsidiaries who are not Loan Parties that are at any time outstanding does not, as of any date of determination, exceed an amount equal to the greater of (i) $50.0 million and (ii) 25% of Consolidated Adjusted </w:t>
      </w:r>
      <w:r>
        <w:rPr>
          <w:rFonts w:ascii="Times New Roman" w:cs="Times New Roman" w:eastAsia="Times New Roman" w:hAnsi="Times New Roman"/>
          <w:sz w:val="20"/>
          <w:szCs w:val="20"/>
          <w:color w:val="ED1C24"/>
          <w:strike w:val="1"/>
        </w:rPr>
        <w:t>EBITDA for the most recently ended Reference Period, on a</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ED1C24"/>
          <w:strike w:val="1"/>
        </w:rPr>
        <w:t>pro forma basis;</w:t>
      </w:r>
    </w:p>
    <w:p>
      <w:pPr>
        <w:spacing w:after="0" w:line="189" w:lineRule="exact"/>
        <w:rPr>
          <w:rFonts w:ascii="Times New Roman" w:cs="Times New Roman" w:eastAsia="Times New Roman" w:hAnsi="Times New Roman"/>
          <w:sz w:val="20"/>
          <w:szCs w:val="20"/>
          <w:color w:val="ED1C24"/>
        </w:rPr>
      </w:pPr>
    </w:p>
    <w:p>
      <w:pPr>
        <w:ind w:left="740" w:right="60" w:firstLine="745"/>
        <w:spacing w:after="0" w:line="269" w:lineRule="auto"/>
        <w:tabs>
          <w:tab w:leader="none" w:pos="2005" w:val="left"/>
        </w:tabs>
        <w:numPr>
          <w:ilvl w:val="0"/>
          <w:numId w:val="19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Guarantees constituting Indebtedness permitted by </w:t>
      </w:r>
      <w:r>
        <w:rPr>
          <w:rFonts w:ascii="Times New Roman" w:cs="Times New Roman" w:eastAsia="Times New Roman" w:hAnsi="Times New Roman"/>
          <w:sz w:val="20"/>
          <w:szCs w:val="20"/>
          <w:u w:val="single" w:color="auto"/>
          <w:color w:val="231F20"/>
        </w:rPr>
        <w:t>Section 6.01</w:t>
      </w:r>
      <w:r>
        <w:rPr>
          <w:rFonts w:ascii="Times New Roman" w:cs="Times New Roman" w:eastAsia="Times New Roman" w:hAnsi="Times New Roman"/>
          <w:sz w:val="20"/>
          <w:szCs w:val="20"/>
          <w:color w:val="231F20"/>
        </w:rPr>
        <w:t xml:space="preserve"> and guarantees of ordinary course commercial obligations not constituting Indebtedness;</w:t>
      </w:r>
    </w:p>
    <w:p>
      <w:pPr>
        <w:spacing w:after="0" w:line="159" w:lineRule="exact"/>
        <w:rPr>
          <w:rFonts w:ascii="Times New Roman" w:cs="Times New Roman" w:eastAsia="Times New Roman" w:hAnsi="Times New Roman"/>
          <w:sz w:val="20"/>
          <w:szCs w:val="20"/>
          <w:color w:val="231F20"/>
        </w:rPr>
      </w:pPr>
    </w:p>
    <w:p>
      <w:pPr>
        <w:jc w:val="both"/>
        <w:ind w:left="740" w:right="20" w:firstLine="745"/>
        <w:spacing w:after="0" w:line="254" w:lineRule="auto"/>
        <w:tabs>
          <w:tab w:leader="none" w:pos="2008" w:val="left"/>
        </w:tabs>
        <w:numPr>
          <w:ilvl w:val="0"/>
          <w:numId w:val="19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 Permitted Acquisitions and (ii) Investments of any Person in existence at the time such Person becomes a Subsidiary;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such Investment was not made in connection with or anticipation of such Person becoming a Subsidiary and any modification, replacement, renewal or extension thereof;</w:t>
      </w:r>
    </w:p>
    <w:p>
      <w:pPr>
        <w:spacing w:after="0" w:line="174" w:lineRule="exact"/>
        <w:rPr>
          <w:rFonts w:ascii="Times New Roman" w:cs="Times New Roman" w:eastAsia="Times New Roman" w:hAnsi="Times New Roman"/>
          <w:sz w:val="20"/>
          <w:szCs w:val="20"/>
          <w:color w:val="231F20"/>
        </w:rPr>
      </w:pPr>
    </w:p>
    <w:p>
      <w:pPr>
        <w:ind w:left="740" w:right="40" w:firstLine="745"/>
        <w:spacing w:after="0" w:line="269" w:lineRule="auto"/>
        <w:tabs>
          <w:tab w:leader="none" w:pos="2006" w:val="left"/>
        </w:tabs>
        <w:numPr>
          <w:ilvl w:val="0"/>
          <w:numId w:val="19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loans and advances to employees of the Borrower or any Subsidiaries in the ordinary course of business to finance the purchase of Equity Interests (other than Disqualified Equity Interests) of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30" w:name="page231"/>
    <w:bookmarkEnd w:id="230"/>
    <w:p>
      <w:pPr>
        <w:ind w:left="740"/>
        <w:spacing w:after="0"/>
        <w:rPr>
          <w:sz w:val="20"/>
          <w:szCs w:val="20"/>
          <w:color w:val="auto"/>
        </w:rPr>
      </w:pPr>
      <w:r>
        <w:rPr>
          <w:rFonts w:ascii="Times New Roman" w:cs="Times New Roman" w:eastAsia="Times New Roman" w:hAnsi="Times New Roman"/>
          <w:sz w:val="19"/>
          <w:szCs w:val="19"/>
          <w:color w:val="231F20"/>
        </w:rPr>
        <w:t>the Borrower in an aggregate amount for the Borrower and its Subsidiaries not to exceed $5.0 million at any time outstanding;</w:t>
      </w:r>
    </w:p>
    <w:p>
      <w:pPr>
        <w:spacing w:after="0" w:line="227" w:lineRule="exact"/>
        <w:rPr>
          <w:sz w:val="20"/>
          <w:szCs w:val="20"/>
          <w:color w:val="auto"/>
        </w:rPr>
      </w:pPr>
    </w:p>
    <w:p>
      <w:pPr>
        <w:ind w:left="740" w:right="60" w:firstLine="745"/>
        <w:spacing w:after="0" w:line="269" w:lineRule="auto"/>
        <w:tabs>
          <w:tab w:leader="none" w:pos="2005" w:val="left"/>
        </w:tabs>
        <w:numPr>
          <w:ilvl w:val="0"/>
          <w:numId w:val="1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investments received in connection with the bankruptcy or reorganization of any Person or in settlement of obligations of, or disputes with, any Person arising in the ordinary course of business;</w:t>
      </w:r>
    </w:p>
    <w:p>
      <w:pPr>
        <w:spacing w:after="0" w:line="159" w:lineRule="exact"/>
        <w:rPr>
          <w:rFonts w:ascii="Times New Roman" w:cs="Times New Roman" w:eastAsia="Times New Roman" w:hAnsi="Times New Roman"/>
          <w:sz w:val="20"/>
          <w:szCs w:val="20"/>
          <w:color w:val="231F20"/>
        </w:rPr>
      </w:pPr>
    </w:p>
    <w:p>
      <w:pPr>
        <w:ind w:left="2240" w:hanging="755"/>
        <w:spacing w:after="0"/>
        <w:tabs>
          <w:tab w:leader="none" w:pos="2240" w:val="left"/>
        </w:tabs>
        <w:numPr>
          <w:ilvl w:val="0"/>
          <w:numId w:val="1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Swap Agreements permitted by </w:t>
      </w:r>
      <w:r>
        <w:rPr>
          <w:rFonts w:ascii="Times New Roman" w:cs="Times New Roman" w:eastAsia="Times New Roman" w:hAnsi="Times New Roman"/>
          <w:sz w:val="20"/>
          <w:szCs w:val="20"/>
          <w:u w:val="single" w:color="auto"/>
          <w:color w:val="231F20"/>
        </w:rPr>
        <w:t>Section 6.06</w:t>
      </w:r>
      <w:r>
        <w:rPr>
          <w:rFonts w:ascii="Times New Roman" w:cs="Times New Roman" w:eastAsia="Times New Roman" w:hAnsi="Times New Roman"/>
          <w:sz w:val="20"/>
          <w:szCs w:val="20"/>
          <w:color w:val="231F20"/>
        </w:rPr>
        <w:t>;</w:t>
      </w:r>
    </w:p>
    <w:p>
      <w:pPr>
        <w:spacing w:after="0" w:line="215"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0"/>
          <w:numId w:val="1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investments consisting of extensions of credit in the nature of accounts receivable or notes receivable arising from the grant of trade credit in the ordinary course of business;</w:t>
      </w:r>
    </w:p>
    <w:p>
      <w:pPr>
        <w:spacing w:after="0" w:line="159" w:lineRule="exact"/>
        <w:rPr>
          <w:rFonts w:ascii="Times New Roman" w:cs="Times New Roman" w:eastAsia="Times New Roman" w:hAnsi="Times New Roman"/>
          <w:sz w:val="20"/>
          <w:szCs w:val="20"/>
          <w:color w:val="231F20"/>
        </w:rPr>
      </w:pPr>
    </w:p>
    <w:p>
      <w:pPr>
        <w:jc w:val="both"/>
        <w:ind w:left="740" w:firstLine="745"/>
        <w:spacing w:after="0" w:line="249" w:lineRule="auto"/>
        <w:tabs>
          <w:tab w:leader="none" w:pos="2008" w:val="left"/>
        </w:tabs>
        <w:numPr>
          <w:ilvl w:val="0"/>
          <w:numId w:val="1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to the extent constituting investments, </w:t>
      </w:r>
      <w:r>
        <w:rPr>
          <w:rFonts w:ascii="Times New Roman" w:cs="Times New Roman" w:eastAsia="Times New Roman" w:hAnsi="Times New Roman"/>
          <w:sz w:val="20"/>
          <w:szCs w:val="20"/>
          <w:u w:val="single" w:color="auto"/>
          <w:color w:val="2251A3"/>
        </w:rPr>
        <w:t>(i)</w:t>
      </w:r>
      <w:r>
        <w:rPr>
          <w:rFonts w:ascii="Times New Roman" w:cs="Times New Roman" w:eastAsia="Times New Roman" w:hAnsi="Times New Roman"/>
          <w:sz w:val="20"/>
          <w:szCs w:val="20"/>
          <w:color w:val="231F20"/>
        </w:rPr>
        <w:t xml:space="preserve"> performance guarantees of obligations of the Borrower’s Subsidiaries </w:t>
      </w:r>
      <w:r>
        <w:rPr>
          <w:rFonts w:ascii="Times New Roman" w:cs="Times New Roman" w:eastAsia="Times New Roman" w:hAnsi="Times New Roman"/>
          <w:sz w:val="20"/>
          <w:szCs w:val="20"/>
          <w:u w:val="single" w:color="auto"/>
          <w:color w:val="2251A3"/>
        </w:rPr>
        <w:t>and (ii) obligations with respect to Guarantees provided by the Borrower or any Subsidiary in respect of leases (other than Capital Lease Obligations) or of other obligations that do not constitute Indebtedness, in each case of clauses (i) and (ii), entered into</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in the ordinary course of business;</w:t>
      </w:r>
    </w:p>
    <w:p>
      <w:pPr>
        <w:spacing w:after="0" w:line="179" w:lineRule="exact"/>
        <w:rPr>
          <w:rFonts w:ascii="Times New Roman" w:cs="Times New Roman" w:eastAsia="Times New Roman" w:hAnsi="Times New Roman"/>
          <w:sz w:val="20"/>
          <w:szCs w:val="20"/>
          <w:color w:val="231F20"/>
        </w:rPr>
      </w:pPr>
    </w:p>
    <w:p>
      <w:pPr>
        <w:jc w:val="both"/>
        <w:ind w:left="740" w:firstLine="745"/>
        <w:spacing w:after="0" w:line="241" w:lineRule="auto"/>
        <w:tabs>
          <w:tab w:leader="none" w:pos="2008" w:val="left"/>
        </w:tabs>
        <w:numPr>
          <w:ilvl w:val="0"/>
          <w:numId w:val="1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other Investments by the Borrower or any of its Subsidiaries so long as, (i) no Event of Default has occurred and is continuing or would result therefrom, (ii) after giving effect to such Investment (including the incurrence, assumption or acquisition of any Indebtedness in connection therewith) the Consolidated Total Net Leverage Ratio, calculated on a pro forma basis as if such Investment (including the incurrence, assumption or acquisition of any Indebtedness in connection therewith) had been consummated at the beginning of such period, shall not exceed 3.25 to 1.00 and the Borrower shall have delivered to the Administrative Agent reasonably detailed calculations demonstrating compliance with this clause (ii) and (iii) the aggregate amount of all such Investments </w:t>
      </w:r>
      <w:r>
        <w:rPr>
          <w:rFonts w:ascii="Times New Roman" w:cs="Times New Roman" w:eastAsia="Times New Roman" w:hAnsi="Times New Roman"/>
          <w:sz w:val="20"/>
          <w:szCs w:val="20"/>
          <w:u w:val="single" w:color="auto"/>
          <w:color w:val="2251A3"/>
        </w:rPr>
        <w:t>(excluding any amounts relating to the processing of payments on the Borrower’s and its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Subsidiaries’ payments platform and any intercompany accounts payable in connection therewith) by the Borrower or the other Loan Parties</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in any Persons that are not or which do not become Loan Guarantors</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ED1C24"/>
          <w:strike w:val="1"/>
        </w:rPr>
        <w:t>(together with the aggregate amount</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ED1C24"/>
          <w:strike w:val="1"/>
        </w:rPr>
        <w:t xml:space="preserve">of investments, loans or advances described in </w:t>
      </w:r>
      <w:r>
        <w:rPr>
          <w:rFonts w:ascii="Times New Roman" w:cs="Times New Roman" w:eastAsia="Times New Roman" w:hAnsi="Times New Roman"/>
          <w:sz w:val="20"/>
          <w:szCs w:val="20"/>
          <w:u w:val="single" w:color="auto"/>
          <w:color w:val="ED1C24"/>
          <w:strike w:val="1"/>
        </w:rPr>
        <w:t>Sections 6.04(c)</w:t>
      </w:r>
      <w:r>
        <w:rPr>
          <w:rFonts w:ascii="Times New Roman" w:cs="Times New Roman" w:eastAsia="Times New Roman" w:hAnsi="Times New Roman"/>
          <w:sz w:val="20"/>
          <w:szCs w:val="20"/>
          <w:color w:val="ED1C24"/>
          <w:strike w:val="1"/>
        </w:rPr>
        <w:t xml:space="preserve"> and </w:t>
      </w:r>
      <w:r>
        <w:rPr>
          <w:rFonts w:ascii="Times New Roman" w:cs="Times New Roman" w:eastAsia="Times New Roman" w:hAnsi="Times New Roman"/>
          <w:sz w:val="20"/>
          <w:szCs w:val="20"/>
          <w:u w:val="single" w:color="auto"/>
          <w:color w:val="ED1C24"/>
          <w:strike w:val="1"/>
        </w:rPr>
        <w:t>(d)</w:t>
      </w:r>
      <w:r>
        <w:rPr>
          <w:rFonts w:ascii="Times New Roman" w:cs="Times New Roman" w:eastAsia="Times New Roman" w:hAnsi="Times New Roman"/>
          <w:sz w:val="20"/>
          <w:szCs w:val="20"/>
          <w:color w:val="ED1C24"/>
          <w:strike w:val="1"/>
        </w:rPr>
        <w:t xml:space="preserve"> and amounts described in </w:t>
      </w:r>
      <w:r>
        <w:rPr>
          <w:rFonts w:ascii="Times New Roman" w:cs="Times New Roman" w:eastAsia="Times New Roman" w:hAnsi="Times New Roman"/>
          <w:sz w:val="20"/>
          <w:szCs w:val="20"/>
          <w:u w:val="single" w:color="auto"/>
          <w:color w:val="ED1C24"/>
          <w:strike w:val="1"/>
        </w:rPr>
        <w:t>clause (h)</w:t>
      </w:r>
      <w:r>
        <w:rPr>
          <w:rFonts w:ascii="Times New Roman" w:cs="Times New Roman" w:eastAsia="Times New Roman" w:hAnsi="Times New Roman"/>
          <w:sz w:val="20"/>
          <w:szCs w:val="20"/>
          <w:color w:val="ED1C24"/>
          <w:strike w:val="1"/>
        </w:rPr>
        <w:t xml:space="preserve"> of the definition of “Permitted Acquisition”) shall not exceed an amount equal to the greater of (i) $50.0 million and (ii) 25% of Consolidated Adjusted EBITDA for the most recently ended Reference Period, on a pro forma basis;</w:t>
      </w:r>
      <w:r>
        <w:rPr>
          <w:rFonts w:ascii="Times New Roman" w:cs="Times New Roman" w:eastAsia="Times New Roman" w:hAnsi="Times New Roman"/>
          <w:sz w:val="20"/>
          <w:szCs w:val="20"/>
          <w:u w:val="single" w:color="auto"/>
          <w:color w:val="2251A3"/>
          <w:strike w:val="1"/>
        </w:rPr>
        <w:t>shall not exceed the Non-Loan Party</w:t>
      </w:r>
      <w:r>
        <w:rPr>
          <w:rFonts w:ascii="Times New Roman" w:cs="Times New Roman" w:eastAsia="Times New Roman" w:hAnsi="Times New Roman"/>
          <w:sz w:val="20"/>
          <w:szCs w:val="20"/>
          <w:color w:val="ED1C24"/>
          <w:strike w:val="1"/>
        </w:rPr>
        <w:t xml:space="preserve"> </w:t>
      </w:r>
      <w:r>
        <w:rPr>
          <w:rFonts w:ascii="Times New Roman" w:cs="Times New Roman" w:eastAsia="Times New Roman" w:hAnsi="Times New Roman"/>
          <w:sz w:val="20"/>
          <w:szCs w:val="20"/>
          <w:u w:val="single" w:color="auto"/>
          <w:color w:val="2251A3"/>
          <w:strike w:val="1"/>
        </w:rPr>
        <w:t>Cap;</w:t>
      </w:r>
    </w:p>
    <w:p>
      <w:pPr>
        <w:spacing w:after="0" w:line="197" w:lineRule="exact"/>
        <w:rPr>
          <w:rFonts w:ascii="Times New Roman" w:cs="Times New Roman" w:eastAsia="Times New Roman" w:hAnsi="Times New Roman"/>
          <w:sz w:val="20"/>
          <w:szCs w:val="20"/>
          <w:color w:val="231F20"/>
        </w:rPr>
      </w:pPr>
    </w:p>
    <w:p>
      <w:pPr>
        <w:ind w:left="740" w:right="40" w:firstLine="745"/>
        <w:spacing w:after="0" w:line="269" w:lineRule="auto"/>
        <w:tabs>
          <w:tab w:leader="none" w:pos="2006" w:val="left"/>
        </w:tabs>
        <w:numPr>
          <w:ilvl w:val="0"/>
          <w:numId w:val="1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Investments made as a result of the receipt of non-cash consideration from Disposition, of any asset in compliance with </w:t>
      </w:r>
      <w:r>
        <w:rPr>
          <w:rFonts w:ascii="Times New Roman" w:cs="Times New Roman" w:eastAsia="Times New Roman" w:hAnsi="Times New Roman"/>
          <w:sz w:val="20"/>
          <w:szCs w:val="20"/>
          <w:u w:val="single" w:color="auto"/>
          <w:color w:val="231F20"/>
        </w:rPr>
        <w:t>Section 6.05</w:t>
      </w:r>
      <w:r>
        <w:rPr>
          <w:rFonts w:ascii="Times New Roman" w:cs="Times New Roman" w:eastAsia="Times New Roman" w:hAnsi="Times New Roman"/>
          <w:sz w:val="20"/>
          <w:szCs w:val="20"/>
          <w:color w:val="231F20"/>
        </w:rPr>
        <w:t>;</w:t>
      </w:r>
    </w:p>
    <w:p>
      <w:pPr>
        <w:spacing w:after="0" w:line="159" w:lineRule="exact"/>
        <w:rPr>
          <w:rFonts w:ascii="Times New Roman" w:cs="Times New Roman" w:eastAsia="Times New Roman" w:hAnsi="Times New Roman"/>
          <w:sz w:val="20"/>
          <w:szCs w:val="20"/>
          <w:color w:val="231F20"/>
        </w:rPr>
      </w:pPr>
    </w:p>
    <w:p>
      <w:pPr>
        <w:jc w:val="both"/>
        <w:ind w:left="740" w:right="40" w:firstLine="745"/>
        <w:spacing w:after="0" w:line="254" w:lineRule="auto"/>
        <w:tabs>
          <w:tab w:leader="none" w:pos="2006" w:val="left"/>
        </w:tabs>
        <w:numPr>
          <w:ilvl w:val="0"/>
          <w:numId w:val="1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payroll, travel and similar advances to directors and employees of the Borrower or any Subsidiary to cover matters that are expected at the time of such advances to be treated as expenses of the Borrower or such Subsidiary for accounting purposes and that are made in the ordinary course of business;</w:t>
      </w:r>
    </w:p>
    <w:p>
      <w:pPr>
        <w:spacing w:after="0" w:line="174" w:lineRule="exact"/>
        <w:rPr>
          <w:rFonts w:ascii="Times New Roman" w:cs="Times New Roman" w:eastAsia="Times New Roman" w:hAnsi="Times New Roman"/>
          <w:sz w:val="20"/>
          <w:szCs w:val="20"/>
          <w:color w:val="231F20"/>
        </w:rPr>
      </w:pPr>
    </w:p>
    <w:p>
      <w:pPr>
        <w:jc w:val="both"/>
        <w:ind w:left="740" w:right="60" w:firstLine="745"/>
        <w:spacing w:after="0" w:line="254" w:lineRule="auto"/>
        <w:tabs>
          <w:tab w:leader="none" w:pos="2005" w:val="left"/>
        </w:tabs>
        <w:numPr>
          <w:ilvl w:val="0"/>
          <w:numId w:val="1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 addition to investments otherwise expressly permitted by this </w:t>
      </w:r>
      <w:r>
        <w:rPr>
          <w:rFonts w:ascii="Times New Roman" w:cs="Times New Roman" w:eastAsia="Times New Roman" w:hAnsi="Times New Roman"/>
          <w:sz w:val="20"/>
          <w:szCs w:val="20"/>
          <w:u w:val="single" w:color="auto"/>
          <w:color w:val="231F20"/>
        </w:rPr>
        <w:t>Section 6.04</w:t>
      </w:r>
      <w:r>
        <w:rPr>
          <w:rFonts w:ascii="Times New Roman" w:cs="Times New Roman" w:eastAsia="Times New Roman" w:hAnsi="Times New Roman"/>
          <w:sz w:val="20"/>
          <w:szCs w:val="20"/>
          <w:color w:val="231F20"/>
        </w:rPr>
        <w:t>, investments, loans and advances by the Borrower or any of its Subsidiaries in an aggregate amount (valued at cost) not to exceed $</w:t>
      </w:r>
      <w:r>
        <w:rPr>
          <w:rFonts w:ascii="Times New Roman" w:cs="Times New Roman" w:eastAsia="Times New Roman" w:hAnsi="Times New Roman"/>
          <w:sz w:val="20"/>
          <w:szCs w:val="20"/>
          <w:color w:val="ED1C24"/>
          <w:strike w:val="1"/>
        </w:rPr>
        <w:t>15.0</w:t>
      </w:r>
      <w:r>
        <w:rPr>
          <w:rFonts w:ascii="Times New Roman" w:cs="Times New Roman" w:eastAsia="Times New Roman" w:hAnsi="Times New Roman"/>
          <w:sz w:val="20"/>
          <w:szCs w:val="20"/>
          <w:u w:val="single" w:color="auto"/>
          <w:color w:val="2251A3"/>
        </w:rPr>
        <w:t>20.0</w:t>
      </w:r>
      <w:r>
        <w:rPr>
          <w:rFonts w:ascii="Times New Roman" w:cs="Times New Roman" w:eastAsia="Times New Roman" w:hAnsi="Times New Roman"/>
          <w:sz w:val="20"/>
          <w:szCs w:val="20"/>
          <w:color w:val="231F20"/>
        </w:rPr>
        <w:t xml:space="preserve"> million during the term of this Agreement;</w:t>
      </w:r>
    </w:p>
    <w:p>
      <w:pPr>
        <w:spacing w:after="0" w:line="174" w:lineRule="exact"/>
        <w:rPr>
          <w:rFonts w:ascii="Times New Roman" w:cs="Times New Roman" w:eastAsia="Times New Roman" w:hAnsi="Times New Roman"/>
          <w:sz w:val="20"/>
          <w:szCs w:val="20"/>
          <w:color w:val="231F20"/>
        </w:rPr>
      </w:pPr>
    </w:p>
    <w:p>
      <w:pPr>
        <w:jc w:val="both"/>
        <w:ind w:left="740" w:firstLine="745"/>
        <w:spacing w:after="0" w:line="254" w:lineRule="auto"/>
        <w:tabs>
          <w:tab w:leader="none" w:pos="2008" w:val="left"/>
        </w:tabs>
        <w:numPr>
          <w:ilvl w:val="0"/>
          <w:numId w:val="1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 the extent categorized as an investment, contingent chargeback obligations arising from the Borrower or its Subsidiaries acting as “merchant of record” under applicable credit card payment processes, as incurred in the ordinary course of business of the Borrower and its Subsidiaries;</w:t>
      </w:r>
    </w:p>
    <w:p>
      <w:pPr>
        <w:spacing w:after="0" w:line="174"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0"/>
          <w:numId w:val="1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Investments by Borrower in Foreign Subsidiaries, in the ordinary course of business, for ordinary, current and necessary operating expenses that are reasonably expected to be due and payable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31" w:name="page232"/>
    <w:bookmarkEnd w:id="231"/>
    <w:p>
      <w:pPr>
        <w:ind w:left="740"/>
        <w:spacing w:after="0" w:line="269" w:lineRule="auto"/>
        <w:rPr>
          <w:sz w:val="20"/>
          <w:szCs w:val="20"/>
          <w:color w:val="auto"/>
        </w:rPr>
      </w:pPr>
      <w:r>
        <w:rPr>
          <w:rFonts w:ascii="Times New Roman" w:cs="Times New Roman" w:eastAsia="Times New Roman" w:hAnsi="Times New Roman"/>
          <w:sz w:val="20"/>
          <w:szCs w:val="20"/>
          <w:color w:val="231F20"/>
        </w:rPr>
        <w:t xml:space="preserve">within ninety (90) days of any such Investment, so long as no Event of Default exists at the time of such investment and would not exist after giving effect to any such investment; </w:t>
      </w:r>
      <w:r>
        <w:rPr>
          <w:rFonts w:ascii="Times New Roman" w:cs="Times New Roman" w:eastAsia="Times New Roman" w:hAnsi="Times New Roman"/>
          <w:sz w:val="20"/>
          <w:szCs w:val="20"/>
          <w:color w:val="ED1C24"/>
          <w:strike w:val="1"/>
        </w:rPr>
        <w:t>and</w:t>
      </w:r>
    </w:p>
    <w:p>
      <w:pPr>
        <w:spacing w:after="0" w:line="159" w:lineRule="exact"/>
        <w:rPr>
          <w:sz w:val="20"/>
          <w:szCs w:val="20"/>
          <w:color w:val="auto"/>
        </w:rPr>
      </w:pPr>
    </w:p>
    <w:p>
      <w:pPr>
        <w:ind w:left="740" w:right="280" w:firstLine="745"/>
        <w:spacing w:after="0" w:line="269" w:lineRule="auto"/>
        <w:tabs>
          <w:tab w:leader="none" w:pos="2006" w:val="left"/>
        </w:tabs>
        <w:numPr>
          <w:ilvl w:val="0"/>
          <w:numId w:val="19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Investments among the Borrower and/or its Subsidiaries in connection with Cash Pooling Arrangements, including intercompany Indebtedness, arising under or pursuant to any Cash Pooling Arrangements</w:t>
      </w:r>
      <w:r>
        <w:rPr>
          <w:rFonts w:ascii="Times New Roman" w:cs="Times New Roman" w:eastAsia="Times New Roman" w:hAnsi="Times New Roman"/>
          <w:sz w:val="20"/>
          <w:szCs w:val="20"/>
          <w:color w:val="ED1C24"/>
        </w:rPr>
        <w:t>.</w:t>
      </w:r>
      <w:r>
        <w:rPr>
          <w:rFonts w:ascii="Times New Roman" w:cs="Times New Roman" w:eastAsia="Times New Roman" w:hAnsi="Times New Roman"/>
          <w:sz w:val="20"/>
          <w:szCs w:val="20"/>
          <w:color w:val="2251A3"/>
        </w:rPr>
        <w:t>;</w:t>
      </w:r>
    </w:p>
    <w:p>
      <w:pPr>
        <w:spacing w:after="0" w:line="159" w:lineRule="exact"/>
        <w:rPr>
          <w:rFonts w:ascii="Times New Roman" w:cs="Times New Roman" w:eastAsia="Times New Roman" w:hAnsi="Times New Roman"/>
          <w:sz w:val="20"/>
          <w:szCs w:val="20"/>
          <w:color w:val="231F20"/>
        </w:rPr>
      </w:pPr>
    </w:p>
    <w:p>
      <w:pPr>
        <w:ind w:left="2000" w:hanging="515"/>
        <w:spacing w:after="0"/>
        <w:tabs>
          <w:tab w:leader="none" w:pos="2000" w:val="left"/>
        </w:tabs>
        <w:numPr>
          <w:ilvl w:val="0"/>
          <w:numId w:val="192"/>
        </w:numPr>
        <w:rPr>
          <w:rFonts w:ascii="Times New Roman" w:cs="Times New Roman" w:eastAsia="Times New Roman" w:hAnsi="Times New Roman"/>
          <w:sz w:val="20"/>
          <w:szCs w:val="20"/>
          <w:color w:val="2251A3"/>
        </w:rPr>
      </w:pPr>
      <w:r>
        <w:rPr>
          <w:rFonts w:ascii="Times New Roman" w:cs="Times New Roman" w:eastAsia="Times New Roman" w:hAnsi="Times New Roman"/>
          <w:sz w:val="20"/>
          <w:szCs w:val="20"/>
          <w:u w:val="single" w:color="auto"/>
          <w:color w:val="2251A3"/>
        </w:rPr>
        <w:t>Investments in the ordinary course of business consisting of endorsements for collection or deposit; and</w:t>
      </w:r>
    </w:p>
    <w:p>
      <w:pPr>
        <w:spacing w:after="0" w:line="215" w:lineRule="exact"/>
        <w:rPr>
          <w:rFonts w:ascii="Times New Roman" w:cs="Times New Roman" w:eastAsia="Times New Roman" w:hAnsi="Times New Roman"/>
          <w:sz w:val="20"/>
          <w:szCs w:val="20"/>
          <w:color w:val="2251A3"/>
        </w:rPr>
      </w:pPr>
    </w:p>
    <w:p>
      <w:pPr>
        <w:ind w:left="740" w:right="380" w:firstLine="746"/>
        <w:spacing w:after="0" w:line="269" w:lineRule="auto"/>
        <w:tabs>
          <w:tab w:leader="none" w:pos="2007" w:val="left"/>
        </w:tabs>
        <w:numPr>
          <w:ilvl w:val="0"/>
          <w:numId w:val="192"/>
        </w:numPr>
        <w:rPr>
          <w:rFonts w:ascii="Times New Roman" w:cs="Times New Roman" w:eastAsia="Times New Roman" w:hAnsi="Times New Roman"/>
          <w:sz w:val="20"/>
          <w:szCs w:val="20"/>
          <w:color w:val="2251A3"/>
        </w:rPr>
      </w:pPr>
      <w:r>
        <w:rPr>
          <w:rFonts w:ascii="Times New Roman" w:cs="Times New Roman" w:eastAsia="Times New Roman" w:hAnsi="Times New Roman"/>
          <w:sz w:val="20"/>
          <w:szCs w:val="20"/>
          <w:u w:val="single" w:color="auto"/>
          <w:color w:val="2251A3"/>
        </w:rPr>
        <w:t>any Permitted Call Hedging Agreement or Permitted Warrant Transactions; provided that no Event of Default has occurred and is continuing or would result therefrom.</w:t>
      </w:r>
    </w:p>
    <w:p>
      <w:pPr>
        <w:spacing w:after="0" w:line="159"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6.05</w:t>
      </w:r>
      <w:r>
        <w:rPr>
          <w:sz w:val="20"/>
          <w:szCs w:val="20"/>
          <w:color w:val="auto"/>
        </w:rPr>
        <w:tab/>
      </w:r>
      <w:r>
        <w:rPr>
          <w:rFonts w:ascii="Times New Roman" w:cs="Times New Roman" w:eastAsia="Times New Roman" w:hAnsi="Times New Roman"/>
          <w:sz w:val="19"/>
          <w:szCs w:val="19"/>
          <w:u w:val="single" w:color="auto"/>
          <w:color w:val="231F20"/>
        </w:rPr>
        <w:t>Asset Dispositions; Sale and Leaseback Transactions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ind w:left="2240" w:hanging="755"/>
        <w:spacing w:after="0"/>
        <w:tabs>
          <w:tab w:leader="none" w:pos="2240" w:val="left"/>
        </w:tabs>
        <w:numPr>
          <w:ilvl w:val="0"/>
          <w:numId w:val="19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Loan Party will, nor will it permit any Subsidiary to, make any Disposition except:</w:t>
      </w:r>
    </w:p>
    <w:p>
      <w:pPr>
        <w:spacing w:after="0" w:line="215" w:lineRule="exact"/>
        <w:rPr>
          <w:rFonts w:ascii="Times New Roman" w:cs="Times New Roman" w:eastAsia="Times New Roman" w:hAnsi="Times New Roman"/>
          <w:sz w:val="20"/>
          <w:szCs w:val="20"/>
          <w:color w:val="231F20"/>
        </w:rPr>
      </w:pPr>
    </w:p>
    <w:p>
      <w:pPr>
        <w:ind w:left="2240" w:right="300" w:firstLine="1492"/>
        <w:spacing w:after="0" w:line="269" w:lineRule="auto"/>
        <w:tabs>
          <w:tab w:leader="none" w:pos="4051" w:val="left"/>
        </w:tabs>
        <w:numPr>
          <w:ilvl w:val="2"/>
          <w:numId w:val="193"/>
        </w:numPr>
        <w:rPr>
          <w:rFonts w:ascii="Times New Roman" w:cs="Times New Roman" w:eastAsia="Times New Roman" w:hAnsi="Times New Roman"/>
          <w:sz w:val="20"/>
          <w:szCs w:val="20"/>
          <w:color w:val="2251A3"/>
        </w:rPr>
      </w:pPr>
      <w:r>
        <w:rPr>
          <w:rFonts w:ascii="Times New Roman" w:cs="Times New Roman" w:eastAsia="Times New Roman" w:hAnsi="Times New Roman"/>
          <w:sz w:val="20"/>
          <w:szCs w:val="20"/>
          <w:color w:val="231F20"/>
        </w:rPr>
        <w:t>Dispositions of obsolete or worn out property, whether now owned or hereafter acquired, in the ordinary course of business;</w:t>
      </w:r>
    </w:p>
    <w:p>
      <w:pPr>
        <w:spacing w:after="0" w:line="159" w:lineRule="exact"/>
        <w:rPr>
          <w:rFonts w:ascii="Times New Roman" w:cs="Times New Roman" w:eastAsia="Times New Roman" w:hAnsi="Times New Roman"/>
          <w:sz w:val="20"/>
          <w:szCs w:val="20"/>
          <w:color w:val="2251A3"/>
        </w:rPr>
      </w:pPr>
    </w:p>
    <w:p>
      <w:pPr>
        <w:ind w:left="4480" w:hanging="748"/>
        <w:spacing w:after="0"/>
        <w:tabs>
          <w:tab w:leader="none" w:pos="4480" w:val="left"/>
        </w:tabs>
        <w:numPr>
          <w:ilvl w:val="2"/>
          <w:numId w:val="193"/>
        </w:numPr>
        <w:rPr>
          <w:rFonts w:ascii="Times New Roman" w:cs="Times New Roman" w:eastAsia="Times New Roman" w:hAnsi="Times New Roman"/>
          <w:sz w:val="20"/>
          <w:szCs w:val="20"/>
          <w:color w:val="2251A3"/>
        </w:rPr>
      </w:pPr>
      <w:r>
        <w:rPr>
          <w:rFonts w:ascii="Times New Roman" w:cs="Times New Roman" w:eastAsia="Times New Roman" w:hAnsi="Times New Roman"/>
          <w:sz w:val="20"/>
          <w:szCs w:val="20"/>
          <w:color w:val="231F20"/>
        </w:rPr>
        <w:t>Dispositions of inventory in the ordinary course of business;</w:t>
      </w:r>
    </w:p>
    <w:p>
      <w:pPr>
        <w:spacing w:after="0" w:line="215" w:lineRule="exact"/>
        <w:rPr>
          <w:rFonts w:ascii="Times New Roman" w:cs="Times New Roman" w:eastAsia="Times New Roman" w:hAnsi="Times New Roman"/>
          <w:sz w:val="20"/>
          <w:szCs w:val="20"/>
          <w:color w:val="2251A3"/>
        </w:rPr>
      </w:pPr>
    </w:p>
    <w:p>
      <w:pPr>
        <w:jc w:val="both"/>
        <w:ind w:left="2240" w:right="280" w:firstLine="1492"/>
        <w:spacing w:after="0" w:line="249" w:lineRule="auto"/>
        <w:tabs>
          <w:tab w:leader="none" w:pos="4051" w:val="left"/>
        </w:tabs>
        <w:numPr>
          <w:ilvl w:val="2"/>
          <w:numId w:val="193"/>
        </w:numPr>
        <w:rPr>
          <w:rFonts w:ascii="Times New Roman" w:cs="Times New Roman" w:eastAsia="Times New Roman" w:hAnsi="Times New Roman"/>
          <w:sz w:val="20"/>
          <w:szCs w:val="20"/>
          <w:color w:val="2251A3"/>
        </w:rPr>
      </w:pPr>
      <w:r>
        <w:rPr>
          <w:rFonts w:ascii="Times New Roman" w:cs="Times New Roman" w:eastAsia="Times New Roman" w:hAnsi="Times New Roman"/>
          <w:sz w:val="20"/>
          <w:szCs w:val="20"/>
          <w:color w:val="231F20"/>
        </w:rPr>
        <w:t>non-exclusive licenses of intellectual property or an assignment of, the right to commercialize intellectual property (including the rights to make, have made, use, sell, offer for sale and import intellectual property and any associated goodwill) and other licenses, sub-licenses and other similar arrangements entered into in the ordinary course of business;</w:t>
      </w:r>
    </w:p>
    <w:p>
      <w:pPr>
        <w:spacing w:after="0" w:line="179" w:lineRule="exact"/>
        <w:rPr>
          <w:rFonts w:ascii="Times New Roman" w:cs="Times New Roman" w:eastAsia="Times New Roman" w:hAnsi="Times New Roman"/>
          <w:sz w:val="20"/>
          <w:szCs w:val="20"/>
          <w:color w:val="2251A3"/>
        </w:rPr>
      </w:pPr>
    </w:p>
    <w:p>
      <w:pPr>
        <w:ind w:left="4480" w:hanging="748"/>
        <w:spacing w:after="0"/>
        <w:tabs>
          <w:tab w:leader="none" w:pos="4480" w:val="left"/>
        </w:tabs>
        <w:numPr>
          <w:ilvl w:val="2"/>
          <w:numId w:val="193"/>
        </w:numPr>
        <w:rPr>
          <w:rFonts w:ascii="Times New Roman" w:cs="Times New Roman" w:eastAsia="Times New Roman" w:hAnsi="Times New Roman"/>
          <w:sz w:val="20"/>
          <w:szCs w:val="20"/>
          <w:color w:val="2251A3"/>
        </w:rPr>
      </w:pPr>
      <w:r>
        <w:rPr>
          <w:rFonts w:ascii="Times New Roman" w:cs="Times New Roman" w:eastAsia="Times New Roman" w:hAnsi="Times New Roman"/>
          <w:sz w:val="20"/>
          <w:szCs w:val="20"/>
          <w:color w:val="231F20"/>
        </w:rPr>
        <w:t>Dispositions of equipment or real property to the extent that</w:t>
      </w:r>
    </w:p>
    <w:p>
      <w:pPr>
        <w:spacing w:after="0" w:line="21" w:lineRule="exact"/>
        <w:rPr>
          <w:rFonts w:ascii="Times New Roman" w:cs="Times New Roman" w:eastAsia="Times New Roman" w:hAnsi="Times New Roman"/>
          <w:sz w:val="20"/>
          <w:szCs w:val="20"/>
          <w:color w:val="2251A3"/>
        </w:rPr>
      </w:pPr>
    </w:p>
    <w:p>
      <w:pPr>
        <w:jc w:val="both"/>
        <w:ind w:left="2240" w:right="300" w:hanging="6"/>
        <w:spacing w:after="0" w:line="242" w:lineRule="auto"/>
        <w:tabs>
          <w:tab w:leader="none" w:pos="2571" w:val="left"/>
        </w:tabs>
        <w:numPr>
          <w:ilvl w:val="1"/>
          <w:numId w:val="19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such property is exchanged for credit against the purchase price of similar replacement property or (B) the proceeds of such Disposition are reasonably promptly applied to the purchase price of such replacement property;</w:t>
      </w:r>
    </w:p>
    <w:p>
      <w:pPr>
        <w:spacing w:after="0" w:line="186" w:lineRule="exact"/>
        <w:rPr>
          <w:rFonts w:ascii="Times New Roman" w:cs="Times New Roman" w:eastAsia="Times New Roman" w:hAnsi="Times New Roman"/>
          <w:sz w:val="20"/>
          <w:szCs w:val="20"/>
          <w:color w:val="231F20"/>
        </w:rPr>
      </w:pPr>
    </w:p>
    <w:p>
      <w:pPr>
        <w:ind w:left="4040" w:hanging="308"/>
        <w:spacing w:after="0"/>
        <w:tabs>
          <w:tab w:leader="none" w:pos="4040" w:val="left"/>
        </w:tabs>
        <w:numPr>
          <w:ilvl w:val="2"/>
          <w:numId w:val="194"/>
        </w:numPr>
        <w:rPr>
          <w:rFonts w:ascii="Times New Roman" w:cs="Times New Roman" w:eastAsia="Times New Roman" w:hAnsi="Times New Roman"/>
          <w:sz w:val="20"/>
          <w:szCs w:val="20"/>
          <w:color w:val="2251A3"/>
        </w:rPr>
      </w:pPr>
      <w:r>
        <w:rPr>
          <w:rFonts w:ascii="Times New Roman" w:cs="Times New Roman" w:eastAsia="Times New Roman" w:hAnsi="Times New Roman"/>
          <w:sz w:val="20"/>
          <w:szCs w:val="20"/>
          <w:color w:val="231F20"/>
        </w:rPr>
        <w:t>Dispositions of property (A) by the Borrower or any Subsidiary to a Loan Party or</w:t>
      </w:r>
    </w:p>
    <w:p>
      <w:pPr>
        <w:spacing w:after="0" w:line="21" w:lineRule="exact"/>
        <w:rPr>
          <w:rFonts w:ascii="Times New Roman" w:cs="Times New Roman" w:eastAsia="Times New Roman" w:hAnsi="Times New Roman"/>
          <w:sz w:val="20"/>
          <w:szCs w:val="20"/>
          <w:color w:val="2251A3"/>
        </w:rPr>
      </w:pPr>
    </w:p>
    <w:p>
      <w:pPr>
        <w:jc w:val="both"/>
        <w:ind w:left="2240" w:right="300" w:hanging="6"/>
        <w:spacing w:after="0" w:line="241" w:lineRule="auto"/>
        <w:tabs>
          <w:tab w:leader="none" w:pos="2553" w:val="left"/>
        </w:tabs>
        <w:numPr>
          <w:ilvl w:val="1"/>
          <w:numId w:val="19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by any Subsidiary of Borrower that is not a Loan Party to Borrower or any of its Subsidiaries;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if such property is subject to any Lien under any Collateral Document prior to any such Disposition, such property shall remain subject to valid and perfected Liens under the Collateral Documents after such Disposition;</w:t>
      </w:r>
    </w:p>
    <w:p>
      <w:pPr>
        <w:spacing w:after="0" w:line="188" w:lineRule="exact"/>
        <w:rPr>
          <w:rFonts w:ascii="Times New Roman" w:cs="Times New Roman" w:eastAsia="Times New Roman" w:hAnsi="Times New Roman"/>
          <w:sz w:val="20"/>
          <w:szCs w:val="20"/>
          <w:color w:val="231F20"/>
        </w:rPr>
      </w:pPr>
    </w:p>
    <w:p>
      <w:pPr>
        <w:ind w:left="4480" w:hanging="748"/>
        <w:spacing w:after="0"/>
        <w:tabs>
          <w:tab w:leader="none" w:pos="4480" w:val="left"/>
        </w:tabs>
        <w:numPr>
          <w:ilvl w:val="2"/>
          <w:numId w:val="195"/>
        </w:numPr>
        <w:rPr>
          <w:rFonts w:ascii="Times New Roman" w:cs="Times New Roman" w:eastAsia="Times New Roman" w:hAnsi="Times New Roman"/>
          <w:sz w:val="20"/>
          <w:szCs w:val="20"/>
          <w:color w:val="2251A3"/>
        </w:rPr>
      </w:pPr>
      <w:r>
        <w:rPr>
          <w:rFonts w:ascii="Times New Roman" w:cs="Times New Roman" w:eastAsia="Times New Roman" w:hAnsi="Times New Roman"/>
          <w:sz w:val="20"/>
          <w:szCs w:val="20"/>
          <w:color w:val="231F20"/>
        </w:rPr>
        <w:t xml:space="preserve">Dispositions permitted by </w:t>
      </w:r>
      <w:r>
        <w:rPr>
          <w:rFonts w:ascii="Times New Roman" w:cs="Times New Roman" w:eastAsia="Times New Roman" w:hAnsi="Times New Roman"/>
          <w:sz w:val="20"/>
          <w:szCs w:val="20"/>
          <w:u w:val="single" w:color="auto"/>
          <w:color w:val="231F20"/>
        </w:rPr>
        <w:t>Sections 6.03</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6.04</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6.05(b)</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6.07</w:t>
      </w:r>
      <w:r>
        <w:rPr>
          <w:rFonts w:ascii="Times New Roman" w:cs="Times New Roman" w:eastAsia="Times New Roman" w:hAnsi="Times New Roman"/>
          <w:sz w:val="20"/>
          <w:szCs w:val="20"/>
          <w:color w:val="231F20"/>
        </w:rPr>
        <w:t xml:space="preserve"> and</w:t>
      </w:r>
    </w:p>
    <w:p>
      <w:pPr>
        <w:spacing w:after="0" w:line="2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u w:val="single" w:color="auto"/>
          <w:color w:val="231F20"/>
        </w:rPr>
        <w:t>6.08</w:t>
      </w:r>
      <w:r>
        <w:rPr>
          <w:rFonts w:ascii="Times New Roman" w:cs="Times New Roman" w:eastAsia="Times New Roman" w:hAnsi="Times New Roman"/>
          <w:sz w:val="20"/>
          <w:szCs w:val="20"/>
          <w:color w:val="231F20"/>
        </w:rPr>
        <w:t>;</w:t>
      </w:r>
    </w:p>
    <w:p>
      <w:pPr>
        <w:spacing w:after="0" w:line="194" w:lineRule="exact"/>
        <w:rPr>
          <w:sz w:val="20"/>
          <w:szCs w:val="20"/>
          <w:color w:val="auto"/>
        </w:rPr>
      </w:pPr>
    </w:p>
    <w:p>
      <w:pPr>
        <w:ind w:left="2240" w:right="280" w:firstLine="1498"/>
        <w:spacing w:after="0" w:line="269" w:lineRule="auto"/>
        <w:rPr>
          <w:sz w:val="20"/>
          <w:szCs w:val="20"/>
          <w:color w:val="auto"/>
        </w:rPr>
      </w:pPr>
      <w:r>
        <w:rPr>
          <w:rFonts w:ascii="Times New Roman" w:cs="Times New Roman" w:eastAsia="Times New Roman" w:hAnsi="Times New Roman"/>
          <w:sz w:val="20"/>
          <w:szCs w:val="20"/>
          <w:color w:val="2251A3"/>
        </w:rPr>
        <w:t>(vii)</w:t>
      </w:r>
      <w:r>
        <w:rPr>
          <w:rFonts w:ascii="Times New Roman" w:cs="Times New Roman" w:eastAsia="Times New Roman" w:hAnsi="Times New Roman"/>
          <w:sz w:val="20"/>
          <w:szCs w:val="20"/>
          <w:color w:val="231F20"/>
        </w:rPr>
        <w:t>Dispositions of overdue accounts receivable solely in connection with the collection</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or compromise thereof;</w:t>
      </w:r>
    </w:p>
    <w:p>
      <w:pPr>
        <w:spacing w:after="0" w:line="159" w:lineRule="exact"/>
        <w:rPr>
          <w:sz w:val="20"/>
          <w:szCs w:val="20"/>
          <w:color w:val="auto"/>
        </w:rPr>
      </w:pPr>
    </w:p>
    <w:p>
      <w:pPr>
        <w:ind w:left="2240" w:right="240" w:firstLine="1498"/>
        <w:spacing w:after="0" w:line="269" w:lineRule="auto"/>
        <w:rPr>
          <w:sz w:val="20"/>
          <w:szCs w:val="20"/>
          <w:color w:val="auto"/>
        </w:rPr>
      </w:pPr>
      <w:r>
        <w:rPr>
          <w:rFonts w:ascii="Times New Roman" w:cs="Times New Roman" w:eastAsia="Times New Roman" w:hAnsi="Times New Roman"/>
          <w:sz w:val="20"/>
          <w:szCs w:val="20"/>
          <w:color w:val="2251A3"/>
        </w:rPr>
        <w:t>(viii)</w:t>
      </w:r>
      <w:r>
        <w:rPr>
          <w:rFonts w:ascii="Times New Roman" w:cs="Times New Roman" w:eastAsia="Times New Roman" w:hAnsi="Times New Roman"/>
          <w:sz w:val="20"/>
          <w:szCs w:val="20"/>
          <w:color w:val="231F20"/>
        </w:rPr>
        <w:t>Dispositions pursuant to operating leases (not in connection with any sale and</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leaseback transactions or other Capital Lease Obligations) entered into in the ordinary course of business;</w:t>
      </w:r>
    </w:p>
    <w:p>
      <w:pPr>
        <w:spacing w:after="0" w:line="159" w:lineRule="exact"/>
        <w:rPr>
          <w:sz w:val="20"/>
          <w:szCs w:val="20"/>
          <w:color w:val="auto"/>
        </w:rPr>
      </w:pPr>
    </w:p>
    <w:p>
      <w:pPr>
        <w:ind w:left="4480" w:hanging="748"/>
        <w:spacing w:after="0"/>
        <w:tabs>
          <w:tab w:leader="none" w:pos="4480" w:val="left"/>
        </w:tabs>
        <w:numPr>
          <w:ilvl w:val="0"/>
          <w:numId w:val="196"/>
        </w:numPr>
        <w:rPr>
          <w:rFonts w:ascii="Times New Roman" w:cs="Times New Roman" w:eastAsia="Times New Roman" w:hAnsi="Times New Roman"/>
          <w:sz w:val="20"/>
          <w:szCs w:val="20"/>
          <w:color w:val="2251A3"/>
        </w:rPr>
      </w:pPr>
      <w:r>
        <w:rPr>
          <w:rFonts w:ascii="Times New Roman" w:cs="Times New Roman" w:eastAsia="Times New Roman" w:hAnsi="Times New Roman"/>
          <w:sz w:val="20"/>
          <w:szCs w:val="20"/>
          <w:color w:val="231F20"/>
        </w:rPr>
        <w:t>Dispositions of property and assets subject to condemnation and</w:t>
      </w:r>
    </w:p>
    <w:p>
      <w:pPr>
        <w:spacing w:after="0" w:line="2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231F20"/>
        </w:rPr>
        <w:t>casualty events;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291" w:right="479" w:bottom="1440" w:gutter="0" w:footer="0" w:header="0"/>
        </w:sectPr>
      </w:pPr>
    </w:p>
    <w:bookmarkStart w:id="232" w:name="page233"/>
    <w:bookmarkEnd w:id="232"/>
    <w:p>
      <w:pPr>
        <w:ind w:left="4480" w:hanging="748"/>
        <w:spacing w:after="0"/>
        <w:tabs>
          <w:tab w:leader="none" w:pos="4480" w:val="left"/>
        </w:tabs>
        <w:numPr>
          <w:ilvl w:val="0"/>
          <w:numId w:val="197"/>
        </w:numPr>
        <w:rPr>
          <w:rFonts w:ascii="Times New Roman" w:cs="Times New Roman" w:eastAsia="Times New Roman" w:hAnsi="Times New Roman"/>
          <w:sz w:val="20"/>
          <w:szCs w:val="20"/>
          <w:color w:val="2251A3"/>
        </w:rPr>
      </w:pPr>
      <w:r>
        <w:rPr>
          <w:rFonts w:ascii="Times New Roman" w:cs="Times New Roman" w:eastAsia="Times New Roman" w:hAnsi="Times New Roman"/>
          <w:sz w:val="20"/>
          <w:szCs w:val="20"/>
          <w:color w:val="231F20"/>
        </w:rPr>
        <w:t>Dispositions of cash and Cash Equivalents in the ordinary course</w:t>
      </w:r>
    </w:p>
    <w:p>
      <w:pPr>
        <w:spacing w:after="0" w:line="2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231F20"/>
        </w:rPr>
        <w:t xml:space="preserve">of business; </w:t>
      </w:r>
      <w:r>
        <w:rPr>
          <w:rFonts w:ascii="Times New Roman" w:cs="Times New Roman" w:eastAsia="Times New Roman" w:hAnsi="Times New Roman"/>
          <w:sz w:val="20"/>
          <w:szCs w:val="20"/>
          <w:color w:val="ED1C24"/>
          <w:strike w:val="1"/>
        </w:rPr>
        <w:t>and</w:t>
      </w:r>
    </w:p>
    <w:p>
      <w:pPr>
        <w:spacing w:after="0" w:line="194" w:lineRule="exact"/>
        <w:rPr>
          <w:sz w:val="20"/>
          <w:szCs w:val="20"/>
          <w:color w:val="auto"/>
        </w:rPr>
      </w:pPr>
    </w:p>
    <w:p>
      <w:pPr>
        <w:jc w:val="both"/>
        <w:ind w:left="2240" w:right="60" w:firstLine="1492"/>
        <w:spacing w:after="0" w:line="244" w:lineRule="auto"/>
        <w:tabs>
          <w:tab w:leader="none" w:pos="4051" w:val="left"/>
        </w:tabs>
        <w:numPr>
          <w:ilvl w:val="0"/>
          <w:numId w:val="198"/>
        </w:numPr>
        <w:rPr>
          <w:rFonts w:ascii="Times New Roman" w:cs="Times New Roman" w:eastAsia="Times New Roman" w:hAnsi="Times New Roman"/>
          <w:sz w:val="20"/>
          <w:szCs w:val="20"/>
          <w:color w:val="2251A3"/>
        </w:rPr>
      </w:pPr>
      <w:r>
        <w:rPr>
          <w:rFonts w:ascii="Times New Roman" w:cs="Times New Roman" w:eastAsia="Times New Roman" w:hAnsi="Times New Roman"/>
          <w:sz w:val="20"/>
          <w:szCs w:val="20"/>
          <w:color w:val="231F20"/>
        </w:rPr>
        <w:t xml:space="preserve">Dispositions by Borrower and any Subsidiary not otherwise permitted under this Section 6.05(a); provided, that (A) at the time of such Disposition, no Default shall exist or would result from such Disposition, (B) such Disposition is made for fair market value and (C) the aggregate fair market value or book value of all property Disposed of in reliance on this </w:t>
      </w:r>
      <w:r>
        <w:rPr>
          <w:rFonts w:ascii="Times New Roman" w:cs="Times New Roman" w:eastAsia="Times New Roman" w:hAnsi="Times New Roman"/>
          <w:sz w:val="20"/>
          <w:szCs w:val="20"/>
          <w:u w:val="single" w:color="auto"/>
          <w:color w:val="231F20"/>
        </w:rPr>
        <w:t>subclause (xi)</w:t>
      </w:r>
      <w:r>
        <w:rPr>
          <w:rFonts w:ascii="Times New Roman" w:cs="Times New Roman" w:eastAsia="Times New Roman" w:hAnsi="Times New Roman"/>
          <w:sz w:val="20"/>
          <w:szCs w:val="20"/>
          <w:color w:val="231F20"/>
        </w:rPr>
        <w:t xml:space="preserve"> in any fiscal year shall not exceed</w:t>
      </w:r>
    </w:p>
    <w:p>
      <w:pPr>
        <w:ind w:left="2240"/>
        <w:spacing w:after="0"/>
        <w:rPr>
          <w:rFonts w:ascii="Times New Roman" w:cs="Times New Roman" w:eastAsia="Times New Roman" w:hAnsi="Times New Roman"/>
          <w:sz w:val="20"/>
          <w:szCs w:val="20"/>
          <w:color w:val="2251A3"/>
        </w:rPr>
      </w:pPr>
      <w:r>
        <w:rPr>
          <w:rFonts w:ascii="Times New Roman" w:cs="Times New Roman" w:eastAsia="Times New Roman" w:hAnsi="Times New Roman"/>
          <w:sz w:val="20"/>
          <w:szCs w:val="20"/>
          <w:color w:val="231F20"/>
        </w:rPr>
        <w:t>$5.0 million;</w:t>
      </w:r>
    </w:p>
    <w:p>
      <w:pPr>
        <w:spacing w:after="0" w:line="194" w:lineRule="exact"/>
        <w:rPr>
          <w:sz w:val="20"/>
          <w:szCs w:val="20"/>
          <w:color w:val="auto"/>
        </w:rPr>
      </w:pPr>
    </w:p>
    <w:p>
      <w:pPr>
        <w:ind w:left="2240" w:firstLine="1498"/>
        <w:spacing w:after="0" w:line="269" w:lineRule="auto"/>
        <w:rPr>
          <w:sz w:val="20"/>
          <w:szCs w:val="20"/>
          <w:color w:val="auto"/>
        </w:rPr>
      </w:pPr>
      <w:r>
        <w:rPr>
          <w:rFonts w:ascii="Times New Roman" w:cs="Times New Roman" w:eastAsia="Times New Roman" w:hAnsi="Times New Roman"/>
          <w:sz w:val="20"/>
          <w:szCs w:val="20"/>
          <w:color w:val="2251A3"/>
        </w:rPr>
        <w:t>(xii)</w:t>
      </w:r>
      <w:r>
        <w:rPr>
          <w:rFonts w:ascii="Times New Roman" w:cs="Times New Roman" w:eastAsia="Times New Roman" w:hAnsi="Times New Roman"/>
          <w:sz w:val="20"/>
          <w:szCs w:val="20"/>
          <w:u w:val="single" w:color="auto"/>
          <w:color w:val="2251A3"/>
        </w:rPr>
        <w:t>Dispositions in connection with Permitted Call Hedging Agreements or Permitted</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u w:val="single" w:color="auto"/>
          <w:color w:val="2251A3"/>
        </w:rPr>
        <w:t>Warrant Transactions;</w:t>
      </w:r>
    </w:p>
    <w:p>
      <w:pPr>
        <w:spacing w:after="0" w:line="159" w:lineRule="exact"/>
        <w:rPr>
          <w:sz w:val="20"/>
          <w:szCs w:val="20"/>
          <w:color w:val="auto"/>
        </w:rPr>
      </w:pPr>
    </w:p>
    <w:p>
      <w:pPr>
        <w:ind w:left="2240" w:right="300" w:firstLine="1498"/>
        <w:spacing w:after="0" w:line="269" w:lineRule="auto"/>
        <w:rPr>
          <w:sz w:val="20"/>
          <w:szCs w:val="20"/>
          <w:color w:val="auto"/>
        </w:rPr>
      </w:pPr>
      <w:r>
        <w:rPr>
          <w:rFonts w:ascii="Times New Roman" w:cs="Times New Roman" w:eastAsia="Times New Roman" w:hAnsi="Times New Roman"/>
          <w:sz w:val="20"/>
          <w:szCs w:val="20"/>
          <w:color w:val="2251A3"/>
        </w:rPr>
        <w:t>(xiii)</w:t>
      </w:r>
      <w:r>
        <w:rPr>
          <w:rFonts w:ascii="Times New Roman" w:cs="Times New Roman" w:eastAsia="Times New Roman" w:hAnsi="Times New Roman"/>
          <w:sz w:val="20"/>
          <w:szCs w:val="20"/>
          <w:u w:val="single" w:color="auto"/>
          <w:color w:val="2251A3"/>
        </w:rPr>
        <w:t>Dispositions in connection with any Convertible Debt or any Guarantees thereof</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u w:val="single" w:color="auto"/>
          <w:color w:val="2251A3"/>
        </w:rPr>
        <w:t>permitted by Section 6.01; and</w:t>
      </w:r>
    </w:p>
    <w:p>
      <w:pPr>
        <w:spacing w:after="0" w:line="15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2251A3"/>
        </w:rPr>
        <w:t>(xiv)</w:t>
      </w:r>
      <w:r>
        <w:rPr>
          <w:rFonts w:ascii="Times New Roman" w:cs="Times New Roman" w:eastAsia="Times New Roman" w:hAnsi="Times New Roman"/>
          <w:sz w:val="19"/>
          <w:szCs w:val="19"/>
          <w:u w:val="single" w:color="auto"/>
          <w:color w:val="2251A3"/>
        </w:rPr>
        <w:t>Dispositions in connection with any Swap Agreement permitted under Section 6.06.</w:t>
      </w:r>
    </w:p>
    <w:p>
      <w:pPr>
        <w:spacing w:after="0" w:line="227" w:lineRule="exact"/>
        <w:rPr>
          <w:sz w:val="20"/>
          <w:szCs w:val="20"/>
          <w:color w:val="auto"/>
        </w:rPr>
      </w:pPr>
    </w:p>
    <w:p>
      <w:pPr>
        <w:jc w:val="both"/>
        <w:ind w:left="740" w:right="40"/>
        <w:spacing w:after="0" w:line="249" w:lineRule="auto"/>
        <w:rPr>
          <w:sz w:val="20"/>
          <w:szCs w:val="20"/>
          <w:color w:val="auto"/>
        </w:rPr>
      </w:pP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however</w:t>
      </w:r>
      <w:r>
        <w:rPr>
          <w:rFonts w:ascii="Times New Roman" w:cs="Times New Roman" w:eastAsia="Times New Roman" w:hAnsi="Times New Roman"/>
          <w:sz w:val="20"/>
          <w:szCs w:val="20"/>
          <w:color w:val="231F20"/>
        </w:rPr>
        <w:t xml:space="preserve">, that any Disposition pursuant to </w:t>
      </w:r>
      <w:r>
        <w:rPr>
          <w:rFonts w:ascii="Times New Roman" w:cs="Times New Roman" w:eastAsia="Times New Roman" w:hAnsi="Times New Roman"/>
          <w:sz w:val="20"/>
          <w:szCs w:val="20"/>
          <w:u w:val="single" w:color="auto"/>
          <w:color w:val="231F20"/>
        </w:rPr>
        <w:t>Section 6.05(a)(i)</w:t>
      </w:r>
      <w:r>
        <w:rPr>
          <w:rFonts w:ascii="Times New Roman" w:cs="Times New Roman" w:eastAsia="Times New Roman" w:hAnsi="Times New Roman"/>
          <w:sz w:val="20"/>
          <w:szCs w:val="20"/>
          <w:color w:val="231F20"/>
        </w:rPr>
        <w:t xml:space="preserve"> through </w:t>
      </w:r>
      <w:r>
        <w:rPr>
          <w:rFonts w:ascii="Times New Roman" w:cs="Times New Roman" w:eastAsia="Times New Roman" w:hAnsi="Times New Roman"/>
          <w:sz w:val="20"/>
          <w:szCs w:val="20"/>
          <w:u w:val="single" w:color="auto"/>
          <w:color w:val="231F20"/>
        </w:rPr>
        <w:t>(a)(iv)</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Section 6.05(a)(vi)</w:t>
      </w:r>
      <w:r>
        <w:rPr>
          <w:rFonts w:ascii="Times New Roman" w:cs="Times New Roman" w:eastAsia="Times New Roman" w:hAnsi="Times New Roman"/>
          <w:sz w:val="20"/>
          <w:szCs w:val="20"/>
          <w:color w:val="231F20"/>
        </w:rPr>
        <w:t xml:space="preserve"> (except insofar as it relates to any transaction solely between the Borrower and any Subsidiary or </w:t>
      </w:r>
      <w:r>
        <w:rPr>
          <w:rFonts w:ascii="Times New Roman" w:cs="Times New Roman" w:eastAsia="Times New Roman" w:hAnsi="Times New Roman"/>
          <w:sz w:val="20"/>
          <w:szCs w:val="20"/>
          <w:u w:val="single" w:color="auto"/>
          <w:color w:val="231F20"/>
        </w:rPr>
        <w:t>Section 6.07</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Section 6.05(a)(vii)</w:t>
      </w:r>
      <w:r>
        <w:rPr>
          <w:rFonts w:ascii="Times New Roman" w:cs="Times New Roman" w:eastAsia="Times New Roman" w:hAnsi="Times New Roman"/>
          <w:sz w:val="20"/>
          <w:szCs w:val="20"/>
          <w:color w:val="231F20"/>
        </w:rPr>
        <w:t xml:space="preserve"> (except to the extent determined by the applicable Person making such Disposition in good faith to be appropriate in accordance with its usual practice) and </w:t>
      </w:r>
      <w:r>
        <w:rPr>
          <w:rFonts w:ascii="Times New Roman" w:cs="Times New Roman" w:eastAsia="Times New Roman" w:hAnsi="Times New Roman"/>
          <w:sz w:val="20"/>
          <w:szCs w:val="20"/>
          <w:u w:val="single" w:color="auto"/>
          <w:color w:val="231F20"/>
        </w:rPr>
        <w:t>Section 6.05(a)(xi)</w:t>
      </w:r>
      <w:r>
        <w:rPr>
          <w:rFonts w:ascii="Times New Roman" w:cs="Times New Roman" w:eastAsia="Times New Roman" w:hAnsi="Times New Roman"/>
          <w:sz w:val="20"/>
          <w:szCs w:val="20"/>
          <w:color w:val="231F20"/>
        </w:rPr>
        <w:t xml:space="preserve"> shall be for fair market value.</w:t>
      </w:r>
    </w:p>
    <w:p>
      <w:pPr>
        <w:spacing w:after="0" w:line="180" w:lineRule="exact"/>
        <w:rPr>
          <w:sz w:val="20"/>
          <w:szCs w:val="20"/>
          <w:color w:val="auto"/>
        </w:rPr>
      </w:pPr>
    </w:p>
    <w:p>
      <w:pPr>
        <w:jc w:val="both"/>
        <w:ind w:left="740" w:right="60" w:firstLine="745"/>
        <w:spacing w:after="0" w:line="244" w:lineRule="auto"/>
        <w:tabs>
          <w:tab w:leader="none" w:pos="2005" w:val="left"/>
        </w:tabs>
        <w:numPr>
          <w:ilvl w:val="0"/>
          <w:numId w:val="19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Loan Party will, nor will it permit any Subsidiary to, enter into any arrangement, directly or indirectly, whereby it shall sell or transfer any owned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newly acquired fixed or capital assets by the Borrower or any Subsidiary that is made for cash consideration in an amount not less than the purchase price of such fixed or capital asset and is consummated within ninety (90) days after the completion of the acquisition or construction of such fixed or capital asset.</w:t>
      </w:r>
    </w:p>
    <w:p>
      <w:pPr>
        <w:spacing w:after="0" w:line="186"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color w:val="231F20"/>
        </w:rPr>
        <w:t xml:space="preserve">SECTION 6.06 </w:t>
      </w:r>
      <w:r>
        <w:rPr>
          <w:rFonts w:ascii="Times New Roman" w:cs="Times New Roman" w:eastAsia="Times New Roman" w:hAnsi="Times New Roman"/>
          <w:sz w:val="20"/>
          <w:szCs w:val="20"/>
          <w:u w:val="single" w:color="auto"/>
          <w:color w:val="231F20"/>
        </w:rPr>
        <w:t>Swap Agreements</w:t>
      </w:r>
      <w:r>
        <w:rPr>
          <w:rFonts w:ascii="Times New Roman" w:cs="Times New Roman" w:eastAsia="Times New Roman" w:hAnsi="Times New Roman"/>
          <w:sz w:val="20"/>
          <w:szCs w:val="20"/>
          <w:color w:val="231F20"/>
        </w:rPr>
        <w:t>. No Loan Party will, nor will it permit any Subsidiary to, enter into any Swap Agreement</w:t>
      </w:r>
      <w:r>
        <w:rPr>
          <w:rFonts w:ascii="Times New Roman" w:cs="Times New Roman" w:eastAsia="Times New Roman" w:hAnsi="Times New Roman"/>
          <w:sz w:val="20"/>
          <w:szCs w:val="20"/>
          <w:color w:val="ED1C24"/>
          <w:strike w:val="1"/>
        </w:rPr>
        <w:t>, except (a) Swap Agreements entered into to hedge or mitigate risks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ED1C24"/>
        </w:rPr>
        <w:t>(including foreign currency exchange risks) to</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ED1C24"/>
        </w:rPr>
        <w:t xml:space="preserve">which the Borrower or any Subsidiary has actual or reasonably anticipated exposure (other than those in respect of Equity Interests of the Borrower or any of its Subsidiaries), and (b) Swap Agreements entered into in order to effectively cap, collar or exchange interest rates (from fixed to floating rates, from one floating rate to another floating rate or otherwise) </w:t>
      </w:r>
      <w:r>
        <w:rPr>
          <w:rFonts w:ascii="Times New Roman" w:cs="Times New Roman" w:eastAsia="Times New Roman" w:hAnsi="Times New Roman"/>
          <w:sz w:val="20"/>
          <w:szCs w:val="20"/>
          <w:color w:val="ED1C24"/>
          <w:strike w:val="1"/>
        </w:rPr>
        <w:t>with respect to</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ED1C24"/>
          <w:strike w:val="1"/>
        </w:rPr>
        <w:t>any interest-bearing liability or investment of the Borrower or any Subsidiary.</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u w:val="single" w:color="auto"/>
          <w:color w:val="2251A3"/>
        </w:rPr>
        <w:t>for</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2251A3"/>
        </w:rPr>
        <w:t>speculative purposes (it being agreed that,</w:t>
      </w:r>
      <w:r>
        <w:rPr>
          <w:rFonts w:ascii="Times New Roman" w:cs="Times New Roman" w:eastAsia="Times New Roman" w:hAnsi="Times New Roman"/>
          <w:sz w:val="20"/>
          <w:szCs w:val="20"/>
          <w:color w:val="ED1C24"/>
        </w:rPr>
        <w:t xml:space="preserve"> </w:t>
      </w:r>
      <w:r>
        <w:rPr>
          <w:rFonts w:ascii="Times New Roman" w:cs="Times New Roman" w:eastAsia="Times New Roman" w:hAnsi="Times New Roman"/>
          <w:sz w:val="20"/>
          <w:szCs w:val="20"/>
          <w:color w:val="2251A3"/>
        </w:rPr>
        <w:t xml:space="preserve">for the avoidance of doubt, Permitted Call Hedging </w:t>
      </w:r>
      <w:r>
        <w:rPr>
          <w:rFonts w:ascii="Times New Roman" w:cs="Times New Roman" w:eastAsia="Times New Roman" w:hAnsi="Times New Roman"/>
          <w:sz w:val="20"/>
          <w:szCs w:val="20"/>
          <w:u w:val="single" w:color="auto"/>
          <w:color w:val="2251A3"/>
        </w:rPr>
        <w:t>Agreements and Permitted Warrant Transactions are not “for speculative</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u w:val="single" w:color="auto"/>
          <w:color w:val="2251A3"/>
        </w:rPr>
        <w:t>purposes” for this purpose).</w:t>
      </w:r>
    </w:p>
    <w:p>
      <w:pPr>
        <w:spacing w:after="0" w:line="189"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6.07</w:t>
      </w:r>
      <w:r>
        <w:rPr>
          <w:sz w:val="20"/>
          <w:szCs w:val="20"/>
          <w:color w:val="auto"/>
        </w:rPr>
        <w:tab/>
      </w:r>
      <w:r>
        <w:rPr>
          <w:rFonts w:ascii="Times New Roman" w:cs="Times New Roman" w:eastAsia="Times New Roman" w:hAnsi="Times New Roman"/>
          <w:sz w:val="19"/>
          <w:szCs w:val="19"/>
          <w:u w:val="single" w:color="auto"/>
          <w:color w:val="231F20"/>
        </w:rPr>
        <w:t>Restricted Payments; Prepayments of Junior Debt</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ind w:left="740" w:right="60" w:firstLine="745"/>
        <w:spacing w:after="0" w:line="269" w:lineRule="auto"/>
        <w:tabs>
          <w:tab w:leader="none" w:pos="2005" w:val="left"/>
        </w:tabs>
        <w:numPr>
          <w:ilvl w:val="0"/>
          <w:numId w:val="20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Loan Party will, nor will it permit any Subsidiary to, declare or make, or agree to pay or make, directly or indirectly, any Restricted Payment, or incur any obligation (contingent or otherwise) to do so, except:</w:t>
      </w:r>
    </w:p>
    <w:p>
      <w:pPr>
        <w:spacing w:after="0" w:line="159" w:lineRule="exact"/>
        <w:rPr>
          <w:rFonts w:ascii="Times New Roman" w:cs="Times New Roman" w:eastAsia="Times New Roman" w:hAnsi="Times New Roman"/>
          <w:sz w:val="20"/>
          <w:szCs w:val="20"/>
          <w:color w:val="231F20"/>
        </w:rPr>
      </w:pPr>
    </w:p>
    <w:p>
      <w:pPr>
        <w:ind w:left="2240" w:right="260" w:firstLine="1492"/>
        <w:spacing w:after="0" w:line="269" w:lineRule="auto"/>
        <w:tabs>
          <w:tab w:leader="none" w:pos="4051" w:val="left"/>
        </w:tabs>
        <w:numPr>
          <w:ilvl w:val="1"/>
          <w:numId w:val="20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the Borrower may declare and pay dividends with respect to its common stock payable solely in additional shares of its common stock, and, with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33" w:name="page234"/>
    <w:bookmarkEnd w:id="233"/>
    <w:p>
      <w:pPr>
        <w:jc w:val="both"/>
        <w:ind w:left="2240" w:right="60"/>
        <w:spacing w:after="0" w:line="254" w:lineRule="auto"/>
        <w:rPr>
          <w:sz w:val="20"/>
          <w:szCs w:val="20"/>
          <w:color w:val="auto"/>
        </w:rPr>
      </w:pPr>
      <w:r>
        <w:rPr>
          <w:rFonts w:ascii="Times New Roman" w:cs="Times New Roman" w:eastAsia="Times New Roman" w:hAnsi="Times New Roman"/>
          <w:sz w:val="20"/>
          <w:szCs w:val="20"/>
          <w:color w:val="231F20"/>
        </w:rPr>
        <w:t>respect to its preferred stock (other than Disqualified Equity Interests), payable solely in additional shares of such preferred stock or in shares of its common stock, and (B) Subsidiaries may declare and pay dividends ratably with respect to their Equity Interests;</w:t>
      </w:r>
    </w:p>
    <w:p>
      <w:pPr>
        <w:spacing w:after="0" w:line="174" w:lineRule="exact"/>
        <w:rPr>
          <w:sz w:val="20"/>
          <w:szCs w:val="20"/>
          <w:color w:val="auto"/>
        </w:rPr>
      </w:pPr>
    </w:p>
    <w:p>
      <w:pPr>
        <w:jc w:val="both"/>
        <w:ind w:left="2240" w:firstLine="1492"/>
        <w:spacing w:after="0" w:line="245" w:lineRule="auto"/>
        <w:tabs>
          <w:tab w:leader="none" w:pos="4053" w:val="left"/>
        </w:tabs>
        <w:numPr>
          <w:ilvl w:val="0"/>
          <w:numId w:val="20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Restricted Payments, so long as (A) no Event of Default has occurred and is continuing or would result therefrom, and (B) after giving effect to such Restricted Payment (including the incurrence, assumption or acquisition of any Indebtedness in connection therewith) the Borrower shall be in pro forma compliance with a Consolidated Total Net Leverage Ratio of not more than 2.75 to 1.00 for the most recently ended Reference Period </w:t>
      </w:r>
      <w:r>
        <w:rPr>
          <w:rFonts w:ascii="Times New Roman" w:cs="Times New Roman" w:eastAsia="Times New Roman" w:hAnsi="Times New Roman"/>
          <w:sz w:val="20"/>
          <w:szCs w:val="20"/>
          <w:color w:val="ED1C24"/>
        </w:rPr>
        <w:t>and the Borrower shall have delivered to 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ED1C24"/>
          <w:strike w:val="1"/>
        </w:rPr>
        <w:t>Administrative Agent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ED1C24"/>
          <w:strike w:val="1"/>
        </w:rPr>
        <w:t>reasonably detailed calculations demonstrating such compliance</w:t>
      </w:r>
      <w:r>
        <w:rPr>
          <w:rFonts w:ascii="Times New Roman" w:cs="Times New Roman" w:eastAsia="Times New Roman" w:hAnsi="Times New Roman"/>
          <w:sz w:val="20"/>
          <w:szCs w:val="20"/>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-227965</wp:posOffset>
            </wp:positionV>
            <wp:extent cx="237807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378075" cy="8890"/>
                    </a:xfrm>
                    <a:prstGeom prst="rect">
                      <a:avLst/>
                    </a:prstGeom>
                    <a:noFill/>
                  </pic:spPr>
                </pic:pic>
              </a:graphicData>
            </a:graphic>
          </wp:anchor>
        </w:drawing>
      </w:r>
    </w:p>
    <w:p>
      <w:pPr>
        <w:spacing w:after="0" w:line="164" w:lineRule="exact"/>
        <w:rPr>
          <w:sz w:val="20"/>
          <w:szCs w:val="20"/>
          <w:color w:val="auto"/>
        </w:rPr>
      </w:pPr>
    </w:p>
    <w:p>
      <w:pPr>
        <w:ind w:left="2240" w:right="60" w:firstLine="1498"/>
        <w:spacing w:after="0" w:line="269" w:lineRule="auto"/>
        <w:rPr>
          <w:sz w:val="20"/>
          <w:szCs w:val="20"/>
          <w:color w:val="auto"/>
        </w:rPr>
      </w:pPr>
      <w:r>
        <w:rPr>
          <w:rFonts w:ascii="Times New Roman" w:cs="Times New Roman" w:eastAsia="Times New Roman" w:hAnsi="Times New Roman"/>
          <w:sz w:val="20"/>
          <w:szCs w:val="20"/>
          <w:color w:val="231F20"/>
        </w:rPr>
        <w:t xml:space="preserve">(iii)issuances of Equity Interests (other than Disqualified Equity Interests) to sellers of Permitted Acquisitions in satisfaction of obligations of the type described in </w:t>
      </w:r>
      <w:r>
        <w:rPr>
          <w:rFonts w:ascii="Times New Roman" w:cs="Times New Roman" w:eastAsia="Times New Roman" w:hAnsi="Times New Roman"/>
          <w:sz w:val="20"/>
          <w:szCs w:val="20"/>
          <w:u w:val="single" w:color="auto"/>
          <w:color w:val="231F20"/>
        </w:rPr>
        <w:t>Section 6.01(j)</w:t>
      </w:r>
      <w:r>
        <w:rPr>
          <w:rFonts w:ascii="Times New Roman" w:cs="Times New Roman" w:eastAsia="Times New Roman" w:hAnsi="Times New Roman"/>
          <w:sz w:val="20"/>
          <w:szCs w:val="20"/>
          <w:color w:val="231F20"/>
        </w:rPr>
        <w:t>;</w:t>
      </w:r>
    </w:p>
    <w:p>
      <w:pPr>
        <w:spacing w:after="0" w:line="159" w:lineRule="exact"/>
        <w:rPr>
          <w:sz w:val="20"/>
          <w:szCs w:val="20"/>
          <w:color w:val="auto"/>
        </w:rPr>
      </w:pPr>
    </w:p>
    <w:p>
      <w:pPr>
        <w:jc w:val="both"/>
        <w:ind w:left="2240" w:firstLine="1492"/>
        <w:spacing w:after="0" w:line="243" w:lineRule="auto"/>
        <w:tabs>
          <w:tab w:leader="none" w:pos="4053" w:val="left"/>
        </w:tabs>
        <w:numPr>
          <w:ilvl w:val="1"/>
          <w:numId w:val="20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ED1C24"/>
          <w:strike w:val="1"/>
        </w:rPr>
        <w:t>[reserved];</w:t>
      </w:r>
      <w:r>
        <w:rPr>
          <w:rFonts w:ascii="Times New Roman" w:cs="Times New Roman" w:eastAsia="Times New Roman" w:hAnsi="Times New Roman"/>
          <w:sz w:val="20"/>
          <w:szCs w:val="20"/>
          <w:u w:val="single" w:color="auto"/>
          <w:color w:val="2251A3"/>
          <w:strike w:val="1"/>
        </w:rPr>
        <w:t>so long as (A) no Event of Default has occurred and is continuing or</w:t>
      </w:r>
      <w:r>
        <w:rPr>
          <w:rFonts w:ascii="Times New Roman" w:cs="Times New Roman" w:eastAsia="Times New Roman" w:hAnsi="Times New Roman"/>
          <w:sz w:val="20"/>
          <w:szCs w:val="20"/>
          <w:color w:val="ED1C24"/>
          <w:strike w:val="1"/>
        </w:rPr>
        <w:t xml:space="preserve"> </w:t>
      </w:r>
      <w:r>
        <w:rPr>
          <w:rFonts w:ascii="Times New Roman" w:cs="Times New Roman" w:eastAsia="Times New Roman" w:hAnsi="Times New Roman"/>
          <w:sz w:val="20"/>
          <w:szCs w:val="20"/>
          <w:u w:val="single" w:color="auto"/>
          <w:color w:val="2251A3"/>
          <w:strike w:val="1"/>
        </w:rPr>
        <w:t>would result therefrom, (B) the Liquidity of the Borrower and any other Loan Party immediately prior to the making of such Restricted Payment and after giving pro forma effect thereto is no less than $100.0 million, (C) after giving effect to such Restricted Payment (including the incurrence, assumption or acquisition of any Indebtedness in connection therewith), the Borrower shall be in compliance with the Financial Covenants for the most recently ended Reference Period, calculated on a pro forma basis as if such Restricted Payment had been consummated at the beginning of such Reference Period, and (D) the Borrower shall have delivered to the Administrative Agent reasonably detailed calculations demonstrating compliance with clauses (B) and</w:t>
      </w:r>
    </w:p>
    <w:p>
      <w:pPr>
        <w:spacing w:after="0" w:line="185" w:lineRule="exact"/>
        <w:rPr>
          <w:rFonts w:ascii="Times New Roman" w:cs="Times New Roman" w:eastAsia="Times New Roman" w:hAnsi="Times New Roman"/>
          <w:sz w:val="20"/>
          <w:szCs w:val="20"/>
          <w:color w:val="231F20"/>
        </w:rPr>
      </w:pPr>
    </w:p>
    <w:p>
      <w:pPr>
        <w:ind w:left="2540" w:hanging="306"/>
        <w:spacing w:after="0"/>
        <w:tabs>
          <w:tab w:leader="none" w:pos="2540" w:val="left"/>
        </w:tabs>
        <w:numPr>
          <w:ilvl w:val="0"/>
          <w:numId w:val="203"/>
        </w:numPr>
        <w:rPr>
          <w:rFonts w:ascii="Times New Roman" w:cs="Times New Roman" w:eastAsia="Times New Roman" w:hAnsi="Times New Roman"/>
          <w:sz w:val="20"/>
          <w:szCs w:val="20"/>
          <w:u w:val="single" w:color="auto"/>
          <w:color w:val="2251A3"/>
        </w:rPr>
      </w:pPr>
      <w:r>
        <w:rPr>
          <w:rFonts w:ascii="Times New Roman" w:cs="Times New Roman" w:eastAsia="Times New Roman" w:hAnsi="Times New Roman"/>
          <w:sz w:val="20"/>
          <w:szCs w:val="20"/>
          <w:u w:val="single" w:color="auto"/>
          <w:color w:val="2251A3"/>
        </w:rPr>
        <w:t>above, Restricted Payments in an aggregate amount not to exceed $20.0 million in any fiscal year;</w:t>
      </w:r>
    </w:p>
    <w:p>
      <w:pPr>
        <w:spacing w:after="0" w:line="202" w:lineRule="exact"/>
        <w:rPr>
          <w:rFonts w:ascii="Times New Roman" w:cs="Times New Roman" w:eastAsia="Times New Roman" w:hAnsi="Times New Roman"/>
          <w:sz w:val="20"/>
          <w:szCs w:val="20"/>
          <w:u w:val="single" w:color="auto"/>
          <w:color w:val="2251A3"/>
        </w:rPr>
      </w:pPr>
    </w:p>
    <w:p>
      <w:pPr>
        <w:ind w:left="2240" w:right="40" w:firstLine="1492"/>
        <w:spacing w:after="0" w:line="269" w:lineRule="auto"/>
        <w:tabs>
          <w:tab w:leader="none" w:pos="4051" w:val="left"/>
        </w:tabs>
        <w:numPr>
          <w:ilvl w:val="1"/>
          <w:numId w:val="20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Restricted Payment made in exchange for, or out of the proceeds of, the substantially concurrent issuance of Equity Interests (other than Disqualified Equity Interests);</w:t>
      </w:r>
    </w:p>
    <w:p>
      <w:pPr>
        <w:spacing w:after="0" w:line="155" w:lineRule="exact"/>
        <w:rPr>
          <w:rFonts w:ascii="Times New Roman" w:cs="Times New Roman" w:eastAsia="Times New Roman" w:hAnsi="Times New Roman"/>
          <w:sz w:val="20"/>
          <w:szCs w:val="20"/>
          <w:color w:val="231F20"/>
        </w:rPr>
      </w:pPr>
    </w:p>
    <w:p>
      <w:pPr>
        <w:jc w:val="both"/>
        <w:ind w:left="2240" w:right="60" w:firstLine="1492"/>
        <w:spacing w:after="0" w:line="256" w:lineRule="auto"/>
        <w:tabs>
          <w:tab w:leader="none" w:pos="4051" w:val="left"/>
        </w:tabs>
        <w:numPr>
          <w:ilvl w:val="1"/>
          <w:numId w:val="20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cash payment, </w:t>
      </w:r>
      <w:r>
        <w:rPr>
          <w:rFonts w:ascii="Times New Roman" w:cs="Times New Roman" w:eastAsia="Times New Roman" w:hAnsi="Times New Roman"/>
          <w:sz w:val="20"/>
          <w:szCs w:val="20"/>
          <w:i w:val="1"/>
          <w:iCs w:val="1"/>
          <w:color w:val="231F20"/>
        </w:rPr>
        <w:t>in lieu</w:t>
      </w:r>
      <w:r>
        <w:rPr>
          <w:rFonts w:ascii="Times New Roman" w:cs="Times New Roman" w:eastAsia="Times New Roman" w:hAnsi="Times New Roman"/>
          <w:sz w:val="20"/>
          <w:szCs w:val="20"/>
          <w:color w:val="231F20"/>
        </w:rPr>
        <w:t xml:space="preserve"> of issuance of fractional shares in connection with the exercise of warrants, options or other securities convertible into or exchangeable for the Equity Interests of the Borrower or a Subsidiary;</w:t>
      </w:r>
    </w:p>
    <w:p>
      <w:pPr>
        <w:spacing w:after="0" w:line="173" w:lineRule="exact"/>
        <w:rPr>
          <w:sz w:val="20"/>
          <w:szCs w:val="20"/>
          <w:color w:val="auto"/>
        </w:rPr>
      </w:pPr>
    </w:p>
    <w:p>
      <w:pPr>
        <w:jc w:val="both"/>
        <w:ind w:left="2240" w:right="20" w:firstLine="1498"/>
        <w:spacing w:after="0" w:line="245" w:lineRule="auto"/>
        <w:rPr>
          <w:sz w:val="20"/>
          <w:szCs w:val="20"/>
          <w:color w:val="auto"/>
        </w:rPr>
      </w:pPr>
      <w:r>
        <w:rPr>
          <w:rFonts w:ascii="Times New Roman" w:cs="Times New Roman" w:eastAsia="Times New Roman" w:hAnsi="Times New Roman"/>
          <w:sz w:val="20"/>
          <w:szCs w:val="20"/>
          <w:color w:val="231F20"/>
        </w:rPr>
        <w:t xml:space="preserve">(vii)repurchases of Equity Interests deemed to occur upon the exercise of stock options, warrants or other convertible or exchangeable securities if such Equity Interests represents a portion of the exercise, conversion or exchange price thereof and repurchases of Equity Interests deemed to occur upon the withholding of a portion of the Equity Interests granted or awarded to a current or former officer, director, employee or consultant to pay for the taxes payable by such Person upon such grant or award (or upon vesting thereof); </w:t>
      </w:r>
      <w:r>
        <w:rPr>
          <w:rFonts w:ascii="Times New Roman" w:cs="Times New Roman" w:eastAsia="Times New Roman" w:hAnsi="Times New Roman"/>
          <w:sz w:val="20"/>
          <w:szCs w:val="20"/>
          <w:color w:val="ED1C24"/>
          <w:strike w:val="1"/>
        </w:rPr>
        <w:t>and</w:t>
      </w:r>
    </w:p>
    <w:p>
      <w:pPr>
        <w:spacing w:after="0" w:line="184" w:lineRule="exact"/>
        <w:rPr>
          <w:sz w:val="20"/>
          <w:szCs w:val="20"/>
          <w:color w:val="auto"/>
        </w:rPr>
      </w:pPr>
    </w:p>
    <w:p>
      <w:pPr>
        <w:jc w:val="both"/>
        <w:ind w:left="2240" w:right="60" w:firstLine="1498"/>
        <w:spacing w:after="0" w:line="246" w:lineRule="auto"/>
        <w:rPr>
          <w:sz w:val="20"/>
          <w:szCs w:val="20"/>
          <w:color w:val="auto"/>
        </w:rPr>
      </w:pPr>
      <w:r>
        <w:rPr>
          <w:rFonts w:ascii="Times New Roman" w:cs="Times New Roman" w:eastAsia="Times New Roman" w:hAnsi="Times New Roman"/>
          <w:sz w:val="20"/>
          <w:szCs w:val="20"/>
          <w:color w:val="231F20"/>
        </w:rPr>
        <w:t xml:space="preserve">(viii)the Borrower may repurchase, redeem, retire or otherwise acquire for value Equity Interests (including any stock appreciation rights in respect thereof) of the Borrower from current or former employees, officers, directors or consultants;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the aggregate annual cash payments in respect of such repurchases, redemptions, retirements and acquisitions shall not exceed $5.0 million in any fiscal year</w:t>
      </w:r>
      <w:r>
        <w:rPr>
          <w:rFonts w:ascii="Times New Roman" w:cs="Times New Roman" w:eastAsia="Times New Roman" w:hAnsi="Times New Roman"/>
          <w:sz w:val="20"/>
          <w:szCs w:val="20"/>
          <w:color w:val="ED1C24"/>
        </w:rPr>
        <w:t>.</w:t>
      </w:r>
      <w:r>
        <w:rPr>
          <w:rFonts w:ascii="Times New Roman" w:cs="Times New Roman" w:eastAsia="Times New Roman" w:hAnsi="Times New Roman"/>
          <w:sz w:val="20"/>
          <w:szCs w:val="20"/>
          <w:u w:val="single" w:color="auto"/>
          <w:color w:val="2251A3"/>
        </w:rPr>
        <w:t>; and</w:t>
      </w:r>
    </w:p>
    <w:p>
      <w:pPr>
        <w:spacing w:after="0" w:line="36" w:lineRule="exact"/>
        <w:rPr>
          <w:sz w:val="20"/>
          <w:szCs w:val="20"/>
          <w:color w:val="auto"/>
        </w:rPr>
      </w:pPr>
    </w:p>
    <w:p>
      <w:pPr>
        <w:ind w:left="4040" w:hanging="308"/>
        <w:spacing w:after="0"/>
        <w:tabs>
          <w:tab w:leader="none" w:pos="4040" w:val="left"/>
        </w:tabs>
        <w:numPr>
          <w:ilvl w:val="0"/>
          <w:numId w:val="20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251A3"/>
        </w:rPr>
        <w:t>to the extent it would constitute a Restricted Payment, the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34" w:name="page235"/>
    <w:bookmarkEnd w:id="234"/>
    <w:p>
      <w:pPr>
        <w:ind w:left="2240"/>
        <w:spacing w:after="0" w:line="269" w:lineRule="auto"/>
        <w:rPr>
          <w:sz w:val="20"/>
          <w:szCs w:val="20"/>
          <w:color w:val="auto"/>
        </w:rPr>
      </w:pPr>
      <w:r>
        <w:rPr>
          <w:rFonts w:ascii="Times New Roman" w:cs="Times New Roman" w:eastAsia="Times New Roman" w:hAnsi="Times New Roman"/>
          <w:sz w:val="20"/>
          <w:szCs w:val="20"/>
          <w:u w:val="single" w:color="auto"/>
          <w:color w:val="2251A3"/>
        </w:rPr>
        <w:t>purchase, settlement or termination of any Permitted Call Hedging Agreements or Permitted Warrant Transactions by a Loan Party or Subsidiary.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35" w:name="page236"/>
    <w:bookmarkEnd w:id="235"/>
    <w:p>
      <w:pPr>
        <w:jc w:val="both"/>
        <w:ind w:left="740" w:right="40" w:firstLine="745"/>
        <w:spacing w:after="0" w:line="246" w:lineRule="auto"/>
        <w:tabs>
          <w:tab w:leader="none" w:pos="2005" w:val="left"/>
        </w:tabs>
        <w:numPr>
          <w:ilvl w:val="0"/>
          <w:numId w:val="20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Loan Party will, nor will it permit any Subsidiary to, make or agree to pay or make, directly or indirectly, any payment or other distribution (whether in cash, securities or other property) of or in respect of principal of or interest on any Junior Debt, or any payment or other distribution (whether in cash, securities or other property), including any sinking fund or similar deposit, on account of the purchase, redemption, retirement, acquisition, cancellation or termination of any Junior Debt, except:</w:t>
      </w:r>
    </w:p>
    <w:p>
      <w:pPr>
        <w:spacing w:after="0" w:line="185" w:lineRule="exact"/>
        <w:rPr>
          <w:sz w:val="20"/>
          <w:szCs w:val="20"/>
          <w:color w:val="auto"/>
        </w:rPr>
      </w:pPr>
    </w:p>
    <w:p>
      <w:pPr>
        <w:ind w:left="2240" w:right="140" w:firstLine="1498"/>
        <w:spacing w:after="0" w:line="269" w:lineRule="auto"/>
        <w:rPr>
          <w:sz w:val="20"/>
          <w:szCs w:val="20"/>
          <w:color w:val="auto"/>
        </w:rPr>
      </w:pPr>
      <w:r>
        <w:rPr>
          <w:rFonts w:ascii="Times New Roman" w:cs="Times New Roman" w:eastAsia="Times New Roman" w:hAnsi="Times New Roman"/>
          <w:sz w:val="20"/>
          <w:szCs w:val="20"/>
          <w:color w:val="231F20"/>
        </w:rPr>
        <w:t xml:space="preserve">(i) payment of regularly scheduled interest, expenses and indemnities as and when due in respect of any Junior Debt permitted under </w:t>
      </w:r>
      <w:r>
        <w:rPr>
          <w:rFonts w:ascii="Times New Roman" w:cs="Times New Roman" w:eastAsia="Times New Roman" w:hAnsi="Times New Roman"/>
          <w:sz w:val="20"/>
          <w:szCs w:val="20"/>
          <w:u w:val="single" w:color="auto"/>
          <w:color w:val="231F20"/>
        </w:rPr>
        <w:t>Section 6.01</w:t>
      </w:r>
      <w:r>
        <w:rPr>
          <w:rFonts w:ascii="Times New Roman" w:cs="Times New Roman" w:eastAsia="Times New Roman" w:hAnsi="Times New Roman"/>
          <w:sz w:val="20"/>
          <w:szCs w:val="20"/>
          <w:color w:val="231F20"/>
        </w:rPr>
        <w:t>;</w:t>
      </w:r>
    </w:p>
    <w:p>
      <w:pPr>
        <w:spacing w:after="0" w:line="159" w:lineRule="exact"/>
        <w:rPr>
          <w:sz w:val="20"/>
          <w:szCs w:val="20"/>
          <w:color w:val="auto"/>
        </w:rPr>
      </w:pPr>
    </w:p>
    <w:p>
      <w:pPr>
        <w:ind w:left="4480" w:hanging="748"/>
        <w:spacing w:after="0"/>
        <w:tabs>
          <w:tab w:leader="none" w:pos="4480" w:val="left"/>
        </w:tabs>
        <w:numPr>
          <w:ilvl w:val="0"/>
          <w:numId w:val="20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refinancings of any Junior Debt to the extent permitted by</w:t>
      </w:r>
    </w:p>
    <w:p>
      <w:pPr>
        <w:spacing w:after="0" w:line="2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u w:val="single" w:color="auto"/>
          <w:color w:val="231F20"/>
        </w:rPr>
        <w:t>Section 6.01(f)</w:t>
      </w:r>
      <w:r>
        <w:rPr>
          <w:rFonts w:ascii="Times New Roman" w:cs="Times New Roman" w:eastAsia="Times New Roman" w:hAnsi="Times New Roman"/>
          <w:sz w:val="20"/>
          <w:szCs w:val="20"/>
          <w:color w:val="231F20"/>
        </w:rPr>
        <w:t>;</w:t>
      </w:r>
    </w:p>
    <w:p>
      <w:pPr>
        <w:spacing w:after="0" w:line="194" w:lineRule="exact"/>
        <w:rPr>
          <w:sz w:val="20"/>
          <w:szCs w:val="20"/>
          <w:color w:val="auto"/>
        </w:rPr>
      </w:pPr>
    </w:p>
    <w:p>
      <w:pPr>
        <w:jc w:val="both"/>
        <w:ind w:left="2240" w:firstLine="1498"/>
        <w:spacing w:after="0" w:line="246" w:lineRule="auto"/>
        <w:rPr>
          <w:sz w:val="20"/>
          <w:szCs w:val="20"/>
          <w:color w:val="auto"/>
        </w:rPr>
      </w:pPr>
      <w:r>
        <w:rPr>
          <w:rFonts w:ascii="Times New Roman" w:cs="Times New Roman" w:eastAsia="Times New Roman" w:hAnsi="Times New Roman"/>
          <w:sz w:val="20"/>
          <w:szCs w:val="20"/>
          <w:color w:val="231F20"/>
        </w:rPr>
        <w:t>(iii)purchases and other payments of any Junior Debt made solely with the proceeds of the substantially concurrent issuance of Equity Interests (other than Disqualified Equity Interests) or in the form of Equity Interests (other than Disqualified Equity Interests) of the Borrower together with cash for any fractional shares and cash for any accrued but unpaid interest and any premium payable in connection therewith; and</w:t>
      </w:r>
    </w:p>
    <w:p>
      <w:pPr>
        <w:spacing w:after="0" w:line="185" w:lineRule="exact"/>
        <w:rPr>
          <w:sz w:val="20"/>
          <w:szCs w:val="20"/>
          <w:color w:val="auto"/>
        </w:rPr>
      </w:pPr>
    </w:p>
    <w:p>
      <w:pPr>
        <w:ind w:left="2240" w:right="340" w:firstLine="1492"/>
        <w:spacing w:after="0" w:line="249" w:lineRule="auto"/>
        <w:tabs>
          <w:tab w:leader="none" w:pos="4054" w:val="left"/>
        </w:tabs>
        <w:numPr>
          <w:ilvl w:val="0"/>
          <w:numId w:val="20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ED1C24"/>
          <w:strike w:val="1"/>
        </w:rPr>
        <w:t>cash settlement upon any conversion</w:t>
      </w:r>
      <w:r>
        <w:rPr>
          <w:rFonts w:ascii="Times New Roman" w:cs="Times New Roman" w:eastAsia="Times New Roman" w:hAnsi="Times New Roman"/>
          <w:sz w:val="20"/>
          <w:szCs w:val="20"/>
          <w:u w:val="single" w:color="auto"/>
          <w:color w:val="2251A3"/>
          <w:strike w:val="1"/>
        </w:rPr>
        <w:t>any distributions by the Borrower of Equity</w:t>
      </w:r>
      <w:r>
        <w:rPr>
          <w:rFonts w:ascii="Times New Roman" w:cs="Times New Roman" w:eastAsia="Times New Roman" w:hAnsi="Times New Roman"/>
          <w:sz w:val="20"/>
          <w:szCs w:val="20"/>
          <w:color w:val="ED1C24"/>
          <w:strike w:val="1"/>
        </w:rPr>
        <w:t xml:space="preserve"> </w:t>
      </w:r>
      <w:r>
        <w:rPr>
          <w:rFonts w:ascii="Times New Roman" w:cs="Times New Roman" w:eastAsia="Times New Roman" w:hAnsi="Times New Roman"/>
          <w:sz w:val="20"/>
          <w:szCs w:val="20"/>
          <w:u w:val="single" w:color="auto"/>
          <w:color w:val="2251A3"/>
          <w:strike w:val="1"/>
        </w:rPr>
        <w:t>Interests (other than Disqualified Equity Interests) of the Borrower or cash in lieu of fractional shares thereof to satisfy conversions</w:t>
      </w:r>
      <w:r>
        <w:rPr>
          <w:rFonts w:ascii="Times New Roman" w:cs="Times New Roman" w:eastAsia="Times New Roman" w:hAnsi="Times New Roman"/>
          <w:sz w:val="20"/>
          <w:szCs w:val="20"/>
          <w:color w:val="2251A3"/>
          <w:strike w:val="1"/>
        </w:rPr>
        <w:t xml:space="preserve"> </w:t>
      </w:r>
      <w:r>
        <w:rPr>
          <w:rFonts w:ascii="Times New Roman" w:cs="Times New Roman" w:eastAsia="Times New Roman" w:hAnsi="Times New Roman"/>
          <w:sz w:val="20"/>
          <w:szCs w:val="20"/>
          <w:color w:val="231F20"/>
          <w:strike w:val="1"/>
        </w:rPr>
        <w:t>of Convertible Debt in accordance with the terms thereof</w:t>
      </w:r>
      <w:r>
        <w:rPr>
          <w:rFonts w:ascii="Times New Roman" w:cs="Times New Roman" w:eastAsia="Times New Roman" w:hAnsi="Times New Roman"/>
          <w:sz w:val="20"/>
          <w:szCs w:val="20"/>
          <w:color w:val="2251A3"/>
          <w:strike w:val="1"/>
        </w:rPr>
        <w:t xml:space="preserve"> </w:t>
      </w:r>
      <w:r>
        <w:rPr>
          <w:rFonts w:ascii="Times New Roman" w:cs="Times New Roman" w:eastAsia="Times New Roman" w:hAnsi="Times New Roman"/>
          <w:sz w:val="20"/>
          <w:szCs w:val="20"/>
          <w:color w:val="ED1C24"/>
          <w:strike w:val="1"/>
        </w:rPr>
        <w:t>in an aggregate</w:t>
      </w:r>
      <w:r>
        <w:rPr>
          <w:rFonts w:ascii="Times New Roman" w:cs="Times New Roman" w:eastAsia="Times New Roman" w:hAnsi="Times New Roman"/>
          <w:sz w:val="20"/>
          <w:szCs w:val="20"/>
          <w:color w:val="2251A3"/>
          <w:strike w:val="1"/>
        </w:rPr>
        <w:t xml:space="preserve"> </w:t>
      </w:r>
      <w:r>
        <w:rPr>
          <w:rFonts w:ascii="Times New Roman" w:cs="Times New Roman" w:eastAsia="Times New Roman" w:hAnsi="Times New Roman"/>
          <w:sz w:val="20"/>
          <w:szCs w:val="20"/>
          <w:color w:val="ED1C24"/>
          <w:strike w:val="1"/>
        </w:rPr>
        <w:t>amount not to exceed the principal amount thereof</w:t>
      </w:r>
      <w:r>
        <w:rPr>
          <w:rFonts w:ascii="Times New Roman" w:cs="Times New Roman" w:eastAsia="Times New Roman" w:hAnsi="Times New Roman"/>
          <w:sz w:val="20"/>
          <w:szCs w:val="20"/>
          <w:color w:val="231F2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-231140</wp:posOffset>
            </wp:positionV>
            <wp:extent cx="82994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994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40" w:right="739" w:bottom="1440" w:gutter="0" w:footer="0" w:header="0"/>
        </w:sectPr>
      </w:pPr>
    </w:p>
    <w:bookmarkStart w:id="236" w:name="page237"/>
    <w:bookmarkEnd w:id="236"/>
    <w:p>
      <w:pPr>
        <w:jc w:val="both"/>
        <w:ind w:left="740" w:right="40" w:firstLine="749"/>
        <w:spacing w:after="0" w:line="256" w:lineRule="auto"/>
        <w:rPr>
          <w:sz w:val="20"/>
          <w:szCs w:val="20"/>
          <w:color w:val="auto"/>
        </w:rPr>
      </w:pPr>
      <w:r>
        <w:rPr>
          <w:rFonts w:ascii="Times New Roman" w:cs="Times New Roman" w:eastAsia="Times New Roman" w:hAnsi="Times New Roman"/>
          <w:sz w:val="19"/>
          <w:szCs w:val="19"/>
          <w:color w:val="231F20"/>
        </w:rPr>
        <w:t xml:space="preserve">SECTION 6.08 </w:t>
      </w:r>
      <w:r>
        <w:rPr>
          <w:rFonts w:ascii="Times New Roman" w:cs="Times New Roman" w:eastAsia="Times New Roman" w:hAnsi="Times New Roman"/>
          <w:sz w:val="19"/>
          <w:szCs w:val="19"/>
          <w:u w:val="single" w:color="auto"/>
          <w:color w:val="231F20"/>
        </w:rPr>
        <w:t>Transactions with Affiliates</w:t>
      </w:r>
      <w:r>
        <w:rPr>
          <w:rFonts w:ascii="Times New Roman" w:cs="Times New Roman" w:eastAsia="Times New Roman" w:hAnsi="Times New Roman"/>
          <w:sz w:val="19"/>
          <w:szCs w:val="19"/>
          <w:color w:val="231F20"/>
        </w:rPr>
        <w:t>.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the Borrower and any Loan Party not involving any other Affiliate, (c) transactions between or among Subsidiaries of Borrower that are not Loan Parties,</w:t>
      </w:r>
    </w:p>
    <w:p>
      <w:pPr>
        <w:spacing w:after="0" w:line="1" w:lineRule="exact"/>
        <w:rPr>
          <w:sz w:val="20"/>
          <w:szCs w:val="20"/>
          <w:color w:val="auto"/>
        </w:rPr>
      </w:pPr>
    </w:p>
    <w:p>
      <w:pPr>
        <w:jc w:val="both"/>
        <w:ind w:left="740" w:right="60" w:hanging="3"/>
        <w:spacing w:after="0" w:line="241" w:lineRule="auto"/>
        <w:tabs>
          <w:tab w:leader="none" w:pos="1081" w:val="left"/>
        </w:tabs>
        <w:numPr>
          <w:ilvl w:val="0"/>
          <w:numId w:val="20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any Restricted Payment permitted by </w:t>
      </w:r>
      <w:r>
        <w:rPr>
          <w:rFonts w:ascii="Times New Roman" w:cs="Times New Roman" w:eastAsia="Times New Roman" w:hAnsi="Times New Roman"/>
          <w:sz w:val="20"/>
          <w:szCs w:val="20"/>
          <w:u w:val="single" w:color="auto"/>
          <w:color w:val="231F20"/>
        </w:rPr>
        <w:t>Section 6.07</w:t>
      </w:r>
      <w:r>
        <w:rPr>
          <w:rFonts w:ascii="Times New Roman" w:cs="Times New Roman" w:eastAsia="Times New Roman" w:hAnsi="Times New Roman"/>
          <w:sz w:val="20"/>
          <w:szCs w:val="20"/>
          <w:color w:val="231F20"/>
        </w:rPr>
        <w:t xml:space="preserve">, (e) reasonable and customary director, officer and employee compensation (including bonuses) and other benefits (including retirement, health, stock option and other benefit plans), indemnification arrangements, (f) severance and reimbursement of reasonable and documented costs paid to members of the board of directors of any Loan Party or any of its Subsidiaries and (g) transactions described in </w:t>
      </w:r>
      <w:r>
        <w:rPr>
          <w:rFonts w:ascii="Times New Roman" w:cs="Times New Roman" w:eastAsia="Times New Roman" w:hAnsi="Times New Roman"/>
          <w:sz w:val="20"/>
          <w:szCs w:val="20"/>
          <w:u w:val="single" w:color="auto"/>
          <w:color w:val="231F20"/>
        </w:rPr>
        <w:t>Schedule 6.08</w:t>
      </w:r>
      <w:r>
        <w:rPr>
          <w:rFonts w:ascii="Times New Roman" w:cs="Times New Roman" w:eastAsia="Times New Roman" w:hAnsi="Times New Roman"/>
          <w:sz w:val="20"/>
          <w:szCs w:val="20"/>
          <w:color w:val="231F20"/>
        </w:rPr>
        <w:t>.</w:t>
      </w:r>
    </w:p>
    <w:p>
      <w:pPr>
        <w:spacing w:after="0" w:line="188"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19"/>
          <w:szCs w:val="19"/>
          <w:color w:val="231F20"/>
        </w:rPr>
        <w:t xml:space="preserve">SECTION 6.09 </w:t>
      </w:r>
      <w:r>
        <w:rPr>
          <w:rFonts w:ascii="Times New Roman" w:cs="Times New Roman" w:eastAsia="Times New Roman" w:hAnsi="Times New Roman"/>
          <w:sz w:val="19"/>
          <w:szCs w:val="19"/>
          <w:u w:val="single" w:color="auto"/>
          <w:color w:val="231F20"/>
        </w:rPr>
        <w:t>Restrictive Agreements</w:t>
      </w:r>
      <w:r>
        <w:rPr>
          <w:rFonts w:ascii="Times New Roman" w:cs="Times New Roman" w:eastAsia="Times New Roman" w:hAnsi="Times New Roman"/>
          <w:sz w:val="19"/>
          <w:szCs w:val="19"/>
          <w:color w:val="231F20"/>
        </w:rPr>
        <w:t xml:space="preserve">. No Loan Party will, nor will it permit any Subsidiary to, directly or indirectly, enter into, incur or permit to exist any agreement or other arrangement that prohibits, restricts or imposes any condition upon (a) the ability of such Loan Party or any of its Subsidiaries to create, incur or permit to exist any Lien upon any of its property or assets, (b) the ability of any Subsidiary to pay dividends or other distributions with respect to any shares of its capital stock or to make or repay loans or advances to the Borrower or any other Subsidiary or to Guarantee Indebtedness of the Borrower or any other Subsidiary or (c) the ability of the Borrower or any other Subsidiary to make any Disposition; except for: (i) such encumbrances or restrictions existing under or by reason of applicable law or any Loan Document; (ii) restrictions and conditions existing on the date hereof identified on </w:t>
      </w:r>
      <w:r>
        <w:rPr>
          <w:rFonts w:ascii="Times New Roman" w:cs="Times New Roman" w:eastAsia="Times New Roman" w:hAnsi="Times New Roman"/>
          <w:sz w:val="19"/>
          <w:szCs w:val="19"/>
          <w:u w:val="single" w:color="auto"/>
          <w:color w:val="231F20"/>
        </w:rPr>
        <w:t>Schedule 6.09</w:t>
      </w:r>
      <w:r>
        <w:rPr>
          <w:rFonts w:ascii="Times New Roman" w:cs="Times New Roman" w:eastAsia="Times New Roman" w:hAnsi="Times New Roman"/>
          <w:sz w:val="19"/>
          <w:szCs w:val="19"/>
          <w:color w:val="231F20"/>
        </w:rPr>
        <w:t xml:space="preserve"> (but not including any extension or renewal of, or any amendment or modification expanding the scope of any such restriction or condition); (iii) customary restrictions and conditions contained in agreements relating to the sale of a Subsidiary or other property pending such sale, provided such restrictions and conditions apply only to the Subsidiary or other property that is to be sold and such sale is permitted hereunder;</w:t>
      </w:r>
    </w:p>
    <w:p>
      <w:pPr>
        <w:spacing w:after="0" w:line="3" w:lineRule="exact"/>
        <w:rPr>
          <w:sz w:val="20"/>
          <w:szCs w:val="20"/>
          <w:color w:val="auto"/>
        </w:rPr>
      </w:pPr>
    </w:p>
    <w:p>
      <w:pPr>
        <w:ind w:left="740" w:hanging="3"/>
        <w:spacing w:after="0" w:line="239" w:lineRule="auto"/>
        <w:tabs>
          <w:tab w:leader="none" w:pos="1083" w:val="left"/>
        </w:tabs>
        <w:numPr>
          <w:ilvl w:val="0"/>
          <w:numId w:val="20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restrictions or conditions imposed by any agreement relating to secured Indebtedness permitted by this Agreement if such restrictions or conditions apply only to the property or assets securing such Indebtedness; (v) customary provisions in leases and other contracts restricting the assignment thereof; (vi) customary restrictions contained in any software licenses; (vii)without affecting the Loan Parties’ obligations under </w:t>
      </w:r>
      <w:r>
        <w:rPr>
          <w:rFonts w:ascii="Times New Roman" w:cs="Times New Roman" w:eastAsia="Times New Roman" w:hAnsi="Times New Roman"/>
          <w:sz w:val="20"/>
          <w:szCs w:val="20"/>
          <w:u w:val="single" w:color="auto"/>
          <w:color w:val="231F20"/>
        </w:rPr>
        <w:t>Section 5.09</w:t>
      </w:r>
      <w:r>
        <w:rPr>
          <w:rFonts w:ascii="Times New Roman" w:cs="Times New Roman" w:eastAsia="Times New Roman" w:hAnsi="Times New Roman"/>
          <w:sz w:val="20"/>
          <w:szCs w:val="20"/>
          <w:color w:val="231F20"/>
        </w:rPr>
        <w:t xml:space="preserve">, customary provisions in the organizational documents of a Person or asset sale or stock sale agreements or similar agreements which restrict the transfer of ownership in such Person; (viii) in the case of any joint venture permitted hereunder with a Person that is not a Loan Party, restrictions in such Person’s organizational documents or pursuant to any joint venture agreement or stockholders agreement solely to the extent of the Equity Interests of or property held in the subject joint venture; (ix) restrictions imposed by any holder of a Lien permitted by </w:t>
      </w:r>
      <w:r>
        <w:rPr>
          <w:rFonts w:ascii="Times New Roman" w:cs="Times New Roman" w:eastAsia="Times New Roman" w:hAnsi="Times New Roman"/>
          <w:sz w:val="20"/>
          <w:szCs w:val="20"/>
          <w:u w:val="single" w:color="auto"/>
          <w:color w:val="231F20"/>
        </w:rPr>
        <w:t>Section 6.02</w:t>
      </w:r>
      <w:r>
        <w:rPr>
          <w:rFonts w:ascii="Times New Roman" w:cs="Times New Roman" w:eastAsia="Times New Roman" w:hAnsi="Times New Roman"/>
          <w:sz w:val="20"/>
          <w:szCs w:val="20"/>
          <w:color w:val="231F20"/>
        </w:rPr>
        <w:t xml:space="preserve"> restricting the transfer of the property subject thereto; (x) without affecting the Loan Parties’ obligations under </w:t>
      </w:r>
      <w:r>
        <w:rPr>
          <w:rFonts w:ascii="Times New Roman" w:cs="Times New Roman" w:eastAsia="Times New Roman" w:hAnsi="Times New Roman"/>
          <w:sz w:val="20"/>
          <w:szCs w:val="20"/>
          <w:u w:val="single" w:color="auto"/>
          <w:color w:val="231F20"/>
        </w:rPr>
        <w:t>Section 5.09</w:t>
      </w:r>
      <w:r>
        <w:rPr>
          <w:rFonts w:ascii="Times New Roman" w:cs="Times New Roman" w:eastAsia="Times New Roman" w:hAnsi="Times New Roman"/>
          <w:sz w:val="20"/>
          <w:szCs w:val="20"/>
          <w:color w:val="231F20"/>
        </w:rPr>
        <w:t xml:space="preserve">, any agreement in effect at the time a Person becomes a Subsidiary of the Borrower (including any amendments thereto that are otherwise permitted by the Loan Documents and that are no more materially restrictive with respect to such encumbrances and restrictions than those prior to such amendment or refinancing), so long as such agreement was not entered into in connection with or in contemplation of such person becoming a Subsidiary of Borrower and imposes restrictions only on such Person and its assets; (xi) restrictions on cash or other deposits required by suppliers or landlords under contracts entered into in the ordinary course of business; (xii) without affecting the Loan Parties’ obligations under </w:t>
      </w:r>
      <w:r>
        <w:rPr>
          <w:rFonts w:ascii="Times New Roman" w:cs="Times New Roman" w:eastAsia="Times New Roman" w:hAnsi="Times New Roman"/>
          <w:sz w:val="20"/>
          <w:szCs w:val="20"/>
          <w:u w:val="single" w:color="auto"/>
          <w:color w:val="231F20"/>
        </w:rPr>
        <w:t>Section 5.09</w:t>
      </w:r>
      <w:r>
        <w:rPr>
          <w:rFonts w:ascii="Times New Roman" w:cs="Times New Roman" w:eastAsia="Times New Roman" w:hAnsi="Times New Roman"/>
          <w:sz w:val="20"/>
          <w:szCs w:val="20"/>
          <w:color w:val="231F20"/>
        </w:rPr>
        <w:t xml:space="preserve">, restrictions imposed solely on Foreign Subsidiaries pursuant to any Swap Agreement entered into by the Borrower or any Subsidiary and permitted pursuant to </w:t>
      </w:r>
      <w:r>
        <w:rPr>
          <w:rFonts w:ascii="Times New Roman" w:cs="Times New Roman" w:eastAsia="Times New Roman" w:hAnsi="Times New Roman"/>
          <w:sz w:val="20"/>
          <w:szCs w:val="20"/>
          <w:u w:val="single" w:color="auto"/>
          <w:color w:val="231F20"/>
        </w:rPr>
        <w:t>Section 6.06</w:t>
      </w:r>
      <w:r>
        <w:rPr>
          <w:rFonts w:ascii="Times New Roman" w:cs="Times New Roman" w:eastAsia="Times New Roman" w:hAnsi="Times New Roman"/>
          <w:sz w:val="20"/>
          <w:szCs w:val="20"/>
          <w:color w:val="231F20"/>
        </w:rPr>
        <w:t xml:space="preserve">; or (xiii) customary restrictions or conditions pursuant to any Indebtedness incurred pursuant to </w:t>
      </w:r>
      <w:r>
        <w:rPr>
          <w:rFonts w:ascii="Times New Roman" w:cs="Times New Roman" w:eastAsia="Times New Roman" w:hAnsi="Times New Roman"/>
          <w:sz w:val="20"/>
          <w:szCs w:val="20"/>
          <w:u w:val="single" w:color="auto"/>
          <w:color w:val="231F20"/>
        </w:rPr>
        <w:t>Section 6.01(s)</w:t>
      </w:r>
      <w:r>
        <w:rPr>
          <w:rFonts w:ascii="Times New Roman" w:cs="Times New Roman" w:eastAsia="Times New Roman" w:hAnsi="Times New Roman"/>
          <w:sz w:val="20"/>
          <w:szCs w:val="20"/>
          <w:color w:val="231F20"/>
        </w:rPr>
        <w:t>.</w:t>
      </w:r>
    </w:p>
    <w:p>
      <w:pPr>
        <w:spacing w:after="0" w:line="203"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6.10</w:t>
      </w:r>
      <w:r>
        <w:rPr>
          <w:sz w:val="20"/>
          <w:szCs w:val="20"/>
          <w:color w:val="auto"/>
        </w:rPr>
        <w:tab/>
      </w:r>
      <w:r>
        <w:rPr>
          <w:rFonts w:ascii="Times New Roman" w:cs="Times New Roman" w:eastAsia="Times New Roman" w:hAnsi="Times New Roman"/>
          <w:sz w:val="19"/>
          <w:szCs w:val="19"/>
          <w:u w:val="single" w:color="auto"/>
          <w:color w:val="231F20"/>
        </w:rPr>
        <w:t>Amendment of Material Documents; End of Fiscal Years</w:t>
      </w:r>
      <w:r>
        <w:rPr>
          <w:rFonts w:ascii="Times New Roman" w:cs="Times New Roman" w:eastAsia="Times New Roman" w:hAnsi="Times New Roman"/>
          <w:sz w:val="19"/>
          <w:szCs w:val="19"/>
          <w:color w:val="231F20"/>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37" w:name="page238"/>
    <w:bookmarkEnd w:id="237"/>
    <w:p>
      <w:pPr>
        <w:jc w:val="both"/>
        <w:ind w:left="740" w:right="60" w:firstLine="745"/>
        <w:spacing w:after="0" w:line="264" w:lineRule="auto"/>
        <w:tabs>
          <w:tab w:leader="none" w:pos="2005" w:val="left"/>
        </w:tabs>
        <w:numPr>
          <w:ilvl w:val="1"/>
          <w:numId w:val="21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No Loan Party will, nor will it permit any Subsidiary (i) to, amend, modify or waive any of its rights under its certificate of incorporation, by-laws, operating, management or partnership agreement or other organizational documents or</w:t>
      </w:r>
    </w:p>
    <w:p>
      <w:pPr>
        <w:ind w:left="740" w:right="60" w:hanging="3"/>
        <w:spacing w:after="0" w:line="246" w:lineRule="auto"/>
        <w:tabs>
          <w:tab w:leader="none" w:pos="1078" w:val="left"/>
        </w:tabs>
        <w:numPr>
          <w:ilvl w:val="0"/>
          <w:numId w:val="2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 amend, modify or waive any provisions of any Junior Debt, in each case, to the extent any such amendment, modification or waiver would be materially adverse to the Administrative Agent or the Lenders.</w:t>
      </w:r>
    </w:p>
    <w:p>
      <w:pPr>
        <w:spacing w:after="0" w:line="181"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1"/>
          <w:numId w:val="2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Loan Party will, nor will it permit any Subsidiary to make any material change in its accounting treatment and reporting practices except as required or permitted by GAAP.</w:t>
      </w:r>
    </w:p>
    <w:p>
      <w:pPr>
        <w:spacing w:after="0" w:line="159" w:lineRule="exact"/>
        <w:rPr>
          <w:rFonts w:ascii="Times New Roman" w:cs="Times New Roman" w:eastAsia="Times New Roman" w:hAnsi="Times New Roman"/>
          <w:sz w:val="20"/>
          <w:szCs w:val="20"/>
          <w:color w:val="231F20"/>
        </w:rPr>
      </w:pPr>
    </w:p>
    <w:p>
      <w:pPr>
        <w:jc w:val="both"/>
        <w:ind w:left="740" w:right="60" w:firstLine="745"/>
        <w:spacing w:after="0" w:line="254" w:lineRule="auto"/>
        <w:tabs>
          <w:tab w:leader="none" w:pos="2005" w:val="left"/>
        </w:tabs>
        <w:numPr>
          <w:ilvl w:val="1"/>
          <w:numId w:val="2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Borrower not, nor will it permit any of its Subsidiaries to, change its fiscal year to end on a date other than December 31;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any acquired entity that maintains a different end of fiscal year shall have a period not to exceed 180 days to comply with this </w:t>
      </w:r>
      <w:r>
        <w:rPr>
          <w:rFonts w:ascii="Times New Roman" w:cs="Times New Roman" w:eastAsia="Times New Roman" w:hAnsi="Times New Roman"/>
          <w:sz w:val="20"/>
          <w:szCs w:val="20"/>
          <w:u w:val="single" w:color="auto"/>
          <w:color w:val="231F20"/>
        </w:rPr>
        <w:t>Section 6.10(c)</w:t>
      </w:r>
      <w:r>
        <w:rPr>
          <w:rFonts w:ascii="Times New Roman" w:cs="Times New Roman" w:eastAsia="Times New Roman" w:hAnsi="Times New Roman"/>
          <w:sz w:val="20"/>
          <w:szCs w:val="20"/>
          <w:color w:val="231F20"/>
        </w:rPr>
        <w:t>.</w:t>
      </w:r>
    </w:p>
    <w:p>
      <w:pPr>
        <w:spacing w:after="0" w:line="174"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6.11</w:t>
      </w:r>
      <w:r>
        <w:rPr>
          <w:sz w:val="20"/>
          <w:szCs w:val="20"/>
          <w:color w:val="auto"/>
        </w:rPr>
        <w:tab/>
      </w:r>
      <w:r>
        <w:rPr>
          <w:rFonts w:ascii="Times New Roman" w:cs="Times New Roman" w:eastAsia="Times New Roman" w:hAnsi="Times New Roman"/>
          <w:sz w:val="19"/>
          <w:szCs w:val="19"/>
          <w:u w:val="single" w:color="auto"/>
          <w:color w:val="231F20"/>
        </w:rPr>
        <w:t>Financial Covenants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40" w:firstLine="745"/>
        <w:spacing w:after="0" w:line="247" w:lineRule="auto"/>
        <w:tabs>
          <w:tab w:leader="none" w:pos="2006" w:val="left"/>
        </w:tabs>
        <w:numPr>
          <w:ilvl w:val="0"/>
          <w:numId w:val="2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Consolidated Total Net Leverage Ratio</w:t>
      </w:r>
      <w:r>
        <w:rPr>
          <w:rFonts w:ascii="Times New Roman" w:cs="Times New Roman" w:eastAsia="Times New Roman" w:hAnsi="Times New Roman"/>
          <w:sz w:val="20"/>
          <w:szCs w:val="20"/>
          <w:color w:val="231F20"/>
        </w:rPr>
        <w:t>. Commencing with the fiscal quarter ending on June 30, 2024, the Borrower shall not permit the Consolidated Total Net Leverage Ratio, determined for the four consecutive fiscal quarter period ending on the last day of each fiscal quarter, to be greater than</w:t>
      </w:r>
    </w:p>
    <w:p>
      <w:pPr>
        <w:jc w:val="both"/>
        <w:ind w:left="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3.50 to 1.00;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however</w:t>
      </w:r>
      <w:r>
        <w:rPr>
          <w:rFonts w:ascii="Times New Roman" w:cs="Times New Roman" w:eastAsia="Times New Roman" w:hAnsi="Times New Roman"/>
          <w:sz w:val="20"/>
          <w:szCs w:val="20"/>
          <w:color w:val="231F20"/>
        </w:rPr>
        <w:t xml:space="preserve">, that in connection with a Material Acquisition, at the written election of the Borrower to the Administrative Agent, the maximum Consolidated Total Net Leverage Ratio permitted under this </w:t>
      </w:r>
      <w:r>
        <w:rPr>
          <w:rFonts w:ascii="Times New Roman" w:cs="Times New Roman" w:eastAsia="Times New Roman" w:hAnsi="Times New Roman"/>
          <w:sz w:val="20"/>
          <w:szCs w:val="20"/>
          <w:u w:val="single" w:color="auto"/>
          <w:color w:val="231F20"/>
        </w:rPr>
        <w:t>Section 6.11(a)</w:t>
      </w:r>
      <w:r>
        <w:rPr>
          <w:rFonts w:ascii="Times New Roman" w:cs="Times New Roman" w:eastAsia="Times New Roman" w:hAnsi="Times New Roman"/>
          <w:sz w:val="20"/>
          <w:szCs w:val="20"/>
          <w:color w:val="231F20"/>
        </w:rPr>
        <w:t xml:space="preserve"> shall be increased to 4.00 to 1.00 as of the end of a Specified Quarter and the three consecutive fiscal quarters ending immediately following such Specified Quarter (the “</w:t>
      </w:r>
      <w:r>
        <w:rPr>
          <w:rFonts w:ascii="Times New Roman" w:cs="Times New Roman" w:eastAsia="Times New Roman" w:hAnsi="Times New Roman"/>
          <w:sz w:val="20"/>
          <w:szCs w:val="20"/>
          <w:u w:val="single" w:color="auto"/>
          <w:color w:val="231F20"/>
        </w:rPr>
        <w:t>Adjusted Covenant Period</w:t>
      </w:r>
      <w:r>
        <w:rPr>
          <w:rFonts w:ascii="Times New Roman" w:cs="Times New Roman" w:eastAsia="Times New Roman" w:hAnsi="Times New Roman"/>
          <w:sz w:val="20"/>
          <w:szCs w:val="20"/>
          <w:color w:val="231F20"/>
        </w:rPr>
        <w:t xml:space="preserve">”) (it being understood and agreed that following the end of the Adjusted Covenant Period, the maximum Consolidated Total Net Leverage Ratio permitted under this </w:t>
      </w:r>
      <w:r>
        <w:rPr>
          <w:rFonts w:ascii="Times New Roman" w:cs="Times New Roman" w:eastAsia="Times New Roman" w:hAnsi="Times New Roman"/>
          <w:sz w:val="20"/>
          <w:szCs w:val="20"/>
          <w:u w:val="single" w:color="auto"/>
          <w:color w:val="231F20"/>
        </w:rPr>
        <w:t>Section 6.11(a</w:t>
      </w:r>
      <w:r>
        <w:rPr>
          <w:rFonts w:ascii="Times New Roman" w:cs="Times New Roman" w:eastAsia="Times New Roman" w:hAnsi="Times New Roman"/>
          <w:sz w:val="20"/>
          <w:szCs w:val="20"/>
          <w:color w:val="231F20"/>
        </w:rPr>
        <w:t xml:space="preserve">) shall be restored to 3.50 to 1.00 as of the end of each subsequent fiscal quarter until another Adjusted Covenant Period (if any) occurs pursuant to the terms and conditions described in this </w:t>
      </w:r>
      <w:r>
        <w:rPr>
          <w:rFonts w:ascii="Times New Roman" w:cs="Times New Roman" w:eastAsia="Times New Roman" w:hAnsi="Times New Roman"/>
          <w:sz w:val="20"/>
          <w:szCs w:val="20"/>
          <w:u w:val="single" w:color="auto"/>
          <w:color w:val="231F20"/>
        </w:rPr>
        <w:t>Section 6.11(a)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further</w:t>
      </w:r>
      <w:r>
        <w:rPr>
          <w:rFonts w:ascii="Times New Roman" w:cs="Times New Roman" w:eastAsia="Times New Roman" w:hAnsi="Times New Roman"/>
          <w:sz w:val="20"/>
          <w:szCs w:val="20"/>
          <w:color w:val="231F20"/>
        </w:rPr>
        <w:t xml:space="preserve">, that the Borrower may not elect again to increase the maximum Consolidated Total Net Leverage Ratio permitted under this </w:t>
      </w:r>
      <w:r>
        <w:rPr>
          <w:rFonts w:ascii="Times New Roman" w:cs="Times New Roman" w:eastAsia="Times New Roman" w:hAnsi="Times New Roman"/>
          <w:sz w:val="20"/>
          <w:szCs w:val="20"/>
          <w:u w:val="single" w:color="auto"/>
          <w:color w:val="231F20"/>
        </w:rPr>
        <w:t>Section 6.11(a)</w:t>
      </w:r>
      <w:r>
        <w:rPr>
          <w:rFonts w:ascii="Times New Roman" w:cs="Times New Roman" w:eastAsia="Times New Roman" w:hAnsi="Times New Roman"/>
          <w:sz w:val="20"/>
          <w:szCs w:val="20"/>
          <w:color w:val="231F20"/>
        </w:rPr>
        <w:t xml:space="preserve"> to 4.00 to 1.00, regardless of the date of consummation of any subsequent Material Acquisition, unless and until Borrower shall have complied with the restored maximum Consolidated Total Net Leverage Ratio covenant level of 3.50 to 1.00 for the two consecutive fiscal quarters following such restoration.</w:t>
      </w:r>
    </w:p>
    <w:p>
      <w:pPr>
        <w:spacing w:after="0" w:line="188" w:lineRule="exact"/>
        <w:rPr>
          <w:rFonts w:ascii="Times New Roman" w:cs="Times New Roman" w:eastAsia="Times New Roman" w:hAnsi="Times New Roman"/>
          <w:sz w:val="20"/>
          <w:szCs w:val="20"/>
          <w:color w:val="231F20"/>
        </w:rPr>
      </w:pPr>
    </w:p>
    <w:p>
      <w:pPr>
        <w:jc w:val="both"/>
        <w:ind w:left="740" w:right="40" w:firstLine="745"/>
        <w:spacing w:after="0" w:line="254" w:lineRule="auto"/>
        <w:tabs>
          <w:tab w:leader="none" w:pos="2006" w:val="left"/>
        </w:tabs>
        <w:numPr>
          <w:ilvl w:val="0"/>
          <w:numId w:val="2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Consolidated Interest Coverage Ratio</w:t>
      </w:r>
      <w:r>
        <w:rPr>
          <w:rFonts w:ascii="Times New Roman" w:cs="Times New Roman" w:eastAsia="Times New Roman" w:hAnsi="Times New Roman"/>
          <w:sz w:val="20"/>
          <w:szCs w:val="20"/>
          <w:color w:val="231F20"/>
        </w:rPr>
        <w:t>. Commencing with the fiscal quarter ending on June 30, 2024, the Borrower shall not permit the Consolidated Interest Coverage Ratio, determined for the four consecutive fiscal quarter period ending on the last day of each fiscal quarter, to be less than 3.00 to 1.00.</w:t>
      </w:r>
    </w:p>
    <w:p>
      <w:pPr>
        <w:spacing w:after="0" w:line="174"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6.12</w:t>
      </w:r>
      <w:r>
        <w:rPr>
          <w:sz w:val="20"/>
          <w:szCs w:val="20"/>
          <w:color w:val="auto"/>
        </w:rPr>
        <w:tab/>
      </w:r>
      <w:r>
        <w:rPr>
          <w:rFonts w:ascii="Times New Roman" w:cs="Times New Roman" w:eastAsia="Times New Roman" w:hAnsi="Times New Roman"/>
          <w:sz w:val="19"/>
          <w:szCs w:val="19"/>
          <w:u w:val="single" w:color="auto"/>
          <w:color w:val="231F20"/>
        </w:rPr>
        <w:t>ERISA</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ind w:left="740" w:right="40" w:firstLine="745"/>
        <w:spacing w:after="0" w:line="250" w:lineRule="auto"/>
        <w:tabs>
          <w:tab w:leader="none" w:pos="2006" w:val="left"/>
        </w:tabs>
        <w:numPr>
          <w:ilvl w:val="1"/>
          <w:numId w:val="2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With respect to any Plan, the Borrower shall not (i) permit an ERISA Event to occur; (ii) engage, or permit any ERISA Affiliate to engage, in any transaction described in Section 4069 of ERISA,</w:t>
      </w:r>
    </w:p>
    <w:p>
      <w:pPr>
        <w:spacing w:after="0" w:line="1" w:lineRule="exact"/>
        <w:rPr>
          <w:rFonts w:ascii="Times New Roman" w:cs="Times New Roman" w:eastAsia="Times New Roman" w:hAnsi="Times New Roman"/>
          <w:sz w:val="20"/>
          <w:szCs w:val="20"/>
          <w:color w:val="231F20"/>
        </w:rPr>
      </w:pPr>
    </w:p>
    <w:p>
      <w:pPr>
        <w:jc w:val="both"/>
        <w:ind w:left="740" w:right="60" w:hanging="3"/>
        <w:spacing w:after="0" w:line="239" w:lineRule="auto"/>
        <w:tabs>
          <w:tab w:leader="none" w:pos="1096" w:val="left"/>
        </w:tabs>
        <w:numPr>
          <w:ilvl w:val="0"/>
          <w:numId w:val="2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engage in, or permit any ERISA Affiliate to engage in, any prohibited transaction described in Section 406 of ERISA or 4975 of the Code for which a statutory or class exemption is not available or a private exemption has not previously been obtained from the U.S. Department of Labor that would reasonably be expected to result in liability exceeding $5.0 million,</w:t>
      </w:r>
    </w:p>
    <w:p>
      <w:pPr>
        <w:spacing w:after="0" w:line="1" w:lineRule="exact"/>
        <w:rPr>
          <w:rFonts w:ascii="Times New Roman" w:cs="Times New Roman" w:eastAsia="Times New Roman" w:hAnsi="Times New Roman"/>
          <w:sz w:val="20"/>
          <w:szCs w:val="20"/>
          <w:color w:val="231F20"/>
        </w:rPr>
      </w:pPr>
    </w:p>
    <w:p>
      <w:pPr>
        <w:jc w:val="both"/>
        <w:ind w:left="740" w:right="60" w:hanging="3"/>
        <w:spacing w:after="0" w:line="252" w:lineRule="auto"/>
        <w:tabs>
          <w:tab w:leader="none" w:pos="1091" w:val="left"/>
        </w:tabs>
        <w:numPr>
          <w:ilvl w:val="0"/>
          <w:numId w:val="21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adopt or permit any ERISA Affiliate to adopt any employee welfare benefit plan within the meaning of Section 3(1) of ERISA which provides benefits to employees after termination of employment other than as required by Section 601 of ERISA or applicable law, (v) fail to make any contribution or payment to any Multiemployer Plan which it or any ERISA Affiliate may be required to make under any agreement relating to such Multiemployer Plan, or any law pertaining thereto, or</w:t>
      </w:r>
    </w:p>
    <w:p>
      <w:pPr>
        <w:ind w:left="1080" w:hanging="343"/>
        <w:spacing w:after="0"/>
        <w:tabs>
          <w:tab w:leader="none" w:pos="1080" w:val="left"/>
        </w:tabs>
        <w:numPr>
          <w:ilvl w:val="0"/>
          <w:numId w:val="2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 or permit any ERISA Affiliate to fail, to pay any required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38" w:name="page239"/>
    <w:bookmarkEnd w:id="238"/>
    <w:p>
      <w:pPr>
        <w:ind w:left="740" w:right="460"/>
        <w:spacing w:after="0" w:line="269" w:lineRule="auto"/>
        <w:rPr>
          <w:sz w:val="20"/>
          <w:szCs w:val="20"/>
          <w:color w:val="auto"/>
        </w:rPr>
      </w:pPr>
      <w:r>
        <w:rPr>
          <w:rFonts w:ascii="Times New Roman" w:cs="Times New Roman" w:eastAsia="Times New Roman" w:hAnsi="Times New Roman"/>
          <w:sz w:val="20"/>
          <w:szCs w:val="20"/>
          <w:color w:val="231F20"/>
        </w:rPr>
        <w:t>installment or any other payment required under Section 412 of the Code on or before the due date for such installment or other payment.</w:t>
      </w:r>
    </w:p>
    <w:p>
      <w:pPr>
        <w:spacing w:after="0" w:line="159" w:lineRule="exact"/>
        <w:rPr>
          <w:sz w:val="20"/>
          <w:szCs w:val="20"/>
          <w:color w:val="auto"/>
        </w:rPr>
      </w:pPr>
    </w:p>
    <w:p>
      <w:pPr>
        <w:jc w:val="both"/>
        <w:ind w:left="740" w:right="60" w:firstLine="745"/>
        <w:spacing w:after="0" w:line="254" w:lineRule="auto"/>
        <w:tabs>
          <w:tab w:leader="none" w:pos="2005" w:val="left"/>
        </w:tabs>
        <w:numPr>
          <w:ilvl w:val="0"/>
          <w:numId w:val="2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Borrower shall not establish, maintain, contribute to or become obligated to contribute to any Plan, except where such establishment, maintenance, contribution, or obligation could not reasonably be expected to have a Material Adverse Effect.</w:t>
      </w:r>
    </w:p>
    <w:p>
      <w:pPr>
        <w:spacing w:after="0" w:line="174" w:lineRule="exact"/>
        <w:rPr>
          <w:rFonts w:ascii="Times New Roman" w:cs="Times New Roman" w:eastAsia="Times New Roman" w:hAnsi="Times New Roman"/>
          <w:sz w:val="20"/>
          <w:szCs w:val="20"/>
          <w:color w:val="231F20"/>
        </w:rPr>
      </w:pPr>
    </w:p>
    <w:p>
      <w:pPr>
        <w:jc w:val="both"/>
        <w:ind w:left="740" w:right="60" w:firstLine="745"/>
        <w:spacing w:after="0" w:line="249" w:lineRule="auto"/>
        <w:tabs>
          <w:tab w:leader="none" w:pos="2005" w:val="left"/>
        </w:tabs>
        <w:numPr>
          <w:ilvl w:val="0"/>
          <w:numId w:val="2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Loan Party will take any action, omit to take any action or permit any other party to take any action that would result in (i) such Loan Party holding Plan Assets or “plan assets” subject to Similar Law or (ii) any transaction contemplated under the Loan Documents constituting or resulting in a non-exempt prohibited transaction under Section 406 of ERISA or Section 4975 of the Code or any violation of applicable Similar Law.</w:t>
      </w:r>
    </w:p>
    <w:p>
      <w:pPr>
        <w:spacing w:after="0" w:line="180" w:lineRule="exact"/>
        <w:rPr>
          <w:sz w:val="20"/>
          <w:szCs w:val="20"/>
          <w:color w:val="auto"/>
        </w:rPr>
      </w:pPr>
    </w:p>
    <w:p>
      <w:pPr>
        <w:jc w:val="both"/>
        <w:ind w:left="740" w:firstLine="749"/>
        <w:spacing w:after="0" w:line="244" w:lineRule="auto"/>
        <w:rPr>
          <w:sz w:val="20"/>
          <w:szCs w:val="20"/>
          <w:color w:val="auto"/>
        </w:rPr>
      </w:pPr>
      <w:r>
        <w:rPr>
          <w:rFonts w:ascii="Times New Roman" w:cs="Times New Roman" w:eastAsia="Times New Roman" w:hAnsi="Times New Roman"/>
          <w:sz w:val="20"/>
          <w:szCs w:val="20"/>
          <w:u w:val="single" w:color="auto"/>
          <w:color w:val="2251A3"/>
        </w:rPr>
        <w:t>SECTION 6.13 Outbound Investment Rules.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8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231F20"/>
        </w:rPr>
        <w:t>ARTICLE VII</w:t>
      </w:r>
    </w:p>
    <w:p>
      <w:pPr>
        <w:spacing w:after="0" w:line="22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u w:val="single" w:color="auto"/>
          <w:color w:val="231F20"/>
        </w:rPr>
        <w:t>EVENTS OF DEFAULT</w:t>
      </w:r>
    </w:p>
    <w:p>
      <w:pPr>
        <w:spacing w:after="0" w:line="21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231F20"/>
        </w:rPr>
        <w:t>If any of the following events (each an “</w:t>
      </w:r>
      <w:r>
        <w:rPr>
          <w:rFonts w:ascii="Times New Roman" w:cs="Times New Roman" w:eastAsia="Times New Roman" w:hAnsi="Times New Roman"/>
          <w:sz w:val="20"/>
          <w:szCs w:val="20"/>
          <w:u w:val="single" w:color="auto"/>
          <w:color w:val="231F20"/>
        </w:rPr>
        <w:t>Event of Default</w:t>
      </w:r>
      <w:r>
        <w:rPr>
          <w:rFonts w:ascii="Times New Roman" w:cs="Times New Roman" w:eastAsia="Times New Roman" w:hAnsi="Times New Roman"/>
          <w:sz w:val="20"/>
          <w:szCs w:val="20"/>
          <w:color w:val="231F20"/>
        </w:rPr>
        <w:t>”) shall occur and be continuing:</w:t>
      </w:r>
    </w:p>
    <w:p>
      <w:pPr>
        <w:spacing w:after="0" w:line="216" w:lineRule="exact"/>
        <w:rPr>
          <w:sz w:val="20"/>
          <w:szCs w:val="20"/>
          <w:color w:val="auto"/>
        </w:rPr>
      </w:pPr>
    </w:p>
    <w:p>
      <w:pPr>
        <w:jc w:val="both"/>
        <w:ind w:left="740" w:right="60" w:firstLine="745"/>
        <w:spacing w:after="0" w:line="254" w:lineRule="auto"/>
        <w:tabs>
          <w:tab w:leader="none" w:pos="2005" w:val="left"/>
        </w:tabs>
        <w:numPr>
          <w:ilvl w:val="0"/>
          <w:numId w:val="2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74" w:lineRule="exact"/>
        <w:rPr>
          <w:rFonts w:ascii="Times New Roman" w:cs="Times New Roman" w:eastAsia="Times New Roman" w:hAnsi="Times New Roman"/>
          <w:sz w:val="20"/>
          <w:szCs w:val="20"/>
          <w:color w:val="231F20"/>
        </w:rPr>
      </w:pPr>
    </w:p>
    <w:p>
      <w:pPr>
        <w:jc w:val="both"/>
        <w:ind w:left="740" w:right="60" w:firstLine="745"/>
        <w:spacing w:after="0" w:line="254" w:lineRule="auto"/>
        <w:tabs>
          <w:tab w:leader="none" w:pos="2006" w:val="left"/>
        </w:tabs>
        <w:numPr>
          <w:ilvl w:val="0"/>
          <w:numId w:val="2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Borrower shall fail to pay any interest on any Loan or any fee or any other amount (other than an amount referred to in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Article VII</w:t>
      </w:r>
      <w:r>
        <w:rPr>
          <w:rFonts w:ascii="Times New Roman" w:cs="Times New Roman" w:eastAsia="Times New Roman" w:hAnsi="Times New Roman"/>
          <w:sz w:val="20"/>
          <w:szCs w:val="20"/>
          <w:color w:val="231F20"/>
        </w:rPr>
        <w:t>) payable under this Agreement or any other Loan Document, when and as the same shall become due and payable, and such failure shall continue unremedied for a period of five (5) Business Days;</w:t>
      </w:r>
    </w:p>
    <w:p>
      <w:pPr>
        <w:spacing w:after="0" w:line="174" w:lineRule="exact"/>
        <w:rPr>
          <w:rFonts w:ascii="Times New Roman" w:cs="Times New Roman" w:eastAsia="Times New Roman" w:hAnsi="Times New Roman"/>
          <w:sz w:val="20"/>
          <w:szCs w:val="20"/>
          <w:color w:val="231F20"/>
        </w:rPr>
      </w:pPr>
    </w:p>
    <w:p>
      <w:pPr>
        <w:jc w:val="both"/>
        <w:ind w:left="740" w:right="60" w:firstLine="745"/>
        <w:spacing w:after="0" w:line="246" w:lineRule="auto"/>
        <w:tabs>
          <w:tab w:leader="none" w:pos="2005" w:val="left"/>
        </w:tabs>
        <w:numPr>
          <w:ilvl w:val="0"/>
          <w:numId w:val="2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representation or warranty made or deemed made by or on behalf of any Loan Party or any Subsidiary in or in connection with this Agreement or any Loan Document or any amendment or modification thereof or waiver thereunder, or in any report, certificate, financial statement or other document furnished pursuant to or in connection with this Agreement or any Loan Document or any amendment or modification thereof or waiver thereunder, shall prove to have been materially incorrect when made or deemed made;</w:t>
      </w:r>
    </w:p>
    <w:p>
      <w:pPr>
        <w:spacing w:after="0" w:line="184"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0"/>
          <w:numId w:val="2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any Loan Party shall fail to observe or perform any covenant, condition or agreement contained in </w:t>
      </w:r>
      <w:r>
        <w:rPr>
          <w:rFonts w:ascii="Times New Roman" w:cs="Times New Roman" w:eastAsia="Times New Roman" w:hAnsi="Times New Roman"/>
          <w:sz w:val="20"/>
          <w:szCs w:val="20"/>
          <w:u w:val="single" w:color="auto"/>
          <w:color w:val="231F20"/>
        </w:rPr>
        <w:t>Section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5.02(a)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5.03</w:t>
      </w:r>
      <w:r>
        <w:rPr>
          <w:rFonts w:ascii="Times New Roman" w:cs="Times New Roman" w:eastAsia="Times New Roman" w:hAnsi="Times New Roman"/>
          <w:sz w:val="20"/>
          <w:szCs w:val="20"/>
          <w:color w:val="231F20"/>
        </w:rPr>
        <w:t xml:space="preserve"> (with respect to maintaining a Loan Party’s existence), </w:t>
      </w:r>
      <w:r>
        <w:rPr>
          <w:rFonts w:ascii="Times New Roman" w:cs="Times New Roman" w:eastAsia="Times New Roman" w:hAnsi="Times New Roman"/>
          <w:sz w:val="20"/>
          <w:szCs w:val="20"/>
          <w:u w:val="single" w:color="auto"/>
          <w:color w:val="231F20"/>
        </w:rPr>
        <w:t>5.08</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5.09</w:t>
      </w:r>
      <w:r>
        <w:rPr>
          <w:rFonts w:ascii="Times New Roman" w:cs="Times New Roman" w:eastAsia="Times New Roman" w:hAnsi="Times New Roman"/>
          <w:sz w:val="20"/>
          <w:szCs w:val="20"/>
          <w:color w:val="231F20"/>
        </w:rPr>
        <w:t xml:space="preserve"> or in </w:t>
      </w:r>
      <w:r>
        <w:rPr>
          <w:rFonts w:ascii="Times New Roman" w:cs="Times New Roman" w:eastAsia="Times New Roman" w:hAnsi="Times New Roman"/>
          <w:sz w:val="20"/>
          <w:szCs w:val="20"/>
          <w:u w:val="single" w:color="auto"/>
          <w:color w:val="231F20"/>
        </w:rPr>
        <w:t>Article VI</w:t>
      </w:r>
      <w:r>
        <w:rPr>
          <w:rFonts w:ascii="Times New Roman" w:cs="Times New Roman" w:eastAsia="Times New Roman" w:hAnsi="Times New Roman"/>
          <w:sz w:val="20"/>
          <w:szCs w:val="20"/>
          <w:color w:val="231F20"/>
        </w:rPr>
        <w:t>;</w:t>
      </w:r>
    </w:p>
    <w:p>
      <w:pPr>
        <w:spacing w:after="0" w:line="159" w:lineRule="exact"/>
        <w:rPr>
          <w:rFonts w:ascii="Times New Roman" w:cs="Times New Roman" w:eastAsia="Times New Roman" w:hAnsi="Times New Roman"/>
          <w:sz w:val="20"/>
          <w:szCs w:val="20"/>
          <w:color w:val="231F20"/>
        </w:rPr>
      </w:pPr>
    </w:p>
    <w:p>
      <w:pPr>
        <w:jc w:val="both"/>
        <w:ind w:left="740" w:right="40" w:firstLine="745"/>
        <w:spacing w:after="0" w:line="254" w:lineRule="auto"/>
        <w:tabs>
          <w:tab w:leader="none" w:pos="2006" w:val="left"/>
        </w:tabs>
        <w:numPr>
          <w:ilvl w:val="0"/>
          <w:numId w:val="2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any Loan Party shall fail to observe or perform any covenant, condition or agreement contained in this Agreement (other than those which constitute a default under another Section of this </w:t>
      </w:r>
      <w:r>
        <w:rPr>
          <w:rFonts w:ascii="Times New Roman" w:cs="Times New Roman" w:eastAsia="Times New Roman" w:hAnsi="Times New Roman"/>
          <w:sz w:val="20"/>
          <w:szCs w:val="20"/>
          <w:u w:val="single" w:color="auto"/>
          <w:color w:val="231F20"/>
        </w:rPr>
        <w:t>Article VII</w:t>
      </w:r>
      <w:r>
        <w:rPr>
          <w:rFonts w:ascii="Times New Roman" w:cs="Times New Roman" w:eastAsia="Times New Roman" w:hAnsi="Times New Roman"/>
          <w:sz w:val="20"/>
          <w:szCs w:val="20"/>
          <w:color w:val="231F20"/>
        </w:rPr>
        <w:t>) or any other Loan Document, and such failure shall continue unremedied for a period of (i) 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39" w:name="page240"/>
    <w:bookmarkEnd w:id="239"/>
    <w:p>
      <w:pPr>
        <w:jc w:val="both"/>
        <w:ind w:left="740" w:right="60"/>
        <w:spacing w:after="0" w:line="246" w:lineRule="auto"/>
        <w:rPr>
          <w:sz w:val="20"/>
          <w:szCs w:val="20"/>
          <w:color w:val="auto"/>
        </w:rPr>
      </w:pPr>
      <w:r>
        <w:rPr>
          <w:rFonts w:ascii="Times New Roman" w:cs="Times New Roman" w:eastAsia="Times New Roman" w:hAnsi="Times New Roman"/>
          <w:sz w:val="20"/>
          <w:szCs w:val="20"/>
          <w:color w:val="231F20"/>
        </w:rPr>
        <w:t xml:space="preserve">Business Days after the earlier of any Loan Party’s knowledge of such breach or notice thereof from the Administrative Agent (which notice will be given at the request of any Lender) if such breach relates to terms or provisions of </w:t>
      </w:r>
      <w:r>
        <w:rPr>
          <w:rFonts w:ascii="Times New Roman" w:cs="Times New Roman" w:eastAsia="Times New Roman" w:hAnsi="Times New Roman"/>
          <w:sz w:val="20"/>
          <w:szCs w:val="20"/>
          <w:u w:val="single" w:color="auto"/>
          <w:color w:val="231F20"/>
        </w:rPr>
        <w:t>Section 5.01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5.02</w:t>
      </w:r>
      <w:r>
        <w:rPr>
          <w:rFonts w:ascii="Times New Roman" w:cs="Times New Roman" w:eastAsia="Times New Roman" w:hAnsi="Times New Roman"/>
          <w:sz w:val="20"/>
          <w:szCs w:val="20"/>
          <w:color w:val="231F20"/>
        </w:rPr>
        <w:t xml:space="preserve"> (other than </w:t>
      </w:r>
      <w:r>
        <w:rPr>
          <w:rFonts w:ascii="Times New Roman" w:cs="Times New Roman" w:eastAsia="Times New Roman" w:hAnsi="Times New Roman"/>
          <w:sz w:val="20"/>
          <w:szCs w:val="20"/>
          <w:u w:val="single" w:color="auto"/>
          <w:color w:val="231F20"/>
        </w:rPr>
        <w:t>Section 5.02(a)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5.03</w:t>
      </w:r>
      <w:r>
        <w:rPr>
          <w:rFonts w:ascii="Times New Roman" w:cs="Times New Roman" w:eastAsia="Times New Roman" w:hAnsi="Times New Roman"/>
          <w:sz w:val="20"/>
          <w:szCs w:val="20"/>
          <w:color w:val="231F20"/>
        </w:rPr>
        <w:t xml:space="preserve"> (other than with respect to maintaining a Loan Party’s existence) through </w:t>
      </w:r>
      <w:r>
        <w:rPr>
          <w:rFonts w:ascii="Times New Roman" w:cs="Times New Roman" w:eastAsia="Times New Roman" w:hAnsi="Times New Roman"/>
          <w:sz w:val="20"/>
          <w:szCs w:val="20"/>
          <w:u w:val="single" w:color="auto"/>
          <w:color w:val="231F20"/>
        </w:rPr>
        <w:t>5.06</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5.10</w:t>
      </w:r>
      <w:r>
        <w:rPr>
          <w:rFonts w:ascii="Times New Roman" w:cs="Times New Roman" w:eastAsia="Times New Roman" w:hAnsi="Times New Roman"/>
          <w:sz w:val="20"/>
          <w:szCs w:val="20"/>
          <w:color w:val="231F20"/>
        </w:rPr>
        <w:t xml:space="preserve"> through </w:t>
      </w:r>
      <w:r>
        <w:rPr>
          <w:rFonts w:ascii="Times New Roman" w:cs="Times New Roman" w:eastAsia="Times New Roman" w:hAnsi="Times New Roman"/>
          <w:sz w:val="20"/>
          <w:szCs w:val="20"/>
          <w:u w:val="single" w:color="auto"/>
          <w:color w:val="231F20"/>
        </w:rPr>
        <w:t>5.15</w:t>
      </w:r>
      <w:r>
        <w:rPr>
          <w:rFonts w:ascii="Times New Roman" w:cs="Times New Roman" w:eastAsia="Times New Roman" w:hAnsi="Times New Roman"/>
          <w:sz w:val="20"/>
          <w:szCs w:val="20"/>
          <w:color w:val="231F20"/>
        </w:rPr>
        <w:t xml:space="preserve"> or of this Agreement or (ii) thirty (30) days after the earlier of any Loan Party’s knowledge of such breach or notice thereof from the Administrative Agent (which notice will be given at the request of any Lender);</w:t>
      </w:r>
    </w:p>
    <w:p>
      <w:pPr>
        <w:spacing w:after="0" w:line="185" w:lineRule="exact"/>
        <w:rPr>
          <w:sz w:val="20"/>
          <w:szCs w:val="20"/>
          <w:color w:val="auto"/>
        </w:rPr>
      </w:pPr>
    </w:p>
    <w:p>
      <w:pPr>
        <w:jc w:val="both"/>
        <w:ind w:left="740" w:right="40" w:firstLine="745"/>
        <w:spacing w:after="0" w:line="254" w:lineRule="auto"/>
        <w:tabs>
          <w:tab w:leader="none" w:pos="2006" w:val="left"/>
        </w:tabs>
        <w:numPr>
          <w:ilvl w:val="1"/>
          <w:numId w:val="2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Loan Party or any Subsidiary shall fail to make any payment (whether of principal or interest and regardless of amount) in respect of any Material Indebtedness, when and as the same shall become due and payable beyond any applicable grace period;</w:t>
      </w:r>
    </w:p>
    <w:p>
      <w:pPr>
        <w:spacing w:after="0" w:line="174" w:lineRule="exact"/>
        <w:rPr>
          <w:rFonts w:ascii="Times New Roman" w:cs="Times New Roman" w:eastAsia="Times New Roman" w:hAnsi="Times New Roman"/>
          <w:sz w:val="20"/>
          <w:szCs w:val="20"/>
          <w:color w:val="231F20"/>
        </w:rPr>
      </w:pPr>
    </w:p>
    <w:p>
      <w:pPr>
        <w:jc w:val="both"/>
        <w:ind w:left="740" w:right="20" w:firstLine="746"/>
        <w:spacing w:after="0" w:line="254" w:lineRule="auto"/>
        <w:tabs>
          <w:tab w:leader="none" w:pos="2007" w:val="left"/>
        </w:tabs>
        <w:numPr>
          <w:ilvl w:val="1"/>
          <w:numId w:val="21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xml:space="preserve">, that this </w:t>
      </w:r>
      <w:r>
        <w:rPr>
          <w:rFonts w:ascii="Times New Roman" w:cs="Times New Roman" w:eastAsia="Times New Roman" w:hAnsi="Times New Roman"/>
          <w:sz w:val="19"/>
          <w:szCs w:val="19"/>
          <w:u w:val="single" w:color="auto"/>
          <w:color w:val="231F20"/>
        </w:rPr>
        <w:t>clause (g)</w:t>
      </w:r>
      <w:r>
        <w:rPr>
          <w:rFonts w:ascii="Times New Roman" w:cs="Times New Roman" w:eastAsia="Times New Roman" w:hAnsi="Times New Roman"/>
          <w:sz w:val="19"/>
          <w:szCs w:val="19"/>
          <w:color w:val="231F20"/>
        </w:rPr>
        <w:t xml:space="preserve"> shall not apply to (i) secured Indebtedness that becomes due as a result of the voluntary sale or transfer of the property or assets securing such Indebtedness (ii) with respect to any Material Indebtedness consisting of Swap Agreements, termination events or equivalent events pursuant to the terms of such Swap Agreements and not as a result of any default thereunder by the Borrower or any of its Subsidiaries, (iii) any conversion of exchange of any Convertible Debt and any conversion or exchange trigger that results in such Convertible Debt becoming convertible or exchangeable, as applicable and</w:t>
      </w:r>
    </w:p>
    <w:p>
      <w:pPr>
        <w:spacing w:after="0" w:line="6" w:lineRule="exact"/>
        <w:rPr>
          <w:rFonts w:ascii="Times New Roman" w:cs="Times New Roman" w:eastAsia="Times New Roman" w:hAnsi="Times New Roman"/>
          <w:sz w:val="19"/>
          <w:szCs w:val="19"/>
          <w:color w:val="231F20"/>
        </w:rPr>
      </w:pPr>
    </w:p>
    <w:p>
      <w:pPr>
        <w:ind w:left="1080" w:hanging="343"/>
        <w:spacing w:after="0"/>
        <w:tabs>
          <w:tab w:leader="none" w:pos="1080" w:val="left"/>
        </w:tabs>
        <w:numPr>
          <w:ilvl w:val="0"/>
          <w:numId w:val="2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 the extent repaid in full upon consummation of the related Permitted Acquisition, any Specified Material Indebtedness;</w:t>
      </w:r>
    </w:p>
    <w:p>
      <w:pPr>
        <w:spacing w:after="0" w:line="193" w:lineRule="exact"/>
        <w:rPr>
          <w:rFonts w:ascii="Times New Roman" w:cs="Times New Roman" w:eastAsia="Times New Roman" w:hAnsi="Times New Roman"/>
          <w:sz w:val="20"/>
          <w:szCs w:val="20"/>
          <w:color w:val="231F20"/>
        </w:rPr>
      </w:pPr>
    </w:p>
    <w:p>
      <w:pPr>
        <w:jc w:val="both"/>
        <w:ind w:left="740" w:firstLine="745"/>
        <w:spacing w:after="0" w:line="245" w:lineRule="auto"/>
        <w:tabs>
          <w:tab w:leader="none" w:pos="2008" w:val="left"/>
        </w:tabs>
        <w:numPr>
          <w:ilvl w:val="1"/>
          <w:numId w:val="2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involuntary proceeding shall be commenced or an involuntary petition shall be filed seeking (i) liquidation, reorganization or other relief in respect of a Loan Party or any Material Foreign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Material Foreign Subsidiary or for a substantial part of its assets, and, in any such case, such proceeding or petition shall continue undismissed for sixty (60) days or an order or decree approving or ordering any of the foregoing shall be entered;</w:t>
      </w:r>
    </w:p>
    <w:p>
      <w:pPr>
        <w:spacing w:after="0" w:line="184" w:lineRule="exact"/>
        <w:rPr>
          <w:rFonts w:ascii="Times New Roman" w:cs="Times New Roman" w:eastAsia="Times New Roman" w:hAnsi="Times New Roman"/>
          <w:sz w:val="20"/>
          <w:szCs w:val="20"/>
          <w:color w:val="231F20"/>
        </w:rPr>
      </w:pPr>
    </w:p>
    <w:p>
      <w:pPr>
        <w:jc w:val="both"/>
        <w:ind w:left="740" w:right="40" w:firstLine="745"/>
        <w:spacing w:after="0" w:line="243" w:lineRule="auto"/>
        <w:tabs>
          <w:tab w:leader="none" w:pos="2006" w:val="left"/>
        </w:tabs>
        <w:numPr>
          <w:ilvl w:val="1"/>
          <w:numId w:val="2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any Loan Party or any Material Foreign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20"/>
          <w:szCs w:val="20"/>
          <w:u w:val="single" w:color="auto"/>
          <w:color w:val="231F20"/>
        </w:rPr>
        <w:t>clause (h)</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Article VII</w:t>
      </w:r>
      <w:r>
        <w:rPr>
          <w:rFonts w:ascii="Times New Roman" w:cs="Times New Roman" w:eastAsia="Times New Roman" w:hAnsi="Times New Roman"/>
          <w:sz w:val="20"/>
          <w:szCs w:val="20"/>
          <w:color w:val="231F20"/>
        </w:rPr>
        <w:t>, (iii) apply for or consent to the appointment of a receiver, trustee, custodian, sequestrator, conservator or similar official for such Loan Party or Material Foreign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9" w:lineRule="exact"/>
        <w:rPr>
          <w:rFonts w:ascii="Times New Roman" w:cs="Times New Roman" w:eastAsia="Times New Roman" w:hAnsi="Times New Roman"/>
          <w:sz w:val="20"/>
          <w:szCs w:val="20"/>
          <w:color w:val="231F20"/>
        </w:rPr>
      </w:pPr>
    </w:p>
    <w:p>
      <w:pPr>
        <w:ind w:left="740" w:right="60" w:firstLine="745"/>
        <w:spacing w:after="0" w:line="269" w:lineRule="auto"/>
        <w:tabs>
          <w:tab w:leader="none" w:pos="2005" w:val="left"/>
        </w:tabs>
        <w:numPr>
          <w:ilvl w:val="1"/>
          <w:numId w:val="2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Loan Party or any Subsidiary of any Loan Party shall become unable, admit in writing its inability or fail generally to pay its debts as they become due;</w:t>
      </w:r>
    </w:p>
    <w:p>
      <w:pPr>
        <w:spacing w:after="0" w:line="159" w:lineRule="exact"/>
        <w:rPr>
          <w:rFonts w:ascii="Times New Roman" w:cs="Times New Roman" w:eastAsia="Times New Roman" w:hAnsi="Times New Roman"/>
          <w:sz w:val="20"/>
          <w:szCs w:val="20"/>
          <w:color w:val="231F20"/>
        </w:rPr>
      </w:pPr>
    </w:p>
    <w:p>
      <w:pPr>
        <w:jc w:val="both"/>
        <w:ind w:left="740" w:right="40" w:firstLine="745"/>
        <w:spacing w:after="0" w:line="246" w:lineRule="auto"/>
        <w:tabs>
          <w:tab w:leader="none" w:pos="2006" w:val="left"/>
        </w:tabs>
        <w:numPr>
          <w:ilvl w:val="1"/>
          <w:numId w:val="2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one or more judgments, orders, court-approved settlements or other settlements (i) for the payment of money in an aggregate amount in excess of $</w:t>
      </w:r>
      <w:r>
        <w:rPr>
          <w:rFonts w:ascii="Times New Roman" w:cs="Times New Roman" w:eastAsia="Times New Roman" w:hAnsi="Times New Roman"/>
          <w:sz w:val="20"/>
          <w:szCs w:val="20"/>
          <w:color w:val="ED1C24"/>
          <w:strike w:val="1"/>
        </w:rPr>
        <w:t>10.0</w:t>
      </w:r>
      <w:r>
        <w:rPr>
          <w:rFonts w:ascii="Times New Roman" w:cs="Times New Roman" w:eastAsia="Times New Roman" w:hAnsi="Times New Roman"/>
          <w:sz w:val="20"/>
          <w:szCs w:val="20"/>
          <w:u w:val="single" w:color="auto"/>
          <w:color w:val="2251A3"/>
        </w:rPr>
        <w:t>20.0</w:t>
      </w:r>
      <w:r>
        <w:rPr>
          <w:rFonts w:ascii="Times New Roman" w:cs="Times New Roman" w:eastAsia="Times New Roman" w:hAnsi="Times New Roman"/>
          <w:sz w:val="20"/>
          <w:szCs w:val="20"/>
          <w:color w:val="231F20"/>
        </w:rPr>
        <w:t xml:space="preserve"> million (not paid or fully covered by insurance company as to which the relevant insurance company has acknowledged coverage) or (ii) that could reasonably be expected to result in a Material Adverse Effect, in each case, shall be rendered against any Loan Party, any Subsidiary of any Loan Party or any combination thereof and the same shall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40" w:name="page241"/>
    <w:bookmarkEnd w:id="240"/>
    <w:p>
      <w:pPr>
        <w:ind w:left="740"/>
        <w:spacing w:after="0"/>
        <w:rPr>
          <w:sz w:val="20"/>
          <w:szCs w:val="20"/>
          <w:color w:val="auto"/>
        </w:rPr>
      </w:pPr>
      <w:r>
        <w:rPr>
          <w:rFonts w:ascii="Times New Roman" w:cs="Times New Roman" w:eastAsia="Times New Roman" w:hAnsi="Times New Roman"/>
          <w:sz w:val="20"/>
          <w:szCs w:val="20"/>
          <w:color w:val="231F20"/>
        </w:rPr>
        <w:t>not have been paid, vacated or discharged or effectively stayed or bonded pending appeal within thirty</w:t>
      </w:r>
    </w:p>
    <w:p>
      <w:pPr>
        <w:spacing w:after="0" w:line="22" w:lineRule="exact"/>
        <w:rPr>
          <w:sz w:val="20"/>
          <w:szCs w:val="20"/>
          <w:color w:val="auto"/>
        </w:rPr>
      </w:pPr>
    </w:p>
    <w:p>
      <w:pPr>
        <w:jc w:val="both"/>
        <w:ind w:left="740" w:right="40" w:hanging="3"/>
        <w:spacing w:after="0" w:line="241" w:lineRule="auto"/>
        <w:tabs>
          <w:tab w:leader="none" w:pos="1122" w:val="left"/>
        </w:tabs>
        <w:numPr>
          <w:ilvl w:val="0"/>
          <w:numId w:val="2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days after the entry thereof or enforcement proceedings shall have been commenced by any creditor upon such judgment, order or court-approved settlement, and such enforcement proceedings have not been effectively stayed, vacated or bonded, or any action shall be legally taken by a judgment creditor to attach or levy upon any assets of any Loan Party or any Subsidiary of any Loan Party to enforce any such judgment;</w:t>
      </w:r>
    </w:p>
    <w:p>
      <w:pPr>
        <w:spacing w:after="0" w:line="188" w:lineRule="exact"/>
        <w:rPr>
          <w:rFonts w:ascii="Times New Roman" w:cs="Times New Roman" w:eastAsia="Times New Roman" w:hAnsi="Times New Roman"/>
          <w:sz w:val="20"/>
          <w:szCs w:val="20"/>
          <w:color w:val="231F20"/>
        </w:rPr>
      </w:pPr>
    </w:p>
    <w:p>
      <w:pPr>
        <w:jc w:val="both"/>
        <w:ind w:left="740" w:right="40" w:firstLine="745"/>
        <w:spacing w:after="0" w:line="254" w:lineRule="auto"/>
        <w:tabs>
          <w:tab w:leader="none" w:pos="2005" w:val="left"/>
        </w:tabs>
        <w:numPr>
          <w:ilvl w:val="1"/>
          <w:numId w:val="2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ERISA Event shall occur that, when taken together with all other ERISA Events that have occurred, could reasonably be expected to, individually or in the aggregate, result in liability of the Loan Parties in excess of $</w:t>
      </w:r>
      <w:r>
        <w:rPr>
          <w:rFonts w:ascii="Times New Roman" w:cs="Times New Roman" w:eastAsia="Times New Roman" w:hAnsi="Times New Roman"/>
          <w:sz w:val="20"/>
          <w:szCs w:val="20"/>
          <w:color w:val="ED1C24"/>
          <w:strike w:val="1"/>
        </w:rPr>
        <w:t>10.0</w:t>
      </w:r>
      <w:r>
        <w:rPr>
          <w:rFonts w:ascii="Times New Roman" w:cs="Times New Roman" w:eastAsia="Times New Roman" w:hAnsi="Times New Roman"/>
          <w:sz w:val="20"/>
          <w:szCs w:val="20"/>
          <w:u w:val="single" w:color="auto"/>
          <w:color w:val="2251A3"/>
        </w:rPr>
        <w:t>20.0</w:t>
      </w:r>
      <w:r>
        <w:rPr>
          <w:rFonts w:ascii="Times New Roman" w:cs="Times New Roman" w:eastAsia="Times New Roman" w:hAnsi="Times New Roman"/>
          <w:sz w:val="20"/>
          <w:szCs w:val="20"/>
          <w:color w:val="231F20"/>
        </w:rPr>
        <w:t xml:space="preserve"> million;</w:t>
      </w:r>
    </w:p>
    <w:p>
      <w:pPr>
        <w:spacing w:after="0" w:line="174" w:lineRule="exact"/>
        <w:rPr>
          <w:rFonts w:ascii="Times New Roman" w:cs="Times New Roman" w:eastAsia="Times New Roman" w:hAnsi="Times New Roman"/>
          <w:sz w:val="20"/>
          <w:szCs w:val="20"/>
          <w:color w:val="231F20"/>
        </w:rPr>
      </w:pPr>
    </w:p>
    <w:p>
      <w:pPr>
        <w:jc w:val="both"/>
        <w:ind w:left="740" w:right="20" w:firstLine="745"/>
        <w:spacing w:after="0" w:line="249" w:lineRule="auto"/>
        <w:tabs>
          <w:tab w:leader="none" w:pos="2006" w:val="left"/>
        </w:tabs>
        <w:numPr>
          <w:ilvl w:val="1"/>
          <w:numId w:val="2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present value of the accrued benefit liabilities (whether or not vested) under each Foreign Pension Plan, determined as of the end of the Borrower’s most recently ended fiscal year on the basis of actuarial assumptions, each of which is reasonable, could reasonably be expected to exceed the assets of such Foreign Pension Plans allocable to such benefit liabilities by more than $</w:t>
      </w:r>
      <w:r>
        <w:rPr>
          <w:rFonts w:ascii="Times New Roman" w:cs="Times New Roman" w:eastAsia="Times New Roman" w:hAnsi="Times New Roman"/>
          <w:sz w:val="20"/>
          <w:szCs w:val="20"/>
          <w:color w:val="ED1C24"/>
          <w:strike w:val="1"/>
        </w:rPr>
        <w:t>10.0</w:t>
      </w:r>
      <w:r>
        <w:rPr>
          <w:rFonts w:ascii="Times New Roman" w:cs="Times New Roman" w:eastAsia="Times New Roman" w:hAnsi="Times New Roman"/>
          <w:sz w:val="20"/>
          <w:szCs w:val="20"/>
          <w:u w:val="single" w:color="auto"/>
          <w:color w:val="2251A3"/>
        </w:rPr>
        <w:t>20.0</w:t>
      </w:r>
      <w:r>
        <w:rPr>
          <w:rFonts w:ascii="Times New Roman" w:cs="Times New Roman" w:eastAsia="Times New Roman" w:hAnsi="Times New Roman"/>
          <w:sz w:val="20"/>
          <w:szCs w:val="20"/>
          <w:color w:val="231F20"/>
        </w:rPr>
        <w:t xml:space="preserve"> million;</w:t>
      </w:r>
    </w:p>
    <w:p>
      <w:pPr>
        <w:spacing w:after="0" w:line="179" w:lineRule="exact"/>
        <w:rPr>
          <w:rFonts w:ascii="Times New Roman" w:cs="Times New Roman" w:eastAsia="Times New Roman" w:hAnsi="Times New Roman"/>
          <w:sz w:val="20"/>
          <w:szCs w:val="20"/>
          <w:color w:val="231F20"/>
        </w:rPr>
      </w:pPr>
    </w:p>
    <w:p>
      <w:pPr>
        <w:ind w:left="2240" w:hanging="755"/>
        <w:spacing w:after="0"/>
        <w:tabs>
          <w:tab w:leader="none" w:pos="2240" w:val="left"/>
        </w:tabs>
        <w:numPr>
          <w:ilvl w:val="1"/>
          <w:numId w:val="2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Change in Control shall occur;</w:t>
      </w:r>
    </w:p>
    <w:p>
      <w:pPr>
        <w:spacing w:after="0" w:line="215" w:lineRule="exact"/>
        <w:rPr>
          <w:rFonts w:ascii="Times New Roman" w:cs="Times New Roman" w:eastAsia="Times New Roman" w:hAnsi="Times New Roman"/>
          <w:sz w:val="20"/>
          <w:szCs w:val="20"/>
          <w:color w:val="231F20"/>
        </w:rPr>
      </w:pPr>
    </w:p>
    <w:p>
      <w:pPr>
        <w:jc w:val="both"/>
        <w:ind w:left="740" w:right="40" w:firstLine="745"/>
        <w:spacing w:after="0" w:line="274" w:lineRule="auto"/>
        <w:tabs>
          <w:tab w:leader="none" w:pos="2005" w:val="left"/>
        </w:tabs>
        <w:numPr>
          <w:ilvl w:val="1"/>
          <w:numId w:val="22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Loan Guaranty shall fail to remain in full force or effect with respect to each Loan Guarantor or any action shall be taken to discontinue or to assert the invalidity or unenforceability of the Loan Guaranty or any Loan Guarantor shall deny that it has any further liability under the Loan Guaranty to which it is a party, or shall give notice to such effect;</w:t>
      </w:r>
    </w:p>
    <w:p>
      <w:pPr>
        <w:spacing w:after="0" w:line="156" w:lineRule="exact"/>
        <w:rPr>
          <w:rFonts w:ascii="Times New Roman" w:cs="Times New Roman" w:eastAsia="Times New Roman" w:hAnsi="Times New Roman"/>
          <w:sz w:val="19"/>
          <w:szCs w:val="19"/>
          <w:color w:val="231F20"/>
        </w:rPr>
      </w:pPr>
    </w:p>
    <w:p>
      <w:pPr>
        <w:jc w:val="both"/>
        <w:ind w:left="740" w:firstLine="746"/>
        <w:spacing w:after="0" w:line="244" w:lineRule="auto"/>
        <w:tabs>
          <w:tab w:leader="none" w:pos="2007" w:val="left"/>
        </w:tabs>
        <w:numPr>
          <w:ilvl w:val="1"/>
          <w:numId w:val="2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 any Collateral Document shall for any reason fail to create a valid and perfected first priority security interest in any Collateral purported to be covered thereby (other than with respect to Collateral collectively having a book value not exceeding $5.0 million), except as expressly permitted by the terms of any Collateral Document or other Loan Document, (ii) any material provision of any Collateral Document shall fail to remain in full force or effect or (iii) any action shall be taken by any Loan Party to discontinue or to assert the invalidity or unenforceability of any Collateral Document or the failure of such Collateral Document to create a valid and perfected first priority security interest in any Collateral purported to be covered thereby;</w:t>
      </w:r>
    </w:p>
    <w:p>
      <w:pPr>
        <w:spacing w:after="0" w:line="185" w:lineRule="exact"/>
        <w:rPr>
          <w:rFonts w:ascii="Times New Roman" w:cs="Times New Roman" w:eastAsia="Times New Roman" w:hAnsi="Times New Roman"/>
          <w:sz w:val="20"/>
          <w:szCs w:val="20"/>
          <w:color w:val="231F20"/>
        </w:rPr>
      </w:pPr>
    </w:p>
    <w:p>
      <w:pPr>
        <w:jc w:val="both"/>
        <w:ind w:left="740" w:firstLine="746"/>
        <w:spacing w:after="0" w:line="249" w:lineRule="auto"/>
        <w:tabs>
          <w:tab w:leader="none" w:pos="2007" w:val="left"/>
        </w:tabs>
        <w:numPr>
          <w:ilvl w:val="1"/>
          <w:numId w:val="2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or</w:t>
      </w:r>
    </w:p>
    <w:p>
      <w:pPr>
        <w:spacing w:after="0" w:line="179" w:lineRule="exact"/>
        <w:rPr>
          <w:rFonts w:ascii="Times New Roman" w:cs="Times New Roman" w:eastAsia="Times New Roman" w:hAnsi="Times New Roman"/>
          <w:sz w:val="20"/>
          <w:szCs w:val="20"/>
          <w:color w:val="231F20"/>
        </w:rPr>
      </w:pPr>
    </w:p>
    <w:p>
      <w:pPr>
        <w:jc w:val="both"/>
        <w:ind w:left="740" w:right="20" w:firstLine="745"/>
        <w:spacing w:after="0" w:line="249" w:lineRule="auto"/>
        <w:tabs>
          <w:tab w:leader="none" w:pos="2006" w:val="left"/>
        </w:tabs>
        <w:numPr>
          <w:ilvl w:val="1"/>
          <w:numId w:val="2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Obligations shall cease or any Loan Party has asserted in writing that the Obligations cease to constitute senior indebtedness under the subordination provisions of any document or instrument evidencing Subordinated Indebtedness or any such subordination provision ceases, for any reason, to be a valid, binding and enforceable obligation of the parties hereto,</w:t>
      </w:r>
    </w:p>
    <w:p>
      <w:pPr>
        <w:spacing w:after="0" w:line="180" w:lineRule="exact"/>
        <w:rPr>
          <w:sz w:val="20"/>
          <w:szCs w:val="20"/>
          <w:color w:val="auto"/>
        </w:rPr>
      </w:pPr>
    </w:p>
    <w:p>
      <w:pPr>
        <w:jc w:val="both"/>
        <w:ind w:left="740"/>
        <w:spacing w:after="0" w:line="247" w:lineRule="auto"/>
        <w:rPr>
          <w:sz w:val="20"/>
          <w:szCs w:val="20"/>
          <w:color w:val="auto"/>
        </w:rPr>
      </w:pPr>
      <w:r>
        <w:rPr>
          <w:rFonts w:ascii="Times New Roman" w:cs="Times New Roman" w:eastAsia="Times New Roman" w:hAnsi="Times New Roman"/>
          <w:sz w:val="20"/>
          <w:szCs w:val="20"/>
          <w:color w:val="231F20"/>
        </w:rPr>
        <w:t xml:space="preserve">then, and in every such event (other than an event with respect to any Loan Party described in </w:t>
      </w:r>
      <w:r>
        <w:rPr>
          <w:rFonts w:ascii="Times New Roman" w:cs="Times New Roman" w:eastAsia="Times New Roman" w:hAnsi="Times New Roman"/>
          <w:sz w:val="20"/>
          <w:szCs w:val="20"/>
          <w:u w:val="single" w:color="auto"/>
          <w:color w:val="231F20"/>
        </w:rPr>
        <w:t>clause (h)</w:t>
      </w:r>
      <w:r>
        <w:rPr>
          <w:rFonts w:ascii="Times New Roman" w:cs="Times New Roman" w:eastAsia="Times New Roman" w:hAnsi="Times New Roman"/>
          <w:sz w:val="20"/>
          <w:szCs w:val="20"/>
          <w:color w:val="231F20"/>
        </w:rPr>
        <w:t xml:space="preserve"> or (i) of this </w:t>
      </w:r>
      <w:r>
        <w:rPr>
          <w:rFonts w:ascii="Times New Roman" w:cs="Times New Roman" w:eastAsia="Times New Roman" w:hAnsi="Times New Roman"/>
          <w:sz w:val="20"/>
          <w:szCs w:val="20"/>
          <w:u w:val="single" w:color="auto"/>
          <w:color w:val="231F20"/>
        </w:rPr>
        <w:t>Article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VII</w:t>
      </w:r>
      <w:r>
        <w:rPr>
          <w:rFonts w:ascii="Times New Roman" w:cs="Times New Roman" w:eastAsia="Times New Roman" w:hAnsi="Times New Roman"/>
          <w:sz w:val="20"/>
          <w:szCs w:val="20"/>
          <w:color w:val="231F20"/>
        </w:rPr>
        <w:t>), and at any time thereafter during the continuance of such event, the Administrative Agent may, and at the request of the Required Lenders shall, by notice to the Borrower, take either or both of the following actions, at the same or different times:</w:t>
      </w:r>
    </w:p>
    <w:p>
      <w:pPr>
        <w:jc w:val="both"/>
        <w:ind w:left="740" w:hanging="3"/>
        <w:spacing w:after="0" w:line="241" w:lineRule="auto"/>
        <w:tabs>
          <w:tab w:leader="none" w:pos="987" w:val="left"/>
        </w:tabs>
        <w:numPr>
          <w:ilvl w:val="0"/>
          <w:numId w:val="2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and unpaid interest thereon and all fees and other obligations of the Loan Parties accrued hereunder, shall become due and payable immediately,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241" w:name="page242"/>
    <w:bookmarkEnd w:id="241"/>
    <w:p>
      <w:pPr>
        <w:jc w:val="both"/>
        <w:ind w:left="740"/>
        <w:spacing w:after="0" w:line="243" w:lineRule="auto"/>
        <w:rPr>
          <w:sz w:val="20"/>
          <w:szCs w:val="20"/>
          <w:color w:val="auto"/>
        </w:rPr>
      </w:pPr>
      <w:r>
        <w:rPr>
          <w:rFonts w:ascii="Times New Roman" w:cs="Times New Roman" w:eastAsia="Times New Roman" w:hAnsi="Times New Roman"/>
          <w:sz w:val="20"/>
          <w:szCs w:val="20"/>
          <w:color w:val="231F20"/>
        </w:rPr>
        <w:t xml:space="preserve">without presentment, demand, protest or other notice of any kind, all of which are hereby waived by the Loan Parties; and in case of any event with respect to the Loan Parties described in </w:t>
      </w:r>
      <w:r>
        <w:rPr>
          <w:rFonts w:ascii="Times New Roman" w:cs="Times New Roman" w:eastAsia="Times New Roman" w:hAnsi="Times New Roman"/>
          <w:sz w:val="20"/>
          <w:szCs w:val="20"/>
          <w:u w:val="single" w:color="auto"/>
          <w:color w:val="231F20"/>
        </w:rPr>
        <w:t>clause (h)</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(i)</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Article VII</w:t>
      </w:r>
      <w:r>
        <w:rPr>
          <w:rFonts w:ascii="Times New Roman" w:cs="Times New Roman" w:eastAsia="Times New Roman" w:hAnsi="Times New Roman"/>
          <w:sz w:val="20"/>
          <w:szCs w:val="20"/>
          <w:color w:val="231F20"/>
        </w:rPr>
        <w:t>, the Commitments shall automatically terminate and the principal of the Loans then outstanding, together with accrued interest thereon and all fees and other obligations of the Loan Parties accrued hereunder, shall automatically become due and payable, without presentment, demand, protest or other notice of any kind, all of which are hereby waived by the Loan Parties. Upon the occurrence and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242" w:name="page243"/>
    <w:bookmarkEnd w:id="242"/>
    <w:p>
      <w:pPr>
        <w:jc w:val="center"/>
        <w:ind w:right="-499"/>
        <w:spacing w:after="0"/>
        <w:rPr>
          <w:sz w:val="20"/>
          <w:szCs w:val="20"/>
          <w:color w:val="auto"/>
        </w:rPr>
      </w:pPr>
      <w:r>
        <w:rPr>
          <w:rFonts w:ascii="Times New Roman" w:cs="Times New Roman" w:eastAsia="Times New Roman" w:hAnsi="Times New Roman"/>
          <w:sz w:val="20"/>
          <w:szCs w:val="20"/>
          <w:color w:val="231F20"/>
        </w:rPr>
        <w:t>ARTICLE VIII</w:t>
      </w:r>
    </w:p>
    <w:p>
      <w:pPr>
        <w:spacing w:after="0" w:line="2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u w:val="single" w:color="auto"/>
          <w:color w:val="231F20"/>
        </w:rPr>
        <w:t>THE ADMINISTRATIVE AGENT</w:t>
      </w:r>
    </w:p>
    <w:p>
      <w:pPr>
        <w:spacing w:after="0" w:line="216"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231F20"/>
        </w:rPr>
        <w:t xml:space="preserve">SECTION 8.01 </w:t>
      </w:r>
      <w:r>
        <w:rPr>
          <w:rFonts w:ascii="Times New Roman" w:cs="Times New Roman" w:eastAsia="Times New Roman" w:hAnsi="Times New Roman"/>
          <w:sz w:val="20"/>
          <w:szCs w:val="20"/>
          <w:u w:val="single" w:color="auto"/>
          <w:color w:val="231F20"/>
        </w:rPr>
        <w:t>Appointment</w:t>
      </w:r>
      <w:r>
        <w:rPr>
          <w:rFonts w:ascii="Times New Roman" w:cs="Times New Roman" w:eastAsia="Times New Roman" w:hAnsi="Times New Roman"/>
          <w:sz w:val="20"/>
          <w:szCs w:val="20"/>
          <w:color w:val="231F20"/>
        </w:rPr>
        <w:t xml:space="preserve">. Each of the Lenders, on behalf of itself and any of its Affiliates that are Secured Parties and the Issuing 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In addition, to the extent required under the laws of any jurisdiction other than the U.S., each of the Lenders and the Issuing Bank hereby grants to the Administrative Agent any required powers of attorney to execute any Collateral Document governed by the laws of such jurisdiction on such Lender’s or Issuing Bank’s behalf. The provisions of this </w:t>
      </w:r>
      <w:r>
        <w:rPr>
          <w:rFonts w:ascii="Times New Roman" w:cs="Times New Roman" w:eastAsia="Times New Roman" w:hAnsi="Times New Roman"/>
          <w:sz w:val="20"/>
          <w:szCs w:val="20"/>
          <w:u w:val="single" w:color="auto"/>
          <w:color w:val="231F20"/>
        </w:rPr>
        <w:t>Article VIII</w:t>
      </w:r>
      <w:r>
        <w:rPr>
          <w:rFonts w:ascii="Times New Roman" w:cs="Times New Roman" w:eastAsia="Times New Roman" w:hAnsi="Times New Roman"/>
          <w:sz w:val="20"/>
          <w:szCs w:val="20"/>
          <w:color w:val="231F20"/>
        </w:rPr>
        <w:t xml:space="preserve"> are solely for the benefit of the Administrative Agent and the Lenders (including the Issuing Bank), and the Loan Parties shall not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97"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231F20"/>
        </w:rPr>
        <w:t xml:space="preserve">SECTION 8.02 </w:t>
      </w:r>
      <w:r>
        <w:rPr>
          <w:rFonts w:ascii="Times New Roman" w:cs="Times New Roman" w:eastAsia="Times New Roman" w:hAnsi="Times New Roman"/>
          <w:sz w:val="20"/>
          <w:szCs w:val="20"/>
          <w:u w:val="single" w:color="auto"/>
          <w:color w:val="231F20"/>
        </w:rPr>
        <w:t>Rights as a Lender</w:t>
      </w:r>
      <w:r>
        <w:rPr>
          <w:rFonts w:ascii="Times New Roman" w:cs="Times New Roman" w:eastAsia="Times New Roman" w:hAnsi="Times New Roman"/>
          <w:sz w:val="20"/>
          <w:szCs w:val="20"/>
          <w:color w:val="231F20"/>
        </w:rPr>
        <w:t>. 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Loan Parties or any Subsidiary of a Loan Party or other Affiliate thereof as if it were not the Administrative Agent 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43" w:name="page244"/>
    <w:bookmarkEnd w:id="243"/>
    <w:p>
      <w:pPr>
        <w:jc w:val="both"/>
        <w:ind w:left="740" w:right="20" w:firstLine="749"/>
        <w:spacing w:after="0" w:line="253" w:lineRule="auto"/>
        <w:rPr>
          <w:sz w:val="20"/>
          <w:szCs w:val="20"/>
          <w:color w:val="auto"/>
        </w:rPr>
      </w:pPr>
      <w:r>
        <w:rPr>
          <w:rFonts w:ascii="Times New Roman" w:cs="Times New Roman" w:eastAsia="Times New Roman" w:hAnsi="Times New Roman"/>
          <w:sz w:val="19"/>
          <w:szCs w:val="19"/>
          <w:color w:val="231F20"/>
        </w:rPr>
        <w:t xml:space="preserve">SECTION 8.03 </w:t>
      </w:r>
      <w:r>
        <w:rPr>
          <w:rFonts w:ascii="Times New Roman" w:cs="Times New Roman" w:eastAsia="Times New Roman" w:hAnsi="Times New Roman"/>
          <w:sz w:val="19"/>
          <w:szCs w:val="19"/>
          <w:u w:val="single" w:color="auto"/>
          <w:color w:val="231F20"/>
        </w:rPr>
        <w:t>Duties and Obligations</w:t>
      </w:r>
      <w:r>
        <w:rPr>
          <w:rFonts w:ascii="Times New Roman" w:cs="Times New Roman" w:eastAsia="Times New Roman" w:hAnsi="Times New Roman"/>
          <w:sz w:val="19"/>
          <w:szCs w:val="19"/>
          <w:color w:val="231F20"/>
        </w:rPr>
        <w:t xml:space="preserve">.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w:t>
      </w:r>
      <w:r>
        <w:rPr>
          <w:rFonts w:ascii="Times New Roman" w:cs="Times New Roman" w:eastAsia="Times New Roman" w:hAnsi="Times New Roman"/>
          <w:sz w:val="19"/>
          <w:szCs w:val="19"/>
          <w:u w:val="single" w:color="auto"/>
          <w:color w:val="231F20"/>
        </w:rPr>
        <w:t>Section 9.02</w:t>
      </w:r>
      <w:r>
        <w:rPr>
          <w:rFonts w:ascii="Times New Roman" w:cs="Times New Roman" w:eastAsia="Times New Roman" w:hAnsi="Times New Roman"/>
          <w:sz w:val="19"/>
          <w:szCs w:val="19"/>
          <w:color w:val="231F20"/>
        </w:rPr>
        <w:t xml:space="preserve">), and (c) except as expressly set forth in the Loan Documents, the Administrative Agent shall not have any duty to disclose, and shall not be liable for the failure to disclose, any information relating to any Loan Party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19"/>
          <w:szCs w:val="19"/>
          <w:u w:val="single" w:color="auto"/>
          <w:color w:val="231F20"/>
        </w:rPr>
        <w:t>Section 9.02</w:t>
      </w:r>
      <w:r>
        <w:rPr>
          <w:rFonts w:ascii="Times New Roman" w:cs="Times New Roman" w:eastAsia="Times New Roman" w:hAnsi="Times New Roman"/>
          <w:sz w:val="19"/>
          <w:szCs w:val="19"/>
          <w:color w:val="231F20"/>
        </w:rPr>
        <w:t>) or in the absence of its own gross negligence or willful misconduct as determined by a final nonappealable judgment of a court of competent jurisdiction.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w:t>
      </w:r>
    </w:p>
    <w:p>
      <w:pPr>
        <w:spacing w:after="0" w:line="7" w:lineRule="exact"/>
        <w:rPr>
          <w:sz w:val="20"/>
          <w:szCs w:val="20"/>
          <w:color w:val="auto"/>
        </w:rPr>
      </w:pPr>
    </w:p>
    <w:p>
      <w:pPr>
        <w:jc w:val="both"/>
        <w:ind w:left="740" w:hanging="3"/>
        <w:spacing w:after="0"/>
        <w:tabs>
          <w:tab w:leader="none" w:pos="1099" w:val="left"/>
        </w:tabs>
        <w:numPr>
          <w:ilvl w:val="0"/>
          <w:numId w:val="2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validity, enforceability, effectiveness or genuineness of any Loan Document or any other agreement, instrument or document, (v) the creation, perfection or priority of Liens on the Collateral or the existence of the Collateral, or (vi) the satisfaction of any condition set forth in </w:t>
      </w:r>
      <w:r>
        <w:rPr>
          <w:rFonts w:ascii="Times New Roman" w:cs="Times New Roman" w:eastAsia="Times New Roman" w:hAnsi="Times New Roman"/>
          <w:sz w:val="20"/>
          <w:szCs w:val="20"/>
          <w:u w:val="single" w:color="auto"/>
          <w:color w:val="231F20"/>
        </w:rPr>
        <w:t>Article IV</w:t>
      </w:r>
      <w:r>
        <w:rPr>
          <w:rFonts w:ascii="Times New Roman" w:cs="Times New Roman" w:eastAsia="Times New Roman" w:hAnsi="Times New Roman"/>
          <w:sz w:val="20"/>
          <w:szCs w:val="20"/>
          <w:color w:val="231F20"/>
        </w:rPr>
        <w:t xml:space="preserve"> or elsewhere in any Loan Document, other than to confirm receipt of items expressly required to be delivered to the Administrative Agent. None of the Lenders or other Persons identified on the facing page or signature pages of this Agreement as a “syndication agent,” “documentation agent,” “lead arranger,” “bookrunner” or other similar term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89" w:lineRule="exact"/>
        <w:rPr>
          <w:sz w:val="20"/>
          <w:szCs w:val="20"/>
          <w:color w:val="auto"/>
        </w:rPr>
      </w:pPr>
    </w:p>
    <w:p>
      <w:pPr>
        <w:ind w:left="740" w:right="80" w:firstLine="749"/>
        <w:spacing w:after="0" w:line="244" w:lineRule="auto"/>
        <w:rPr>
          <w:sz w:val="20"/>
          <w:szCs w:val="20"/>
          <w:color w:val="auto"/>
        </w:rPr>
      </w:pPr>
      <w:r>
        <w:rPr>
          <w:rFonts w:ascii="Times New Roman" w:cs="Times New Roman" w:eastAsia="Times New Roman" w:hAnsi="Times New Roman"/>
          <w:sz w:val="20"/>
          <w:szCs w:val="20"/>
          <w:color w:val="231F20"/>
        </w:rPr>
        <w:t xml:space="preserve">SECTION 8.04 </w:t>
      </w:r>
      <w:r>
        <w:rPr>
          <w:rFonts w:ascii="Times New Roman" w:cs="Times New Roman" w:eastAsia="Times New Roman" w:hAnsi="Times New Roman"/>
          <w:sz w:val="20"/>
          <w:szCs w:val="20"/>
          <w:u w:val="single" w:color="auto"/>
          <w:color w:val="231F20"/>
        </w:rPr>
        <w:t>Reliance</w:t>
      </w:r>
      <w:r>
        <w:rPr>
          <w:rFonts w:ascii="Times New Roman" w:cs="Times New Roman" w:eastAsia="Times New Roman" w:hAnsi="Times New Roman"/>
          <w:sz w:val="20"/>
          <w:szCs w:val="20"/>
          <w:color w:val="231F20"/>
        </w:rPr>
        <w:t>. 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6" w:lineRule="exact"/>
        <w:rPr>
          <w:sz w:val="20"/>
          <w:szCs w:val="20"/>
          <w:color w:val="auto"/>
        </w:rPr>
      </w:pPr>
    </w:p>
    <w:p>
      <w:pPr>
        <w:jc w:val="both"/>
        <w:ind w:left="740" w:right="40" w:firstLine="749"/>
        <w:spacing w:after="0" w:line="260" w:lineRule="auto"/>
        <w:rPr>
          <w:sz w:val="20"/>
          <w:szCs w:val="20"/>
          <w:color w:val="auto"/>
        </w:rPr>
      </w:pPr>
      <w:r>
        <w:rPr>
          <w:rFonts w:ascii="Times New Roman" w:cs="Times New Roman" w:eastAsia="Times New Roman" w:hAnsi="Times New Roman"/>
          <w:sz w:val="19"/>
          <w:szCs w:val="19"/>
          <w:color w:val="231F20"/>
        </w:rPr>
        <w:t xml:space="preserve">SECTION 8.05 </w:t>
      </w:r>
      <w:r>
        <w:rPr>
          <w:rFonts w:ascii="Times New Roman" w:cs="Times New Roman" w:eastAsia="Times New Roman" w:hAnsi="Times New Roman"/>
          <w:sz w:val="19"/>
          <w:szCs w:val="19"/>
          <w:u w:val="single" w:color="auto"/>
          <w:color w:val="231F20"/>
        </w:rPr>
        <w:t>Actions through Sub-Agents</w:t>
      </w:r>
      <w:r>
        <w:rPr>
          <w:rFonts w:ascii="Times New Roman" w:cs="Times New Roman" w:eastAsia="Times New Roman" w:hAnsi="Times New Roman"/>
          <w:sz w:val="19"/>
          <w:szCs w:val="19"/>
          <w:color w:val="231F20"/>
        </w:rPr>
        <w:t>.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44" w:name="page245"/>
    <w:bookmarkEnd w:id="244"/>
    <w:p>
      <w:pPr>
        <w:jc w:val="both"/>
        <w:ind w:left="740" w:firstLine="749"/>
        <w:spacing w:after="0" w:line="253" w:lineRule="auto"/>
        <w:rPr>
          <w:sz w:val="20"/>
          <w:szCs w:val="20"/>
          <w:color w:val="auto"/>
        </w:rPr>
      </w:pPr>
      <w:r>
        <w:rPr>
          <w:rFonts w:ascii="Times New Roman" w:cs="Times New Roman" w:eastAsia="Times New Roman" w:hAnsi="Times New Roman"/>
          <w:sz w:val="19"/>
          <w:szCs w:val="19"/>
          <w:color w:val="231F20"/>
        </w:rPr>
        <w:t xml:space="preserve">SECTION 8.06 </w:t>
      </w:r>
      <w:r>
        <w:rPr>
          <w:rFonts w:ascii="Times New Roman" w:cs="Times New Roman" w:eastAsia="Times New Roman" w:hAnsi="Times New Roman"/>
          <w:sz w:val="19"/>
          <w:szCs w:val="19"/>
          <w:u w:val="single" w:color="auto"/>
          <w:color w:val="231F20"/>
        </w:rPr>
        <w:t>Resignation</w:t>
      </w:r>
      <w:r>
        <w:rPr>
          <w:rFonts w:ascii="Times New Roman" w:cs="Times New Roman" w:eastAsia="Times New Roman" w:hAnsi="Times New Roman"/>
          <w:sz w:val="19"/>
          <w:szCs w:val="19"/>
          <w:color w:val="231F20"/>
        </w:rPr>
        <w:t xml:space="preserve">. Subject to the appointment and acceptance of a successor Administrative Agent as provided in this paragraph, the Administrative Agent may resign at any time by notifying the Lenders, the Issuing Banks and the Borrower. Upon any such resignation, the Required Lenders shall have the right, in consultation with the Borrower,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Banks, appoint a successor Administrative Agent which shall be a commercial bank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Borrower to a successor Administrative Agent shall be the same as those payable to its predecessor, unless otherwise agreed by the Borrower and such successor. Notwithstanding the foregoing,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(a) the retiring Administrative Agent shall be discharged from its duties and obligations hereunder and under the other Loan Documents;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duty or obligation to take any further action under any Collateral Document, including any action required to maintain the perfection of any such security interest), and (b) the Required Lenders shall succeed to and become vested with all the rights, powers, privileges and duties of the retiring Administrative Agent;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xml:space="preserve">, that (i) all payments required to be made hereunder or under any other Loan Document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 made to each Lender and each Issuing Bank. Following the effectiveness of the Administrative Agent’s resignation from its capacity as such, the provisions of this </w:t>
      </w:r>
      <w:r>
        <w:rPr>
          <w:rFonts w:ascii="Times New Roman" w:cs="Times New Roman" w:eastAsia="Times New Roman" w:hAnsi="Times New Roman"/>
          <w:sz w:val="19"/>
          <w:szCs w:val="19"/>
          <w:u w:val="single" w:color="auto"/>
          <w:color w:val="231F20"/>
        </w:rPr>
        <w:t>Article VIII</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u w:val="single" w:color="auto"/>
          <w:color w:val="231F20"/>
        </w:rPr>
        <w:t>Section 2.17(d)</w:t>
      </w:r>
      <w:r>
        <w:rPr>
          <w:rFonts w:ascii="Times New Roman" w:cs="Times New Roman" w:eastAsia="Times New Roman" w:hAnsi="Times New Roman"/>
          <w:sz w:val="19"/>
          <w:szCs w:val="19"/>
          <w:color w:val="231F20"/>
        </w:rPr>
        <w:t xml:space="preserve"> and </w:t>
      </w:r>
      <w:r>
        <w:rPr>
          <w:rFonts w:ascii="Times New Roman" w:cs="Times New Roman" w:eastAsia="Times New Roman" w:hAnsi="Times New Roman"/>
          <w:sz w:val="19"/>
          <w:szCs w:val="19"/>
          <w:u w:val="single" w:color="auto"/>
          <w:color w:val="231F20"/>
        </w:rPr>
        <w:t>Section 9.03</w:t>
      </w:r>
      <w:r>
        <w:rPr>
          <w:rFonts w:ascii="Times New Roman" w:cs="Times New Roman" w:eastAsia="Times New Roman" w:hAnsi="Times New Roman"/>
          <w:sz w:val="19"/>
          <w:szCs w:val="19"/>
          <w:color w:val="231F20"/>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 and in respect of the matters referred to in the proviso under </w:t>
      </w:r>
      <w:r>
        <w:rPr>
          <w:rFonts w:ascii="Times New Roman" w:cs="Times New Roman" w:eastAsia="Times New Roman" w:hAnsi="Times New Roman"/>
          <w:sz w:val="19"/>
          <w:szCs w:val="19"/>
          <w:u w:val="single" w:color="auto"/>
          <w:color w:val="231F20"/>
        </w:rPr>
        <w:t>clause (a)</w:t>
      </w:r>
      <w:r>
        <w:rPr>
          <w:rFonts w:ascii="Times New Roman" w:cs="Times New Roman" w:eastAsia="Times New Roman" w:hAnsi="Times New Roman"/>
          <w:sz w:val="19"/>
          <w:szCs w:val="19"/>
          <w:color w:val="231F20"/>
        </w:rPr>
        <w:t xml:space="preserve"> above.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45" w:name="page246"/>
    <w:bookmarkEnd w:id="245"/>
    <w:p>
      <w:pPr>
        <w:jc w:val="both"/>
        <w:ind w:left="740" w:firstLine="749"/>
        <w:spacing w:after="0" w:line="256" w:lineRule="auto"/>
        <w:rPr>
          <w:sz w:val="20"/>
          <w:szCs w:val="20"/>
          <w:color w:val="auto"/>
        </w:rPr>
      </w:pPr>
      <w:r>
        <w:rPr>
          <w:rFonts w:ascii="Times New Roman" w:cs="Times New Roman" w:eastAsia="Times New Roman" w:hAnsi="Times New Roman"/>
          <w:sz w:val="19"/>
          <w:szCs w:val="19"/>
          <w:color w:val="231F20"/>
        </w:rPr>
        <w:t xml:space="preserve">SECTION 8.07 </w:t>
      </w:r>
      <w:r>
        <w:rPr>
          <w:rFonts w:ascii="Times New Roman" w:cs="Times New Roman" w:eastAsia="Times New Roman" w:hAnsi="Times New Roman"/>
          <w:sz w:val="19"/>
          <w:szCs w:val="19"/>
          <w:u w:val="single" w:color="auto"/>
          <w:color w:val="231F20"/>
        </w:rPr>
        <w:t>Non-Reliance</w:t>
      </w:r>
      <w:r>
        <w:rPr>
          <w:rFonts w:ascii="Times New Roman" w:cs="Times New Roman" w:eastAsia="Times New Roman" w:hAnsi="Times New Roman"/>
          <w:sz w:val="19"/>
          <w:szCs w:val="19"/>
          <w:color w:val="231F20"/>
        </w:rPr>
        <w:t>. 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or any other Lender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231F20"/>
        </w:rPr>
        <w:t xml:space="preserve">SECTION 8.08 </w:t>
      </w:r>
      <w:r>
        <w:rPr>
          <w:rFonts w:ascii="Times New Roman" w:cs="Times New Roman" w:eastAsia="Times New Roman" w:hAnsi="Times New Roman"/>
          <w:sz w:val="20"/>
          <w:szCs w:val="20"/>
          <w:u w:val="single" w:color="auto"/>
          <w:color w:val="231F20"/>
        </w:rPr>
        <w:t>Not Partners or Co-Venturers; Administrative Agent as Representative of the Secured Parties</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left="740" w:right="40" w:firstLine="745"/>
        <w:spacing w:after="0" w:line="246" w:lineRule="auto"/>
        <w:tabs>
          <w:tab w:leader="none" w:pos="2006" w:val="left"/>
        </w:tabs>
        <w:numPr>
          <w:ilvl w:val="0"/>
          <w:numId w:val="2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84" w:lineRule="exact"/>
        <w:rPr>
          <w:rFonts w:ascii="Times New Roman" w:cs="Times New Roman" w:eastAsia="Times New Roman" w:hAnsi="Times New Roman"/>
          <w:sz w:val="20"/>
          <w:szCs w:val="20"/>
          <w:color w:val="231F20"/>
        </w:rPr>
      </w:pPr>
    </w:p>
    <w:p>
      <w:pPr>
        <w:jc w:val="both"/>
        <w:ind w:left="740" w:right="20" w:firstLine="746"/>
        <w:spacing w:after="0" w:line="242" w:lineRule="auto"/>
        <w:tabs>
          <w:tab w:leader="none" w:pos="2007" w:val="left"/>
        </w:tabs>
        <w:numPr>
          <w:ilvl w:val="0"/>
          <w:numId w:val="2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its capacity, the Administrative Agent is a “representative” of the Secured Parties within the meaning of the term “secured party” as defined in the New York Uniform Commercial Code. Each Lender (and other Secured Party by its acceptance of the benefits of the Loan Documents) authorizes the Administrative Agent to enter into each of the Collateral Documents to which it is a party and to take all action contemplated by such documents. Each Lender (and other Secured Party by its acceptance of the benefits of the Loan Documents)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Secured Parties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190"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8.09</w:t>
      </w:r>
      <w:r>
        <w:rPr>
          <w:sz w:val="20"/>
          <w:szCs w:val="20"/>
          <w:color w:val="auto"/>
        </w:rPr>
        <w:tab/>
      </w:r>
      <w:r>
        <w:rPr>
          <w:rFonts w:ascii="Times New Roman" w:cs="Times New Roman" w:eastAsia="Times New Roman" w:hAnsi="Times New Roman"/>
          <w:sz w:val="19"/>
          <w:szCs w:val="19"/>
          <w:u w:val="single" w:color="auto"/>
          <w:color w:val="231F20"/>
        </w:rPr>
        <w:t>Lenders Not Subject to ERISA</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40" w:firstLine="745"/>
        <w:spacing w:after="0" w:line="249" w:lineRule="auto"/>
        <w:tabs>
          <w:tab w:leader="none" w:pos="2006" w:val="left"/>
        </w:tabs>
        <w:numPr>
          <w:ilvl w:val="0"/>
          <w:numId w:val="2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79" w:lineRule="exact"/>
        <w:rPr>
          <w:rFonts w:ascii="Times New Roman" w:cs="Times New Roman" w:eastAsia="Times New Roman" w:hAnsi="Times New Roman"/>
          <w:sz w:val="20"/>
          <w:szCs w:val="20"/>
          <w:color w:val="231F20"/>
        </w:rPr>
      </w:pPr>
    </w:p>
    <w:p>
      <w:pPr>
        <w:jc w:val="both"/>
        <w:ind w:left="1480" w:right="60" w:firstLine="1503"/>
        <w:spacing w:after="0" w:line="254" w:lineRule="auto"/>
        <w:tabs>
          <w:tab w:leader="none" w:pos="3521" w:val="left"/>
        </w:tabs>
        <w:numPr>
          <w:ilvl w:val="1"/>
          <w:numId w:val="2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25" w:lineRule="exact"/>
        <w:rPr>
          <w:rFonts w:ascii="Times New Roman" w:cs="Times New Roman" w:eastAsia="Times New Roman" w:hAnsi="Times New Roman"/>
          <w:sz w:val="20"/>
          <w:szCs w:val="20"/>
          <w:color w:val="231F20"/>
        </w:rPr>
      </w:pPr>
    </w:p>
    <w:p>
      <w:pPr>
        <w:ind w:left="1480" w:right="20" w:firstLine="1503"/>
        <w:spacing w:after="0" w:line="269" w:lineRule="auto"/>
        <w:tabs>
          <w:tab w:leader="none" w:pos="3524" w:val="left"/>
        </w:tabs>
        <w:numPr>
          <w:ilvl w:val="1"/>
          <w:numId w:val="2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prohibited transaction exemption set forth in one or more PTEs, such as PTE 84-14 (a class exemption for certain transactions determined by independent qualified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46" w:name="page247"/>
    <w:bookmarkEnd w:id="246"/>
    <w:p>
      <w:pPr>
        <w:jc w:val="both"/>
        <w:ind w:left="1480"/>
        <w:spacing w:after="0" w:line="245" w:lineRule="auto"/>
        <w:rPr>
          <w:sz w:val="20"/>
          <w:szCs w:val="20"/>
          <w:color w:val="auto"/>
        </w:rPr>
      </w:pPr>
      <w:r>
        <w:rPr>
          <w:rFonts w:ascii="Times New Roman" w:cs="Times New Roman" w:eastAsia="Times New Roman" w:hAnsi="Times New Roman"/>
          <w:sz w:val="20"/>
          <w:szCs w:val="20"/>
          <w:color w:val="231F20"/>
        </w:rPr>
        <w:t>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4" w:lineRule="exact"/>
        <w:rPr>
          <w:sz w:val="20"/>
          <w:szCs w:val="20"/>
          <w:color w:val="auto"/>
        </w:rPr>
      </w:pPr>
    </w:p>
    <w:p>
      <w:pPr>
        <w:jc w:val="both"/>
        <w:ind w:left="1480" w:right="20" w:firstLine="1503"/>
        <w:spacing w:after="0" w:line="258" w:lineRule="auto"/>
        <w:tabs>
          <w:tab w:leader="none" w:pos="3522" w:val="left"/>
        </w:tabs>
        <w:numPr>
          <w:ilvl w:val="1"/>
          <w:numId w:val="22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3" w:lineRule="exact"/>
        <w:rPr>
          <w:rFonts w:ascii="Times New Roman" w:cs="Times New Roman" w:eastAsia="Times New Roman" w:hAnsi="Times New Roman"/>
          <w:sz w:val="19"/>
          <w:szCs w:val="19"/>
          <w:color w:val="231F20"/>
        </w:rPr>
      </w:pPr>
    </w:p>
    <w:p>
      <w:pPr>
        <w:ind w:left="1480" w:right="40" w:firstLine="1503"/>
        <w:spacing w:after="0" w:line="269" w:lineRule="auto"/>
        <w:tabs>
          <w:tab w:leader="none" w:pos="3521" w:val="left"/>
        </w:tabs>
        <w:numPr>
          <w:ilvl w:val="1"/>
          <w:numId w:val="2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231F20"/>
        </w:rPr>
      </w:pPr>
    </w:p>
    <w:p>
      <w:pPr>
        <w:jc w:val="both"/>
        <w:ind w:left="740" w:right="20" w:firstLine="745"/>
        <w:spacing w:after="0" w:line="243" w:lineRule="auto"/>
        <w:tabs>
          <w:tab w:leader="none" w:pos="2006" w:val="left"/>
        </w:tabs>
        <w:numPr>
          <w:ilvl w:val="0"/>
          <w:numId w:val="2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247" w:name="page248"/>
    <w:bookmarkEnd w:id="247"/>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8.10</w:t>
      </w:r>
      <w:r>
        <w:rPr>
          <w:sz w:val="20"/>
          <w:szCs w:val="20"/>
          <w:color w:val="auto"/>
        </w:rPr>
        <w:tab/>
      </w:r>
      <w:r>
        <w:rPr>
          <w:rFonts w:ascii="Times New Roman" w:cs="Times New Roman" w:eastAsia="Times New Roman" w:hAnsi="Times New Roman"/>
          <w:sz w:val="19"/>
          <w:szCs w:val="19"/>
          <w:u w:val="single" w:color="auto"/>
          <w:color w:val="231F20"/>
        </w:rPr>
        <w:t>Erroneous Payment</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firstLine="745"/>
        <w:spacing w:after="0" w:line="242" w:lineRule="auto"/>
        <w:tabs>
          <w:tab w:leader="none" w:pos="2006" w:val="left"/>
        </w:tabs>
        <w:numPr>
          <w:ilvl w:val="0"/>
          <w:numId w:val="2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the Administrative Agent (x) notifies a Lender, Issuing Bank or Secured Party, or any Person who has received funds on behalf of a Lender, Issuing Bank or Secured Party (any such Lender, Issuing Bank, Secured Party or other recipient, a “</w:t>
      </w:r>
      <w:r>
        <w:rPr>
          <w:rFonts w:ascii="Times New Roman" w:cs="Times New Roman" w:eastAsia="Times New Roman" w:hAnsi="Times New Roman"/>
          <w:sz w:val="20"/>
          <w:szCs w:val="20"/>
          <w:u w:val="single" w:color="auto"/>
          <w:color w:val="231F20"/>
        </w:rPr>
        <w:t>Payment Recipient</w:t>
      </w:r>
      <w:r>
        <w:rPr>
          <w:rFonts w:ascii="Times New Roman" w:cs="Times New Roman" w:eastAsia="Times New Roman" w:hAnsi="Times New Roman"/>
          <w:sz w:val="20"/>
          <w:szCs w:val="20"/>
          <w:color w:val="231F20"/>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0"/>
          <w:szCs w:val="20"/>
          <w:u w:val="single" w:color="auto"/>
          <w:color w:val="231F20"/>
        </w:rPr>
        <w:t>clause (b)</w:t>
      </w:r>
      <w:r>
        <w:rPr>
          <w:rFonts w:ascii="Times New Roman" w:cs="Times New Roman" w:eastAsia="Times New Roman" w:hAnsi="Times New Roman"/>
          <w:sz w:val="20"/>
          <w:szCs w:val="20"/>
          <w:color w:val="231F20"/>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231F20"/>
        </w:rPr>
        <w:t>Erroneous Payment</w:t>
      </w:r>
      <w:r>
        <w:rPr>
          <w:rFonts w:ascii="Times New Roman" w:cs="Times New Roman" w:eastAsia="Times New Roman" w:hAnsi="Times New Roman"/>
          <w:sz w:val="20"/>
          <w:szCs w:val="20"/>
          <w:color w:val="231F20"/>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20"/>
          <w:szCs w:val="20"/>
          <w:u w:val="single" w:color="auto"/>
          <w:color w:val="231F20"/>
        </w:rPr>
        <w:t>Section 8.10</w:t>
      </w:r>
      <w:r>
        <w:rPr>
          <w:rFonts w:ascii="Times New Roman" w:cs="Times New Roman" w:eastAsia="Times New Roman" w:hAnsi="Times New Roman"/>
          <w:sz w:val="20"/>
          <w:szCs w:val="20"/>
          <w:color w:val="231F20"/>
        </w:rPr>
        <w:t xml:space="preserve"> and held in trust for the benefit of the Administrative Agent, and such Lender, Issuing Bank or Secured Party shall (or, with respect to any Payment Recipient who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40" w:right="759" w:bottom="1440" w:gutter="0" w:footer="0" w:header="0"/>
        </w:sectPr>
      </w:pPr>
    </w:p>
    <w:bookmarkStart w:id="248" w:name="page249"/>
    <w:bookmarkEnd w:id="248"/>
    <w:p>
      <w:pPr>
        <w:jc w:val="both"/>
        <w:ind w:left="740" w:right="40"/>
        <w:spacing w:after="0" w:line="243" w:lineRule="auto"/>
        <w:rPr>
          <w:sz w:val="20"/>
          <w:szCs w:val="20"/>
          <w:color w:val="auto"/>
        </w:rPr>
      </w:pPr>
      <w:r>
        <w:rPr>
          <w:rFonts w:ascii="Times New Roman" w:cs="Times New Roman" w:eastAsia="Times New Roman" w:hAnsi="Times New Roman"/>
          <w:sz w:val="20"/>
          <w:szCs w:val="20"/>
          <w:color w:val="231F20"/>
        </w:rPr>
        <w:t xml:space="preserve">received such funds on its behalf, shall cause such Payment Recipient to) promptly, but in no event later than two (2)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xml:space="preserve"> shall be conclusive, absent manifest error.</w:t>
      </w:r>
    </w:p>
    <w:p>
      <w:pPr>
        <w:spacing w:after="0" w:line="186" w:lineRule="exact"/>
        <w:rPr>
          <w:sz w:val="20"/>
          <w:szCs w:val="20"/>
          <w:color w:val="auto"/>
        </w:rPr>
      </w:pPr>
    </w:p>
    <w:p>
      <w:pPr>
        <w:jc w:val="both"/>
        <w:ind w:left="740" w:right="40" w:firstLine="745"/>
        <w:spacing w:after="0" w:line="243" w:lineRule="auto"/>
        <w:tabs>
          <w:tab w:leader="none" w:pos="2006" w:val="left"/>
        </w:tabs>
        <w:numPr>
          <w:ilvl w:val="1"/>
          <w:numId w:val="2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Without limiting the immediately preceding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each Lender, Issuing Bank or Secured Party, or any Person who has received funds on behalf of a Lender, Issuing Bank or Secured Party,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w:t>
      </w:r>
    </w:p>
    <w:p>
      <w:pPr>
        <w:spacing w:after="0" w:line="1" w:lineRule="exact"/>
        <w:rPr>
          <w:rFonts w:ascii="Times New Roman" w:cs="Times New Roman" w:eastAsia="Times New Roman" w:hAnsi="Times New Roman"/>
          <w:sz w:val="20"/>
          <w:szCs w:val="20"/>
          <w:color w:val="231F20"/>
        </w:rPr>
      </w:pPr>
    </w:p>
    <w:p>
      <w:pPr>
        <w:jc w:val="both"/>
        <w:ind w:left="740" w:right="60" w:hanging="3"/>
        <w:spacing w:after="0" w:line="242" w:lineRule="auto"/>
        <w:tabs>
          <w:tab w:leader="none" w:pos="1024" w:val="left"/>
        </w:tabs>
        <w:numPr>
          <w:ilvl w:val="0"/>
          <w:numId w:val="2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then in each such case:</w:t>
      </w:r>
    </w:p>
    <w:p>
      <w:pPr>
        <w:spacing w:after="0" w:line="186" w:lineRule="exact"/>
        <w:rPr>
          <w:rFonts w:ascii="Times New Roman" w:cs="Times New Roman" w:eastAsia="Times New Roman" w:hAnsi="Times New Roman"/>
          <w:sz w:val="20"/>
          <w:szCs w:val="20"/>
          <w:color w:val="231F20"/>
        </w:rPr>
      </w:pPr>
    </w:p>
    <w:p>
      <w:pPr>
        <w:jc w:val="both"/>
        <w:ind w:left="1480" w:right="40" w:firstLine="1503"/>
        <w:spacing w:after="0" w:line="249" w:lineRule="auto"/>
        <w:tabs>
          <w:tab w:leader="none" w:pos="3522" w:val="left"/>
        </w:tabs>
        <w:numPr>
          <w:ilvl w:val="2"/>
          <w:numId w:val="2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it acknowledges and agrees that (A) in the case of immediately preceding </w:t>
      </w:r>
      <w:r>
        <w:rPr>
          <w:rFonts w:ascii="Times New Roman" w:cs="Times New Roman" w:eastAsia="Times New Roman" w:hAnsi="Times New Roman"/>
          <w:sz w:val="20"/>
          <w:szCs w:val="20"/>
          <w:u w:val="single" w:color="auto"/>
          <w:color w:val="231F20"/>
        </w:rPr>
        <w:t>clauses (x)</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(y)</w:t>
      </w:r>
      <w:r>
        <w:rPr>
          <w:rFonts w:ascii="Times New Roman" w:cs="Times New Roman" w:eastAsia="Times New Roman" w:hAnsi="Times New Roman"/>
          <w:sz w:val="20"/>
          <w:szCs w:val="20"/>
          <w:color w:val="231F20"/>
        </w:rPr>
        <w:t xml:space="preserve">, an error and mistake shall be presumed to have been made (absent written confirmation from the Administrative Agent to the contrary) or (B) an error and mistake has been made (in the case of immediately preceding </w:t>
      </w:r>
      <w:r>
        <w:rPr>
          <w:rFonts w:ascii="Times New Roman" w:cs="Times New Roman" w:eastAsia="Times New Roman" w:hAnsi="Times New Roman"/>
          <w:sz w:val="20"/>
          <w:szCs w:val="20"/>
          <w:u w:val="single" w:color="auto"/>
          <w:color w:val="231F20"/>
        </w:rPr>
        <w:t>clause (z)</w:t>
      </w:r>
      <w:r>
        <w:rPr>
          <w:rFonts w:ascii="Times New Roman" w:cs="Times New Roman" w:eastAsia="Times New Roman" w:hAnsi="Times New Roman"/>
          <w:sz w:val="20"/>
          <w:szCs w:val="20"/>
          <w:color w:val="231F20"/>
        </w:rPr>
        <w:t>), in each case, with respect to such payment, prepayment or repayment; and</w:t>
      </w:r>
    </w:p>
    <w:p>
      <w:pPr>
        <w:spacing w:after="0" w:line="179" w:lineRule="exact"/>
        <w:rPr>
          <w:rFonts w:ascii="Times New Roman" w:cs="Times New Roman" w:eastAsia="Times New Roman" w:hAnsi="Times New Roman"/>
          <w:sz w:val="20"/>
          <w:szCs w:val="20"/>
          <w:color w:val="231F20"/>
        </w:rPr>
      </w:pPr>
    </w:p>
    <w:p>
      <w:pPr>
        <w:jc w:val="both"/>
        <w:ind w:left="1480" w:right="20" w:firstLine="1503"/>
        <w:spacing w:after="0" w:line="246" w:lineRule="auto"/>
        <w:tabs>
          <w:tab w:leader="none" w:pos="3523" w:val="left"/>
        </w:tabs>
        <w:numPr>
          <w:ilvl w:val="2"/>
          <w:numId w:val="2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such Lender, Issuing Bank or Secured Party shall (and shall cause any other recipient that receives funds on its respective behalf to) promptly (and, in all events, within one Business Day of its knowledge of the occurrence of any of the circumstances described in the immediately preceding </w:t>
      </w:r>
      <w:r>
        <w:rPr>
          <w:rFonts w:ascii="Times New Roman" w:cs="Times New Roman" w:eastAsia="Times New Roman" w:hAnsi="Times New Roman"/>
          <w:sz w:val="20"/>
          <w:szCs w:val="20"/>
          <w:u w:val="single" w:color="auto"/>
          <w:color w:val="231F20"/>
        </w:rPr>
        <w:t>clauses (x)</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(y)</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(z)</w:t>
      </w:r>
      <w:r>
        <w:rPr>
          <w:rFonts w:ascii="Times New Roman" w:cs="Times New Roman" w:eastAsia="Times New Roman" w:hAnsi="Times New Roman"/>
          <w:sz w:val="20"/>
          <w:szCs w:val="20"/>
          <w:color w:val="231F20"/>
        </w:rPr>
        <w:t xml:space="preserve">)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0"/>
          <w:szCs w:val="20"/>
          <w:u w:val="single" w:color="auto"/>
          <w:color w:val="231F20"/>
        </w:rPr>
        <w:t>Section 8.10(b)</w:t>
      </w:r>
      <w:r>
        <w:rPr>
          <w:rFonts w:ascii="Times New Roman" w:cs="Times New Roman" w:eastAsia="Times New Roman" w:hAnsi="Times New Roman"/>
          <w:sz w:val="20"/>
          <w:szCs w:val="20"/>
          <w:color w:val="231F20"/>
        </w:rPr>
        <w:t>.</w:t>
      </w:r>
    </w:p>
    <w:p>
      <w:pPr>
        <w:spacing w:after="0" w:line="185" w:lineRule="exact"/>
        <w:rPr>
          <w:sz w:val="20"/>
          <w:szCs w:val="20"/>
          <w:color w:val="auto"/>
        </w:rPr>
      </w:pPr>
    </w:p>
    <w:p>
      <w:pPr>
        <w:jc w:val="both"/>
        <w:ind w:left="1480" w:right="60"/>
        <w:spacing w:after="0" w:line="254" w:lineRule="auto"/>
        <w:rPr>
          <w:sz w:val="20"/>
          <w:szCs w:val="20"/>
          <w:color w:val="auto"/>
        </w:rPr>
      </w:pPr>
      <w:r>
        <w:rPr>
          <w:rFonts w:ascii="Times New Roman" w:cs="Times New Roman" w:eastAsia="Times New Roman" w:hAnsi="Times New Roman"/>
          <w:sz w:val="20"/>
          <w:szCs w:val="20"/>
          <w:color w:val="231F20"/>
        </w:rPr>
        <w:t xml:space="preserve">For the avoidance of doubt, the failure to deliver a notice to the Administrative Agent pursuant to this </w:t>
      </w:r>
      <w:r>
        <w:rPr>
          <w:rFonts w:ascii="Times New Roman" w:cs="Times New Roman" w:eastAsia="Times New Roman" w:hAnsi="Times New Roman"/>
          <w:sz w:val="20"/>
          <w:szCs w:val="20"/>
          <w:u w:val="single" w:color="auto"/>
          <w:color w:val="231F20"/>
        </w:rPr>
        <w:t>Section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8.10(b)</w:t>
      </w:r>
      <w:r>
        <w:rPr>
          <w:rFonts w:ascii="Times New Roman" w:cs="Times New Roman" w:eastAsia="Times New Roman" w:hAnsi="Times New Roman"/>
          <w:sz w:val="20"/>
          <w:szCs w:val="20"/>
          <w:color w:val="231F20"/>
        </w:rPr>
        <w:t xml:space="preserve"> shall not have any effect on a Payment Recipient’s obligations pursuant to </w:t>
      </w:r>
      <w:r>
        <w:rPr>
          <w:rFonts w:ascii="Times New Roman" w:cs="Times New Roman" w:eastAsia="Times New Roman" w:hAnsi="Times New Roman"/>
          <w:sz w:val="20"/>
          <w:szCs w:val="20"/>
          <w:u w:val="single" w:color="auto"/>
          <w:color w:val="231F20"/>
        </w:rPr>
        <w:t>Section 8.10(a)</w:t>
      </w:r>
      <w:r>
        <w:rPr>
          <w:rFonts w:ascii="Times New Roman" w:cs="Times New Roman" w:eastAsia="Times New Roman" w:hAnsi="Times New Roman"/>
          <w:sz w:val="20"/>
          <w:szCs w:val="20"/>
          <w:color w:val="231F20"/>
        </w:rPr>
        <w:t xml:space="preserve"> or on whether or not an Erroneous Payment has been made.</w:t>
      </w:r>
    </w:p>
    <w:p>
      <w:pPr>
        <w:spacing w:after="0" w:line="174" w:lineRule="exact"/>
        <w:rPr>
          <w:sz w:val="20"/>
          <w:szCs w:val="20"/>
          <w:color w:val="auto"/>
        </w:rPr>
      </w:pPr>
    </w:p>
    <w:p>
      <w:pPr>
        <w:jc w:val="both"/>
        <w:ind w:left="740" w:firstLine="745"/>
        <w:spacing w:after="0" w:line="246" w:lineRule="auto"/>
        <w:tabs>
          <w:tab w:leader="none" w:pos="2008" w:val="left"/>
        </w:tabs>
        <w:numPr>
          <w:ilvl w:val="0"/>
          <w:numId w:val="2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with respect to any payment of principal, interest, fees or other amounts, against any amount that the Administrative Agent has demanded to be returned under immediately preceding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w:t>
      </w:r>
    </w:p>
    <w:p>
      <w:pPr>
        <w:spacing w:after="0" w:line="184" w:lineRule="exact"/>
        <w:rPr>
          <w:rFonts w:ascii="Times New Roman" w:cs="Times New Roman" w:eastAsia="Times New Roman" w:hAnsi="Times New Roman"/>
          <w:sz w:val="20"/>
          <w:szCs w:val="20"/>
          <w:color w:val="231F20"/>
        </w:rPr>
      </w:pPr>
    </w:p>
    <w:p>
      <w:pPr>
        <w:jc w:val="both"/>
        <w:ind w:left="740" w:right="60" w:firstLine="745"/>
        <w:spacing w:after="0" w:line="249" w:lineRule="auto"/>
        <w:tabs>
          <w:tab w:leader="none" w:pos="2005" w:val="left"/>
        </w:tabs>
        <w:numPr>
          <w:ilvl w:val="0"/>
          <w:numId w:val="2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 In the event that an Erroneous Payment (or portion thereof) is not recovered by the Administrative Agent for any reason, after demand therefor in accordance with immediately preceding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from any Lender that has received such Erroneous Payment (or portion thereof) (and/or from any Payment Recipient who received such Erroneous Payment (or portion thereof) on its respective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49" w:name="page250"/>
    <w:bookmarkEnd w:id="249"/>
    <w:p>
      <w:pPr>
        <w:jc w:val="both"/>
        <w:ind w:left="740" w:right="20"/>
        <w:spacing w:after="0" w:line="241" w:lineRule="auto"/>
        <w:rPr>
          <w:sz w:val="20"/>
          <w:szCs w:val="20"/>
          <w:color w:val="auto"/>
        </w:rPr>
      </w:pPr>
      <w:r>
        <w:rPr>
          <w:rFonts w:ascii="Times New Roman" w:cs="Times New Roman" w:eastAsia="Times New Roman" w:hAnsi="Times New Roman"/>
          <w:sz w:val="20"/>
          <w:szCs w:val="20"/>
          <w:color w:val="231F20"/>
        </w:rPr>
        <w:t>behalf) (such unrecovered amount, an “</w:t>
      </w:r>
      <w:r>
        <w:rPr>
          <w:rFonts w:ascii="Times New Roman" w:cs="Times New Roman" w:eastAsia="Times New Roman" w:hAnsi="Times New Roman"/>
          <w:sz w:val="20"/>
          <w:szCs w:val="20"/>
          <w:u w:val="single" w:color="auto"/>
          <w:color w:val="231F20"/>
        </w:rPr>
        <w:t>Erroneous Payment Return Deficiency</w:t>
      </w:r>
      <w:r>
        <w:rPr>
          <w:rFonts w:ascii="Times New Roman" w:cs="Times New Roman" w:eastAsia="Times New Roman" w:hAnsi="Times New Roman"/>
          <w:sz w:val="20"/>
          <w:szCs w:val="20"/>
          <w:color w:val="231F20"/>
        </w:rPr>
        <w:t>”), upon the Administrative Agent’s notice to such Lender at any time, then effective immediately (with the consideration therefor being acknowledged by the parties hereto), (A) such Lender shall be deemed to have assigned its Loans (but not its Commitments) with respect to which such Erroneous Payment was made (the “</w:t>
      </w:r>
      <w:r>
        <w:rPr>
          <w:rFonts w:ascii="Times New Roman" w:cs="Times New Roman" w:eastAsia="Times New Roman" w:hAnsi="Times New Roman"/>
          <w:sz w:val="20"/>
          <w:szCs w:val="20"/>
          <w:u w:val="single" w:color="auto"/>
          <w:color w:val="231F20"/>
        </w:rPr>
        <w:t>Erroneous Payment Impacted Class</w:t>
      </w:r>
      <w:r>
        <w:rPr>
          <w:rFonts w:ascii="Times New Roman" w:cs="Times New Roman" w:eastAsia="Times New Roman" w:hAnsi="Times New Roman"/>
          <w:sz w:val="20"/>
          <w:szCs w:val="20"/>
          <w:color w:val="231F20"/>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20"/>
          <w:szCs w:val="20"/>
          <w:u w:val="single" w:color="auto"/>
          <w:color w:val="231F20"/>
        </w:rPr>
        <w:t>Erroneous Payment Deficiency Assignment</w:t>
      </w:r>
      <w:r>
        <w:rPr>
          <w:rFonts w:ascii="Times New Roman" w:cs="Times New Roman" w:eastAsia="Times New Roman" w:hAnsi="Times New Roman"/>
          <w:sz w:val="20"/>
          <w:szCs w:val="20"/>
          <w:color w:val="231F20"/>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Electronic System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w:t>
      </w:r>
    </w:p>
    <w:p>
      <w:pPr>
        <w:spacing w:after="0" w:line="2" w:lineRule="exact"/>
        <w:rPr>
          <w:sz w:val="20"/>
          <w:szCs w:val="20"/>
          <w:color w:val="auto"/>
        </w:rPr>
      </w:pPr>
    </w:p>
    <w:p>
      <w:pPr>
        <w:jc w:val="both"/>
        <w:ind w:left="740" w:right="60" w:hanging="3"/>
        <w:spacing w:after="0"/>
        <w:tabs>
          <w:tab w:leader="none" w:pos="1076" w:val="left"/>
        </w:tabs>
        <w:numPr>
          <w:ilvl w:val="0"/>
          <w:numId w:val="2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189" w:lineRule="exact"/>
        <w:rPr>
          <w:rFonts w:ascii="Times New Roman" w:cs="Times New Roman" w:eastAsia="Times New Roman" w:hAnsi="Times New Roman"/>
          <w:sz w:val="20"/>
          <w:szCs w:val="20"/>
          <w:color w:val="231F20"/>
        </w:rPr>
      </w:pPr>
    </w:p>
    <w:p>
      <w:pPr>
        <w:jc w:val="both"/>
        <w:ind w:left="740" w:firstLine="1494"/>
        <w:spacing w:after="0" w:line="242" w:lineRule="auto"/>
        <w:tabs>
          <w:tab w:leader="none" w:pos="2542" w:val="left"/>
        </w:tabs>
        <w:numPr>
          <w:ilvl w:val="2"/>
          <w:numId w:val="2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Subject to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 xml:space="preserve">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189" w:lineRule="exact"/>
        <w:rPr>
          <w:rFonts w:ascii="Times New Roman" w:cs="Times New Roman" w:eastAsia="Times New Roman" w:hAnsi="Times New Roman"/>
          <w:sz w:val="20"/>
          <w:szCs w:val="20"/>
          <w:color w:val="231F20"/>
        </w:rPr>
      </w:pPr>
    </w:p>
    <w:p>
      <w:pPr>
        <w:jc w:val="both"/>
        <w:ind w:left="740" w:right="20" w:firstLine="745"/>
        <w:spacing w:after="0" w:line="243" w:lineRule="auto"/>
        <w:tabs>
          <w:tab w:leader="none" w:pos="2008" w:val="left"/>
        </w:tabs>
        <w:numPr>
          <w:ilvl w:val="1"/>
          <w:numId w:val="2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cs="Times New Roman" w:eastAsia="Times New Roman" w:hAnsi="Times New Roman"/>
          <w:sz w:val="20"/>
          <w:szCs w:val="20"/>
          <w:u w:val="single" w:color="auto"/>
          <w:color w:val="231F20"/>
        </w:rPr>
        <w:t>Erroneous Payment Subrogation Rights</w:t>
      </w:r>
      <w:r>
        <w:rPr>
          <w:rFonts w:ascii="Times New Roman" w:cs="Times New Roman" w:eastAsia="Times New Roman" w:hAnsi="Times New Roman"/>
          <w:sz w:val="20"/>
          <w:szCs w:val="20"/>
          <w:color w:val="231F20"/>
        </w:rPr>
        <w:t>”) (provided that the Loan Parties’ Secured Obligations under the Loan Documents in respect of the Erroneous Payment Subrogation Rights shall not be duplicative of such Secured Obligations in respect of Loans that have been assigned to the Administrative Agent under an Erroneous Payment Deficiency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291" w:right="699" w:bottom="1440" w:gutter="0" w:footer="0" w:header="0"/>
        </w:sectPr>
      </w:pPr>
    </w:p>
    <w:bookmarkStart w:id="250" w:name="page251"/>
    <w:bookmarkEnd w:id="250"/>
    <w:p>
      <w:pPr>
        <w:jc w:val="both"/>
        <w:ind w:left="740"/>
        <w:spacing w:after="0" w:line="243" w:lineRule="auto"/>
        <w:rPr>
          <w:sz w:val="20"/>
          <w:szCs w:val="20"/>
          <w:color w:val="auto"/>
        </w:rPr>
      </w:pPr>
      <w:r>
        <w:rPr>
          <w:rFonts w:ascii="Times New Roman" w:cs="Times New Roman" w:eastAsia="Times New Roman" w:hAnsi="Times New Roman"/>
          <w:sz w:val="20"/>
          <w:szCs w:val="20"/>
          <w:color w:val="231F20"/>
        </w:rPr>
        <w:t xml:space="preserve">Assignment) and (y) an Erroneous Payment shall not pay, prepay, repay, discharge or otherwise satisfy any Secured Obligations owed by the Borrower or any other Loan Party;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this </w:t>
      </w:r>
      <w:r>
        <w:rPr>
          <w:rFonts w:ascii="Times New Roman" w:cs="Times New Roman" w:eastAsia="Times New Roman" w:hAnsi="Times New Roman"/>
          <w:sz w:val="20"/>
          <w:szCs w:val="20"/>
          <w:u w:val="single" w:color="auto"/>
          <w:color w:val="231F20"/>
        </w:rPr>
        <w:t>Section 8.10</w:t>
      </w:r>
      <w:r>
        <w:rPr>
          <w:rFonts w:ascii="Times New Roman" w:cs="Times New Roman" w:eastAsia="Times New Roman" w:hAnsi="Times New Roman"/>
          <w:sz w:val="20"/>
          <w:szCs w:val="20"/>
          <w:color w:val="231F20"/>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189" w:lineRule="exact"/>
        <w:rPr>
          <w:sz w:val="20"/>
          <w:szCs w:val="20"/>
          <w:color w:val="auto"/>
        </w:rPr>
      </w:pPr>
    </w:p>
    <w:p>
      <w:pPr>
        <w:jc w:val="both"/>
        <w:ind w:left="740" w:firstLine="745"/>
        <w:spacing w:after="0" w:line="249" w:lineRule="auto"/>
        <w:tabs>
          <w:tab w:leader="none" w:pos="2006" w:val="left"/>
        </w:tabs>
        <w:numPr>
          <w:ilvl w:val="0"/>
          <w:numId w:val="2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9" w:lineRule="exact"/>
        <w:rPr>
          <w:rFonts w:ascii="Times New Roman" w:cs="Times New Roman" w:eastAsia="Times New Roman" w:hAnsi="Times New Roman"/>
          <w:sz w:val="20"/>
          <w:szCs w:val="20"/>
          <w:color w:val="231F20"/>
        </w:rPr>
      </w:pPr>
    </w:p>
    <w:p>
      <w:pPr>
        <w:jc w:val="both"/>
        <w:ind w:left="740" w:firstLine="745"/>
        <w:spacing w:after="0" w:line="249" w:lineRule="auto"/>
        <w:tabs>
          <w:tab w:leader="none" w:pos="2006" w:val="left"/>
        </w:tabs>
        <w:numPr>
          <w:ilvl w:val="0"/>
          <w:numId w:val="2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Each party’s obligations, agreements and waivers under this </w:t>
      </w:r>
      <w:r>
        <w:rPr>
          <w:rFonts w:ascii="Times New Roman" w:cs="Times New Roman" w:eastAsia="Times New Roman" w:hAnsi="Times New Roman"/>
          <w:sz w:val="20"/>
          <w:szCs w:val="20"/>
          <w:u w:val="single" w:color="auto"/>
          <w:color w:val="231F20"/>
        </w:rPr>
        <w:t>Section 8.10</w:t>
      </w:r>
      <w:r>
        <w:rPr>
          <w:rFonts w:ascii="Times New Roman" w:cs="Times New Roman" w:eastAsia="Times New Roman" w:hAnsi="Times New Roman"/>
          <w:sz w:val="20"/>
          <w:szCs w:val="20"/>
          <w:color w:val="231F20"/>
        </w:rPr>
        <w:t xml:space="preserve"> shall survive the resignation or replacement of the Administrative Agent, any transfer of rights or obligations by, or the replacement of, a Lender or Issuing Bank, the termination of the Commitments and/or the repayment, satisfaction or discharge of all Secured Obligations (or any portion thereof) under any Loan Document.</w:t>
      </w:r>
    </w:p>
    <w:p>
      <w:pPr>
        <w:spacing w:after="0" w:line="18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231F20"/>
        </w:rPr>
        <w:t>ARTICLE IX</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u w:val="single" w:color="auto"/>
          <w:color w:val="231F20"/>
        </w:rPr>
        <w:t>MISCELLANEOUS</w:t>
      </w:r>
    </w:p>
    <w:p>
      <w:pPr>
        <w:spacing w:after="0" w:line="216"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9.01</w:t>
      </w:r>
      <w:r>
        <w:rPr>
          <w:sz w:val="20"/>
          <w:szCs w:val="20"/>
          <w:color w:val="auto"/>
        </w:rPr>
        <w:tab/>
      </w:r>
      <w:r>
        <w:rPr>
          <w:rFonts w:ascii="Times New Roman" w:cs="Times New Roman" w:eastAsia="Times New Roman" w:hAnsi="Times New Roman"/>
          <w:sz w:val="19"/>
          <w:szCs w:val="19"/>
          <w:u w:val="single" w:color="auto"/>
          <w:color w:val="231F20"/>
        </w:rPr>
        <w:t>Notices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20" w:firstLine="745"/>
        <w:spacing w:after="0" w:line="245" w:lineRule="auto"/>
        <w:tabs>
          <w:tab w:leader="none" w:pos="2005" w:val="left"/>
        </w:tabs>
        <w:numPr>
          <w:ilvl w:val="0"/>
          <w:numId w:val="2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Except in the case of notices and other communications expressly permitted to be given by telephone or Electronic Systems (and subject in each case to </w:t>
      </w:r>
      <w:r>
        <w:rPr>
          <w:rFonts w:ascii="Times New Roman" w:cs="Times New Roman" w:eastAsia="Times New Roman" w:hAnsi="Times New Roman"/>
          <w:sz w:val="20"/>
          <w:szCs w:val="20"/>
          <w:u w:val="single" w:color="auto"/>
          <w:color w:val="231F20"/>
        </w:rPr>
        <w:t>clause (b)</w:t>
      </w:r>
      <w:r>
        <w:rPr>
          <w:rFonts w:ascii="Times New Roman" w:cs="Times New Roman" w:eastAsia="Times New Roman" w:hAnsi="Times New Roman"/>
          <w:sz w:val="20"/>
          <w:szCs w:val="20"/>
          <w:color w:val="231F20"/>
        </w:rPr>
        <w:t xml:space="preserve"> below), all notices and other communications provided for herein shall be in writing and shall be delivered by hand or overnight courier service, mailed by certified or registered mail or sent by fax, as follows:</w:t>
      </w:r>
    </w:p>
    <w:p>
      <w:pPr>
        <w:ind w:left="3420" w:right="3100" w:hanging="437"/>
        <w:spacing w:after="0" w:line="239" w:lineRule="auto"/>
        <w:tabs>
          <w:tab w:leader="none" w:pos="3420" w:val="left"/>
        </w:tabs>
        <w:numPr>
          <w:ilvl w:val="1"/>
          <w:numId w:val="2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to any Loan Party, to the Borrower at: Flywire Corporation</w:t>
      </w:r>
    </w:p>
    <w:p>
      <w:pPr>
        <w:ind w:left="3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141 Tremont Street, 10</w:t>
      </w:r>
      <w:r>
        <w:rPr>
          <w:rFonts w:ascii="Times New Roman" w:cs="Times New Roman" w:eastAsia="Times New Roman" w:hAnsi="Times New Roman"/>
          <w:sz w:val="12"/>
          <w:szCs w:val="12"/>
          <w:color w:val="231F20"/>
        </w:rPr>
        <w:t>th</w:t>
      </w:r>
      <w:r>
        <w:rPr>
          <w:rFonts w:ascii="Times New Roman" w:cs="Times New Roman" w:eastAsia="Times New Roman" w:hAnsi="Times New Roman"/>
          <w:sz w:val="20"/>
          <w:szCs w:val="20"/>
          <w:color w:val="231F20"/>
        </w:rPr>
        <w:t xml:space="preserve"> Floor Boston, MA</w:t>
      </w:r>
    </w:p>
    <w:p>
      <w:pPr>
        <w:ind w:left="3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02111</w:t>
      </w:r>
    </w:p>
    <w:p>
      <w:pPr>
        <w:ind w:left="3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Attention: CFO and General Counsel E-mail</w:t>
      </w:r>
    </w:p>
    <w:p>
      <w:pPr>
        <w:ind w:left="3740" w:right="4100"/>
        <w:spacing w:after="0" w:line="255"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19"/>
          <w:szCs w:val="19"/>
          <w:color w:val="231F20"/>
        </w:rPr>
        <w:t xml:space="preserve">Address: </w:t>
      </w:r>
      <w:r>
        <w:rPr>
          <w:rFonts w:ascii="Times New Roman" w:cs="Times New Roman" w:eastAsia="Times New Roman" w:hAnsi="Times New Roman"/>
          <w:sz w:val="19"/>
          <w:szCs w:val="19"/>
          <w:color w:val="000000"/>
        </w:rPr>
        <w:t>mellis@flywire.com</w:t>
      </w:r>
      <w:r>
        <w:rPr>
          <w:rFonts w:ascii="Times New Roman" w:cs="Times New Roman" w:eastAsia="Times New Roman" w:hAnsi="Times New Roman"/>
          <w:sz w:val="19"/>
          <w:szCs w:val="19"/>
          <w:color w:val="231F20"/>
        </w:rPr>
        <w:t xml:space="preserve"> – CFO </w:t>
      </w:r>
      <w:r>
        <w:rPr>
          <w:rFonts w:ascii="Times New Roman" w:cs="Times New Roman" w:eastAsia="Times New Roman" w:hAnsi="Times New Roman"/>
          <w:sz w:val="19"/>
          <w:szCs w:val="19"/>
          <w:color w:val="000000"/>
        </w:rPr>
        <w:t xml:space="preserve">peter@flywire.com </w:t>
      </w:r>
      <w:r>
        <w:rPr>
          <w:rFonts w:ascii="Times New Roman" w:cs="Times New Roman" w:eastAsia="Times New Roman" w:hAnsi="Times New Roman"/>
          <w:sz w:val="19"/>
          <w:szCs w:val="19"/>
          <w:color w:val="231F20"/>
        </w:rPr>
        <w:t>– GC and CCO</w:t>
      </w:r>
    </w:p>
    <w:p>
      <w:pPr>
        <w:spacing w:after="0" w:line="1" w:lineRule="exact"/>
        <w:rPr>
          <w:rFonts w:ascii="Times New Roman" w:cs="Times New Roman" w:eastAsia="Times New Roman" w:hAnsi="Times New Roman"/>
          <w:sz w:val="20"/>
          <w:szCs w:val="20"/>
          <w:color w:val="231F20"/>
        </w:rPr>
      </w:pPr>
    </w:p>
    <w:p>
      <w:pPr>
        <w:ind w:left="3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with a copy (which shall not constitute notice) to: Rutan &amp; Tucker,</w:t>
      </w:r>
    </w:p>
    <w:p>
      <w:pPr>
        <w:spacing w:after="0" w:line="6" w:lineRule="exact"/>
        <w:rPr>
          <w:rFonts w:ascii="Times New Roman" w:cs="Times New Roman" w:eastAsia="Times New Roman" w:hAnsi="Times New Roman"/>
          <w:sz w:val="20"/>
          <w:szCs w:val="20"/>
          <w:color w:val="231F20"/>
        </w:rPr>
      </w:pPr>
    </w:p>
    <w:p>
      <w:pPr>
        <w:ind w:left="3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LLP</w:t>
      </w:r>
    </w:p>
    <w:p>
      <w:pPr>
        <w:ind w:left="3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18575 Jamboree Road, 9th Floor Irvine, CA</w:t>
      </w:r>
    </w:p>
    <w:p>
      <w:pPr>
        <w:ind w:left="3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92612</w:t>
      </w:r>
    </w:p>
    <w:p>
      <w:pPr>
        <w:ind w:left="3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Attention: Shigenobu Itoh</w:t>
      </w:r>
    </w:p>
    <w:p>
      <w:pPr>
        <w:ind w:left="3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E-mail Address: </w:t>
      </w:r>
      <w:r>
        <w:rPr>
          <w:rFonts w:ascii="Times New Roman" w:cs="Times New Roman" w:eastAsia="Times New Roman" w:hAnsi="Times New Roman"/>
          <w:sz w:val="20"/>
          <w:szCs w:val="20"/>
          <w:color w:val="000000"/>
        </w:rPr>
        <w:t>sitoh@rutan.com</w:t>
      </w:r>
      <w:r>
        <w:rPr>
          <w:rFonts w:ascii="Times New Roman" w:cs="Times New Roman" w:eastAsia="Times New Roman" w:hAnsi="Times New Roman"/>
          <w:sz w:val="20"/>
          <w:szCs w:val="20"/>
          <w:color w:val="231F20"/>
        </w:rPr>
        <w:t xml:space="preserve"> Fax</w:t>
      </w:r>
    </w:p>
    <w:p>
      <w:pPr>
        <w:ind w:left="3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Number: (714) 546-9035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291" w:right="759" w:bottom="1440" w:gutter="0" w:footer="0" w:header="0"/>
        </w:sectPr>
      </w:pPr>
    </w:p>
    <w:bookmarkStart w:id="251" w:name="page252"/>
    <w:bookmarkEnd w:id="251"/>
    <w:p>
      <w:pPr>
        <w:ind w:left="1480" w:right="580" w:firstLine="1503"/>
        <w:spacing w:after="0" w:line="269" w:lineRule="auto"/>
        <w:tabs>
          <w:tab w:leader="none" w:pos="3522" w:val="left"/>
        </w:tabs>
        <w:numPr>
          <w:ilvl w:val="0"/>
          <w:numId w:val="2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to the Administrative Agent or to Citi, in its capacity as Issuing Bank or Swingline Lender, to Citibank, N.A. at:</w:t>
      </w:r>
    </w:p>
    <w:p>
      <w:pPr>
        <w:spacing w:after="0" w:line="15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231F20"/>
        </w:rPr>
        <w:t>Citibank, N.A.</w:t>
      </w:r>
    </w:p>
    <w:p>
      <w:pPr>
        <w:spacing w:after="0" w:line="2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231F20"/>
        </w:rPr>
        <w:t>388 Greenwich Street New</w:t>
      </w:r>
    </w:p>
    <w:p>
      <w:pPr>
        <w:ind w:left="3740"/>
        <w:spacing w:after="0"/>
        <w:rPr>
          <w:sz w:val="20"/>
          <w:szCs w:val="20"/>
          <w:color w:val="auto"/>
        </w:rPr>
      </w:pPr>
      <w:r>
        <w:rPr>
          <w:rFonts w:ascii="Times New Roman" w:cs="Times New Roman" w:eastAsia="Times New Roman" w:hAnsi="Times New Roman"/>
          <w:sz w:val="20"/>
          <w:szCs w:val="20"/>
          <w:color w:val="231F20"/>
        </w:rPr>
        <w:t>York, NY 10013</w:t>
      </w:r>
    </w:p>
    <w:p>
      <w:pPr>
        <w:ind w:left="3740"/>
        <w:spacing w:after="0"/>
        <w:rPr>
          <w:sz w:val="20"/>
          <w:szCs w:val="20"/>
          <w:color w:val="auto"/>
        </w:rPr>
      </w:pPr>
      <w:r>
        <w:rPr>
          <w:rFonts w:ascii="Times New Roman" w:cs="Times New Roman" w:eastAsia="Times New Roman" w:hAnsi="Times New Roman"/>
          <w:sz w:val="20"/>
          <w:szCs w:val="20"/>
          <w:color w:val="231F20"/>
        </w:rPr>
        <w:t xml:space="preserve">Attention: </w:t>
      </w:r>
      <w:r>
        <w:rPr>
          <w:rFonts w:ascii="Times New Roman" w:cs="Times New Roman" w:eastAsia="Times New Roman" w:hAnsi="Times New Roman"/>
          <w:sz w:val="20"/>
          <w:szCs w:val="20"/>
          <w:color w:val="ED1C24"/>
          <w:strike w:val="1"/>
        </w:rPr>
        <w:t>Jonathan Wronski</w:t>
      </w:r>
      <w:r>
        <w:rPr>
          <w:rFonts w:ascii="Times New Roman" w:cs="Times New Roman" w:eastAsia="Times New Roman" w:hAnsi="Times New Roman"/>
          <w:sz w:val="20"/>
          <w:szCs w:val="20"/>
          <w:u w:val="single" w:color="auto"/>
          <w:color w:val="2251A3"/>
        </w:rPr>
        <w:t>James Reed</w:t>
      </w:r>
    </w:p>
    <w:p>
      <w:pPr>
        <w:ind w:left="3740"/>
        <w:spacing w:after="0"/>
        <w:rPr>
          <w:sz w:val="20"/>
          <w:szCs w:val="20"/>
          <w:color w:val="auto"/>
        </w:rPr>
      </w:pPr>
      <w:r>
        <w:rPr>
          <w:rFonts w:ascii="Times New Roman" w:cs="Times New Roman" w:eastAsia="Times New Roman" w:hAnsi="Times New Roman"/>
          <w:sz w:val="20"/>
          <w:szCs w:val="20"/>
          <w:color w:val="231F20"/>
        </w:rPr>
        <w:t xml:space="preserve">E-mail Address: </w:t>
      </w:r>
      <w:r>
        <w:rPr>
          <w:rFonts w:ascii="Times New Roman" w:cs="Times New Roman" w:eastAsia="Times New Roman" w:hAnsi="Times New Roman"/>
          <w:sz w:val="20"/>
          <w:szCs w:val="20"/>
          <w:color w:val="000000"/>
          <w:strike w:val="1"/>
        </w:rPr>
        <w:t>Jonathan.wronski</w:t>
      </w:r>
      <w:r>
        <w:rPr>
          <w:rFonts w:ascii="Times New Roman" w:cs="Times New Roman" w:eastAsia="Times New Roman" w:hAnsi="Times New Roman"/>
          <w:sz w:val="20"/>
          <w:szCs w:val="20"/>
          <w:color w:val="000000"/>
        </w:rPr>
        <w:t>james.reed@citi.com</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231F20"/>
        </w:rPr>
        <w:t>with a copy (which shall not constitute notice) to: Jones Day</w:t>
      </w:r>
    </w:p>
    <w:p>
      <w:pPr>
        <w:spacing w:after="0" w:line="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231F20"/>
        </w:rPr>
        <w:t>901 Lakeside Avenue</w:t>
      </w:r>
    </w:p>
    <w:p>
      <w:pPr>
        <w:ind w:left="3740"/>
        <w:spacing w:after="0"/>
        <w:rPr>
          <w:sz w:val="20"/>
          <w:szCs w:val="20"/>
          <w:color w:val="auto"/>
        </w:rPr>
      </w:pPr>
      <w:r>
        <w:rPr>
          <w:rFonts w:ascii="Times New Roman" w:cs="Times New Roman" w:eastAsia="Times New Roman" w:hAnsi="Times New Roman"/>
          <w:sz w:val="20"/>
          <w:szCs w:val="20"/>
          <w:color w:val="231F20"/>
        </w:rPr>
        <w:t>Cleveland, OH 44114 Attention:</w:t>
      </w:r>
    </w:p>
    <w:p>
      <w:pPr>
        <w:ind w:left="3740"/>
        <w:spacing w:after="0"/>
        <w:rPr>
          <w:sz w:val="20"/>
          <w:szCs w:val="20"/>
          <w:color w:val="auto"/>
        </w:rPr>
      </w:pPr>
      <w:r>
        <w:rPr>
          <w:rFonts w:ascii="Times New Roman" w:cs="Times New Roman" w:eastAsia="Times New Roman" w:hAnsi="Times New Roman"/>
          <w:sz w:val="20"/>
          <w:szCs w:val="20"/>
          <w:color w:val="231F20"/>
        </w:rPr>
        <w:t>Jason Samblanet</w:t>
      </w:r>
    </w:p>
    <w:p>
      <w:pPr>
        <w:jc w:val="center"/>
        <w:ind w:right="-119"/>
        <w:spacing w:after="0"/>
        <w:rPr>
          <w:sz w:val="20"/>
          <w:szCs w:val="20"/>
          <w:color w:val="auto"/>
        </w:rPr>
      </w:pPr>
      <w:r>
        <w:rPr>
          <w:rFonts w:ascii="Times New Roman" w:cs="Times New Roman" w:eastAsia="Times New Roman" w:hAnsi="Times New Roman"/>
          <w:sz w:val="20"/>
          <w:szCs w:val="20"/>
          <w:color w:val="231F20"/>
        </w:rPr>
        <w:t xml:space="preserve">E-mail Address: </w:t>
      </w:r>
      <w:r>
        <w:rPr>
          <w:rFonts w:ascii="Times New Roman" w:cs="Times New Roman" w:eastAsia="Times New Roman" w:hAnsi="Times New Roman"/>
          <w:sz w:val="20"/>
          <w:szCs w:val="20"/>
          <w:color w:val="000000"/>
        </w:rPr>
        <w:t>jsamblanet@jonesday.com</w:t>
      </w:r>
    </w:p>
    <w:p>
      <w:pPr>
        <w:spacing w:after="0" w:line="194" w:lineRule="exact"/>
        <w:rPr>
          <w:sz w:val="20"/>
          <w:szCs w:val="20"/>
          <w:color w:val="auto"/>
        </w:rPr>
      </w:pPr>
    </w:p>
    <w:p>
      <w:pPr>
        <w:ind w:left="1480" w:right="520" w:firstLine="1503"/>
        <w:spacing w:after="0" w:line="269" w:lineRule="auto"/>
        <w:tabs>
          <w:tab w:leader="none" w:pos="3524" w:val="left"/>
        </w:tabs>
        <w:numPr>
          <w:ilvl w:val="0"/>
          <w:numId w:val="2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to any other Lender, to it at its address, e-mail address or fax number set forth in its Administrative Questionnaire.</w:t>
      </w:r>
    </w:p>
    <w:p>
      <w:pPr>
        <w:spacing w:after="0" w:line="159" w:lineRule="exact"/>
        <w:rPr>
          <w:sz w:val="20"/>
          <w:szCs w:val="20"/>
          <w:color w:val="auto"/>
        </w:rPr>
      </w:pPr>
    </w:p>
    <w:p>
      <w:pPr>
        <w:jc w:val="both"/>
        <w:ind w:left="740"/>
        <w:spacing w:after="0" w:line="246" w:lineRule="auto"/>
        <w:rPr>
          <w:sz w:val="20"/>
          <w:szCs w:val="20"/>
          <w:color w:val="auto"/>
        </w:rPr>
      </w:pPr>
      <w:r>
        <w:rPr>
          <w:rFonts w:ascii="Times New Roman" w:cs="Times New Roman" w:eastAsia="Times New Roman" w:hAnsi="Times New Roman"/>
          <w:sz w:val="20"/>
          <w:szCs w:val="20"/>
          <w:color w:val="231F20"/>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if not given during normal business hours of the recipient, such notice or communication shall be deemed to have been given at the opening of business on the next Business Day for the recipient or (iii) delivered through Electronic Systems to the extent provided in </w:t>
      </w:r>
      <w:r>
        <w:rPr>
          <w:rFonts w:ascii="Times New Roman" w:cs="Times New Roman" w:eastAsia="Times New Roman" w:hAnsi="Times New Roman"/>
          <w:sz w:val="20"/>
          <w:szCs w:val="20"/>
          <w:u w:val="single" w:color="auto"/>
          <w:color w:val="231F20"/>
        </w:rPr>
        <w:t>clause (b)</w:t>
      </w:r>
      <w:r>
        <w:rPr>
          <w:rFonts w:ascii="Times New Roman" w:cs="Times New Roman" w:eastAsia="Times New Roman" w:hAnsi="Times New Roman"/>
          <w:sz w:val="20"/>
          <w:szCs w:val="20"/>
          <w:color w:val="231F20"/>
        </w:rPr>
        <w:t xml:space="preserve"> below shall be effective as provided in such </w:t>
      </w:r>
      <w:r>
        <w:rPr>
          <w:rFonts w:ascii="Times New Roman" w:cs="Times New Roman" w:eastAsia="Times New Roman" w:hAnsi="Times New Roman"/>
          <w:sz w:val="20"/>
          <w:szCs w:val="20"/>
          <w:u w:val="single" w:color="auto"/>
          <w:color w:val="231F20"/>
        </w:rPr>
        <w:t>clause (b)</w:t>
      </w:r>
      <w:r>
        <w:rPr>
          <w:rFonts w:ascii="Times New Roman" w:cs="Times New Roman" w:eastAsia="Times New Roman" w:hAnsi="Times New Roman"/>
          <w:sz w:val="20"/>
          <w:szCs w:val="20"/>
          <w:color w:val="231F20"/>
        </w:rPr>
        <w:t>.</w:t>
      </w:r>
    </w:p>
    <w:p>
      <w:pPr>
        <w:spacing w:after="0" w:line="185" w:lineRule="exact"/>
        <w:rPr>
          <w:sz w:val="20"/>
          <w:szCs w:val="20"/>
          <w:color w:val="auto"/>
        </w:rPr>
      </w:pPr>
    </w:p>
    <w:p>
      <w:pPr>
        <w:jc w:val="both"/>
        <w:ind w:left="740" w:right="20" w:firstLine="745"/>
        <w:spacing w:after="0" w:line="254" w:lineRule="auto"/>
        <w:tabs>
          <w:tab w:leader="none" w:pos="2006" w:val="left"/>
        </w:tabs>
        <w:numPr>
          <w:ilvl w:val="1"/>
          <w:numId w:val="23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Notices and other communications to the Lenders hereunder may be delivered or furnished by Electronic Systems pursuant to procedures approved by the Administrative Agent;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xml:space="preserve">, that the foregoing shall not apply to notices pursuant to </w:t>
      </w:r>
      <w:r>
        <w:rPr>
          <w:rFonts w:ascii="Times New Roman" w:cs="Times New Roman" w:eastAsia="Times New Roman" w:hAnsi="Times New Roman"/>
          <w:sz w:val="19"/>
          <w:szCs w:val="19"/>
          <w:u w:val="single" w:color="auto"/>
          <w:color w:val="231F20"/>
        </w:rPr>
        <w:t>Article II</w:t>
      </w:r>
      <w:r>
        <w:rPr>
          <w:rFonts w:ascii="Times New Roman" w:cs="Times New Roman" w:eastAsia="Times New Roman" w:hAnsi="Times New Roman"/>
          <w:sz w:val="19"/>
          <w:szCs w:val="19"/>
          <w:color w:val="231F20"/>
        </w:rPr>
        <w:t xml:space="preserve"> or to compliance and no Event of Default certificates delivered pursuant to </w:t>
      </w:r>
      <w:r>
        <w:rPr>
          <w:rFonts w:ascii="Times New Roman" w:cs="Times New Roman" w:eastAsia="Times New Roman" w:hAnsi="Times New Roman"/>
          <w:sz w:val="19"/>
          <w:szCs w:val="19"/>
          <w:u w:val="single" w:color="auto"/>
          <w:color w:val="231F20"/>
        </w:rPr>
        <w:t>Section 5.01(d)</w:t>
      </w:r>
      <w:r>
        <w:rPr>
          <w:rFonts w:ascii="Times New Roman" w:cs="Times New Roman" w:eastAsia="Times New Roman" w:hAnsi="Times New Roman"/>
          <w:sz w:val="19"/>
          <w:szCs w:val="19"/>
          <w:color w:val="231F20"/>
        </w:rPr>
        <w:t xml:space="preserve"> unless otherwise agreed by the Administrative Agent and the applicable Lender. Each of the Administrative Agent and the Borrower (on behalf of the Loan Parties) may, in its discretion, agree to accept notices and other communications to it hereunder by Electronic Systems pursuant to procedures approved by it;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xml:space="preserve">, that approval of such procedures may be limited to particular notices or communications. Unless the Administrative Agent otherwise proscribes,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that if not given during the normal business hours of the recipient, such notice or communication shall be deemed to have been given at the opening of business on the next Business Day for the recipient, and</w:t>
      </w:r>
    </w:p>
    <w:p>
      <w:pPr>
        <w:spacing w:after="0" w:line="3" w:lineRule="exact"/>
        <w:rPr>
          <w:rFonts w:ascii="Times New Roman" w:cs="Times New Roman" w:eastAsia="Times New Roman" w:hAnsi="Times New Roman"/>
          <w:sz w:val="19"/>
          <w:szCs w:val="19"/>
          <w:color w:val="231F20"/>
        </w:rPr>
      </w:pPr>
    </w:p>
    <w:p>
      <w:pPr>
        <w:jc w:val="both"/>
        <w:ind w:left="740" w:right="20" w:hanging="3"/>
        <w:spacing w:after="0" w:line="241" w:lineRule="auto"/>
        <w:tabs>
          <w:tab w:leader="none" w:pos="1038" w:val="left"/>
        </w:tabs>
        <w:numPr>
          <w:ilvl w:val="0"/>
          <w:numId w:val="2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231F20"/>
        </w:rPr>
        <w:t>clause (b)(i)</w:t>
      </w:r>
      <w:r>
        <w:rPr>
          <w:rFonts w:ascii="Times New Roman" w:cs="Times New Roman" w:eastAsia="Times New Roman" w:hAnsi="Times New Roman"/>
          <w:sz w:val="20"/>
          <w:szCs w:val="20"/>
          <w:color w:val="231F20"/>
        </w:rPr>
        <w:t xml:space="preserve"> of notification that such notice or communication is available and identifying the website address therefor;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for both </w:t>
      </w:r>
      <w:r>
        <w:rPr>
          <w:rFonts w:ascii="Times New Roman" w:cs="Times New Roman" w:eastAsia="Times New Roman" w:hAnsi="Times New Roman"/>
          <w:sz w:val="20"/>
          <w:szCs w:val="20"/>
          <w:u w:val="single" w:color="auto"/>
          <w:color w:val="231F20"/>
        </w:rPr>
        <w:t>clauses (i)</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(ii)</w:t>
      </w:r>
      <w:r>
        <w:rPr>
          <w:rFonts w:ascii="Times New Roman" w:cs="Times New Roman" w:eastAsia="Times New Roman" w:hAnsi="Times New Roman"/>
          <w:sz w:val="20"/>
          <w:szCs w:val="20"/>
          <w:color w:val="231F20"/>
        </w:rPr>
        <w:t xml:space="preserve">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200" w:lineRule="exact"/>
        <w:rPr>
          <w:rFonts w:ascii="Times New Roman" w:cs="Times New Roman" w:eastAsia="Times New Roman" w:hAnsi="Times New Roman"/>
          <w:sz w:val="20"/>
          <w:szCs w:val="20"/>
          <w:color w:val="231F20"/>
        </w:rPr>
      </w:pPr>
    </w:p>
    <w:p>
      <w:pPr>
        <w:ind w:left="740" w:right="40" w:firstLine="745"/>
        <w:spacing w:after="0" w:line="269" w:lineRule="auto"/>
        <w:tabs>
          <w:tab w:leader="none" w:pos="2005" w:val="left"/>
        </w:tabs>
        <w:numPr>
          <w:ilvl w:val="1"/>
          <w:numId w:val="2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party hereto may change its address, fax number or e-mail address for notices and other communications hereunder by notice to the other parties hereto.</w:t>
      </w:r>
    </w:p>
    <w:p>
      <w:pPr>
        <w:spacing w:after="0" w:line="10" w:lineRule="exact"/>
        <w:rPr>
          <w:rFonts w:ascii="Times New Roman" w:cs="Times New Roman" w:eastAsia="Times New Roman" w:hAnsi="Times New Roman"/>
          <w:sz w:val="20"/>
          <w:szCs w:val="20"/>
          <w:color w:val="231F20"/>
        </w:rPr>
      </w:pPr>
    </w:p>
    <w:p>
      <w:pPr>
        <w:ind w:left="2240" w:hanging="755"/>
        <w:spacing w:after="0"/>
        <w:tabs>
          <w:tab w:leader="none" w:pos="2240" w:val="left"/>
        </w:tabs>
        <w:numPr>
          <w:ilvl w:val="1"/>
          <w:numId w:val="2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Electronic Systems</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231F20"/>
        </w:rPr>
        <w:t>(i)Each Loan Party agrees that the Administrative Agent may, but shall not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252" w:name="page253"/>
    <w:bookmarkEnd w:id="252"/>
    <w:p>
      <w:pPr>
        <w:jc w:val="both"/>
        <w:ind w:left="1860" w:right="60"/>
        <w:spacing w:after="0" w:line="254" w:lineRule="auto"/>
        <w:rPr>
          <w:sz w:val="20"/>
          <w:szCs w:val="20"/>
          <w:color w:val="auto"/>
        </w:rPr>
      </w:pPr>
      <w:r>
        <w:rPr>
          <w:rFonts w:ascii="Times New Roman" w:cs="Times New Roman" w:eastAsia="Times New Roman" w:hAnsi="Times New Roman"/>
          <w:sz w:val="20"/>
          <w:szCs w:val="20"/>
          <w:color w:val="231F20"/>
        </w:rPr>
        <w:t>be obligated to, make Communications (as defined below) available to the Issuing Bank and the other Lenders by posting the Communications on Debt Domain, Intralinks, Syndtrak, ClearPar or a substantially similar Electronic System.</w:t>
      </w:r>
    </w:p>
    <w:p>
      <w:pPr>
        <w:spacing w:after="0" w:line="174" w:lineRule="exact"/>
        <w:rPr>
          <w:sz w:val="20"/>
          <w:szCs w:val="20"/>
          <w:color w:val="auto"/>
        </w:rPr>
      </w:pPr>
    </w:p>
    <w:p>
      <w:pPr>
        <w:jc w:val="both"/>
        <w:ind w:left="1860" w:firstLine="1498"/>
        <w:spacing w:after="0" w:line="241" w:lineRule="auto"/>
        <w:rPr>
          <w:sz w:val="20"/>
          <w:szCs w:val="20"/>
          <w:color w:val="auto"/>
        </w:rPr>
      </w:pPr>
      <w:r>
        <w:rPr>
          <w:rFonts w:ascii="Times New Roman" w:cs="Times New Roman" w:eastAsia="Times New Roman" w:hAnsi="Times New Roman"/>
          <w:sz w:val="20"/>
          <w:szCs w:val="20"/>
          <w:color w:val="231F20"/>
        </w:rPr>
        <w:t>(ii)Any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 w:cs="Times New Roman" w:eastAsia="Times New Roman" w:hAnsi="Times New Roman"/>
          <w:sz w:val="20"/>
          <w:szCs w:val="20"/>
          <w:u w:val="single" w:color="auto"/>
          <w:color w:val="231F20"/>
        </w:rPr>
        <w:t>Agent Parties</w:t>
      </w:r>
      <w:r>
        <w:rPr>
          <w:rFonts w:ascii="Times New Roman" w:cs="Times New Roman" w:eastAsia="Times New Roman" w:hAnsi="Times New Roman"/>
          <w:sz w:val="20"/>
          <w:szCs w:val="20"/>
          <w:color w:val="231F20"/>
        </w:rPr>
        <w:t>”) have any liability to the Borrower or the other Loan Parties, any Lender, the Issuing Bank or any other Person or entity for damages of any kind, including direct or indirect, special, incidental or consequential damages, losses or expenses (whether in tort, contract or otherwise) arising out of the Borrower’s, any other Loan Party’s or the Administrative Agent’s transmission of communications through an Electronic System. “</w:t>
      </w:r>
      <w:r>
        <w:rPr>
          <w:rFonts w:ascii="Times New Roman" w:cs="Times New Roman" w:eastAsia="Times New Roman" w:hAnsi="Times New Roman"/>
          <w:sz w:val="20"/>
          <w:szCs w:val="20"/>
          <w:u w:val="single" w:color="auto"/>
          <w:color w:val="231F20"/>
        </w:rPr>
        <w:t>Communications</w:t>
      </w:r>
      <w:r>
        <w:rPr>
          <w:rFonts w:ascii="Times New Roman" w:cs="Times New Roman" w:eastAsia="Times New Roman" w:hAnsi="Times New Roman"/>
          <w:sz w:val="20"/>
          <w:szCs w:val="20"/>
          <w:color w:val="231F20"/>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w:t>
      </w:r>
      <w:r>
        <w:rPr>
          <w:rFonts w:ascii="Times New Roman" w:cs="Times New Roman" w:eastAsia="Times New Roman" w:hAnsi="Times New Roman"/>
          <w:sz w:val="20"/>
          <w:szCs w:val="20"/>
          <w:u w:val="single" w:color="auto"/>
          <w:color w:val="231F20"/>
        </w:rPr>
        <w:t>Section 9.01</w:t>
      </w:r>
      <w:r>
        <w:rPr>
          <w:rFonts w:ascii="Times New Roman" w:cs="Times New Roman" w:eastAsia="Times New Roman" w:hAnsi="Times New Roman"/>
          <w:sz w:val="20"/>
          <w:szCs w:val="20"/>
          <w:color w:val="231F20"/>
        </w:rPr>
        <w:t>, including through an Electronic System.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40" w:right="719" w:bottom="1440" w:gutter="0" w:footer="0" w:header="0"/>
        </w:sectPr>
      </w:pPr>
    </w:p>
    <w:bookmarkStart w:id="253" w:name="page254"/>
    <w:bookmarkEnd w:id="253"/>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9.02</w:t>
      </w:r>
      <w:r>
        <w:rPr>
          <w:sz w:val="20"/>
          <w:szCs w:val="20"/>
          <w:color w:val="auto"/>
        </w:rPr>
        <w:tab/>
      </w:r>
      <w:r>
        <w:rPr>
          <w:rFonts w:ascii="Times New Roman" w:cs="Times New Roman" w:eastAsia="Times New Roman" w:hAnsi="Times New Roman"/>
          <w:sz w:val="19"/>
          <w:szCs w:val="19"/>
          <w:u w:val="single" w:color="auto"/>
          <w:color w:val="231F20"/>
        </w:rPr>
        <w:t>Waivers; Amendments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firstLine="745"/>
        <w:spacing w:after="0" w:line="242" w:lineRule="auto"/>
        <w:tabs>
          <w:tab w:leader="none" w:pos="2008" w:val="left"/>
        </w:tabs>
        <w:numPr>
          <w:ilvl w:val="0"/>
          <w:numId w:val="23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No failure or delay by the Administrative Agent, any Swingline Lender,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any Swingline Lender, the Issuing Banks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Times New Roman" w:cs="Times New Roman" w:eastAsia="Times New Roman" w:hAnsi="Times New Roman"/>
          <w:sz w:val="20"/>
          <w:szCs w:val="20"/>
          <w:u w:val="single" w:color="auto"/>
          <w:color w:val="231F20"/>
        </w:rPr>
        <w:t>clause (b)</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9.02</w:t>
      </w:r>
      <w:r>
        <w:rPr>
          <w:rFonts w:ascii="Times New Roman" w:cs="Times New Roman" w:eastAsia="Times New Roman" w:hAnsi="Times New Roman"/>
          <w:sz w:val="20"/>
          <w:szCs w:val="20"/>
          <w:color w:val="231F20"/>
        </w:rPr>
        <w:t>, and then such waiver or consent shall be effective only in the specific instance and for the purpose for which given. Without limiting the generality of the foregoing, the making of a Loan (including any Swingline Loan) or issuance of a Letter of Credit shall not be construed as a waiver of any Default, regardless of whether the Administrative Agent, any Lender or any Issuing Bank may have had notice or knowledge of such Default at the time.</w:t>
      </w:r>
    </w:p>
    <w:p>
      <w:pPr>
        <w:spacing w:after="0" w:line="187" w:lineRule="exact"/>
        <w:rPr>
          <w:rFonts w:ascii="Times New Roman" w:cs="Times New Roman" w:eastAsia="Times New Roman" w:hAnsi="Times New Roman"/>
          <w:sz w:val="20"/>
          <w:szCs w:val="20"/>
          <w:color w:val="231F20"/>
        </w:rPr>
      </w:pPr>
    </w:p>
    <w:p>
      <w:pPr>
        <w:ind w:left="2240" w:hanging="755"/>
        <w:spacing w:after="0"/>
        <w:tabs>
          <w:tab w:leader="none" w:pos="2240" w:val="left"/>
        </w:tabs>
        <w:numPr>
          <w:ilvl w:val="0"/>
          <w:numId w:val="23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Except as provided in </w:t>
      </w:r>
      <w:r>
        <w:rPr>
          <w:rFonts w:ascii="Times New Roman" w:cs="Times New Roman" w:eastAsia="Times New Roman" w:hAnsi="Times New Roman"/>
          <w:sz w:val="20"/>
          <w:szCs w:val="20"/>
          <w:u w:val="single" w:color="auto"/>
          <w:color w:val="231F20"/>
        </w:rPr>
        <w:t>Section 2.14</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2.22</w:t>
      </w:r>
      <w:r>
        <w:rPr>
          <w:rFonts w:ascii="Times New Roman" w:cs="Times New Roman" w:eastAsia="Times New Roman" w:hAnsi="Times New Roman"/>
          <w:sz w:val="20"/>
          <w:szCs w:val="20"/>
          <w:color w:val="231F20"/>
        </w:rPr>
        <w:t xml:space="preserve"> (with respect to any Commitment Increase),</w:t>
      </w:r>
    </w:p>
    <w:p>
      <w:pPr>
        <w:spacing w:after="0" w:line="22" w:lineRule="exact"/>
        <w:rPr>
          <w:sz w:val="20"/>
          <w:szCs w:val="20"/>
          <w:color w:val="auto"/>
        </w:rPr>
      </w:pPr>
    </w:p>
    <w:p>
      <w:pPr>
        <w:jc w:val="both"/>
        <w:ind w:left="740" w:right="40"/>
        <w:spacing w:after="0"/>
        <w:rPr>
          <w:sz w:val="20"/>
          <w:szCs w:val="20"/>
          <w:color w:val="auto"/>
        </w:rPr>
      </w:pPr>
      <w:r>
        <w:rPr>
          <w:rFonts w:ascii="Times New Roman" w:cs="Times New Roman" w:eastAsia="Times New Roman" w:hAnsi="Times New Roman"/>
          <w:sz w:val="20"/>
          <w:szCs w:val="20"/>
          <w:u w:val="single" w:color="auto"/>
          <w:color w:val="231F20"/>
        </w:rPr>
        <w:t>2.24</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2.25</w:t>
      </w:r>
      <w:r>
        <w:rPr>
          <w:rFonts w:ascii="Times New Roman" w:cs="Times New Roman" w:eastAsia="Times New Roman" w:hAnsi="Times New Roman"/>
          <w:sz w:val="20"/>
          <w:szCs w:val="20"/>
          <w:color w:val="231F20"/>
        </w:rPr>
        <w:t xml:space="preserve">,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no such agreement shall (i) increase the Commitment of any Lender without the written consent of such Lender (including any such Lender that is a Defaulting Lender), (ii) reduce or forgive the principal amount of any Loan or LC Disbursement or reduce the rate of interest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40" w:right="719" w:bottom="1440" w:gutter="0" w:footer="0" w:header="0"/>
        </w:sectPr>
      </w:pPr>
    </w:p>
    <w:bookmarkStart w:id="254" w:name="page255"/>
    <w:bookmarkEnd w:id="254"/>
    <w:p>
      <w:pPr>
        <w:jc w:val="both"/>
        <w:ind w:left="740"/>
        <w:spacing w:after="0" w:line="241" w:lineRule="auto"/>
        <w:rPr>
          <w:sz w:val="20"/>
          <w:szCs w:val="20"/>
          <w:color w:val="auto"/>
        </w:rPr>
      </w:pPr>
      <w:r>
        <w:rPr>
          <w:rFonts w:ascii="Times New Roman" w:cs="Times New Roman" w:eastAsia="Times New Roman" w:hAnsi="Times New Roman"/>
          <w:sz w:val="20"/>
          <w:szCs w:val="20"/>
          <w:color w:val="231F20"/>
        </w:rPr>
        <w:t xml:space="preserve">thereon, or reduce or forgive any interest or fees payable hereunder, without the written consent of each Lender (including any such Lender that is a Defaulting Lender) directly affected thereby (other than as a result of the implementation of </w:t>
      </w:r>
      <w:r>
        <w:rPr>
          <w:rFonts w:ascii="Times New Roman" w:cs="Times New Roman" w:eastAsia="Times New Roman" w:hAnsi="Times New Roman"/>
          <w:sz w:val="20"/>
          <w:szCs w:val="20"/>
          <w:u w:val="single" w:color="auto"/>
          <w:color w:val="231F20"/>
        </w:rPr>
        <w:t>Section 2.14</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Section 2.25</w:t>
      </w:r>
      <w:r>
        <w:rPr>
          <w:rFonts w:ascii="Times New Roman" w:cs="Times New Roman" w:eastAsia="Times New Roman" w:hAnsi="Times New Roman"/>
          <w:sz w:val="20"/>
          <w:szCs w:val="20"/>
          <w:color w:val="231F20"/>
        </w:rPr>
        <w:t xml:space="preserve"> or any waiver of any default interest applicable pursuant to </w:t>
      </w:r>
      <w:r>
        <w:rPr>
          <w:rFonts w:ascii="Times New Roman" w:cs="Times New Roman" w:eastAsia="Times New Roman" w:hAnsi="Times New Roman"/>
          <w:sz w:val="20"/>
          <w:szCs w:val="20"/>
          <w:u w:val="single" w:color="auto"/>
          <w:color w:val="231F20"/>
        </w:rPr>
        <w:t>Section 2.13(c)</w:t>
      </w:r>
      <w:r>
        <w:rPr>
          <w:rFonts w:ascii="Times New Roman" w:cs="Times New Roman" w:eastAsia="Times New Roman" w:hAnsi="Times New Roman"/>
          <w:sz w:val="20"/>
          <w:szCs w:val="20"/>
          <w:color w:val="231F20"/>
        </w:rPr>
        <w:t xml:space="preserve">),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(iv) change </w:t>
      </w:r>
      <w:r>
        <w:rPr>
          <w:rFonts w:ascii="Times New Roman" w:cs="Times New Roman" w:eastAsia="Times New Roman" w:hAnsi="Times New Roman"/>
          <w:sz w:val="20"/>
          <w:szCs w:val="20"/>
          <w:u w:val="single" w:color="auto"/>
          <w:color w:val="231F20"/>
        </w:rPr>
        <w:t>Section 2.09(d)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2.11(c)</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2.18(b) or (d)</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Section 2.24(c)</w:t>
      </w:r>
      <w:r>
        <w:rPr>
          <w:rFonts w:ascii="Times New Roman" w:cs="Times New Roman" w:eastAsia="Times New Roman" w:hAnsi="Times New Roman"/>
          <w:sz w:val="20"/>
          <w:szCs w:val="20"/>
          <w:color w:val="231F20"/>
        </w:rPr>
        <w:t xml:space="preserve"> in a manner that would alter the manner in which payments or Commitment reductions are shared, without the written consent of each Lender (other than any Defaulting Lender), (v) change any of the provisions of this </w:t>
      </w:r>
      <w:r>
        <w:rPr>
          <w:rFonts w:ascii="Times New Roman" w:cs="Times New Roman" w:eastAsia="Times New Roman" w:hAnsi="Times New Roman"/>
          <w:sz w:val="20"/>
          <w:szCs w:val="20"/>
          <w:u w:val="single" w:color="auto"/>
          <w:color w:val="231F20"/>
        </w:rPr>
        <w:t>Section 9.02</w:t>
      </w:r>
      <w:r>
        <w:rPr>
          <w:rFonts w:ascii="Times New Roman" w:cs="Times New Roman" w:eastAsia="Times New Roman" w:hAnsi="Times New Roman"/>
          <w:sz w:val="20"/>
          <w:szCs w:val="20"/>
          <w:color w:val="231F20"/>
        </w:rPr>
        <w:t xml:space="preserve">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w:t>
      </w:r>
    </w:p>
    <w:p>
      <w:pPr>
        <w:spacing w:after="0" w:line="5" w:lineRule="exact"/>
        <w:rPr>
          <w:sz w:val="20"/>
          <w:szCs w:val="20"/>
          <w:color w:val="auto"/>
        </w:rPr>
      </w:pPr>
    </w:p>
    <w:p>
      <w:pPr>
        <w:jc w:val="both"/>
        <w:ind w:left="740" w:right="40" w:hanging="5"/>
        <w:spacing w:after="0"/>
        <w:tabs>
          <w:tab w:leader="none" w:pos="1102" w:val="left"/>
        </w:tabs>
        <w:numPr>
          <w:ilvl w:val="0"/>
          <w:numId w:val="2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change </w:t>
      </w:r>
      <w:r>
        <w:rPr>
          <w:rFonts w:ascii="Times New Roman" w:cs="Times New Roman" w:eastAsia="Times New Roman" w:hAnsi="Times New Roman"/>
          <w:sz w:val="20"/>
          <w:szCs w:val="20"/>
          <w:u w:val="single" w:color="auto"/>
          <w:color w:val="231F20"/>
        </w:rPr>
        <w:t>Section 2.20</w:t>
      </w:r>
      <w:r>
        <w:rPr>
          <w:rFonts w:ascii="Times New Roman" w:cs="Times New Roman" w:eastAsia="Times New Roman" w:hAnsi="Times New Roman"/>
          <w:sz w:val="20"/>
          <w:szCs w:val="20"/>
          <w:color w:val="231F20"/>
        </w:rPr>
        <w:t xml:space="preserve">, without the consent of each Lender (other than any Defaulting Lender), (vii) release any Loan Guarantor from its obligation under its Loan Guaranty (except as otherwise expressly permitted herein or in the other Loan Documents), without the written consent of each Lender (other than any Defaulting Lender), (viii) except as provided in </w:t>
      </w:r>
      <w:r>
        <w:rPr>
          <w:rFonts w:ascii="Times New Roman" w:cs="Times New Roman" w:eastAsia="Times New Roman" w:hAnsi="Times New Roman"/>
          <w:sz w:val="20"/>
          <w:szCs w:val="20"/>
          <w:u w:val="single" w:color="auto"/>
          <w:color w:val="231F20"/>
        </w:rPr>
        <w:t>clauses (c)</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(d)</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9.02</w:t>
      </w:r>
      <w:r>
        <w:rPr>
          <w:rFonts w:ascii="Times New Roman" w:cs="Times New Roman" w:eastAsia="Times New Roman" w:hAnsi="Times New Roman"/>
          <w:sz w:val="20"/>
          <w:szCs w:val="20"/>
          <w:color w:val="231F20"/>
        </w:rPr>
        <w:t xml:space="preserve"> or in any Collateral Document, release all or substantially all of the Collateral, without the written consent of each Lender or (ix) subordinate the Liens on all or substantially all the value of the Collateral to the Liens securing any other Indebtedness, or contractually subordinate with respect to payment any Obligations, without the written consent of each Lender; </w:t>
      </w:r>
      <w:r>
        <w:rPr>
          <w:rFonts w:ascii="Times New Roman" w:cs="Times New Roman" w:eastAsia="Times New Roman" w:hAnsi="Times New Roman"/>
          <w:sz w:val="20"/>
          <w:szCs w:val="20"/>
          <w:u w:val="single" w:color="auto"/>
          <w:color w:val="231F20"/>
        </w:rPr>
        <w:t>provided further</w:t>
      </w:r>
      <w:r>
        <w:rPr>
          <w:rFonts w:ascii="Times New Roman" w:cs="Times New Roman" w:eastAsia="Times New Roman" w:hAnsi="Times New Roman"/>
          <w:sz w:val="20"/>
          <w:szCs w:val="20"/>
          <w:color w:val="231F20"/>
        </w:rPr>
        <w:t xml:space="preserve"> that no such agreement shall amend, modify or otherwise affect the rights or duties of the Administrative Agent, Swingline Lenders or the Issuing Banks hereunder without the prior written consent of the Administrative Agent, Swingline Lenders or the Issuing Banks, as the case may be (it being understood that any change to </w:t>
      </w:r>
      <w:r>
        <w:rPr>
          <w:rFonts w:ascii="Times New Roman" w:cs="Times New Roman" w:eastAsia="Times New Roman" w:hAnsi="Times New Roman"/>
          <w:sz w:val="20"/>
          <w:szCs w:val="20"/>
          <w:u w:val="single" w:color="auto"/>
          <w:color w:val="231F20"/>
        </w:rPr>
        <w:t>Section 2.20</w:t>
      </w:r>
      <w:r>
        <w:rPr>
          <w:rFonts w:ascii="Times New Roman" w:cs="Times New Roman" w:eastAsia="Times New Roman" w:hAnsi="Times New Roman"/>
          <w:sz w:val="20"/>
          <w:szCs w:val="20"/>
          <w:color w:val="231F20"/>
        </w:rPr>
        <w:t xml:space="preserve"> shall require the consent of the Administrative Agent and the Issuing Banks). The Administrative Agent may also amend the </w:t>
      </w:r>
      <w:r>
        <w:rPr>
          <w:rFonts w:ascii="Times New Roman" w:cs="Times New Roman" w:eastAsia="Times New Roman" w:hAnsi="Times New Roman"/>
          <w:sz w:val="20"/>
          <w:szCs w:val="20"/>
          <w:u w:val="single" w:color="auto"/>
          <w:color w:val="231F20"/>
        </w:rPr>
        <w:t>Commitment Schedule</w:t>
      </w:r>
      <w:r>
        <w:rPr>
          <w:rFonts w:ascii="Times New Roman" w:cs="Times New Roman" w:eastAsia="Times New Roman" w:hAnsi="Times New Roman"/>
          <w:sz w:val="20"/>
          <w:szCs w:val="20"/>
          <w:color w:val="231F20"/>
        </w:rPr>
        <w:t xml:space="preserve"> to reflect assignments entered into pursuant to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w:t>
      </w:r>
    </w:p>
    <w:p>
      <w:pPr>
        <w:spacing w:after="0" w:line="188" w:lineRule="exact"/>
        <w:rPr>
          <w:rFonts w:ascii="Times New Roman" w:cs="Times New Roman" w:eastAsia="Times New Roman" w:hAnsi="Times New Roman"/>
          <w:sz w:val="20"/>
          <w:szCs w:val="20"/>
          <w:color w:val="231F20"/>
        </w:rPr>
      </w:pPr>
    </w:p>
    <w:p>
      <w:pPr>
        <w:jc w:val="both"/>
        <w:ind w:left="740" w:firstLine="745"/>
        <w:spacing w:after="0" w:line="241" w:lineRule="auto"/>
        <w:tabs>
          <w:tab w:leader="none" w:pos="2008" w:val="left"/>
        </w:tabs>
        <w:numPr>
          <w:ilvl w:val="1"/>
          <w:numId w:val="2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Subject to </w:t>
      </w:r>
      <w:r>
        <w:rPr>
          <w:rFonts w:ascii="Times New Roman" w:cs="Times New Roman" w:eastAsia="Times New Roman" w:hAnsi="Times New Roman"/>
          <w:sz w:val="20"/>
          <w:szCs w:val="20"/>
          <w:u w:val="single" w:color="auto"/>
          <w:color w:val="231F20"/>
        </w:rPr>
        <w:t>Sections 9.02(b)(viii)</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9.02(b)(ix)</w:t>
      </w:r>
      <w:r>
        <w:rPr>
          <w:rFonts w:ascii="Times New Roman" w:cs="Times New Roman" w:eastAsia="Times New Roman" w:hAnsi="Times New Roman"/>
          <w:sz w:val="20"/>
          <w:szCs w:val="20"/>
          <w:color w:val="231F20"/>
        </w:rPr>
        <w:t xml:space="preserve">, the Lenders hereby irrevocably authorize the Administrative Agent, at its option and in its sole discretion, to release any Liens granted to the Administrative Agent by the Loan Parties on any Collateral (i) upon the termination of the all Commitments, payment and satisfaction in full in cash of all Secured Obligations (other than Unliquidated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 of a Subsidiary, the Administrative Agent is authorized to release any Loan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w:t>
      </w:r>
      <w:r>
        <w:rPr>
          <w:rFonts w:ascii="Times New Roman" w:cs="Times New Roman" w:eastAsia="Times New Roman" w:hAnsi="Times New Roman"/>
          <w:sz w:val="20"/>
          <w:szCs w:val="20"/>
          <w:u w:val="single" w:color="auto"/>
          <w:color w:val="231F20"/>
        </w:rPr>
        <w:t>Article VII</w:t>
      </w:r>
      <w:r>
        <w:rPr>
          <w:rFonts w:ascii="Times New Roman" w:cs="Times New Roman" w:eastAsia="Times New Roman" w:hAnsi="Times New Roman"/>
          <w:sz w:val="20"/>
          <w:szCs w:val="20"/>
          <w:color w:val="231F20"/>
        </w:rPr>
        <w:t xml:space="preserve">. Except as provided in the preceding sentence, the Administrative Agent will not release any Liens on Collateral without the prior written authorization of the Required Lenders;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the Administrative Agent may, in its discretion, release its Liens on Collateral valued in the aggregate not in excess of $1.0 million during any calendar year without the prior written authorization of the Required Lenders (it being agreed that the Administrative Agent may rely conclusively on one or more certificates of the Borrower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55" w:name="page256"/>
    <w:bookmarkEnd w:id="255"/>
    <w:p>
      <w:pPr>
        <w:ind w:left="740"/>
        <w:spacing w:after="0" w:line="269" w:lineRule="auto"/>
        <w:rPr>
          <w:sz w:val="20"/>
          <w:szCs w:val="20"/>
          <w:color w:val="auto"/>
        </w:rPr>
      </w:pPr>
      <w:r>
        <w:rPr>
          <w:rFonts w:ascii="Times New Roman" w:cs="Times New Roman" w:eastAsia="Times New Roman" w:hAnsi="Times New Roman"/>
          <w:sz w:val="20"/>
          <w:szCs w:val="20"/>
          <w:color w:val="231F20"/>
        </w:rPr>
        <w:t>delivery by the Administrative Agent of documents in connection with any such release shall be without recourse to or warranty by the Administrative Agent.</w:t>
      </w:r>
    </w:p>
    <w:p>
      <w:pPr>
        <w:spacing w:after="0" w:line="159" w:lineRule="exact"/>
        <w:rPr>
          <w:sz w:val="20"/>
          <w:szCs w:val="20"/>
          <w:color w:val="auto"/>
        </w:rPr>
      </w:pPr>
    </w:p>
    <w:p>
      <w:pPr>
        <w:jc w:val="both"/>
        <w:ind w:left="740" w:right="340" w:firstLine="745"/>
        <w:spacing w:after="0" w:line="241" w:lineRule="auto"/>
        <w:tabs>
          <w:tab w:leader="none" w:pos="2006" w:val="left"/>
        </w:tabs>
        <w:numPr>
          <w:ilvl w:val="0"/>
          <w:numId w:val="2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20"/>
          <w:szCs w:val="20"/>
          <w:u w:val="single" w:color="auto"/>
          <w:color w:val="231F20"/>
        </w:rPr>
        <w:t>Non-Consenting Lender</w:t>
      </w:r>
      <w:r>
        <w:rPr>
          <w:rFonts w:ascii="Times New Roman" w:cs="Times New Roman" w:eastAsia="Times New Roman" w:hAnsi="Times New Roman"/>
          <w:sz w:val="20"/>
          <w:szCs w:val="20"/>
          <w:color w:val="231F20"/>
        </w:rPr>
        <w:t xml:space="preserve">”), then the Borrower may elect to replace a Non-Consenting Lender as a Lender party to this Agreement;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concurrently with such replacement, (i) another bank or other entity which is reasonably satisfactory to the Borrower,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Times New Roman" w:cs="Times New Roman" w:eastAsia="Times New Roman" w:hAnsi="Times New Roman"/>
          <w:sz w:val="20"/>
          <w:szCs w:val="20"/>
          <w:u w:val="single" w:color="auto"/>
          <w:color w:val="231F20"/>
        </w:rPr>
        <w:t>clause (b)</w:t>
      </w:r>
      <w:r>
        <w:rPr>
          <w:rFonts w:ascii="Times New Roman" w:cs="Times New Roman" w:eastAsia="Times New Roman" w:hAnsi="Times New Roman"/>
          <w:sz w:val="20"/>
          <w:szCs w:val="20"/>
          <w:color w:val="231F20"/>
        </w:rPr>
        <w:t xml:space="preserve"> of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 xml:space="preserve">, and (ii) the Borrower shall pay to such Non-Consenting Lender in same day funds on the day of such replacement (1) all interest, fees and other amounts then accrued but unpaid to such Non-Consenting Lender by the Borrower hereunder to and including the date of termination, including payments due to such Non-Consenting Lender under </w:t>
      </w:r>
      <w:r>
        <w:rPr>
          <w:rFonts w:ascii="Times New Roman" w:cs="Times New Roman" w:eastAsia="Times New Roman" w:hAnsi="Times New Roman"/>
          <w:sz w:val="20"/>
          <w:szCs w:val="20"/>
          <w:u w:val="single" w:color="auto"/>
          <w:color w:val="231F20"/>
        </w:rPr>
        <w:t>Sections 2.15</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2.17</w:t>
      </w:r>
      <w:r>
        <w:rPr>
          <w:rFonts w:ascii="Times New Roman" w:cs="Times New Roman" w:eastAsia="Times New Roman" w:hAnsi="Times New Roman"/>
          <w:sz w:val="20"/>
          <w:szCs w:val="20"/>
          <w:color w:val="231F20"/>
        </w:rPr>
        <w:t xml:space="preserve">, and (2) an amount, if any, equal to the payment which would have been due to such Lender on the day of such replacement under </w:t>
      </w:r>
      <w:r>
        <w:rPr>
          <w:rFonts w:ascii="Times New Roman" w:cs="Times New Roman" w:eastAsia="Times New Roman" w:hAnsi="Times New Roman"/>
          <w:sz w:val="20"/>
          <w:szCs w:val="20"/>
          <w:u w:val="single" w:color="auto"/>
          <w:color w:val="231F20"/>
        </w:rPr>
        <w:t>Section 2.16</w:t>
      </w:r>
      <w:r>
        <w:rPr>
          <w:rFonts w:ascii="Times New Roman" w:cs="Times New Roman" w:eastAsia="Times New Roman" w:hAnsi="Times New Roman"/>
          <w:sz w:val="20"/>
          <w:szCs w:val="20"/>
          <w:color w:val="231F20"/>
        </w:rPr>
        <w:t xml:space="preserve"> had the Loans of such Non-Consenting Lender been prepaid on such date rather than sold to the replacement Lender. Notwithstanding anything herein to the contrary, each party hereto agrees that any assignment pursuant to the terms of this </w:t>
      </w:r>
      <w:r>
        <w:rPr>
          <w:rFonts w:ascii="Times New Roman" w:cs="Times New Roman" w:eastAsia="Times New Roman" w:hAnsi="Times New Roman"/>
          <w:sz w:val="20"/>
          <w:szCs w:val="20"/>
          <w:u w:val="single" w:color="auto"/>
          <w:color w:val="231F20"/>
        </w:rPr>
        <w:t>Section 9.20(d)</w:t>
      </w:r>
      <w:r>
        <w:rPr>
          <w:rFonts w:ascii="Times New Roman" w:cs="Times New Roman" w:eastAsia="Times New Roman" w:hAnsi="Times New Roman"/>
          <w:sz w:val="20"/>
          <w:szCs w:val="20"/>
          <w:color w:val="231F20"/>
        </w:rPr>
        <w:t xml:space="preserve"> may be effected pursuant to an Assignment and Assumption executed by the Borrower, the Administrative Agent and the assignee and that the Non-Consenting Lender making such assignment need not be a party thereto.</w:t>
      </w:r>
    </w:p>
    <w:p>
      <w:pPr>
        <w:spacing w:after="0" w:line="191" w:lineRule="exact"/>
        <w:rPr>
          <w:rFonts w:ascii="Times New Roman" w:cs="Times New Roman" w:eastAsia="Times New Roman" w:hAnsi="Times New Roman"/>
          <w:sz w:val="20"/>
          <w:szCs w:val="20"/>
          <w:color w:val="231F20"/>
        </w:rPr>
      </w:pPr>
    </w:p>
    <w:p>
      <w:pPr>
        <w:jc w:val="both"/>
        <w:ind w:left="740" w:right="360" w:firstLine="745"/>
        <w:spacing w:after="0" w:line="249" w:lineRule="auto"/>
        <w:tabs>
          <w:tab w:leader="none" w:pos="2005" w:val="left"/>
        </w:tabs>
        <w:numPr>
          <w:ilvl w:val="0"/>
          <w:numId w:val="2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Notwithstanding anything to the contrary herein the Administrative Agent may, with the consent of the Borrower only, amend, modify or supplement this Agreement or any of the other Loan Documents to cure any ambiguity, omission, mistake, defect or inconsistency. A copy of any such amendment, modification or supplement shall be promptly delivered by the Administrative Agent to each Lender.</w:t>
      </w:r>
    </w:p>
    <w:p>
      <w:pPr>
        <w:spacing w:after="0" w:line="179" w:lineRule="exact"/>
        <w:rPr>
          <w:rFonts w:ascii="Times New Roman" w:cs="Times New Roman" w:eastAsia="Times New Roman" w:hAnsi="Times New Roman"/>
          <w:sz w:val="20"/>
          <w:szCs w:val="20"/>
          <w:color w:val="231F20"/>
        </w:rPr>
      </w:pPr>
    </w:p>
    <w:p>
      <w:pPr>
        <w:jc w:val="both"/>
        <w:ind w:left="740" w:right="300" w:firstLine="745"/>
        <w:spacing w:after="0" w:line="246" w:lineRule="auto"/>
        <w:tabs>
          <w:tab w:leader="none" w:pos="2008" w:val="left"/>
        </w:tabs>
        <w:numPr>
          <w:ilvl w:val="0"/>
          <w:numId w:val="2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From time to time, upon the Borrower’s request, the Lenders party hereto may agree to amend this Agreement to implement the ability for the Borrower to borrow in currencies (other than Dollars) and other modifications related thereto;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(i) any such modifications shall be subject to the current policies and procedures of each such Lender and (ii) each Lender may elect to approve such changes in its sole discretion (it being understood that no such additional currencies will be added without the approval of each Lender).</w:t>
      </w:r>
    </w:p>
    <w:p>
      <w:pPr>
        <w:spacing w:after="0" w:line="184" w:lineRule="exact"/>
        <w:rPr>
          <w:rFonts w:ascii="Times New Roman" w:cs="Times New Roman" w:eastAsia="Times New Roman" w:hAnsi="Times New Roman"/>
          <w:sz w:val="20"/>
          <w:szCs w:val="20"/>
          <w:color w:val="231F20"/>
        </w:rPr>
      </w:pPr>
    </w:p>
    <w:p>
      <w:pPr>
        <w:jc w:val="both"/>
        <w:ind w:left="740" w:right="340" w:firstLine="745"/>
        <w:spacing w:after="0" w:line="249" w:lineRule="auto"/>
        <w:tabs>
          <w:tab w:leader="none" w:pos="2006" w:val="left"/>
        </w:tabs>
        <w:numPr>
          <w:ilvl w:val="0"/>
          <w:numId w:val="2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Notwithstanding anything to the contrary herein the Administrative Agent and the Borrower may amend, modify or supplement this Agreement or any of the other Loan Documents as may be reasonably necessary or appropriate, in the opinion of the Administrative Agent, in connection with a Foreign Subsidiary becoming a Loan Guarantor (such amendments, modifications or supplements are referred to herein as “</w:t>
      </w:r>
      <w:r>
        <w:rPr>
          <w:rFonts w:ascii="Times New Roman" w:cs="Times New Roman" w:eastAsia="Times New Roman" w:hAnsi="Times New Roman"/>
          <w:sz w:val="20"/>
          <w:szCs w:val="20"/>
          <w:u w:val="single" w:color="auto"/>
          <w:color w:val="231F20"/>
        </w:rPr>
        <w:t>Voluntary Foreign Guarantor Amendments</w:t>
      </w:r>
      <w:r>
        <w:rPr>
          <w:rFonts w:ascii="Times New Roman" w:cs="Times New Roman" w:eastAsia="Times New Roman" w:hAnsi="Times New Roman"/>
          <w:sz w:val="20"/>
          <w:szCs w:val="20"/>
          <w:color w:val="231F20"/>
        </w:rPr>
        <w:t>”).</w:t>
      </w:r>
    </w:p>
    <w:p>
      <w:pPr>
        <w:spacing w:after="0" w:line="180"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9.03</w:t>
      </w:r>
      <w:r>
        <w:rPr>
          <w:sz w:val="20"/>
          <w:szCs w:val="20"/>
          <w:color w:val="auto"/>
        </w:rPr>
        <w:tab/>
      </w:r>
      <w:r>
        <w:rPr>
          <w:rFonts w:ascii="Times New Roman" w:cs="Times New Roman" w:eastAsia="Times New Roman" w:hAnsi="Times New Roman"/>
          <w:sz w:val="19"/>
          <w:szCs w:val="19"/>
          <w:u w:val="single" w:color="auto"/>
          <w:color w:val="231F20"/>
        </w:rPr>
        <w:t>Expenses; Indemnity; Damage Waiver</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320" w:firstLine="745"/>
        <w:spacing w:after="0" w:line="245" w:lineRule="auto"/>
        <w:tabs>
          <w:tab w:leader="none" w:pos="2008" w:val="left"/>
        </w:tabs>
        <w:numPr>
          <w:ilvl w:val="0"/>
          <w:numId w:val="24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Borrower shall pay (i) all reasonable and documented out-of-pocket expenses incurred by the Administrative Agent, the Lead Arranger and their respective Affiliates, including the reasonable and documented fees, charges and disbursements of one outside counsel and one local counsel in each relevant jurisdiction for the Administrative Agent and Lead Arranger (and, solely in the case of an actual or perceived conflict of interest, one additional counsel (and, if reasonably necessary, (x) one firm of local counsel in each relevant jurisdiction and (y) any special or regulatory counsel) and any other counsel retained with the Borrower’s consent, such consent not to be unreasonably withheld or delayed),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291" w:right="419" w:bottom="1440" w:gutter="0" w:footer="0" w:header="0"/>
        </w:sectPr>
      </w:pPr>
    </w:p>
    <w:bookmarkStart w:id="256" w:name="page257"/>
    <w:bookmarkEnd w:id="256"/>
    <w:p>
      <w:pPr>
        <w:jc w:val="both"/>
        <w:ind w:left="740"/>
        <w:spacing w:after="0" w:line="242" w:lineRule="auto"/>
        <w:rPr>
          <w:sz w:val="20"/>
          <w:szCs w:val="20"/>
          <w:color w:val="auto"/>
        </w:rPr>
      </w:pPr>
      <w:r>
        <w:rPr>
          <w:rFonts w:ascii="Times New Roman" w:cs="Times New Roman" w:eastAsia="Times New Roman" w:hAnsi="Times New Roman"/>
          <w:sz w:val="20"/>
          <w:szCs w:val="20"/>
          <w:color w:val="231F20"/>
        </w:rPr>
        <w:t xml:space="preserve">in connection with the syndication and distribution (including via the internet or through an Electronic System) of the credit facilities provided for herein, the preparation and administration of the Loan Documents or any amendments, modifications or waivers of the provisions of the Loan Documents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documented out-of-pocket expenses incurred by the Administrative Agent, Swingline Lenders, any Issuing Bank or any Lender, including the fees, charges and disbursements of any outside counsel for the Administrative Agent, Swingline Lenders, any Issuing Bank or any Lender, in connection with the enforcement, collection or protection of its rights in connection with the Loan Documents, including its rights under this </w:t>
      </w:r>
      <w:r>
        <w:rPr>
          <w:rFonts w:ascii="Times New Roman" w:cs="Times New Roman" w:eastAsia="Times New Roman" w:hAnsi="Times New Roman"/>
          <w:sz w:val="20"/>
          <w:szCs w:val="20"/>
          <w:u w:val="single" w:color="auto"/>
          <w:color w:val="231F20"/>
        </w:rPr>
        <w:t>Section 9.03</w:t>
      </w:r>
      <w:r>
        <w:rPr>
          <w:rFonts w:ascii="Times New Roman" w:cs="Times New Roman" w:eastAsia="Times New Roman" w:hAnsi="Times New Roman"/>
          <w:sz w:val="20"/>
          <w:szCs w:val="20"/>
          <w:color w:val="231F20"/>
        </w:rPr>
        <w:t xml:space="preserve">, or in connection with the Loans made or Letters of Credit issued hereunder, including all such out-of-pocket expenses incurred during any workout, restructuring or negotiations in respect of such Loans or Letters of Credit. Expenses being reimbursed by the Borrower under this </w:t>
      </w:r>
      <w:r>
        <w:rPr>
          <w:rFonts w:ascii="Times New Roman" w:cs="Times New Roman" w:eastAsia="Times New Roman" w:hAnsi="Times New Roman"/>
          <w:sz w:val="20"/>
          <w:szCs w:val="20"/>
          <w:u w:val="single" w:color="auto"/>
          <w:color w:val="231F20"/>
        </w:rPr>
        <w:t>Section 9.03</w:t>
      </w:r>
      <w:r>
        <w:rPr>
          <w:rFonts w:ascii="Times New Roman" w:cs="Times New Roman" w:eastAsia="Times New Roman" w:hAnsi="Times New Roman"/>
          <w:sz w:val="20"/>
          <w:szCs w:val="20"/>
          <w:color w:val="231F20"/>
        </w:rPr>
        <w:t xml:space="preserve"> include, without limiting the generality of the foregoing, costs and expenses incurred in connection with:</w:t>
      </w:r>
    </w:p>
    <w:p>
      <w:pPr>
        <w:spacing w:after="0" w:line="187" w:lineRule="exact"/>
        <w:rPr>
          <w:sz w:val="20"/>
          <w:szCs w:val="20"/>
          <w:color w:val="auto"/>
        </w:rPr>
      </w:pPr>
    </w:p>
    <w:p>
      <w:pPr>
        <w:ind w:left="1940" w:right="40" w:firstLine="1498"/>
        <w:spacing w:after="0" w:line="269" w:lineRule="auto"/>
        <w:rPr>
          <w:sz w:val="20"/>
          <w:szCs w:val="20"/>
          <w:color w:val="auto"/>
        </w:rPr>
      </w:pPr>
      <w:r>
        <w:rPr>
          <w:rFonts w:ascii="Times New Roman" w:cs="Times New Roman" w:eastAsia="Times New Roman" w:hAnsi="Times New Roman"/>
          <w:sz w:val="20"/>
          <w:szCs w:val="20"/>
          <w:color w:val="231F20"/>
        </w:rPr>
        <w:t>(i)taxes, fees and other charges for (A) lien searches and (B) filing financing statements and continuations, and other actions to perfect, protect, and continue the Administrative Agent’s Liens;</w:t>
      </w:r>
    </w:p>
    <w:p>
      <w:pPr>
        <w:spacing w:after="0" w:line="159" w:lineRule="exact"/>
        <w:rPr>
          <w:sz w:val="20"/>
          <w:szCs w:val="20"/>
          <w:color w:val="auto"/>
        </w:rPr>
      </w:pPr>
    </w:p>
    <w:p>
      <w:pPr>
        <w:ind w:left="1940" w:right="60" w:firstLine="1498"/>
        <w:spacing w:after="0" w:line="269" w:lineRule="auto"/>
        <w:rPr>
          <w:sz w:val="20"/>
          <w:szCs w:val="20"/>
          <w:color w:val="auto"/>
        </w:rPr>
      </w:pPr>
      <w:r>
        <w:rPr>
          <w:rFonts w:ascii="Times New Roman" w:cs="Times New Roman" w:eastAsia="Times New Roman" w:hAnsi="Times New Roman"/>
          <w:sz w:val="20"/>
          <w:szCs w:val="20"/>
          <w:color w:val="231F20"/>
        </w:rPr>
        <w:t>(ii)sums paid or incurred to take any action required of any Loan Party under the Loan Documents that such Loan Party fails to pay or take; and</w:t>
      </w:r>
    </w:p>
    <w:p>
      <w:pPr>
        <w:spacing w:after="0" w:line="159" w:lineRule="exact"/>
        <w:rPr>
          <w:sz w:val="20"/>
          <w:szCs w:val="20"/>
          <w:color w:val="auto"/>
        </w:rPr>
      </w:pPr>
    </w:p>
    <w:p>
      <w:pPr>
        <w:ind w:left="1940" w:right="60" w:firstLine="1498"/>
        <w:spacing w:after="0" w:line="269" w:lineRule="auto"/>
        <w:rPr>
          <w:sz w:val="20"/>
          <w:szCs w:val="20"/>
          <w:color w:val="auto"/>
        </w:rPr>
      </w:pPr>
      <w:r>
        <w:rPr>
          <w:rFonts w:ascii="Times New Roman" w:cs="Times New Roman" w:eastAsia="Times New Roman" w:hAnsi="Times New Roman"/>
          <w:sz w:val="20"/>
          <w:szCs w:val="20"/>
          <w:color w:val="231F20"/>
        </w:rPr>
        <w:t>(iii)forwarding loan proceeds, collecting checks and other items of payment, and costs and expenses of preserving and protecting the Collateral.</w:t>
      </w:r>
    </w:p>
    <w:p>
      <w:pPr>
        <w:spacing w:after="0" w:line="159" w:lineRule="exact"/>
        <w:rPr>
          <w:sz w:val="20"/>
          <w:szCs w:val="20"/>
          <w:color w:val="auto"/>
        </w:rPr>
      </w:pPr>
    </w:p>
    <w:p>
      <w:pPr>
        <w:ind w:left="740" w:right="60"/>
        <w:spacing w:after="0" w:line="269" w:lineRule="auto"/>
        <w:rPr>
          <w:sz w:val="20"/>
          <w:szCs w:val="20"/>
          <w:color w:val="auto"/>
        </w:rPr>
      </w:pPr>
      <w:r>
        <w:rPr>
          <w:rFonts w:ascii="Times New Roman" w:cs="Times New Roman" w:eastAsia="Times New Roman" w:hAnsi="Times New Roman"/>
          <w:sz w:val="20"/>
          <w:szCs w:val="20"/>
          <w:color w:val="231F20"/>
        </w:rPr>
        <w:t xml:space="preserve">All of the foregoing costs and expenses may be charged to the Borrower as Loans or to another deposit account, all as described in </w:t>
      </w:r>
      <w:r>
        <w:rPr>
          <w:rFonts w:ascii="Times New Roman" w:cs="Times New Roman" w:eastAsia="Times New Roman" w:hAnsi="Times New Roman"/>
          <w:sz w:val="20"/>
          <w:szCs w:val="20"/>
          <w:u w:val="single" w:color="auto"/>
          <w:color w:val="231F20"/>
        </w:rPr>
        <w:t>Section 2.18(c)</w:t>
      </w:r>
      <w:r>
        <w:rPr>
          <w:rFonts w:ascii="Times New Roman" w:cs="Times New Roman" w:eastAsia="Times New Roman" w:hAnsi="Times New Roman"/>
          <w:sz w:val="20"/>
          <w:szCs w:val="20"/>
          <w:color w:val="231F20"/>
        </w:rPr>
        <w:t>.</w:t>
      </w:r>
    </w:p>
    <w:p>
      <w:pPr>
        <w:spacing w:after="0" w:line="159" w:lineRule="exact"/>
        <w:rPr>
          <w:sz w:val="20"/>
          <w:szCs w:val="20"/>
          <w:color w:val="auto"/>
        </w:rPr>
      </w:pPr>
    </w:p>
    <w:p>
      <w:pPr>
        <w:jc w:val="both"/>
        <w:ind w:left="740" w:right="20" w:firstLine="745"/>
        <w:spacing w:after="0" w:line="241" w:lineRule="auto"/>
        <w:tabs>
          <w:tab w:leader="none" w:pos="2008" w:val="left"/>
        </w:tabs>
        <w:numPr>
          <w:ilvl w:val="1"/>
          <w:numId w:val="2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Borrower shall indemnify the Administrative Agent, Swingline Lenders, each Issuing Bank and each Lender, and each Related Party of any of the foregoing Persons (each such Person being called an “</w:t>
      </w:r>
      <w:r>
        <w:rPr>
          <w:rFonts w:ascii="Times New Roman" w:cs="Times New Roman" w:eastAsia="Times New Roman" w:hAnsi="Times New Roman"/>
          <w:sz w:val="20"/>
          <w:szCs w:val="20"/>
          <w:u w:val="single" w:color="auto"/>
          <w:color w:val="231F20"/>
        </w:rPr>
        <w:t>Indemnitee</w:t>
      </w:r>
      <w:r>
        <w:rPr>
          <w:rFonts w:ascii="Times New Roman" w:cs="Times New Roman" w:eastAsia="Times New Roman" w:hAnsi="Times New Roman"/>
          <w:sz w:val="20"/>
          <w:szCs w:val="20"/>
          <w:color w:val="231F20"/>
        </w:rPr>
        <w:t xml:space="preserve">”) against, and hold each Indemnitee harmless from, any and all losses, claims, damages, penalties, liabilities and related expenses (except for Taxes, which shall be covered by </w:t>
      </w:r>
      <w:r>
        <w:rPr>
          <w:rFonts w:ascii="Times New Roman" w:cs="Times New Roman" w:eastAsia="Times New Roman" w:hAnsi="Times New Roman"/>
          <w:sz w:val="20"/>
          <w:szCs w:val="20"/>
          <w:u w:val="single" w:color="auto"/>
          <w:color w:val="231F20"/>
        </w:rPr>
        <w:t>Section 2.17</w:t>
      </w:r>
      <w:r>
        <w:rPr>
          <w:rFonts w:ascii="Times New Roman" w:cs="Times New Roman" w:eastAsia="Times New Roman" w:hAnsi="Times New Roman"/>
          <w:sz w:val="20"/>
          <w:szCs w:val="20"/>
          <w:color w:val="231F20"/>
        </w:rPr>
        <w:t>, other than any Taxes that represent losses, claims, damages, etc. arising from any non-Tax claim), including the reasonable and documented fees, charges and disbursements of one counsel for all Indemnitees (and, if reasonably necessary, a single local counsel for all Indemnitees taken as a whole in each relevant jurisdiction and, solely in the case of an actual or perceived conflict of interest, one additional counsel (and, if reasonably necessary, (x) one firm of local counsel in each relevant jurisdiction and (y) any special or regulatory counsel) to each group of affected Indemnitees similarly situated taken as a whole and any other counsel retained with the Borrower’s consent, such consent not to be unreasonably withheld or delayed),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w:t>
      </w:r>
    </w:p>
    <w:p>
      <w:pPr>
        <w:spacing w:after="0" w:line="3" w:lineRule="exact"/>
        <w:rPr>
          <w:rFonts w:ascii="Times New Roman" w:cs="Times New Roman" w:eastAsia="Times New Roman" w:hAnsi="Times New Roman"/>
          <w:sz w:val="20"/>
          <w:szCs w:val="20"/>
          <w:color w:val="231F20"/>
        </w:rPr>
      </w:pPr>
    </w:p>
    <w:p>
      <w:pPr>
        <w:jc w:val="both"/>
        <w:ind w:left="740" w:right="20" w:hanging="3"/>
        <w:spacing w:after="0"/>
        <w:tabs>
          <w:tab w:leader="none" w:pos="1033" w:val="left"/>
        </w:tabs>
        <w:numPr>
          <w:ilvl w:val="0"/>
          <w:numId w:val="2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any Loan (including any Swingline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(iv) the failure of the Borrower to deliver to the Administrative Agent the required receipts or other required documentary evidence with respect to a payment made by the Borrower for Indemnified Taxes or Other Taxes pursuant to </w:t>
      </w:r>
      <w:r>
        <w:rPr>
          <w:rFonts w:ascii="Times New Roman" w:cs="Times New Roman" w:eastAsia="Times New Roman" w:hAnsi="Times New Roman"/>
          <w:sz w:val="20"/>
          <w:szCs w:val="20"/>
          <w:u w:val="single" w:color="auto"/>
          <w:color w:val="231F20"/>
        </w:rPr>
        <w:t>Section 2.17</w:t>
      </w:r>
      <w:r>
        <w:rPr>
          <w:rFonts w:ascii="Times New Roman" w:cs="Times New Roman" w:eastAsia="Times New Roman" w:hAnsi="Times New Roman"/>
          <w:sz w:val="20"/>
          <w:szCs w:val="20"/>
          <w:color w:val="231F20"/>
        </w:rPr>
        <w:t xml:space="preserve"> or (v) 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57" w:name="page258"/>
    <w:bookmarkEnd w:id="257"/>
    <w:p>
      <w:pPr>
        <w:jc w:val="both"/>
        <w:ind w:left="740"/>
        <w:spacing w:after="0" w:line="243" w:lineRule="auto"/>
        <w:rPr>
          <w:sz w:val="20"/>
          <w:szCs w:val="20"/>
          <w:color w:val="auto"/>
        </w:rPr>
      </w:pPr>
      <w:r>
        <w:rPr>
          <w:rFonts w:ascii="Times New Roman" w:cs="Times New Roman" w:eastAsia="Times New Roman" w:hAnsi="Times New Roman"/>
          <w:sz w:val="20"/>
          <w:szCs w:val="20"/>
          <w:color w:val="231F20"/>
        </w:rPr>
        <w:t xml:space="preserve">actual or prospective claim, litigation, investigation or proceeding relating to any of the foregoing, whether based on contract, tort or any other theory and regardless of whether any Indemnitee is a party thereto and whether or not such claim, litigation, investigation or proceeding is brought by the Borrower, any of its Subsidiaries or and third party;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such indemnity shall not, as to any Indemnitee, be available to the extent that such losses, claims, damages, penalties, liabilities or related expenses (x) are determined by a court of competent jurisdiction by final and nonappealable judgment to have resulted from the gross negligence or willful misconduct of such Indemnitee or (y) result from any dispute solely among Indemnitees and does not involve any act or omission by any Loan Party or any of their Subsidiaries (other than claims against the Administrative Agent, Swingline Lenders and Issuing Banks in their respective capacities as such).</w:t>
      </w:r>
    </w:p>
    <w:p>
      <w:pPr>
        <w:spacing w:after="0" w:line="189" w:lineRule="exact"/>
        <w:rPr>
          <w:sz w:val="20"/>
          <w:szCs w:val="20"/>
          <w:color w:val="auto"/>
        </w:rPr>
      </w:pPr>
    </w:p>
    <w:p>
      <w:pPr>
        <w:jc w:val="both"/>
        <w:ind w:left="740" w:right="20" w:firstLine="746"/>
        <w:spacing w:after="0" w:line="245" w:lineRule="auto"/>
        <w:tabs>
          <w:tab w:leader="none" w:pos="2007" w:val="left"/>
        </w:tabs>
        <w:numPr>
          <w:ilvl w:val="0"/>
          <w:numId w:val="2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To the extent that the Borrower fails to pay any amount required to be paid by it to the Administrative Agent or any Issuing Bank under </w:t>
      </w:r>
      <w:r>
        <w:rPr>
          <w:rFonts w:ascii="Times New Roman" w:cs="Times New Roman" w:eastAsia="Times New Roman" w:hAnsi="Times New Roman"/>
          <w:sz w:val="20"/>
          <w:szCs w:val="20"/>
          <w:u w:val="single" w:color="auto"/>
          <w:color w:val="231F20"/>
        </w:rPr>
        <w:t>clause (a)</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(b)</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9.03</w:t>
      </w:r>
      <w:r>
        <w:rPr>
          <w:rFonts w:ascii="Times New Roman" w:cs="Times New Roman" w:eastAsia="Times New Roman" w:hAnsi="Times New Roman"/>
          <w:sz w:val="20"/>
          <w:szCs w:val="20"/>
          <w:color w:val="231F20"/>
        </w:rPr>
        <w:t xml:space="preserve">,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the unreimbursed expense or indemnified loss, claim, damage, penalty, liability or related expense, as the case may be, was incurred by or asserted against the Administrative Agent or such Issuing Bank in its capacity as such.</w:t>
      </w:r>
    </w:p>
    <w:p>
      <w:pPr>
        <w:spacing w:after="0" w:line="184" w:lineRule="exact"/>
        <w:rPr>
          <w:rFonts w:ascii="Times New Roman" w:cs="Times New Roman" w:eastAsia="Times New Roman" w:hAnsi="Times New Roman"/>
          <w:sz w:val="20"/>
          <w:szCs w:val="20"/>
          <w:color w:val="231F20"/>
        </w:rPr>
      </w:pPr>
    </w:p>
    <w:p>
      <w:pPr>
        <w:jc w:val="both"/>
        <w:ind w:left="740" w:right="40" w:firstLine="745"/>
        <w:spacing w:after="0" w:line="245" w:lineRule="auto"/>
        <w:tabs>
          <w:tab w:leader="none" w:pos="2006" w:val="left"/>
        </w:tabs>
        <w:numPr>
          <w:ilvl w:val="0"/>
          <w:numId w:val="2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 the extent permitted by applicable law, no Loan Party shall assert, and each hereby waives, any claim against the Administrative Agent, any Swingline Lender, any Issuing Bank and any Lender, and any Related Party of any of the foregoing Persons (each such Person being called an “</w:t>
      </w:r>
      <w:r>
        <w:rPr>
          <w:rFonts w:ascii="Times New Roman" w:cs="Times New Roman" w:eastAsia="Times New Roman" w:hAnsi="Times New Roman"/>
          <w:sz w:val="20"/>
          <w:szCs w:val="20"/>
          <w:u w:val="single" w:color="auto"/>
          <w:color w:val="231F20"/>
        </w:rPr>
        <w:t>Excluded Person</w:t>
      </w:r>
      <w:r>
        <w:rPr>
          <w:rFonts w:ascii="Times New Roman" w:cs="Times New Roman" w:eastAsia="Times New Roman" w:hAnsi="Times New Roman"/>
          <w:sz w:val="20"/>
          <w:szCs w:val="20"/>
          <w:color w:val="231F20"/>
        </w:rPr>
        <w:t>”) for any damages arising from the use by unintended recipients of information or other materials obtained through telecommunications, electronic or other information transmission systems (including the Internet), except as determined by a court of competent jurisdiction by final and nonappealable judgment to have resulted from the gross negligence or willful misconduct of such Excluded Person.</w:t>
      </w:r>
    </w:p>
    <w:p>
      <w:pPr>
        <w:spacing w:after="0" w:line="184" w:lineRule="exact"/>
        <w:rPr>
          <w:rFonts w:ascii="Times New Roman" w:cs="Times New Roman" w:eastAsia="Times New Roman" w:hAnsi="Times New Roman"/>
          <w:sz w:val="20"/>
          <w:szCs w:val="20"/>
          <w:color w:val="231F20"/>
        </w:rPr>
      </w:pPr>
    </w:p>
    <w:p>
      <w:pPr>
        <w:jc w:val="both"/>
        <w:ind w:left="740" w:right="40" w:firstLine="745"/>
        <w:spacing w:after="0" w:line="245" w:lineRule="auto"/>
        <w:tabs>
          <w:tab w:leader="none" w:pos="2006" w:val="left"/>
        </w:tabs>
        <w:numPr>
          <w:ilvl w:val="0"/>
          <w:numId w:val="2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No Excluded Person nor any Loan Party shall be liable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(including any Swingline Loan) or Letter of Credit or the use of the proceeds thereof;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nothing in this </w:t>
      </w:r>
      <w:r>
        <w:rPr>
          <w:rFonts w:ascii="Times New Roman" w:cs="Times New Roman" w:eastAsia="Times New Roman" w:hAnsi="Times New Roman"/>
          <w:sz w:val="20"/>
          <w:szCs w:val="20"/>
          <w:u w:val="single" w:color="auto"/>
          <w:color w:val="231F20"/>
        </w:rPr>
        <w:t>clause (e)</w:t>
      </w:r>
      <w:r>
        <w:rPr>
          <w:rFonts w:ascii="Times New Roman" w:cs="Times New Roman" w:eastAsia="Times New Roman" w:hAnsi="Times New Roman"/>
          <w:sz w:val="20"/>
          <w:szCs w:val="20"/>
          <w:color w:val="231F20"/>
        </w:rPr>
        <w:t xml:space="preserve"> shall relieve any Loan Party of any obligation it may have to indemnify an Indemnitee against special, indirect, consequential or punitive damages asserted against such Indemnitee by a third party.</w:t>
      </w:r>
    </w:p>
    <w:p>
      <w:pPr>
        <w:spacing w:after="0" w:line="184" w:lineRule="exact"/>
        <w:rPr>
          <w:rFonts w:ascii="Times New Roman" w:cs="Times New Roman" w:eastAsia="Times New Roman" w:hAnsi="Times New Roman"/>
          <w:sz w:val="20"/>
          <w:szCs w:val="20"/>
          <w:color w:val="231F20"/>
        </w:rPr>
      </w:pPr>
    </w:p>
    <w:p>
      <w:pPr>
        <w:ind w:left="2000" w:hanging="515"/>
        <w:spacing w:after="0"/>
        <w:tabs>
          <w:tab w:leader="none" w:pos="2000" w:val="left"/>
        </w:tabs>
        <w:numPr>
          <w:ilvl w:val="0"/>
          <w:numId w:val="2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All amounts due under this </w:t>
      </w:r>
      <w:r>
        <w:rPr>
          <w:rFonts w:ascii="Times New Roman" w:cs="Times New Roman" w:eastAsia="Times New Roman" w:hAnsi="Times New Roman"/>
          <w:sz w:val="20"/>
          <w:szCs w:val="20"/>
          <w:u w:val="single" w:color="auto"/>
          <w:color w:val="231F20"/>
        </w:rPr>
        <w:t>Section 9.03</w:t>
      </w:r>
      <w:r>
        <w:rPr>
          <w:rFonts w:ascii="Times New Roman" w:cs="Times New Roman" w:eastAsia="Times New Roman" w:hAnsi="Times New Roman"/>
          <w:sz w:val="20"/>
          <w:szCs w:val="20"/>
          <w:color w:val="231F20"/>
        </w:rPr>
        <w:t xml:space="preserve"> shall be payable promptly after written demand therefor.</w:t>
      </w:r>
    </w:p>
    <w:p>
      <w:pPr>
        <w:spacing w:after="0" w:line="216"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9.04</w:t>
      </w:r>
      <w:r>
        <w:rPr>
          <w:sz w:val="20"/>
          <w:szCs w:val="20"/>
          <w:color w:val="auto"/>
        </w:rPr>
        <w:tab/>
      </w:r>
      <w:r>
        <w:rPr>
          <w:rFonts w:ascii="Times New Roman" w:cs="Times New Roman" w:eastAsia="Times New Roman" w:hAnsi="Times New Roman"/>
          <w:sz w:val="19"/>
          <w:szCs w:val="19"/>
          <w:u w:val="single" w:color="auto"/>
          <w:color w:val="231F20"/>
        </w:rPr>
        <w:t>Successors and Assigns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40" w:firstLine="745"/>
        <w:spacing w:after="0" w:line="244" w:lineRule="auto"/>
        <w:tabs>
          <w:tab w:leader="none" w:pos="2006" w:val="left"/>
        </w:tabs>
        <w:numPr>
          <w:ilvl w:val="1"/>
          <w:numId w:val="2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w:t>
      </w:r>
    </w:p>
    <w:p>
      <w:pPr>
        <w:jc w:val="both"/>
        <w:ind w:left="740" w:hanging="3"/>
        <w:spacing w:after="0" w:line="239" w:lineRule="auto"/>
        <w:tabs>
          <w:tab w:leader="none" w:pos="1041" w:val="left"/>
        </w:tabs>
        <w:numPr>
          <w:ilvl w:val="0"/>
          <w:numId w:val="2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no Lender may assign or otherwise transfer its rights or obligations hereunder except in accordance with this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 xml:space="preserve"> or as may be required pursuant to </w:t>
      </w:r>
      <w:r>
        <w:rPr>
          <w:rFonts w:ascii="Times New Roman" w:cs="Times New Roman" w:eastAsia="Times New Roman" w:hAnsi="Times New Roman"/>
          <w:sz w:val="20"/>
          <w:szCs w:val="20"/>
          <w:u w:val="single" w:color="auto"/>
          <w:color w:val="231F20"/>
        </w:rPr>
        <w:t>Section 2.19</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Section 9.02(d)</w:t>
      </w:r>
      <w:r>
        <w:rPr>
          <w:rFonts w:ascii="Times New Roman" w:cs="Times New Roman" w:eastAsia="Times New Roman" w:hAnsi="Times New Roman"/>
          <w:sz w:val="20"/>
          <w:szCs w:val="20"/>
          <w:color w:val="231F20"/>
        </w:rPr>
        <w:t xml:space="preserve">.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w:t>
      </w:r>
      <w:r>
        <w:rPr>
          <w:rFonts w:ascii="Times New Roman" w:cs="Times New Roman" w:eastAsia="Times New Roman" w:hAnsi="Times New Roman"/>
          <w:sz w:val="20"/>
          <w:szCs w:val="20"/>
          <w:u w:val="single" w:color="auto"/>
          <w:color w:val="231F20"/>
        </w:rPr>
        <w:t>clause (c)</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w:t>
      </w:r>
    </w:p>
    <w:p>
      <w:pPr>
        <w:spacing w:after="0" w:line="2" w:lineRule="exact"/>
        <w:rPr>
          <w:rFonts w:ascii="Times New Roman" w:cs="Times New Roman" w:eastAsia="Times New Roman" w:hAnsi="Times New Roman"/>
          <w:sz w:val="20"/>
          <w:szCs w:val="20"/>
          <w:color w:val="231F20"/>
        </w:rPr>
      </w:pPr>
    </w:p>
    <w:p>
      <w:pPr>
        <w:ind w:left="7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9.04</w:t>
      </w:r>
      <w:r>
        <w:rPr>
          <w:rFonts w:ascii="Times New Roman" w:cs="Times New Roman" w:eastAsia="Times New Roman" w:hAnsi="Times New Roman"/>
          <w:sz w:val="20"/>
          <w:szCs w:val="20"/>
          <w:color w:val="231F20"/>
        </w:rPr>
        <w:t>) and, to the extent expressly contemplated hereby, the Related Parties of each of the Administrative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58" w:name="page259"/>
    <w:bookmarkEnd w:id="258"/>
    <w:p>
      <w:pPr>
        <w:ind w:left="740"/>
        <w:spacing w:after="0" w:line="269" w:lineRule="auto"/>
        <w:rPr>
          <w:sz w:val="20"/>
          <w:szCs w:val="20"/>
          <w:color w:val="auto"/>
        </w:rPr>
      </w:pPr>
      <w:r>
        <w:rPr>
          <w:rFonts w:ascii="Times New Roman" w:cs="Times New Roman" w:eastAsia="Times New Roman" w:hAnsi="Times New Roman"/>
          <w:sz w:val="20"/>
          <w:szCs w:val="20"/>
          <w:color w:val="231F20"/>
        </w:rPr>
        <w:t>Agent, Swingline Lenders, the Issuing Banks and the Lenders) any legal or equitable right, remedy or claim under or by reason of this Agreement.</w:t>
      </w:r>
    </w:p>
    <w:p>
      <w:pPr>
        <w:spacing w:after="0" w:line="159" w:lineRule="exact"/>
        <w:rPr>
          <w:sz w:val="20"/>
          <w:szCs w:val="20"/>
          <w:color w:val="auto"/>
        </w:rPr>
      </w:pPr>
    </w:p>
    <w:p>
      <w:pPr>
        <w:jc w:val="both"/>
        <w:ind w:left="740" w:right="220" w:firstLine="745"/>
        <w:spacing w:after="0" w:line="249" w:lineRule="auto"/>
        <w:tabs>
          <w:tab w:leader="none" w:pos="2006" w:val="left"/>
        </w:tabs>
        <w:numPr>
          <w:ilvl w:val="0"/>
          <w:numId w:val="2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 Subject to the conditions set forth in </w:t>
      </w:r>
      <w:r>
        <w:rPr>
          <w:rFonts w:ascii="Times New Roman" w:cs="Times New Roman" w:eastAsia="Times New Roman" w:hAnsi="Times New Roman"/>
          <w:sz w:val="20"/>
          <w:szCs w:val="20"/>
          <w:u w:val="single" w:color="auto"/>
          <w:color w:val="231F20"/>
        </w:rPr>
        <w:t>clause (b)(ii)</w:t>
      </w:r>
      <w:r>
        <w:rPr>
          <w:rFonts w:ascii="Times New Roman" w:cs="Times New Roman" w:eastAsia="Times New Roman" w:hAnsi="Times New Roman"/>
          <w:sz w:val="20"/>
          <w:szCs w:val="20"/>
          <w:color w:val="231F20"/>
        </w:rPr>
        <w:t xml:space="preserve">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conditioned or delayed) of:</w:t>
      </w:r>
    </w:p>
    <w:p>
      <w:pPr>
        <w:spacing w:after="0" w:line="179" w:lineRule="exact"/>
        <w:rPr>
          <w:rFonts w:ascii="Times New Roman" w:cs="Times New Roman" w:eastAsia="Times New Roman" w:hAnsi="Times New Roman"/>
          <w:sz w:val="20"/>
          <w:szCs w:val="20"/>
          <w:color w:val="231F20"/>
        </w:rPr>
      </w:pPr>
    </w:p>
    <w:p>
      <w:pPr>
        <w:jc w:val="both"/>
        <w:ind w:left="2240" w:right="220" w:firstLine="743"/>
        <w:spacing w:after="0" w:line="246" w:lineRule="auto"/>
        <w:tabs>
          <w:tab w:leader="none" w:pos="3531" w:val="left"/>
        </w:tabs>
        <w:numPr>
          <w:ilvl w:val="2"/>
          <w:numId w:val="2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Borrower;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the Borrower shall be deemed to have consented to any such assignment unless it shall object thereto by written notice to the Administrative Agent within five (5) Business Days after having received notice thereof, and </w:t>
      </w:r>
      <w:r>
        <w:rPr>
          <w:rFonts w:ascii="Times New Roman" w:cs="Times New Roman" w:eastAsia="Times New Roman" w:hAnsi="Times New Roman"/>
          <w:sz w:val="20"/>
          <w:szCs w:val="20"/>
          <w:u w:val="single" w:color="auto"/>
          <w:color w:val="231F20"/>
        </w:rPr>
        <w:t>provided further</w:t>
      </w:r>
      <w:r>
        <w:rPr>
          <w:rFonts w:ascii="Times New Roman" w:cs="Times New Roman" w:eastAsia="Times New Roman" w:hAnsi="Times New Roman"/>
          <w:sz w:val="20"/>
          <w:szCs w:val="20"/>
          <w:color w:val="231F20"/>
        </w:rPr>
        <w:t xml:space="preserve"> that no consent of the Borrower shall be required for an assignment to a Lender, an Affiliate of a Lender, an Approved Fund or, if an Event of Default has occurred and is continuing, any other assignee;</w:t>
      </w:r>
    </w:p>
    <w:p>
      <w:pPr>
        <w:spacing w:after="0" w:line="184" w:lineRule="exact"/>
        <w:rPr>
          <w:rFonts w:ascii="Times New Roman" w:cs="Times New Roman" w:eastAsia="Times New Roman" w:hAnsi="Times New Roman"/>
          <w:sz w:val="20"/>
          <w:szCs w:val="20"/>
          <w:color w:val="231F20"/>
        </w:rPr>
      </w:pPr>
    </w:p>
    <w:p>
      <w:pPr>
        <w:ind w:left="3740" w:hanging="757"/>
        <w:spacing w:after="0"/>
        <w:tabs>
          <w:tab w:leader="none" w:pos="3740" w:val="left"/>
        </w:tabs>
        <w:numPr>
          <w:ilvl w:val="2"/>
          <w:numId w:val="2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Administrative Agent;</w:t>
      </w:r>
    </w:p>
    <w:p>
      <w:pPr>
        <w:spacing w:after="0" w:line="215" w:lineRule="exact"/>
        <w:rPr>
          <w:rFonts w:ascii="Times New Roman" w:cs="Times New Roman" w:eastAsia="Times New Roman" w:hAnsi="Times New Roman"/>
          <w:sz w:val="20"/>
          <w:szCs w:val="20"/>
          <w:color w:val="231F20"/>
        </w:rPr>
      </w:pPr>
    </w:p>
    <w:p>
      <w:pPr>
        <w:ind w:left="3740" w:hanging="757"/>
        <w:spacing w:after="0"/>
        <w:tabs>
          <w:tab w:leader="none" w:pos="3740" w:val="left"/>
        </w:tabs>
        <w:numPr>
          <w:ilvl w:val="2"/>
          <w:numId w:val="2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Swingline Lenders; and</w:t>
      </w:r>
    </w:p>
    <w:p>
      <w:pPr>
        <w:spacing w:after="0" w:line="215" w:lineRule="exact"/>
        <w:rPr>
          <w:rFonts w:ascii="Times New Roman" w:cs="Times New Roman" w:eastAsia="Times New Roman" w:hAnsi="Times New Roman"/>
          <w:sz w:val="20"/>
          <w:szCs w:val="20"/>
          <w:color w:val="231F20"/>
        </w:rPr>
      </w:pPr>
    </w:p>
    <w:p>
      <w:pPr>
        <w:ind w:left="3740" w:hanging="757"/>
        <w:spacing w:after="0"/>
        <w:tabs>
          <w:tab w:leader="none" w:pos="3740" w:val="left"/>
        </w:tabs>
        <w:numPr>
          <w:ilvl w:val="2"/>
          <w:numId w:val="2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Issuing Banks.</w:t>
      </w:r>
    </w:p>
    <w:p>
      <w:pPr>
        <w:spacing w:after="0" w:line="215" w:lineRule="exact"/>
        <w:rPr>
          <w:rFonts w:ascii="Times New Roman" w:cs="Times New Roman" w:eastAsia="Times New Roman" w:hAnsi="Times New Roman"/>
          <w:sz w:val="20"/>
          <w:szCs w:val="20"/>
          <w:color w:val="231F20"/>
        </w:rPr>
      </w:pPr>
    </w:p>
    <w:p>
      <w:pPr>
        <w:ind w:left="2980" w:hanging="746"/>
        <w:spacing w:after="0"/>
        <w:tabs>
          <w:tab w:leader="none" w:pos="2980" w:val="left"/>
        </w:tabs>
        <w:numPr>
          <w:ilvl w:val="1"/>
          <w:numId w:val="2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Assignments shall be subject to the following additional conditions:</w:t>
      </w:r>
    </w:p>
    <w:p>
      <w:pPr>
        <w:spacing w:after="0" w:line="215" w:lineRule="exact"/>
        <w:rPr>
          <w:rFonts w:ascii="Times New Roman" w:cs="Times New Roman" w:eastAsia="Times New Roman" w:hAnsi="Times New Roman"/>
          <w:sz w:val="20"/>
          <w:szCs w:val="20"/>
          <w:color w:val="231F20"/>
        </w:rPr>
      </w:pPr>
    </w:p>
    <w:p>
      <w:pPr>
        <w:jc w:val="both"/>
        <w:ind w:left="2240" w:right="180" w:firstLine="743"/>
        <w:spacing w:after="0" w:line="244" w:lineRule="auto"/>
        <w:tabs>
          <w:tab w:leader="none" w:pos="3534" w:val="left"/>
        </w:tabs>
        <w:numPr>
          <w:ilvl w:val="2"/>
          <w:numId w:val="2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except in the case of an assignment to a Lender or an Affiliate of a Lender or an Approved Fund or an assignment of the entire remaining amount of the assigning Lender’s Commitment or Loans (including any Swingline Loans), the amount of the Commitment or Loans of the assigning Lender subject to each such assignment (determined as of the date the Assignment and Assumption with respect to such assignment is delivered to the Administrative Agent) shall not be less than $1.0 million unless each of the Borrower and the Administrative Agent otherwise consent;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no such consent of the Borrower shall be required if an Event of Default has occurred and is continuing;</w:t>
      </w:r>
    </w:p>
    <w:p>
      <w:pPr>
        <w:spacing w:after="0" w:line="185" w:lineRule="exact"/>
        <w:rPr>
          <w:rFonts w:ascii="Times New Roman" w:cs="Times New Roman" w:eastAsia="Times New Roman" w:hAnsi="Times New Roman"/>
          <w:sz w:val="20"/>
          <w:szCs w:val="20"/>
          <w:color w:val="231F20"/>
        </w:rPr>
      </w:pPr>
    </w:p>
    <w:p>
      <w:pPr>
        <w:ind w:left="2240" w:right="220" w:firstLine="743"/>
        <w:spacing w:after="0" w:line="269" w:lineRule="auto"/>
        <w:tabs>
          <w:tab w:leader="none" w:pos="3531" w:val="left"/>
        </w:tabs>
        <w:numPr>
          <w:ilvl w:val="2"/>
          <w:numId w:val="2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each partial assignment shall be made as an assignment of a proportionate part of all the assigning Lender’s rights and obligations under this Agreement;</w:t>
      </w:r>
    </w:p>
    <w:p>
      <w:pPr>
        <w:spacing w:after="0" w:line="159" w:lineRule="exact"/>
        <w:rPr>
          <w:rFonts w:ascii="Times New Roman" w:cs="Times New Roman" w:eastAsia="Times New Roman" w:hAnsi="Times New Roman"/>
          <w:sz w:val="20"/>
          <w:szCs w:val="20"/>
          <w:color w:val="231F20"/>
        </w:rPr>
      </w:pPr>
    </w:p>
    <w:p>
      <w:pPr>
        <w:jc w:val="both"/>
        <w:ind w:left="2240" w:right="220" w:firstLine="743"/>
        <w:spacing w:after="0" w:line="254" w:lineRule="auto"/>
        <w:tabs>
          <w:tab w:leader="none" w:pos="3531" w:val="left"/>
        </w:tabs>
        <w:numPr>
          <w:ilvl w:val="2"/>
          <w:numId w:val="2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parties to each assignment shall execute and deliver to the Administrative Agent an Assignment and Assumption, together with a processing and recordation fee of $3,500 and the tax forms required by </w:t>
      </w:r>
      <w:r>
        <w:rPr>
          <w:rFonts w:ascii="Times New Roman" w:cs="Times New Roman" w:eastAsia="Times New Roman" w:hAnsi="Times New Roman"/>
          <w:sz w:val="20"/>
          <w:szCs w:val="20"/>
          <w:u w:val="single" w:color="auto"/>
          <w:color w:val="231F20"/>
        </w:rPr>
        <w:t>Section 2.17(f)</w:t>
      </w:r>
      <w:r>
        <w:rPr>
          <w:rFonts w:ascii="Times New Roman" w:cs="Times New Roman" w:eastAsia="Times New Roman" w:hAnsi="Times New Roman"/>
          <w:sz w:val="20"/>
          <w:szCs w:val="20"/>
          <w:color w:val="231F20"/>
        </w:rPr>
        <w:t>; and</w:t>
      </w:r>
    </w:p>
    <w:p>
      <w:pPr>
        <w:spacing w:after="0" w:line="174" w:lineRule="exact"/>
        <w:rPr>
          <w:rFonts w:ascii="Times New Roman" w:cs="Times New Roman" w:eastAsia="Times New Roman" w:hAnsi="Times New Roman"/>
          <w:sz w:val="20"/>
          <w:szCs w:val="20"/>
          <w:color w:val="231F20"/>
        </w:rPr>
      </w:pPr>
    </w:p>
    <w:p>
      <w:pPr>
        <w:jc w:val="both"/>
        <w:ind w:left="2240" w:right="220" w:firstLine="743"/>
        <w:spacing w:after="0" w:line="245" w:lineRule="auto"/>
        <w:tabs>
          <w:tab w:leader="none" w:pos="3531" w:val="left"/>
        </w:tabs>
        <w:numPr>
          <w:ilvl w:val="2"/>
          <w:numId w:val="2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4" w:lineRule="exact"/>
        <w:rPr>
          <w:sz w:val="20"/>
          <w:szCs w:val="20"/>
          <w:color w:val="auto"/>
        </w:rPr>
      </w:pPr>
    </w:p>
    <w:p>
      <w:pPr>
        <w:jc w:val="both"/>
        <w:ind w:left="2240" w:right="220"/>
        <w:spacing w:after="0" w:line="254" w:lineRule="auto"/>
        <w:rPr>
          <w:sz w:val="20"/>
          <w:szCs w:val="20"/>
          <w:color w:val="auto"/>
        </w:rPr>
      </w:pPr>
      <w:r>
        <w:rPr>
          <w:rFonts w:ascii="Times New Roman" w:cs="Times New Roman" w:eastAsia="Times New Roman" w:hAnsi="Times New Roman"/>
          <w:sz w:val="20"/>
          <w:szCs w:val="20"/>
          <w:color w:val="231F20"/>
        </w:rPr>
        <w:t xml:space="preserve">(iii)Subject to acceptance and recording thereof pursuant to </w:t>
      </w:r>
      <w:r>
        <w:rPr>
          <w:rFonts w:ascii="Times New Roman" w:cs="Times New Roman" w:eastAsia="Times New Roman" w:hAnsi="Times New Roman"/>
          <w:sz w:val="20"/>
          <w:szCs w:val="20"/>
          <w:u w:val="single" w:color="auto"/>
          <w:color w:val="231F20"/>
        </w:rPr>
        <w:t>clause (b)(iv)</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 from and after the effective date specified in each Assignment and Assumption (A) the assignee thereunder shall be a party hereto and, to the extent of the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291" w:right="539" w:bottom="1440" w:gutter="0" w:footer="0" w:header="0"/>
        </w:sectPr>
      </w:pPr>
    </w:p>
    <w:bookmarkStart w:id="259" w:name="page260"/>
    <w:bookmarkEnd w:id="259"/>
    <w:p>
      <w:pPr>
        <w:jc w:val="both"/>
        <w:ind w:left="2240"/>
        <w:spacing w:after="0" w:line="242" w:lineRule="auto"/>
        <w:rPr>
          <w:sz w:val="20"/>
          <w:szCs w:val="20"/>
          <w:color w:val="auto"/>
        </w:rPr>
      </w:pPr>
      <w:r>
        <w:rPr>
          <w:rFonts w:ascii="Times New Roman" w:cs="Times New Roman" w:eastAsia="Times New Roman" w:hAnsi="Times New Roman"/>
          <w:sz w:val="20"/>
          <w:szCs w:val="20"/>
          <w:color w:val="231F20"/>
        </w:rPr>
        <w:t xml:space="preserve">interest assigned by such Assignment and Assumption, have the rights and obligations of a Lender under this Agreement and (B)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231F20"/>
        </w:rPr>
        <w:t>Sections 2.15</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2.16</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2.17</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9.03</w:t>
      </w:r>
      <w:r>
        <w:rPr>
          <w:rFonts w:ascii="Times New Roman" w:cs="Times New Roman" w:eastAsia="Times New Roman" w:hAnsi="Times New Roman"/>
          <w:sz w:val="20"/>
          <w:szCs w:val="20"/>
          <w:color w:val="231F20"/>
        </w:rPr>
        <w:t xml:space="preserve"> (subject to the requirements and limitations therein including the requirements under Section 2.17(f))). Any assignment or transfer by a Lender of rights or obligations under this Agreement that does not comply with this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231F20"/>
        </w:rPr>
        <w:t>clause (c)</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w:t>
      </w:r>
    </w:p>
    <w:p>
      <w:pPr>
        <w:spacing w:after="0" w:line="192" w:lineRule="exact"/>
        <w:rPr>
          <w:sz w:val="20"/>
          <w:szCs w:val="20"/>
          <w:color w:val="auto"/>
        </w:rPr>
      </w:pPr>
    </w:p>
    <w:p>
      <w:pPr>
        <w:jc w:val="both"/>
        <w:ind w:left="2240" w:right="20"/>
        <w:spacing w:after="0" w:line="242" w:lineRule="auto"/>
        <w:rPr>
          <w:sz w:val="20"/>
          <w:szCs w:val="20"/>
          <w:color w:val="auto"/>
        </w:rPr>
      </w:pPr>
      <w:r>
        <w:rPr>
          <w:rFonts w:ascii="Times New Roman" w:cs="Times New Roman" w:eastAsia="Times New Roman" w:hAnsi="Times New Roman"/>
          <w:sz w:val="20"/>
          <w:szCs w:val="20"/>
          <w:color w:val="231F20"/>
        </w:rPr>
        <w:t>(iv)The Administrative Agent, acting solely for this purpose as a non-fiduciary agent of the Borrower, shall maintain at one of its offices located in the United States a copy of each Assignment and Assumption delivered to it and a register for the recordation of the names and addresses of the Lenders, and the Commitment of, and principal amounts (and stated interest) of the Loans, LC Disbursements and other Obligations owing to, each Lender pursuant to the terms hereof from time to time (the “</w:t>
      </w:r>
      <w:r>
        <w:rPr>
          <w:rFonts w:ascii="Times New Roman" w:cs="Times New Roman" w:eastAsia="Times New Roman" w:hAnsi="Times New Roman"/>
          <w:sz w:val="20"/>
          <w:szCs w:val="20"/>
          <w:u w:val="single" w:color="auto"/>
          <w:color w:val="231F20"/>
        </w:rPr>
        <w:t>Register</w:t>
      </w:r>
      <w:r>
        <w:rPr>
          <w:rFonts w:ascii="Times New Roman" w:cs="Times New Roman" w:eastAsia="Times New Roman" w:hAnsi="Times New Roman"/>
          <w:sz w:val="20"/>
          <w:szCs w:val="20"/>
          <w:color w:val="231F20"/>
        </w:rPr>
        <w:t>”). The entries in the Register shall be conclusive, absent manifest error, and the Borrower,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 the Issuing Banks and any Lender, at any reasonable time and from time to time upon reasonable prior notice.</w:t>
      </w:r>
    </w:p>
    <w:p>
      <w:pPr>
        <w:spacing w:after="0" w:line="192" w:lineRule="exact"/>
        <w:rPr>
          <w:sz w:val="20"/>
          <w:szCs w:val="20"/>
          <w:color w:val="auto"/>
        </w:rPr>
      </w:pPr>
    </w:p>
    <w:p>
      <w:pPr>
        <w:ind w:left="2240" w:hanging="6"/>
        <w:spacing w:after="0" w:line="250" w:lineRule="auto"/>
        <w:tabs>
          <w:tab w:leader="none" w:pos="2527" w:val="left"/>
        </w:tabs>
        <w:numPr>
          <w:ilvl w:val="1"/>
          <w:numId w:val="24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Upon its receipt of (x) a duly completed Assignment and Assumption executed by an assigning Lender (unless the execution thereof is not required pursuant to </w:t>
      </w:r>
      <w:r>
        <w:rPr>
          <w:rFonts w:ascii="Times New Roman" w:cs="Times New Roman" w:eastAsia="Times New Roman" w:hAnsi="Times New Roman"/>
          <w:sz w:val="20"/>
          <w:szCs w:val="20"/>
          <w:u w:val="single" w:color="auto"/>
          <w:color w:val="231F20"/>
        </w:rPr>
        <w:t>Section</w:t>
      </w:r>
    </w:p>
    <w:p>
      <w:pPr>
        <w:spacing w:after="0" w:line="1" w:lineRule="exact"/>
        <w:rPr>
          <w:rFonts w:ascii="Times New Roman" w:cs="Times New Roman" w:eastAsia="Times New Roman" w:hAnsi="Times New Roman"/>
          <w:sz w:val="20"/>
          <w:szCs w:val="20"/>
          <w:color w:val="231F20"/>
        </w:rPr>
      </w:pPr>
    </w:p>
    <w:p>
      <w:pPr>
        <w:jc w:val="both"/>
        <w:ind w:left="22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231F20"/>
        </w:rPr>
        <w:t>2.19</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Section 9.02(d)</w:t>
      </w:r>
      <w:r>
        <w:rPr>
          <w:rFonts w:ascii="Times New Roman" w:cs="Times New Roman" w:eastAsia="Times New Roman" w:hAnsi="Times New Roman"/>
          <w:sz w:val="20"/>
          <w:szCs w:val="20"/>
          <w:color w:val="231F20"/>
        </w:rPr>
        <w:t xml:space="preserve">) and an assignee or (y) to the extent applicable, an agreement incorporating an Assignment and Assumption by reference pursuant to any applicable electronic platform as to which the Administrative Agent and the parties to the Assignment and Assumption are participants, the assignee’s completed Administrative Questionnaire (unless the assignee shall already be a Lender hereunder), the processing and recordation fee and tax forms referred to in </w:t>
      </w:r>
      <w:r>
        <w:rPr>
          <w:rFonts w:ascii="Times New Roman" w:cs="Times New Roman" w:eastAsia="Times New Roman" w:hAnsi="Times New Roman"/>
          <w:sz w:val="20"/>
          <w:szCs w:val="20"/>
          <w:u w:val="single" w:color="auto"/>
          <w:color w:val="231F20"/>
        </w:rPr>
        <w:t>clause (b)</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 xml:space="preserve"> and any written consent to such assignment required by </w:t>
      </w:r>
      <w:r>
        <w:rPr>
          <w:rFonts w:ascii="Times New Roman" w:cs="Times New Roman" w:eastAsia="Times New Roman" w:hAnsi="Times New Roman"/>
          <w:sz w:val="20"/>
          <w:szCs w:val="20"/>
          <w:u w:val="single" w:color="auto"/>
          <w:color w:val="231F20"/>
        </w:rPr>
        <w:t>clause (b)</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 xml:space="preserve">, the Administrative Agent shall accept such Assignment and Assumption and record the information contained therein in the Register;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if either the assigning Lender or the assignee shall have failed to make any payment required to be made by it pursuant to </w:t>
      </w:r>
      <w:r>
        <w:rPr>
          <w:rFonts w:ascii="Times New Roman" w:cs="Times New Roman" w:eastAsia="Times New Roman" w:hAnsi="Times New Roman"/>
          <w:sz w:val="20"/>
          <w:szCs w:val="20"/>
          <w:u w:val="single" w:color="auto"/>
          <w:color w:val="231F20"/>
        </w:rPr>
        <w:t>Section 2.05</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2.06(d)</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2.07(b)</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2.18(d)</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9.03(c)</w:t>
      </w:r>
      <w:r>
        <w:rPr>
          <w:rFonts w:ascii="Times New Roman" w:cs="Times New Roman" w:eastAsia="Times New Roman" w:hAnsi="Times New Roman"/>
          <w:sz w:val="20"/>
          <w:szCs w:val="20"/>
          <w:color w:val="231F20"/>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7" w:lineRule="exact"/>
        <w:rPr>
          <w:rFonts w:ascii="Times New Roman" w:cs="Times New Roman" w:eastAsia="Times New Roman" w:hAnsi="Times New Roman"/>
          <w:sz w:val="20"/>
          <w:szCs w:val="20"/>
          <w:color w:val="231F20"/>
        </w:rPr>
      </w:pPr>
    </w:p>
    <w:p>
      <w:pPr>
        <w:jc w:val="both"/>
        <w:ind w:left="740" w:firstLine="745"/>
        <w:spacing w:after="0" w:line="245" w:lineRule="auto"/>
        <w:tabs>
          <w:tab w:leader="none" w:pos="2008" w:val="left"/>
        </w:tabs>
        <w:numPr>
          <w:ilvl w:val="0"/>
          <w:numId w:val="2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Lender may, without the consent of the Borrower, the Administrative Agent, any Issuing Bank of the Swingline Lenders, sell participations to one or more banks or other entities (a “</w:t>
      </w:r>
      <w:r>
        <w:rPr>
          <w:rFonts w:ascii="Times New Roman" w:cs="Times New Roman" w:eastAsia="Times New Roman" w:hAnsi="Times New Roman"/>
          <w:sz w:val="20"/>
          <w:szCs w:val="20"/>
          <w:u w:val="single" w:color="auto"/>
          <w:color w:val="231F20"/>
        </w:rPr>
        <w:t>Participant</w:t>
      </w:r>
      <w:r>
        <w:rPr>
          <w:rFonts w:ascii="Times New Roman" w:cs="Times New Roman" w:eastAsia="Times New Roman" w:hAnsi="Times New Roman"/>
          <w:sz w:val="20"/>
          <w:szCs w:val="20"/>
          <w:color w:val="231F20"/>
        </w:rPr>
        <w:t xml:space="preserve">”) other than an Ineligible Institution in all or a portion of such Lender’s rights and obligations under this Agreement (including all or a portion of its Commitment and the Loans (including any Swingline Loans) owing to it);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(A) such Lender’s obligations under this Agreement shall remain unchanged, (B) such Lender shall remain solely responsible to the other parties hereto for the performance of such obligations (C) the Borrower, the Administrative Agent, the Swingline Lenders, the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60" w:name="page261"/>
    <w:bookmarkEnd w:id="260"/>
    <w:p>
      <w:pPr>
        <w:jc w:val="both"/>
        <w:ind w:left="740"/>
        <w:spacing w:after="0" w:line="255" w:lineRule="auto"/>
        <w:rPr>
          <w:sz w:val="20"/>
          <w:szCs w:val="20"/>
          <w:color w:val="auto"/>
        </w:rPr>
      </w:pPr>
      <w:r>
        <w:rPr>
          <w:rFonts w:ascii="Times New Roman" w:cs="Times New Roman" w:eastAsia="Times New Roman" w:hAnsi="Times New Roman"/>
          <w:sz w:val="19"/>
          <w:szCs w:val="19"/>
          <w:color w:val="231F20"/>
        </w:rPr>
        <w:t xml:space="preserve">Issuing Banks and the other Lenders shall continue to deal solely and directly with such Lender in connection with such Lender’s rights and obligations under this Agreement and (D) such Lender shall have provided the Borrower with prior written notice of any such participation.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9"/>
          <w:szCs w:val="19"/>
          <w:u w:val="single" w:color="auto"/>
          <w:color w:val="231F20"/>
        </w:rPr>
        <w:t>Section</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u w:val="single" w:color="auto"/>
          <w:color w:val="231F20"/>
        </w:rPr>
        <w:t>9.02(b)</w:t>
      </w:r>
      <w:r>
        <w:rPr>
          <w:rFonts w:ascii="Times New Roman" w:cs="Times New Roman" w:eastAsia="Times New Roman" w:hAnsi="Times New Roman"/>
          <w:sz w:val="19"/>
          <w:szCs w:val="19"/>
          <w:color w:val="231F20"/>
        </w:rPr>
        <w:t xml:space="preserve"> that affects such Participant. The Borrower agrees that each Participant shall be entitled to the benefits of </w:t>
      </w:r>
      <w:r>
        <w:rPr>
          <w:rFonts w:ascii="Times New Roman" w:cs="Times New Roman" w:eastAsia="Times New Roman" w:hAnsi="Times New Roman"/>
          <w:sz w:val="19"/>
          <w:szCs w:val="19"/>
          <w:u w:val="single" w:color="auto"/>
          <w:color w:val="231F20"/>
        </w:rPr>
        <w:t>Sections 2.15</w:t>
      </w:r>
      <w:r>
        <w:rPr>
          <w:rFonts w:ascii="Times New Roman" w:cs="Times New Roman" w:eastAsia="Times New Roman" w:hAnsi="Times New Roman"/>
          <w:sz w:val="19"/>
          <w:szCs w:val="19"/>
          <w:color w:val="231F20"/>
        </w:rPr>
        <w:t>,</w:t>
      </w:r>
    </w:p>
    <w:p>
      <w:pPr>
        <w:spacing w:after="0" w:line="4" w:lineRule="exact"/>
        <w:rPr>
          <w:sz w:val="20"/>
          <w:szCs w:val="20"/>
          <w:color w:val="auto"/>
        </w:rPr>
      </w:pPr>
    </w:p>
    <w:p>
      <w:pPr>
        <w:jc w:val="both"/>
        <w:ind w:left="740"/>
        <w:spacing w:after="0"/>
        <w:rPr>
          <w:sz w:val="20"/>
          <w:szCs w:val="20"/>
          <w:color w:val="auto"/>
        </w:rPr>
      </w:pPr>
      <w:r>
        <w:rPr>
          <w:rFonts w:ascii="Times New Roman" w:cs="Times New Roman" w:eastAsia="Times New Roman" w:hAnsi="Times New Roman"/>
          <w:sz w:val="20"/>
          <w:szCs w:val="20"/>
          <w:u w:val="single" w:color="auto"/>
          <w:color w:val="231F20"/>
        </w:rPr>
        <w:t>2.16</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2.17</w:t>
      </w:r>
      <w:r>
        <w:rPr>
          <w:rFonts w:ascii="Times New Roman" w:cs="Times New Roman" w:eastAsia="Times New Roman" w:hAnsi="Times New Roman"/>
          <w:sz w:val="20"/>
          <w:szCs w:val="20"/>
          <w:color w:val="231F20"/>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231F20"/>
        </w:rPr>
        <w:t>Section 2.17(f)</w:t>
      </w:r>
      <w:r>
        <w:rPr>
          <w:rFonts w:ascii="Times New Roman" w:cs="Times New Roman" w:eastAsia="Times New Roman" w:hAnsi="Times New Roman"/>
          <w:sz w:val="20"/>
          <w:szCs w:val="20"/>
          <w:color w:val="231F20"/>
        </w:rPr>
        <w:t xml:space="preserve"> (it being understood that the documentation required under </w:t>
      </w:r>
      <w:r>
        <w:rPr>
          <w:rFonts w:ascii="Times New Roman" w:cs="Times New Roman" w:eastAsia="Times New Roman" w:hAnsi="Times New Roman"/>
          <w:sz w:val="20"/>
          <w:szCs w:val="20"/>
          <w:u w:val="single" w:color="auto"/>
          <w:color w:val="231F20"/>
        </w:rPr>
        <w:t>Section 2.17(f)</w:t>
      </w:r>
      <w:r>
        <w:rPr>
          <w:rFonts w:ascii="Times New Roman" w:cs="Times New Roman" w:eastAsia="Times New Roman" w:hAnsi="Times New Roman"/>
          <w:sz w:val="20"/>
          <w:szCs w:val="20"/>
          <w:color w:val="231F20"/>
        </w:rPr>
        <w:t xml:space="preserve"> shall be delivered to the participating Lender) to the same extent as if it were a Lender and had acquired its interest by assignment pursuant to </w:t>
      </w:r>
      <w:r>
        <w:rPr>
          <w:rFonts w:ascii="Times New Roman" w:cs="Times New Roman" w:eastAsia="Times New Roman" w:hAnsi="Times New Roman"/>
          <w:sz w:val="20"/>
          <w:szCs w:val="20"/>
          <w:u w:val="single" w:color="auto"/>
          <w:color w:val="231F20"/>
        </w:rPr>
        <w:t>clause (b)</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 xml:space="preserve">. To the extent permitted by law, each Participant also shall be entitled to the benefits of </w:t>
      </w:r>
      <w:r>
        <w:rPr>
          <w:rFonts w:ascii="Times New Roman" w:cs="Times New Roman" w:eastAsia="Times New Roman" w:hAnsi="Times New Roman"/>
          <w:sz w:val="20"/>
          <w:szCs w:val="20"/>
          <w:u w:val="single" w:color="auto"/>
          <w:color w:val="231F20"/>
        </w:rPr>
        <w:t>Section 9.08</w:t>
      </w:r>
      <w:r>
        <w:rPr>
          <w:rFonts w:ascii="Times New Roman" w:cs="Times New Roman" w:eastAsia="Times New Roman" w:hAnsi="Times New Roman"/>
          <w:sz w:val="20"/>
          <w:szCs w:val="20"/>
          <w:color w:val="231F20"/>
        </w:rPr>
        <w:t xml:space="preserve"> as though it were a Lender, provided such Participant (1) agrees to be subject to the provisions of </w:t>
      </w:r>
      <w:r>
        <w:rPr>
          <w:rFonts w:ascii="Times New Roman" w:cs="Times New Roman" w:eastAsia="Times New Roman" w:hAnsi="Times New Roman"/>
          <w:sz w:val="20"/>
          <w:szCs w:val="20"/>
          <w:u w:val="single" w:color="auto"/>
          <w:color w:val="231F20"/>
        </w:rPr>
        <w:t>Sections 2.18</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2.19</w:t>
      </w:r>
      <w:r>
        <w:rPr>
          <w:rFonts w:ascii="Times New Roman" w:cs="Times New Roman" w:eastAsia="Times New Roman" w:hAnsi="Times New Roman"/>
          <w:sz w:val="20"/>
          <w:szCs w:val="20"/>
          <w:color w:val="231F20"/>
        </w:rPr>
        <w:t xml:space="preserve"> as if it were an assignee under </w:t>
      </w:r>
      <w:r>
        <w:rPr>
          <w:rFonts w:ascii="Times New Roman" w:cs="Times New Roman" w:eastAsia="Times New Roman" w:hAnsi="Times New Roman"/>
          <w:sz w:val="20"/>
          <w:szCs w:val="20"/>
          <w:u w:val="single" w:color="auto"/>
          <w:color w:val="231F20"/>
        </w:rPr>
        <w:t>clause (b)</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 xml:space="preserve">; and (2) shall not be entitled to receive any greater payment under </w:t>
      </w:r>
      <w:r>
        <w:rPr>
          <w:rFonts w:ascii="Times New Roman" w:cs="Times New Roman" w:eastAsia="Times New Roman" w:hAnsi="Times New Roman"/>
          <w:sz w:val="20"/>
          <w:szCs w:val="20"/>
          <w:u w:val="single" w:color="auto"/>
          <w:color w:val="231F20"/>
        </w:rPr>
        <w:t>Section 2.15</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2.17</w:t>
      </w:r>
      <w:r>
        <w:rPr>
          <w:rFonts w:ascii="Times New Roman" w:cs="Times New Roman" w:eastAsia="Times New Roman" w:hAnsi="Times New Roman"/>
          <w:sz w:val="20"/>
          <w:szCs w:val="20"/>
          <w:color w:val="231F20"/>
        </w:rPr>
        <w:t>,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90" w:lineRule="exact"/>
        <w:rPr>
          <w:sz w:val="20"/>
          <w:szCs w:val="20"/>
          <w:color w:val="auto"/>
        </w:rPr>
      </w:pPr>
    </w:p>
    <w:p>
      <w:pPr>
        <w:jc w:val="both"/>
        <w:ind w:left="740" w:right="20" w:firstLine="749"/>
        <w:spacing w:after="0" w:line="255" w:lineRule="auto"/>
        <w:rPr>
          <w:sz w:val="20"/>
          <w:szCs w:val="20"/>
          <w:color w:val="auto"/>
        </w:rPr>
      </w:pPr>
      <w:r>
        <w:rPr>
          <w:rFonts w:ascii="Times New Roman" w:cs="Times New Roman" w:eastAsia="Times New Roman" w:hAnsi="Times New Roman"/>
          <w:sz w:val="19"/>
          <w:szCs w:val="19"/>
          <w:color w:val="231F20"/>
        </w:rPr>
        <w:t xml:space="preserve">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9"/>
          <w:szCs w:val="19"/>
          <w:u w:val="single" w:color="auto"/>
          <w:color w:val="231F20"/>
        </w:rPr>
        <w:t>Section 2.19(b)</w:t>
      </w:r>
      <w:r>
        <w:rPr>
          <w:rFonts w:ascii="Times New Roman" w:cs="Times New Roman" w:eastAsia="Times New Roman" w:hAnsi="Times New Roman"/>
          <w:sz w:val="19"/>
          <w:szCs w:val="19"/>
          <w:color w:val="231F20"/>
        </w:rPr>
        <w:t xml:space="preserve"> with respect to any Participant. To the extent permitted by law, each Participant also shall be entitled to the benefits of </w:t>
      </w:r>
      <w:r>
        <w:rPr>
          <w:rFonts w:ascii="Times New Roman" w:cs="Times New Roman" w:eastAsia="Times New Roman" w:hAnsi="Times New Roman"/>
          <w:sz w:val="19"/>
          <w:szCs w:val="19"/>
          <w:u w:val="single" w:color="auto"/>
          <w:color w:val="231F20"/>
        </w:rPr>
        <w:t>Section 9.08</w:t>
      </w:r>
      <w:r>
        <w:rPr>
          <w:rFonts w:ascii="Times New Roman" w:cs="Times New Roman" w:eastAsia="Times New Roman" w:hAnsi="Times New Roman"/>
          <w:sz w:val="19"/>
          <w:szCs w:val="19"/>
          <w:color w:val="231F20"/>
        </w:rPr>
        <w:t xml:space="preserve"> as though it were a Lender, provided such Participant agrees to be subject to </w:t>
      </w:r>
      <w:r>
        <w:rPr>
          <w:rFonts w:ascii="Times New Roman" w:cs="Times New Roman" w:eastAsia="Times New Roman" w:hAnsi="Times New Roman"/>
          <w:sz w:val="19"/>
          <w:szCs w:val="19"/>
          <w:u w:val="single" w:color="auto"/>
          <w:color w:val="231F20"/>
        </w:rPr>
        <w:t>Section 2.18(d)</w:t>
      </w:r>
      <w:r>
        <w:rPr>
          <w:rFonts w:ascii="Times New Roman" w:cs="Times New Roman" w:eastAsia="Times New Roman" w:hAnsi="Times New Roman"/>
          <w:sz w:val="19"/>
          <w:szCs w:val="19"/>
          <w:color w:val="231F20"/>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LC Disbursements or other Obligations under this Agreement or any other Loan Document (the “</w:t>
      </w:r>
      <w:r>
        <w:rPr>
          <w:rFonts w:ascii="Times New Roman" w:cs="Times New Roman" w:eastAsia="Times New Roman" w:hAnsi="Times New Roman"/>
          <w:sz w:val="19"/>
          <w:szCs w:val="19"/>
          <w:u w:val="single" w:color="auto"/>
          <w:color w:val="231F20"/>
        </w:rPr>
        <w:t>Participant Register</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(other than the Borrower to the extent required in </w:t>
      </w:r>
      <w:r>
        <w:rPr>
          <w:rFonts w:ascii="Times New Roman" w:cs="Times New Roman" w:eastAsia="Times New Roman" w:hAnsi="Times New Roman"/>
          <w:sz w:val="19"/>
          <w:szCs w:val="19"/>
          <w:u w:val="single" w:color="auto"/>
          <w:color w:val="231F20"/>
        </w:rPr>
        <w:t>clause (D)</w:t>
      </w:r>
      <w:r>
        <w:rPr>
          <w:rFonts w:ascii="Times New Roman" w:cs="Times New Roman" w:eastAsia="Times New Roman" w:hAnsi="Times New Roman"/>
          <w:sz w:val="19"/>
          <w:szCs w:val="19"/>
          <w:color w:val="231F20"/>
        </w:rPr>
        <w:t xml:space="preserve"> of the proviso to </w:t>
      </w:r>
      <w:r>
        <w:rPr>
          <w:rFonts w:ascii="Times New Roman" w:cs="Times New Roman" w:eastAsia="Times New Roman" w:hAnsi="Times New Roman"/>
          <w:sz w:val="19"/>
          <w:szCs w:val="19"/>
          <w:u w:val="single" w:color="auto"/>
          <w:color w:val="231F20"/>
        </w:rPr>
        <w:t>clause (c)</w:t>
      </w:r>
      <w:r>
        <w:rPr>
          <w:rFonts w:ascii="Times New Roman" w:cs="Times New Roman" w:eastAsia="Times New Roman" w:hAnsi="Times New Roman"/>
          <w:sz w:val="19"/>
          <w:szCs w:val="19"/>
          <w:color w:val="231F20"/>
        </w:rPr>
        <w:t xml:space="preserve"> above) except to the extent that such disclosure is necessary to establish that such Commitment, Loan, Letter of Credit or other Obligation is in registered form under Section 5f.103-1(c) or proposed Section 1.163-5(b)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4" w:lineRule="exact"/>
        <w:rPr>
          <w:sz w:val="20"/>
          <w:szCs w:val="20"/>
          <w:color w:val="auto"/>
        </w:rPr>
      </w:pPr>
    </w:p>
    <w:p>
      <w:pPr>
        <w:jc w:val="both"/>
        <w:ind w:left="740" w:right="60" w:firstLine="745"/>
        <w:spacing w:after="0" w:line="246" w:lineRule="auto"/>
        <w:tabs>
          <w:tab w:leader="none" w:pos="2005" w:val="left"/>
        </w:tabs>
        <w:numPr>
          <w:ilvl w:val="0"/>
          <w:numId w:val="2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Any Lender may at any time pledge or assign a security interest in all or any portion of its rights under this Agreement to secure obligations of such Lender, including any pledge or assignment to secure obligations to a Federal Reserve Bank, and this </w:t>
      </w:r>
      <w:r>
        <w:rPr>
          <w:rFonts w:ascii="Times New Roman" w:cs="Times New Roman" w:eastAsia="Times New Roman" w:hAnsi="Times New Roman"/>
          <w:sz w:val="20"/>
          <w:szCs w:val="20"/>
          <w:u w:val="single" w:color="auto"/>
          <w:color w:val="231F20"/>
        </w:rPr>
        <w:t>Section 9.04</w:t>
      </w:r>
      <w:r>
        <w:rPr>
          <w:rFonts w:ascii="Times New Roman" w:cs="Times New Roman" w:eastAsia="Times New Roman" w:hAnsi="Times New Roman"/>
          <w:sz w:val="20"/>
          <w:szCs w:val="20"/>
          <w:color w:val="231F20"/>
        </w:rPr>
        <w:t xml:space="preserve"> shall not apply to any such pledge or assignment of a security interest;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no such pledge or assignment of a security interest shall release a Lender from any of its obligations hereunder or substitute any such pledgee or assignee for such Lender as a party hereto.</w:t>
      </w:r>
    </w:p>
    <w:p>
      <w:pPr>
        <w:spacing w:after="0" w:line="185" w:lineRule="exact"/>
        <w:rPr>
          <w:sz w:val="20"/>
          <w:szCs w:val="20"/>
          <w:color w:val="auto"/>
        </w:rPr>
      </w:pPr>
    </w:p>
    <w:p>
      <w:pPr>
        <w:jc w:val="both"/>
        <w:ind w:left="740" w:firstLine="749"/>
        <w:spacing w:after="0" w:line="266" w:lineRule="auto"/>
        <w:rPr>
          <w:sz w:val="20"/>
          <w:szCs w:val="20"/>
          <w:color w:val="auto"/>
        </w:rPr>
      </w:pPr>
      <w:r>
        <w:rPr>
          <w:rFonts w:ascii="Times New Roman" w:cs="Times New Roman" w:eastAsia="Times New Roman" w:hAnsi="Times New Roman"/>
          <w:sz w:val="19"/>
          <w:szCs w:val="19"/>
          <w:color w:val="231F20"/>
        </w:rPr>
        <w:t xml:space="preserve">SECTION 9.05 </w:t>
      </w:r>
      <w:r>
        <w:rPr>
          <w:rFonts w:ascii="Times New Roman" w:cs="Times New Roman" w:eastAsia="Times New Roman" w:hAnsi="Times New Roman"/>
          <w:sz w:val="19"/>
          <w:szCs w:val="19"/>
          <w:u w:val="single" w:color="auto"/>
          <w:color w:val="231F20"/>
        </w:rPr>
        <w:t>Survival</w:t>
      </w:r>
      <w:r>
        <w:rPr>
          <w:rFonts w:ascii="Times New Roman" w:cs="Times New Roman" w:eastAsia="Times New Roman" w:hAnsi="Times New Roman"/>
          <w:sz w:val="19"/>
          <w:szCs w:val="19"/>
          <w:color w:val="231F20"/>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61" w:name="page262"/>
    <w:bookmarkEnd w:id="261"/>
    <w:p>
      <w:pPr>
        <w:jc w:val="both"/>
        <w:ind w:left="740"/>
        <w:spacing w:after="0" w:line="243" w:lineRule="auto"/>
        <w:rPr>
          <w:sz w:val="20"/>
          <w:szCs w:val="20"/>
          <w:color w:val="auto"/>
        </w:rPr>
      </w:pPr>
      <w:r>
        <w:rPr>
          <w:rFonts w:ascii="Times New Roman" w:cs="Times New Roman" w:eastAsia="Times New Roman" w:hAnsi="Times New Roman"/>
          <w:sz w:val="20"/>
          <w:szCs w:val="20"/>
          <w:color w:val="231F20"/>
        </w:rPr>
        <w:t xml:space="preserve">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20"/>
          <w:szCs w:val="20"/>
          <w:u w:val="single" w:color="auto"/>
          <w:color w:val="231F20"/>
        </w:rPr>
        <w:t>Sections 2.15</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2.16</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2.17</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9.03</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Article VIII</w:t>
      </w:r>
      <w:r>
        <w:rPr>
          <w:rFonts w:ascii="Times New Roman" w:cs="Times New Roman" w:eastAsia="Times New Roman" w:hAnsi="Times New Roman"/>
          <w:sz w:val="20"/>
          <w:szCs w:val="20"/>
          <w:color w:val="231F20"/>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89" w:lineRule="exact"/>
        <w:rPr>
          <w:sz w:val="20"/>
          <w:szCs w:val="20"/>
          <w:color w:val="auto"/>
        </w:rPr>
      </w:pPr>
    </w:p>
    <w:p>
      <w:pPr>
        <w:jc w:val="center"/>
        <w:ind w:right="-139"/>
        <w:spacing w:after="0"/>
        <w:tabs>
          <w:tab w:leader="none" w:pos="340" w:val="left"/>
        </w:tabs>
        <w:rPr>
          <w:sz w:val="20"/>
          <w:szCs w:val="20"/>
          <w:color w:val="auto"/>
        </w:rPr>
      </w:pPr>
      <w:r>
        <w:rPr>
          <w:rFonts w:ascii="Times New Roman" w:cs="Times New Roman" w:eastAsia="Times New Roman" w:hAnsi="Times New Roman"/>
          <w:sz w:val="20"/>
          <w:szCs w:val="20"/>
          <w:color w:val="231F20"/>
        </w:rPr>
        <w:t>SECTION 9.06</w:t>
      </w:r>
      <w:r>
        <w:rPr>
          <w:sz w:val="20"/>
          <w:szCs w:val="20"/>
          <w:color w:val="auto"/>
        </w:rPr>
        <w:tab/>
      </w:r>
      <w:r>
        <w:rPr>
          <w:rFonts w:ascii="Times New Roman" w:cs="Times New Roman" w:eastAsia="Times New Roman" w:hAnsi="Times New Roman"/>
          <w:sz w:val="19"/>
          <w:szCs w:val="19"/>
          <w:u w:val="single" w:color="auto"/>
          <w:color w:val="231F20"/>
        </w:rPr>
        <w:t>Counterparts; Integration; Effectiveness; Electronic Execution</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right="40" w:firstLine="745"/>
        <w:spacing w:after="0" w:line="243" w:lineRule="auto"/>
        <w:tabs>
          <w:tab w:leader="none" w:pos="2006" w:val="left"/>
        </w:tabs>
        <w:numPr>
          <w:ilvl w:val="0"/>
          <w:numId w:val="2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231F20"/>
        </w:rPr>
        <w:t>Section 4.01</w:t>
      </w:r>
      <w:r>
        <w:rPr>
          <w:rFonts w:ascii="Times New Roman" w:cs="Times New Roman" w:eastAsia="Times New Roman" w:hAnsi="Times New Roman"/>
          <w:sz w:val="20"/>
          <w:szCs w:val="20"/>
          <w:color w:val="231F20"/>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5" w:lineRule="exact"/>
        <w:rPr>
          <w:rFonts w:ascii="Times New Roman" w:cs="Times New Roman" w:eastAsia="Times New Roman" w:hAnsi="Times New Roman"/>
          <w:sz w:val="20"/>
          <w:szCs w:val="20"/>
          <w:color w:val="231F20"/>
        </w:rPr>
      </w:pPr>
    </w:p>
    <w:p>
      <w:pPr>
        <w:jc w:val="both"/>
        <w:ind w:left="740" w:right="20" w:firstLine="746"/>
        <w:spacing w:after="0" w:line="243" w:lineRule="auto"/>
        <w:tabs>
          <w:tab w:leader="none" w:pos="2007" w:val="left"/>
        </w:tabs>
        <w:numPr>
          <w:ilvl w:val="0"/>
          <w:numId w:val="2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6" w:lineRule="exact"/>
        <w:rPr>
          <w:sz w:val="20"/>
          <w:szCs w:val="20"/>
          <w:color w:val="auto"/>
        </w:rPr>
      </w:pPr>
    </w:p>
    <w:p>
      <w:pPr>
        <w:jc w:val="both"/>
        <w:ind w:left="740" w:right="60" w:firstLine="749"/>
        <w:spacing w:after="0" w:line="249" w:lineRule="auto"/>
        <w:rPr>
          <w:sz w:val="20"/>
          <w:szCs w:val="20"/>
          <w:color w:val="auto"/>
        </w:rPr>
      </w:pPr>
      <w:r>
        <w:rPr>
          <w:rFonts w:ascii="Times New Roman" w:cs="Times New Roman" w:eastAsia="Times New Roman" w:hAnsi="Times New Roman"/>
          <w:sz w:val="20"/>
          <w:szCs w:val="20"/>
          <w:color w:val="231F20"/>
        </w:rPr>
        <w:t xml:space="preserve">SECTION 9.07 </w:t>
      </w:r>
      <w:r>
        <w:rPr>
          <w:rFonts w:ascii="Times New Roman" w:cs="Times New Roman" w:eastAsia="Times New Roman" w:hAnsi="Times New Roman"/>
          <w:sz w:val="20"/>
          <w:szCs w:val="20"/>
          <w:u w:val="single" w:color="auto"/>
          <w:color w:val="231F20"/>
        </w:rPr>
        <w:t>Severability</w:t>
      </w:r>
      <w:r>
        <w:rPr>
          <w:rFonts w:ascii="Times New Roman" w:cs="Times New Roman" w:eastAsia="Times New Roman" w:hAnsi="Times New Roman"/>
          <w:sz w:val="20"/>
          <w:szCs w:val="20"/>
          <w:color w:val="231F20"/>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color w:val="231F20"/>
        </w:rPr>
        <w:t xml:space="preserve">SECTION 9.08 </w:t>
      </w:r>
      <w:r>
        <w:rPr>
          <w:rFonts w:ascii="Times New Roman" w:cs="Times New Roman" w:eastAsia="Times New Roman" w:hAnsi="Times New Roman"/>
          <w:sz w:val="20"/>
          <w:szCs w:val="20"/>
          <w:u w:val="single" w:color="auto"/>
          <w:color w:val="231F20"/>
        </w:rPr>
        <w:t>Right of Setoff</w:t>
      </w:r>
      <w:r>
        <w:rPr>
          <w:rFonts w:ascii="Times New Roman" w:cs="Times New Roman" w:eastAsia="Times New Roman" w:hAnsi="Times New Roman"/>
          <w:sz w:val="20"/>
          <w:szCs w:val="20"/>
          <w:color w:val="231F20"/>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or such Loan Guarantor against any of and all the Secured Obligations held by such Lender, irrespective of whether or not such Lender shall have made any demand under the Loan Documents and although such obligations may be unmatured. The applicable Lender shall notify the Borrower and the Administrative Agent of such setoff or application;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that any failure to give or any delay in giving such notice shall not affect the validity of 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62" w:name="page263"/>
    <w:bookmarkEnd w:id="262"/>
    <w:p>
      <w:pPr>
        <w:ind w:left="740" w:right="360"/>
        <w:spacing w:after="0" w:line="269" w:lineRule="auto"/>
        <w:rPr>
          <w:sz w:val="20"/>
          <w:szCs w:val="20"/>
          <w:color w:val="auto"/>
        </w:rPr>
      </w:pPr>
      <w:r>
        <w:rPr>
          <w:rFonts w:ascii="Times New Roman" w:cs="Times New Roman" w:eastAsia="Times New Roman" w:hAnsi="Times New Roman"/>
          <w:sz w:val="20"/>
          <w:szCs w:val="20"/>
          <w:color w:val="231F20"/>
        </w:rPr>
        <w:t xml:space="preserve">such setoff or application under this </w:t>
      </w:r>
      <w:r>
        <w:rPr>
          <w:rFonts w:ascii="Times New Roman" w:cs="Times New Roman" w:eastAsia="Times New Roman" w:hAnsi="Times New Roman"/>
          <w:sz w:val="20"/>
          <w:szCs w:val="20"/>
          <w:u w:val="single" w:color="auto"/>
          <w:color w:val="231F20"/>
        </w:rPr>
        <w:t>Section 9.08</w:t>
      </w:r>
      <w:r>
        <w:rPr>
          <w:rFonts w:ascii="Times New Roman" w:cs="Times New Roman" w:eastAsia="Times New Roman" w:hAnsi="Times New Roman"/>
          <w:sz w:val="20"/>
          <w:szCs w:val="20"/>
          <w:color w:val="231F20"/>
        </w:rPr>
        <w:t xml:space="preserve">. The rights of each Lender under this </w:t>
      </w:r>
      <w:r>
        <w:rPr>
          <w:rFonts w:ascii="Times New Roman" w:cs="Times New Roman" w:eastAsia="Times New Roman" w:hAnsi="Times New Roman"/>
          <w:sz w:val="20"/>
          <w:szCs w:val="20"/>
          <w:u w:val="single" w:color="auto"/>
          <w:color w:val="231F20"/>
        </w:rPr>
        <w:t>Section 9.08</w:t>
      </w:r>
      <w:r>
        <w:rPr>
          <w:rFonts w:ascii="Times New Roman" w:cs="Times New Roman" w:eastAsia="Times New Roman" w:hAnsi="Times New Roman"/>
          <w:sz w:val="20"/>
          <w:szCs w:val="20"/>
          <w:color w:val="231F20"/>
        </w:rPr>
        <w:t xml:space="preserve"> are in addition to other rights and remedies (including other rights of setoff) which such Lender may have.</w:t>
      </w:r>
    </w:p>
    <w:p>
      <w:pPr>
        <w:spacing w:after="0" w:line="159" w:lineRule="exact"/>
        <w:rPr>
          <w:sz w:val="20"/>
          <w:szCs w:val="20"/>
          <w:color w:val="auto"/>
        </w:rPr>
      </w:pPr>
    </w:p>
    <w:p>
      <w:pPr>
        <w:jc w:val="center"/>
        <w:ind w:right="80"/>
        <w:spacing w:after="0"/>
        <w:tabs>
          <w:tab w:leader="none" w:pos="340" w:val="left"/>
        </w:tabs>
        <w:rPr>
          <w:sz w:val="20"/>
          <w:szCs w:val="20"/>
          <w:color w:val="auto"/>
        </w:rPr>
      </w:pPr>
      <w:r>
        <w:rPr>
          <w:rFonts w:ascii="Times New Roman" w:cs="Times New Roman" w:eastAsia="Times New Roman" w:hAnsi="Times New Roman"/>
          <w:sz w:val="20"/>
          <w:szCs w:val="20"/>
          <w:color w:val="231F20"/>
        </w:rPr>
        <w:t>SECTION 9.09</w:t>
      </w:r>
      <w:r>
        <w:rPr>
          <w:sz w:val="20"/>
          <w:szCs w:val="20"/>
          <w:color w:val="auto"/>
        </w:rPr>
        <w:tab/>
      </w:r>
      <w:r>
        <w:rPr>
          <w:rFonts w:ascii="Times New Roman" w:cs="Times New Roman" w:eastAsia="Times New Roman" w:hAnsi="Times New Roman"/>
          <w:sz w:val="19"/>
          <w:szCs w:val="19"/>
          <w:u w:val="single" w:color="auto"/>
          <w:color w:val="231F20"/>
        </w:rPr>
        <w:t>Governing Law; Jurisdiction; Consent to Service of Process</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firstLine="745"/>
        <w:spacing w:after="0" w:line="249" w:lineRule="auto"/>
        <w:tabs>
          <w:tab w:leader="none" w:pos="2008" w:val="left"/>
        </w:tabs>
        <w:numPr>
          <w:ilvl w:val="0"/>
          <w:numId w:val="2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Loan Documents (other than those containing a contrary express choice of law provision) </w:t>
      </w:r>
      <w:r>
        <w:rPr>
          <w:rFonts w:ascii="Times New Roman" w:cs="Times New Roman" w:eastAsia="Times New Roman" w:hAnsi="Times New Roman"/>
          <w:sz w:val="20"/>
          <w:szCs w:val="20"/>
          <w:u w:val="single" w:color="auto"/>
          <w:color w:val="2251A3"/>
        </w:rPr>
        <w:t>and any claim,</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251A3"/>
        </w:rPr>
        <w:t>controversy, dispute or cause of action (whether in contract, tort or otherwise and whether at law or in equity) based upon, arising out of, or relating to the Loan Documents and the transactions contemplated by this Agreement and the other Loan Documents</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shall be governed by and construed in accordance with the laws of the State of New York.</w:t>
      </w:r>
    </w:p>
    <w:p>
      <w:pPr>
        <w:spacing w:after="0" w:line="179" w:lineRule="exact"/>
        <w:rPr>
          <w:rFonts w:ascii="Times New Roman" w:cs="Times New Roman" w:eastAsia="Times New Roman" w:hAnsi="Times New Roman"/>
          <w:sz w:val="20"/>
          <w:szCs w:val="20"/>
          <w:color w:val="231F20"/>
        </w:rPr>
      </w:pPr>
    </w:p>
    <w:p>
      <w:pPr>
        <w:jc w:val="both"/>
        <w:ind w:left="740" w:right="40" w:firstLine="745"/>
        <w:spacing w:after="0" w:line="242" w:lineRule="auto"/>
        <w:tabs>
          <w:tab w:leader="none" w:pos="2006" w:val="left"/>
        </w:tabs>
        <w:numPr>
          <w:ilvl w:val="0"/>
          <w:numId w:val="2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Each Loan Party hereby irrevocably and unconditionally submits, for itself and its property, to the exclusive jurisdiction of any U.S. Federal or New York State court sitting in New York,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Each party hereto agrees that the Administrative Agent and the Secured Parties retain the right to bring proceedings against any Loan Party in the courts of any other jurisdiction solely in connection with the exercise of any rights under any Collateral Document.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spacing w:after="0" w:line="187" w:lineRule="exact"/>
        <w:rPr>
          <w:rFonts w:ascii="Times New Roman" w:cs="Times New Roman" w:eastAsia="Times New Roman" w:hAnsi="Times New Roman"/>
          <w:sz w:val="20"/>
          <w:szCs w:val="20"/>
          <w:color w:val="231F20"/>
        </w:rPr>
      </w:pPr>
    </w:p>
    <w:p>
      <w:pPr>
        <w:jc w:val="both"/>
        <w:ind w:left="740" w:right="60" w:firstLine="745"/>
        <w:spacing w:after="0" w:line="246" w:lineRule="auto"/>
        <w:tabs>
          <w:tab w:leader="none" w:pos="2005" w:val="left"/>
        </w:tabs>
        <w:numPr>
          <w:ilvl w:val="0"/>
          <w:numId w:val="2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231F20"/>
        </w:rPr>
        <w:t>clause (b)</w:t>
      </w:r>
      <w:r>
        <w:rPr>
          <w:rFonts w:ascii="Times New Roman" w:cs="Times New Roman" w:eastAsia="Times New Roman" w:hAnsi="Times New Roman"/>
          <w:sz w:val="20"/>
          <w:szCs w:val="20"/>
          <w:color w:val="231F20"/>
        </w:rPr>
        <w:t xml:space="preserve"> of this </w:t>
      </w:r>
      <w:r>
        <w:rPr>
          <w:rFonts w:ascii="Times New Roman" w:cs="Times New Roman" w:eastAsia="Times New Roman" w:hAnsi="Times New Roman"/>
          <w:sz w:val="20"/>
          <w:szCs w:val="20"/>
          <w:u w:val="single" w:color="auto"/>
          <w:color w:val="231F20"/>
        </w:rPr>
        <w:t>Section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9.09</w:t>
      </w:r>
      <w:r>
        <w:rPr>
          <w:rFonts w:ascii="Times New Roman" w:cs="Times New Roman" w:eastAsia="Times New Roman" w:hAnsi="Times New Roman"/>
          <w:sz w:val="20"/>
          <w:szCs w:val="20"/>
          <w:color w:val="231F20"/>
        </w:rPr>
        <w:t>. Each of the parties hereto hereby irrevocably waives, to the fullest extent permitted by law, the defense of an inconvenient forum to the maintenance of such action or proceeding in any such court.</w:t>
      </w:r>
    </w:p>
    <w:p>
      <w:pPr>
        <w:spacing w:after="0" w:line="184" w:lineRule="exact"/>
        <w:rPr>
          <w:rFonts w:ascii="Times New Roman" w:cs="Times New Roman" w:eastAsia="Times New Roman" w:hAnsi="Times New Roman"/>
          <w:sz w:val="20"/>
          <w:szCs w:val="20"/>
          <w:color w:val="231F20"/>
        </w:rPr>
      </w:pPr>
    </w:p>
    <w:p>
      <w:pPr>
        <w:jc w:val="both"/>
        <w:ind w:left="740" w:right="60" w:firstLine="745"/>
        <w:spacing w:after="0" w:line="254" w:lineRule="auto"/>
        <w:tabs>
          <w:tab w:leader="none" w:pos="2005" w:val="left"/>
        </w:tabs>
        <w:numPr>
          <w:ilvl w:val="0"/>
          <w:numId w:val="2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Each party to this Agreement irrevocably consents to service of process in the manner provided for notices in </w:t>
      </w:r>
      <w:r>
        <w:rPr>
          <w:rFonts w:ascii="Times New Roman" w:cs="Times New Roman" w:eastAsia="Times New Roman" w:hAnsi="Times New Roman"/>
          <w:sz w:val="20"/>
          <w:szCs w:val="20"/>
          <w:u w:val="single" w:color="auto"/>
          <w:color w:val="231F20"/>
        </w:rPr>
        <w:t>Section 9.01</w:t>
      </w:r>
      <w:r>
        <w:rPr>
          <w:rFonts w:ascii="Times New Roman" w:cs="Times New Roman" w:eastAsia="Times New Roman" w:hAnsi="Times New Roman"/>
          <w:sz w:val="20"/>
          <w:szCs w:val="20"/>
          <w:color w:val="231F20"/>
        </w:rPr>
        <w:t>. Nothing in this Agreement or any other Loan Document will affect the right of any party to this Agreement to serve process in any other manner permitted by law.</w:t>
      </w:r>
    </w:p>
    <w:p>
      <w:pPr>
        <w:spacing w:after="0" w:line="174" w:lineRule="exact"/>
        <w:rPr>
          <w:sz w:val="20"/>
          <w:szCs w:val="20"/>
          <w:color w:val="auto"/>
        </w:rPr>
      </w:pPr>
    </w:p>
    <w:p>
      <w:pPr>
        <w:jc w:val="both"/>
        <w:ind w:left="740" w:right="40" w:firstLine="749"/>
        <w:spacing w:after="0" w:line="242" w:lineRule="auto"/>
        <w:rPr>
          <w:sz w:val="20"/>
          <w:szCs w:val="20"/>
          <w:color w:val="auto"/>
        </w:rPr>
      </w:pPr>
      <w:r>
        <w:rPr>
          <w:rFonts w:ascii="Times New Roman" w:cs="Times New Roman" w:eastAsia="Times New Roman" w:hAnsi="Times New Roman"/>
          <w:sz w:val="20"/>
          <w:szCs w:val="20"/>
          <w:color w:val="231F20"/>
        </w:rPr>
        <w:t xml:space="preserve">SECTION 9.10 </w:t>
      </w:r>
      <w:r>
        <w:rPr>
          <w:rFonts w:ascii="Times New Roman" w:cs="Times New Roman" w:eastAsia="Times New Roman" w:hAnsi="Times New Roman"/>
          <w:sz w:val="20"/>
          <w:szCs w:val="20"/>
          <w:u w:val="single" w:color="auto"/>
          <w:color w:val="231F20"/>
        </w:rPr>
        <w:t>WAIVER OF JURY TRIAL</w:t>
      </w:r>
      <w:r>
        <w:rPr>
          <w:rFonts w:ascii="Times New Roman" w:cs="Times New Roman" w:eastAsia="Times New Roman" w:hAnsi="Times New Roman"/>
          <w:sz w:val="20"/>
          <w:szCs w:val="20"/>
          <w:color w:val="231F20"/>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20"/>
          <w:szCs w:val="20"/>
          <w:u w:val="single" w:color="auto"/>
          <w:color w:val="231F20"/>
        </w:rPr>
        <w:t>SECTION 9.10</w:t>
      </w:r>
      <w:r>
        <w:rPr>
          <w:rFonts w:ascii="Times New Roman" w:cs="Times New Roman" w:eastAsia="Times New Roman" w:hAnsi="Times New Roman"/>
          <w:sz w:val="20"/>
          <w:szCs w:val="20"/>
          <w:color w:val="231F20"/>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63" w:name="page264"/>
    <w:bookmarkEnd w:id="263"/>
    <w:p>
      <w:pPr>
        <w:jc w:val="both"/>
        <w:ind w:left="740" w:right="80" w:firstLine="747"/>
        <w:spacing w:after="0" w:line="254" w:lineRule="auto"/>
        <w:rPr>
          <w:sz w:val="20"/>
          <w:szCs w:val="20"/>
          <w:color w:val="auto"/>
        </w:rPr>
      </w:pPr>
      <w:r>
        <w:rPr>
          <w:rFonts w:ascii="Times New Roman" w:cs="Times New Roman" w:eastAsia="Times New Roman" w:hAnsi="Times New Roman"/>
          <w:sz w:val="20"/>
          <w:szCs w:val="20"/>
          <w:color w:val="231F20"/>
        </w:rPr>
        <w:t xml:space="preserve">SECTION 9.11 </w:t>
      </w:r>
      <w:r>
        <w:rPr>
          <w:rFonts w:ascii="Times New Roman" w:cs="Times New Roman" w:eastAsia="Times New Roman" w:hAnsi="Times New Roman"/>
          <w:sz w:val="20"/>
          <w:szCs w:val="20"/>
          <w:u w:val="single" w:color="auto"/>
          <w:color w:val="231F20"/>
        </w:rPr>
        <w:t>Headings</w:t>
      </w:r>
      <w:r>
        <w:rPr>
          <w:rFonts w:ascii="Times New Roman" w:cs="Times New Roman" w:eastAsia="Times New Roman" w:hAnsi="Times New Roman"/>
          <w:sz w:val="20"/>
          <w:szCs w:val="20"/>
          <w:color w:val="231F20"/>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4" w:lineRule="exact"/>
        <w:rPr>
          <w:sz w:val="20"/>
          <w:szCs w:val="20"/>
          <w:color w:val="auto"/>
        </w:rPr>
      </w:pPr>
    </w:p>
    <w:p>
      <w:pPr>
        <w:jc w:val="both"/>
        <w:ind w:left="740" w:firstLine="749"/>
        <w:spacing w:after="0"/>
        <w:rPr>
          <w:sz w:val="20"/>
          <w:szCs w:val="20"/>
          <w:color w:val="auto"/>
        </w:rPr>
      </w:pPr>
      <w:r>
        <w:rPr>
          <w:rFonts w:ascii="Times New Roman" w:cs="Times New Roman" w:eastAsia="Times New Roman" w:hAnsi="Times New Roman"/>
          <w:sz w:val="20"/>
          <w:szCs w:val="20"/>
          <w:color w:val="231F20"/>
        </w:rPr>
        <w:t xml:space="preserve">SECTION 9.12 </w:t>
      </w:r>
      <w:r>
        <w:rPr>
          <w:rFonts w:ascii="Times New Roman" w:cs="Times New Roman" w:eastAsia="Times New Roman" w:hAnsi="Times New Roman"/>
          <w:sz w:val="20"/>
          <w:szCs w:val="20"/>
          <w:u w:val="single" w:color="auto"/>
          <w:color w:val="231F20"/>
        </w:rPr>
        <w:t>Confidentiality</w:t>
      </w:r>
      <w:r>
        <w:rPr>
          <w:rFonts w:ascii="Times New Roman" w:cs="Times New Roman" w:eastAsia="Times New Roman" w:hAnsi="Times New Roman"/>
          <w:sz w:val="20"/>
          <w:szCs w:val="20"/>
          <w:color w:val="231F20"/>
        </w:rPr>
        <w:t xml:space="preserve">. Each of the Administrative Agent, the Issuing Banks and the Lenders agrees to maintain the confidentiality of the Information (as defined below), except that Information may be disclosed (a) to its and its Affiliates’ respective officers, directors, employees, legal counsel, independent auditors and other experts or agents who need to know such information in connection with the transactions contemplated hereby and are informed of the confidential nature of such information, (b) upon the request or demand of any regulatory authority having jurisdiction over it or any of its Affiliates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(c) pursuant to the order of any court or administrative agency, in any pending legal, judicial or administrative proceeding or as otherwise required by applicable law or regulation or as requested by a governmental authority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20"/>
          <w:szCs w:val="20"/>
          <w:u w:val="single" w:color="auto"/>
          <w:color w:val="231F20"/>
        </w:rPr>
        <w:t>Section 9.12</w:t>
      </w:r>
      <w:r>
        <w:rPr>
          <w:rFonts w:ascii="Times New Roman" w:cs="Times New Roman" w:eastAsia="Times New Roman" w:hAnsi="Times New Roman"/>
          <w:sz w:val="20"/>
          <w:szCs w:val="20"/>
          <w:color w:val="231F20"/>
        </w:rPr>
        <w:t xml:space="preserve"> or otherwise reasonably acceptable to the Borrower, to (i) any assignee of or Participant in, or any prospective assignee of or Participant in, any of its rights or obligations under this Agreement (and any of their respective advisors) or (ii) any actual or prospective counterparty (or its advisors) to any swap </w:t>
      </w:r>
      <w:r>
        <w:rPr>
          <w:rFonts w:ascii="Times New Roman" w:cs="Times New Roman" w:eastAsia="Times New Roman" w:hAnsi="Times New Roman"/>
          <w:sz w:val="20"/>
          <w:szCs w:val="20"/>
          <w:color w:val="ED1C24"/>
        </w:rPr>
        <w:t>or</w:t>
      </w:r>
      <w:r>
        <w:rPr>
          <w:rFonts w:ascii="Times New Roman" w:cs="Times New Roman" w:eastAsia="Times New Roman" w:hAnsi="Times New Roman"/>
          <w:sz w:val="20"/>
          <w:szCs w:val="20"/>
          <w:color w:val="2251A3"/>
        </w:rPr>
        <w:t>,</w:t>
      </w:r>
      <w:r>
        <w:rPr>
          <w:rFonts w:ascii="Times New Roman" w:cs="Times New Roman" w:eastAsia="Times New Roman" w:hAnsi="Times New Roman"/>
          <w:sz w:val="20"/>
          <w:szCs w:val="20"/>
          <w:color w:val="231F20"/>
        </w:rPr>
        <w:t xml:space="preserve"> derivative </w:t>
      </w:r>
      <w:r>
        <w:rPr>
          <w:rFonts w:ascii="Times New Roman" w:cs="Times New Roman" w:eastAsia="Times New Roman" w:hAnsi="Times New Roman"/>
          <w:sz w:val="20"/>
          <w:szCs w:val="20"/>
          <w:u w:val="single" w:color="auto"/>
          <w:color w:val="2251A3"/>
        </w:rPr>
        <w:t>or other</w:t>
      </w:r>
      <w:r>
        <w:rPr>
          <w:rFonts w:ascii="Times New Roman" w:cs="Times New Roman" w:eastAsia="Times New Roman" w:hAnsi="Times New Roman"/>
          <w:sz w:val="20"/>
          <w:szCs w:val="20"/>
          <w:color w:val="231F20"/>
        </w:rPr>
        <w:t xml:space="preserve"> transaction relating to the Loan Parties and their obligations, </w:t>
      </w:r>
      <w:r>
        <w:rPr>
          <w:rFonts w:ascii="Times New Roman" w:cs="Times New Roman" w:eastAsia="Times New Roman" w:hAnsi="Times New Roman"/>
          <w:sz w:val="20"/>
          <w:szCs w:val="20"/>
          <w:u w:val="single" w:color="auto"/>
          <w:color w:val="2251A3"/>
        </w:rPr>
        <w:t>this Agreement, or payments hereunder,</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(g) with the consent of the Borrower, (h) [reserved], (i) to the extent that such</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 xml:space="preserve">information is independently developed by it or its Affiliates, in each case, so long as not based on information obtained in a manner that would otherwise violate this </w:t>
      </w:r>
      <w:r>
        <w:rPr>
          <w:rFonts w:ascii="Times New Roman" w:cs="Times New Roman" w:eastAsia="Times New Roman" w:hAnsi="Times New Roman"/>
          <w:sz w:val="20"/>
          <w:szCs w:val="20"/>
          <w:u w:val="single" w:color="auto"/>
          <w:color w:val="231F20"/>
        </w:rPr>
        <w:t>Section 9.12</w:t>
      </w:r>
      <w:r>
        <w:rPr>
          <w:rFonts w:ascii="Times New Roman" w:cs="Times New Roman" w:eastAsia="Times New Roman" w:hAnsi="Times New Roman"/>
          <w:sz w:val="20"/>
          <w:szCs w:val="20"/>
          <w:color w:val="231F20"/>
        </w:rPr>
        <w:t xml:space="preserve">, (j) for purposes of establishing a “due diligence” defense, (k) to ratings agencies </w:t>
      </w:r>
      <w:r>
        <w:rPr>
          <w:rFonts w:ascii="Times New Roman" w:cs="Times New Roman" w:eastAsia="Times New Roman" w:hAnsi="Times New Roman"/>
          <w:sz w:val="20"/>
          <w:szCs w:val="20"/>
          <w:color w:val="ED1C24"/>
        </w:rPr>
        <w:t>or</w:t>
      </w:r>
      <w:r>
        <w:rPr>
          <w:rFonts w:ascii="Times New Roman" w:cs="Times New Roman" w:eastAsia="Times New Roman" w:hAnsi="Times New Roman"/>
          <w:sz w:val="20"/>
          <w:szCs w:val="20"/>
          <w:color w:val="2251A3"/>
        </w:rPr>
        <w:t>,</w:t>
      </w:r>
      <w:r>
        <w:rPr>
          <w:rFonts w:ascii="Times New Roman" w:cs="Times New Roman" w:eastAsia="Times New Roman" w:hAnsi="Times New Roman"/>
          <w:sz w:val="20"/>
          <w:szCs w:val="20"/>
          <w:color w:val="231F20"/>
        </w:rPr>
        <w:t xml:space="preserve"> (l) to the extent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-651510</wp:posOffset>
            </wp:positionV>
            <wp:extent cx="1358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3589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-68580</wp:posOffset>
            </wp:positionV>
            <wp:extent cx="135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85" w:lineRule="exact"/>
        <w:rPr>
          <w:sz w:val="20"/>
          <w:szCs w:val="20"/>
          <w:color w:val="auto"/>
        </w:rPr>
      </w:pPr>
    </w:p>
    <w:p>
      <w:pPr>
        <w:jc w:val="both"/>
        <w:ind w:left="740" w:right="20" w:hanging="3"/>
        <w:spacing w:after="0" w:line="250" w:lineRule="auto"/>
        <w:tabs>
          <w:tab w:leader="none" w:pos="1022" w:val="left"/>
        </w:tabs>
        <w:numPr>
          <w:ilvl w:val="0"/>
          <w:numId w:val="25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becomes publicly available other than as a result of a breach of this </w:t>
      </w:r>
      <w:r>
        <w:rPr>
          <w:rFonts w:ascii="Times New Roman" w:cs="Times New Roman" w:eastAsia="Times New Roman" w:hAnsi="Times New Roman"/>
          <w:sz w:val="20"/>
          <w:szCs w:val="20"/>
          <w:u w:val="single" w:color="auto"/>
          <w:color w:val="231F20"/>
        </w:rPr>
        <w:t>Section 9.12</w:t>
      </w:r>
      <w:r>
        <w:rPr>
          <w:rFonts w:ascii="Times New Roman" w:cs="Times New Roman" w:eastAsia="Times New Roman" w:hAnsi="Times New Roman"/>
          <w:sz w:val="20"/>
          <w:szCs w:val="20"/>
          <w:color w:val="231F20"/>
        </w:rPr>
        <w:t xml:space="preserve">, or (ii) becomes available to the Administrative Agent, any Issuing Bank or any Lender on a non-confidential basis from a source other than the Borrower </w:t>
      </w:r>
      <w:r>
        <w:rPr>
          <w:rFonts w:ascii="Times New Roman" w:cs="Times New Roman" w:eastAsia="Times New Roman" w:hAnsi="Times New Roman"/>
          <w:sz w:val="20"/>
          <w:szCs w:val="20"/>
          <w:color w:val="2251A3"/>
        </w:rPr>
        <w:t>or</w:t>
      </w:r>
    </w:p>
    <w:p>
      <w:pPr>
        <w:spacing w:after="0" w:line="1" w:lineRule="exact"/>
        <w:rPr>
          <w:rFonts w:ascii="Times New Roman" w:cs="Times New Roman" w:eastAsia="Times New Roman" w:hAnsi="Times New Roman"/>
          <w:sz w:val="20"/>
          <w:szCs w:val="20"/>
          <w:color w:val="231F20"/>
        </w:rPr>
      </w:pPr>
    </w:p>
    <w:p>
      <w:pPr>
        <w:jc w:val="both"/>
        <w:ind w:left="740" w:right="20" w:hanging="3"/>
        <w:spacing w:after="0" w:line="239" w:lineRule="auto"/>
        <w:tabs>
          <w:tab w:leader="none" w:pos="1090" w:val="left"/>
        </w:tabs>
        <w:numPr>
          <w:ilvl w:val="0"/>
          <w:numId w:val="254"/>
        </w:numPr>
        <w:rPr>
          <w:rFonts w:ascii="Times New Roman" w:cs="Times New Roman" w:eastAsia="Times New Roman" w:hAnsi="Times New Roman"/>
          <w:sz w:val="20"/>
          <w:szCs w:val="20"/>
          <w:u w:val="single" w:color="auto"/>
          <w:color w:val="2251A3"/>
        </w:rPr>
      </w:pPr>
      <w:r>
        <w:rPr>
          <w:rFonts w:ascii="Times New Roman" w:cs="Times New Roman" w:eastAsia="Times New Roman" w:hAnsi="Times New Roman"/>
          <w:sz w:val="20"/>
          <w:szCs w:val="20"/>
          <w:u w:val="single" w:color="auto"/>
          <w:color w:val="2251A3"/>
        </w:rPr>
        <w:t>to the extent required by a potential or actual insurer or reinsurer in connection with providing insurance, reinsurance or credit risk mitigation coverage under which payments are to be made or may be made by reference to this Agreement</w:t>
      </w:r>
      <w:r>
        <w:rPr>
          <w:rFonts w:ascii="Times New Roman" w:cs="Times New Roman" w:eastAsia="Times New Roman" w:hAnsi="Times New Roman"/>
          <w:sz w:val="20"/>
          <w:szCs w:val="20"/>
          <w:color w:val="231F20"/>
        </w:rPr>
        <w:t>. In</w:t>
      </w:r>
      <w:r>
        <w:rPr>
          <w:rFonts w:ascii="Times New Roman" w:cs="Times New Roman" w:eastAsia="Times New Roman" w:hAnsi="Times New Roman"/>
          <w:sz w:val="20"/>
          <w:szCs w:val="20"/>
          <w:color w:val="2251A3"/>
        </w:rPr>
        <w:t xml:space="preserve"> </w:t>
      </w:r>
      <w:r>
        <w:rPr>
          <w:rFonts w:ascii="Times New Roman" w:cs="Times New Roman" w:eastAsia="Times New Roman" w:hAnsi="Times New Roman"/>
          <w:sz w:val="20"/>
          <w:szCs w:val="20"/>
          <w:color w:val="231F20"/>
        </w:rPr>
        <w:t xml:space="preserve">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syndication and arrangement of the credit facilities contemplated by this Agreement in connection with marketing, press releases, or other transactional announcements or updates provided to investor or trade publications, including the placement of “tombstone” advertisements in publications of its choice at its own expense. For the purposes of this </w:t>
      </w:r>
      <w:r>
        <w:rPr>
          <w:rFonts w:ascii="Times New Roman" w:cs="Times New Roman" w:eastAsia="Times New Roman" w:hAnsi="Times New Roman"/>
          <w:sz w:val="20"/>
          <w:szCs w:val="20"/>
          <w:u w:val="single" w:color="auto"/>
          <w:color w:val="231F20"/>
        </w:rPr>
        <w:t>Section 9.12</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u w:val="single" w:color="auto"/>
          <w:color w:val="231F20"/>
        </w:rPr>
        <w:t>Information</w:t>
      </w:r>
      <w:r>
        <w:rPr>
          <w:rFonts w:ascii="Times New Roman" w:cs="Times New Roman" w:eastAsia="Times New Roman" w:hAnsi="Times New Roman"/>
          <w:sz w:val="20"/>
          <w:szCs w:val="20"/>
          <w:color w:val="231F20"/>
        </w:rPr>
        <w:t xml:space="preserve">” means all information received from the Borrower relating to the Borrower or their business, other than any such information that is available to the Administrative Agent, any Issuing Bank or any Lender on a non-confidential basis prior to disclosure by the Borrower;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that, in the case of information received from the Borrower after the date hereof, such information is clearly identified at the time of delivery as confidential. Any Person required to maintain the confidentiality of Information as provided in this </w:t>
      </w:r>
      <w:r>
        <w:rPr>
          <w:rFonts w:ascii="Times New Roman" w:cs="Times New Roman" w:eastAsia="Times New Roman" w:hAnsi="Times New Roman"/>
          <w:sz w:val="20"/>
          <w:szCs w:val="20"/>
          <w:u w:val="single" w:color="auto"/>
          <w:color w:val="231F20"/>
        </w:rPr>
        <w:t>Section 9.12</w:t>
      </w:r>
      <w:r>
        <w:rPr>
          <w:rFonts w:ascii="Times New Roman" w:cs="Times New Roman" w:eastAsia="Times New Roman" w:hAnsi="Times New Roman"/>
          <w:sz w:val="20"/>
          <w:szCs w:val="20"/>
          <w:color w:val="231F20"/>
        </w:rPr>
        <w:t xml:space="preserve"> shall be considered to have complied with its obligation to do so if such Person has exercised the same degree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6739890</wp:posOffset>
            </wp:positionH>
            <wp:positionV relativeFrom="paragraph">
              <wp:posOffset>-2205990</wp:posOffset>
            </wp:positionV>
            <wp:extent cx="1447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6739890</wp:posOffset>
            </wp:positionH>
            <wp:positionV relativeFrom="paragraph">
              <wp:posOffset>-2188845</wp:posOffset>
            </wp:positionV>
            <wp:extent cx="1447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4478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291" w:right="699" w:bottom="1440" w:gutter="0" w:footer="0" w:header="0"/>
        </w:sectPr>
      </w:pPr>
    </w:p>
    <w:bookmarkStart w:id="264" w:name="page265"/>
    <w:bookmarkEnd w:id="264"/>
    <w:p>
      <w:pPr>
        <w:ind w:left="740"/>
        <w:spacing w:after="0"/>
        <w:rPr>
          <w:sz w:val="20"/>
          <w:szCs w:val="20"/>
          <w:color w:val="auto"/>
        </w:rPr>
      </w:pPr>
      <w:r>
        <w:rPr>
          <w:rFonts w:ascii="Times New Roman" w:cs="Times New Roman" w:eastAsia="Times New Roman" w:hAnsi="Times New Roman"/>
          <w:sz w:val="20"/>
          <w:szCs w:val="20"/>
          <w:color w:val="231F20"/>
        </w:rPr>
        <w:t>care to maintain the confidentiality of such Information as such Person would accord to its own confidential information.</w:t>
      </w:r>
    </w:p>
    <w:p>
      <w:pPr>
        <w:spacing w:after="0" w:line="212" w:lineRule="exact"/>
        <w:rPr>
          <w:sz w:val="20"/>
          <w:szCs w:val="20"/>
          <w:color w:val="auto"/>
        </w:rPr>
      </w:pPr>
    </w:p>
    <w:p>
      <w:pPr>
        <w:jc w:val="both"/>
        <w:ind w:left="740" w:right="60" w:firstLine="749"/>
        <w:spacing w:after="0" w:line="245" w:lineRule="auto"/>
        <w:rPr>
          <w:sz w:val="20"/>
          <w:szCs w:val="20"/>
          <w:color w:val="auto"/>
        </w:rPr>
      </w:pPr>
      <w:r>
        <w:rPr>
          <w:rFonts w:ascii="Times New Roman" w:cs="Times New Roman" w:eastAsia="Times New Roman" w:hAnsi="Times New Roman"/>
          <w:sz w:val="20"/>
          <w:szCs w:val="20"/>
          <w:b w:val="1"/>
          <w:bCs w:val="1"/>
          <w:color w:val="231F20"/>
        </w:rPr>
        <w:t xml:space="preserve">EACH LENDER ACKNOWLEDGES THAT INFORMATION AS DEFINED IN </w:t>
      </w:r>
      <w:r>
        <w:rPr>
          <w:rFonts w:ascii="Times New Roman" w:cs="Times New Roman" w:eastAsia="Times New Roman" w:hAnsi="Times New Roman"/>
          <w:sz w:val="20"/>
          <w:szCs w:val="20"/>
          <w:b w:val="1"/>
          <w:bCs w:val="1"/>
          <w:u w:val="single" w:color="auto"/>
          <w:color w:val="231F20"/>
        </w:rPr>
        <w:t>SECTION 9.12</w:t>
      </w:r>
      <w:r>
        <w:rPr>
          <w:rFonts w:ascii="Times New Roman" w:cs="Times New Roman" w:eastAsia="Times New Roman" w:hAnsi="Times New Roman"/>
          <w:sz w:val="20"/>
          <w:szCs w:val="20"/>
          <w:b w:val="1"/>
          <w:bCs w:val="1"/>
          <w:color w:val="231F20"/>
        </w:rPr>
        <w:t xml:space="preserve"> FURNISHED TO IT PURSUANT TO THIS AGREEMENT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79" w:lineRule="exact"/>
        <w:rPr>
          <w:sz w:val="20"/>
          <w:szCs w:val="20"/>
          <w:color w:val="auto"/>
        </w:rPr>
      </w:pPr>
    </w:p>
    <w:p>
      <w:pPr>
        <w:jc w:val="both"/>
        <w:ind w:left="740" w:firstLine="749"/>
        <w:spacing w:after="0" w:line="258" w:lineRule="auto"/>
        <w:rPr>
          <w:sz w:val="20"/>
          <w:szCs w:val="20"/>
          <w:color w:val="auto"/>
        </w:rPr>
      </w:pPr>
      <w:r>
        <w:rPr>
          <w:rFonts w:ascii="Times New Roman" w:cs="Times New Roman" w:eastAsia="Times New Roman" w:hAnsi="Times New Roman"/>
          <w:sz w:val="19"/>
          <w:szCs w:val="19"/>
          <w:b w:val="1"/>
          <w:bCs w:val="1"/>
          <w:color w:val="231F20"/>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72"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u w:val="single" w:color="auto"/>
          <w:color w:val="2251A3"/>
        </w:rPr>
        <w:t>For the avoidance of doubt, nothing in this Section 9.12 shall prohibit any Person from voluntarily disclosing or providing any Information within the scope of this confidentiality provision to any governmental, regulatory or self-regulatory organization (any such entity, a “Regulatory Authority”) to the extent that any such prohibition on disclosure set forth in this Section 9.12 shall be prohibited by the laws or regulations applicable to such Regulatory Authority. Furthermore, for the avoidance of doubt, nothing in this Section 9.12 shall prohibit any individual from communicating or disclosing information regarding suspected violations of laws, rules or regulations to a Regulatory Authority.</w:t>
      </w:r>
    </w:p>
    <w:p>
      <w:pPr>
        <w:spacing w:after="0" w:line="184" w:lineRule="exact"/>
        <w:rPr>
          <w:sz w:val="20"/>
          <w:szCs w:val="20"/>
          <w:color w:val="auto"/>
        </w:rPr>
      </w:pPr>
    </w:p>
    <w:p>
      <w:pPr>
        <w:jc w:val="both"/>
        <w:ind w:left="740" w:right="60" w:firstLine="747"/>
        <w:spacing w:after="0" w:line="245" w:lineRule="auto"/>
        <w:rPr>
          <w:sz w:val="20"/>
          <w:szCs w:val="20"/>
          <w:color w:val="auto"/>
        </w:rPr>
      </w:pPr>
      <w:r>
        <w:rPr>
          <w:rFonts w:ascii="Times New Roman" w:cs="Times New Roman" w:eastAsia="Times New Roman" w:hAnsi="Times New Roman"/>
          <w:sz w:val="20"/>
          <w:szCs w:val="20"/>
          <w:color w:val="231F20"/>
        </w:rPr>
        <w:t xml:space="preserve">SECTION 9.13 </w:t>
      </w:r>
      <w:r>
        <w:rPr>
          <w:rFonts w:ascii="Times New Roman" w:cs="Times New Roman" w:eastAsia="Times New Roman" w:hAnsi="Times New Roman"/>
          <w:sz w:val="20"/>
          <w:szCs w:val="20"/>
          <w:u w:val="single" w:color="auto"/>
          <w:color w:val="231F20"/>
        </w:rPr>
        <w:t>Several Obligations; Nonreliance; Violation of Law</w:t>
      </w:r>
      <w:r>
        <w:rPr>
          <w:rFonts w:ascii="Times New Roman" w:cs="Times New Roman" w:eastAsia="Times New Roman" w:hAnsi="Times New Roman"/>
          <w:sz w:val="20"/>
          <w:szCs w:val="20"/>
          <w:color w:val="231F20"/>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no Issuing Bank nor any Lender shall be obligated to extend credit to the Borrower in violation of any Requirement of Law.</w:t>
      </w:r>
    </w:p>
    <w:p>
      <w:pPr>
        <w:spacing w:after="0" w:line="184"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231F20"/>
        </w:rPr>
        <w:t xml:space="preserve">SECTION 9.14 </w:t>
      </w:r>
      <w:r>
        <w:rPr>
          <w:rFonts w:ascii="Times New Roman" w:cs="Times New Roman" w:eastAsia="Times New Roman" w:hAnsi="Times New Roman"/>
          <w:sz w:val="20"/>
          <w:szCs w:val="20"/>
          <w:u w:val="single" w:color="auto"/>
          <w:color w:val="231F20"/>
        </w:rPr>
        <w:t>USA PATRIOT Act</w:t>
      </w:r>
      <w:r>
        <w:rPr>
          <w:rFonts w:ascii="Times New Roman" w:cs="Times New Roman" w:eastAsia="Times New Roman" w:hAnsi="Times New Roman"/>
          <w:sz w:val="20"/>
          <w:szCs w:val="20"/>
          <w:color w:val="231F20"/>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80"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231F20"/>
        </w:rPr>
        <w:t xml:space="preserve">SECTION 9.15 </w:t>
      </w:r>
      <w:r>
        <w:rPr>
          <w:rFonts w:ascii="Times New Roman" w:cs="Times New Roman" w:eastAsia="Times New Roman" w:hAnsi="Times New Roman"/>
          <w:sz w:val="20"/>
          <w:szCs w:val="20"/>
          <w:u w:val="single" w:color="auto"/>
          <w:color w:val="231F20"/>
        </w:rPr>
        <w:t>Disclosure</w:t>
      </w:r>
      <w:r>
        <w:rPr>
          <w:rFonts w:ascii="Times New Roman" w:cs="Times New Roman" w:eastAsia="Times New Roman" w:hAnsi="Times New Roman"/>
          <w:sz w:val="20"/>
          <w:szCs w:val="20"/>
          <w:color w:val="231F20"/>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65" w:name="page266"/>
    <w:bookmarkEnd w:id="265"/>
    <w:p>
      <w:pPr>
        <w:jc w:val="both"/>
        <w:ind w:left="740" w:right="20" w:firstLine="747"/>
        <w:spacing w:after="0" w:line="245" w:lineRule="auto"/>
        <w:rPr>
          <w:sz w:val="20"/>
          <w:szCs w:val="20"/>
          <w:color w:val="auto"/>
        </w:rPr>
      </w:pPr>
      <w:r>
        <w:rPr>
          <w:rFonts w:ascii="Times New Roman" w:cs="Times New Roman" w:eastAsia="Times New Roman" w:hAnsi="Times New Roman"/>
          <w:sz w:val="20"/>
          <w:szCs w:val="20"/>
          <w:color w:val="231F20"/>
        </w:rPr>
        <w:t xml:space="preserve">SECTION 9.16 </w:t>
      </w:r>
      <w:r>
        <w:rPr>
          <w:rFonts w:ascii="Times New Roman" w:cs="Times New Roman" w:eastAsia="Times New Roman" w:hAnsi="Times New Roman"/>
          <w:sz w:val="20"/>
          <w:szCs w:val="20"/>
          <w:u w:val="single" w:color="auto"/>
          <w:color w:val="231F20"/>
        </w:rPr>
        <w:t>Appointment for Perfection</w:t>
      </w:r>
      <w:r>
        <w:rPr>
          <w:rFonts w:ascii="Times New Roman" w:cs="Times New Roman" w:eastAsia="Times New Roman" w:hAnsi="Times New Roman"/>
          <w:sz w:val="20"/>
          <w:szCs w:val="20"/>
          <w:color w:val="231F20"/>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4"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231F20"/>
        </w:rPr>
        <w:t xml:space="preserve">SECTION 9.17 </w:t>
      </w:r>
      <w:r>
        <w:rPr>
          <w:rFonts w:ascii="Times New Roman" w:cs="Times New Roman" w:eastAsia="Times New Roman" w:hAnsi="Times New Roman"/>
          <w:sz w:val="20"/>
          <w:szCs w:val="20"/>
          <w:u w:val="single" w:color="auto"/>
          <w:color w:val="231F20"/>
        </w:rPr>
        <w:t>Interest Rate Limitation</w:t>
      </w:r>
      <w:r>
        <w:rPr>
          <w:rFonts w:ascii="Times New Roman" w:cs="Times New Roman" w:eastAsia="Times New Roman" w:hAnsi="Times New Roman"/>
          <w:sz w:val="20"/>
          <w:szCs w:val="20"/>
          <w:color w:val="231F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0"/>
          <w:szCs w:val="20"/>
          <w:u w:val="single" w:color="auto"/>
          <w:color w:val="231F20"/>
        </w:rPr>
        <w:t>Charges</w:t>
      </w:r>
      <w:r>
        <w:rPr>
          <w:rFonts w:ascii="Times New Roman" w:cs="Times New Roman" w:eastAsia="Times New Roman" w:hAnsi="Times New Roman"/>
          <w:sz w:val="20"/>
          <w:szCs w:val="20"/>
          <w:color w:val="231F20"/>
        </w:rPr>
        <w:t>”), shall exceed the maximum lawful rate (the “</w:t>
      </w:r>
      <w:r>
        <w:rPr>
          <w:rFonts w:ascii="Times New Roman" w:cs="Times New Roman" w:eastAsia="Times New Roman" w:hAnsi="Times New Roman"/>
          <w:sz w:val="20"/>
          <w:szCs w:val="20"/>
          <w:u w:val="single" w:color="auto"/>
          <w:color w:val="231F20"/>
        </w:rPr>
        <w:t>Maximum Rate</w:t>
      </w:r>
      <w:r>
        <w:rPr>
          <w:rFonts w:ascii="Times New Roman" w:cs="Times New Roman" w:eastAsia="Times New Roman" w:hAnsi="Times New Roman"/>
          <w:sz w:val="20"/>
          <w:szCs w:val="20"/>
          <w:color w:val="231F20"/>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Times New Roman" w:cs="Times New Roman" w:eastAsia="Times New Roman" w:hAnsi="Times New Roman"/>
          <w:sz w:val="20"/>
          <w:szCs w:val="20"/>
          <w:u w:val="single" w:color="auto"/>
          <w:color w:val="231F20"/>
        </w:rPr>
        <w:t>Section 9.17</w:t>
      </w:r>
      <w:r>
        <w:rPr>
          <w:rFonts w:ascii="Times New Roman" w:cs="Times New Roman" w:eastAsia="Times New Roman" w:hAnsi="Times New Roman"/>
          <w:sz w:val="20"/>
          <w:szCs w:val="20"/>
          <w:color w:val="231F20"/>
        </w:rPr>
        <w:t xml:space="preserve">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92"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231F20"/>
        </w:rPr>
        <w:t xml:space="preserve">SECTION 9.18 </w:t>
      </w:r>
      <w:r>
        <w:rPr>
          <w:rFonts w:ascii="Times New Roman" w:cs="Times New Roman" w:eastAsia="Times New Roman" w:hAnsi="Times New Roman"/>
          <w:sz w:val="20"/>
          <w:szCs w:val="20"/>
          <w:u w:val="single" w:color="auto"/>
          <w:color w:val="231F20"/>
        </w:rPr>
        <w:t>No Advisory or Fiduciary Responsibility</w:t>
      </w:r>
      <w:r>
        <w:rPr>
          <w:rFonts w:ascii="Times New Roman" w:cs="Times New Roman" w:eastAsia="Times New Roman" w:hAnsi="Times New Roman"/>
          <w:sz w:val="20"/>
          <w:szCs w:val="20"/>
          <w:color w:val="231F20"/>
        </w:rPr>
        <w:t>.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Lenders are arm’s-length commercial transactions between the Borrower and its Affiliates, on the one hand, and the Lenders and their Affiliates,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the Borrower or any of its Affiliates, or any other Person and (B) no Lender or any of its Affiliates has any obligation to the Borrower or any of its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the Borrower and its Affiliates, and no Lender or any of its Affiliates has any obligation to disclose any of such interests to the Borrower or its Affiliates. To the fullest extent permitted by law, the Borrower hereby waives and releases any claims that it may have against each of the Lenders and their Affiliates with respect to any breach or alleged breach of agency or fiduciary duty in connection with any aspect of any transaction contemplated hereby.</w:t>
      </w:r>
    </w:p>
    <w:p>
      <w:pPr>
        <w:spacing w:after="0" w:line="192" w:lineRule="exact"/>
        <w:rPr>
          <w:sz w:val="20"/>
          <w:szCs w:val="20"/>
          <w:color w:val="auto"/>
        </w:rPr>
      </w:pPr>
    </w:p>
    <w:p>
      <w:pPr>
        <w:jc w:val="both"/>
        <w:ind w:left="740" w:right="20" w:firstLine="749"/>
        <w:spacing w:after="0" w:line="245" w:lineRule="auto"/>
        <w:rPr>
          <w:sz w:val="20"/>
          <w:szCs w:val="20"/>
          <w:color w:val="auto"/>
        </w:rPr>
      </w:pPr>
      <w:r>
        <w:rPr>
          <w:rFonts w:ascii="Times New Roman" w:cs="Times New Roman" w:eastAsia="Times New Roman" w:hAnsi="Times New Roman"/>
          <w:sz w:val="20"/>
          <w:szCs w:val="20"/>
          <w:color w:val="231F20"/>
        </w:rPr>
        <w:t xml:space="preserve">SECTION 9.19 </w:t>
      </w:r>
      <w:r>
        <w:rPr>
          <w:rFonts w:ascii="Times New Roman" w:cs="Times New Roman" w:eastAsia="Times New Roman" w:hAnsi="Times New Roman"/>
          <w:sz w:val="20"/>
          <w:szCs w:val="20"/>
          <w:u w:val="single" w:color="auto"/>
          <w:color w:val="231F20"/>
        </w:rPr>
        <w:t>Acknowledgement and Consent to Bail-In of Affected Financial Institutions</w:t>
      </w:r>
      <w:r>
        <w:rPr>
          <w:rFonts w:ascii="Times New Roman" w:cs="Times New Roman" w:eastAsia="Times New Roman" w:hAnsi="Times New Roman"/>
          <w:sz w:val="20"/>
          <w:szCs w:val="20"/>
          <w:color w:val="231F20"/>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(all such liabilities, the “</w:t>
      </w:r>
      <w:r>
        <w:rPr>
          <w:rFonts w:ascii="Times New Roman" w:cs="Times New Roman" w:eastAsia="Times New Roman" w:hAnsi="Times New Roman"/>
          <w:sz w:val="20"/>
          <w:szCs w:val="20"/>
          <w:u w:val="single" w:color="auto"/>
          <w:color w:val="231F20"/>
        </w:rPr>
        <w:t>Covered Liabilities</w:t>
      </w:r>
      <w:r>
        <w:rPr>
          <w:rFonts w:ascii="Times New Roman" w:cs="Times New Roman" w:eastAsia="Times New Roman" w:hAnsi="Times New Roman"/>
          <w:sz w:val="20"/>
          <w:szCs w:val="20"/>
          <w:color w:val="231F20"/>
        </w:rPr>
        <w:t>”), may be subject to the Write-Down and Conversion Powers of the applicable Resolution Authority and agrees and consents to, and acknowledges and agrees to be bound by: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66" w:name="page267"/>
    <w:bookmarkEnd w:id="266"/>
    <w:p>
      <w:pPr>
        <w:ind w:left="740" w:right="40" w:firstLine="745"/>
        <w:spacing w:after="0" w:line="295" w:lineRule="auto"/>
        <w:tabs>
          <w:tab w:leader="none" w:pos="2005" w:val="left"/>
        </w:tabs>
        <w:numPr>
          <w:ilvl w:val="0"/>
          <w:numId w:val="25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application of any Write-Down and Conversion Powers by the applicable Resolution Authority to any such Covered Liability arising hereunder which may be payable to it by any Lender that is an Affected Financial Institution; and</w:t>
      </w:r>
    </w:p>
    <w:p>
      <w:pPr>
        <w:spacing w:after="0" w:line="137" w:lineRule="exact"/>
        <w:rPr>
          <w:rFonts w:ascii="Times New Roman" w:cs="Times New Roman" w:eastAsia="Times New Roman" w:hAnsi="Times New Roman"/>
          <w:sz w:val="19"/>
          <w:szCs w:val="19"/>
          <w:color w:val="231F20"/>
        </w:rPr>
      </w:pPr>
    </w:p>
    <w:p>
      <w:pPr>
        <w:ind w:left="2240" w:hanging="755"/>
        <w:spacing w:after="0"/>
        <w:tabs>
          <w:tab w:leader="none" w:pos="2240" w:val="left"/>
        </w:tabs>
        <w:numPr>
          <w:ilvl w:val="0"/>
          <w:numId w:val="2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effects of any Bail-In Action on any such Covered Liability, including, if applicable:</w:t>
      </w:r>
    </w:p>
    <w:p>
      <w:pPr>
        <w:spacing w:after="0" w:line="216" w:lineRule="exact"/>
        <w:rPr>
          <w:sz w:val="20"/>
          <w:szCs w:val="20"/>
          <w:color w:val="auto"/>
        </w:rPr>
      </w:pPr>
    </w:p>
    <w:p>
      <w:pPr>
        <w:ind w:left="4480" w:hanging="748"/>
        <w:spacing w:after="0"/>
        <w:tabs>
          <w:tab w:leader="none" w:pos="4480" w:val="left"/>
        </w:tabs>
        <w:numPr>
          <w:ilvl w:val="0"/>
          <w:numId w:val="25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reduction in full or in part or cancellation of any such Covered</w:t>
      </w:r>
    </w:p>
    <w:p>
      <w:pPr>
        <w:spacing w:after="0" w:line="2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231F20"/>
        </w:rPr>
        <w:t>Liability;</w:t>
      </w:r>
    </w:p>
    <w:p>
      <w:pPr>
        <w:spacing w:after="0" w:line="194" w:lineRule="exact"/>
        <w:rPr>
          <w:sz w:val="20"/>
          <w:szCs w:val="20"/>
          <w:color w:val="auto"/>
        </w:rPr>
      </w:pPr>
    </w:p>
    <w:p>
      <w:pPr>
        <w:jc w:val="both"/>
        <w:ind w:left="2240" w:right="20" w:firstLine="1492"/>
        <w:spacing w:after="0" w:line="246" w:lineRule="auto"/>
        <w:tabs>
          <w:tab w:leader="none" w:pos="4051" w:val="left"/>
        </w:tabs>
        <w:numPr>
          <w:ilvl w:val="0"/>
          <w:numId w:val="2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conversion of all, or a portion of, such Covered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Covered Liability under this Agreement or any other Loan Document; or</w:t>
      </w:r>
    </w:p>
    <w:p>
      <w:pPr>
        <w:spacing w:after="0" w:line="185" w:lineRule="exact"/>
        <w:rPr>
          <w:sz w:val="20"/>
          <w:szCs w:val="20"/>
          <w:color w:val="auto"/>
        </w:rPr>
      </w:pPr>
    </w:p>
    <w:p>
      <w:pPr>
        <w:ind w:left="2240" w:right="40" w:firstLine="1498"/>
        <w:spacing w:after="0" w:line="269" w:lineRule="auto"/>
        <w:rPr>
          <w:sz w:val="20"/>
          <w:szCs w:val="20"/>
          <w:color w:val="auto"/>
        </w:rPr>
      </w:pPr>
      <w:r>
        <w:rPr>
          <w:rFonts w:ascii="Times New Roman" w:cs="Times New Roman" w:eastAsia="Times New Roman" w:hAnsi="Times New Roman"/>
          <w:sz w:val="20"/>
          <w:szCs w:val="20"/>
          <w:color w:val="231F20"/>
        </w:rPr>
        <w:t>(iii)The variation of the terms of such Covered Liability in connection with the exercise of the Write-Down and Conversion Powers of the applicable Resolution Authority.</w:t>
      </w:r>
    </w:p>
    <w:p>
      <w:pPr>
        <w:spacing w:after="0" w:line="159" w:lineRule="exact"/>
        <w:rPr>
          <w:sz w:val="20"/>
          <w:szCs w:val="20"/>
          <w:color w:val="auto"/>
        </w:rPr>
      </w:pPr>
    </w:p>
    <w:p>
      <w:pPr>
        <w:jc w:val="both"/>
        <w:ind w:left="740" w:firstLine="749"/>
        <w:spacing w:after="0" w:line="258" w:lineRule="auto"/>
        <w:rPr>
          <w:sz w:val="20"/>
          <w:szCs w:val="20"/>
          <w:color w:val="auto"/>
        </w:rPr>
      </w:pPr>
      <w:r>
        <w:rPr>
          <w:rFonts w:ascii="Times New Roman" w:cs="Times New Roman" w:eastAsia="Times New Roman" w:hAnsi="Times New Roman"/>
          <w:sz w:val="19"/>
          <w:szCs w:val="19"/>
          <w:color w:val="231F20"/>
        </w:rPr>
        <w:t xml:space="preserve">SECTION 9.20 </w:t>
      </w:r>
      <w:r>
        <w:rPr>
          <w:rFonts w:ascii="Times New Roman" w:cs="Times New Roman" w:eastAsia="Times New Roman" w:hAnsi="Times New Roman"/>
          <w:sz w:val="19"/>
          <w:szCs w:val="19"/>
          <w:u w:val="single" w:color="auto"/>
          <w:color w:val="231F20"/>
        </w:rPr>
        <w:t>Acknowledgment Regarding any Supported QFCs</w:t>
      </w:r>
      <w:r>
        <w:rPr>
          <w:rFonts w:ascii="Times New Roman" w:cs="Times New Roman" w:eastAsia="Times New Roman" w:hAnsi="Times New Roman"/>
          <w:sz w:val="19"/>
          <w:szCs w:val="19"/>
          <w:color w:val="231F20"/>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9"/>
          <w:szCs w:val="19"/>
          <w:u w:val="single" w:color="auto"/>
          <w:color w:val="231F20"/>
        </w:rPr>
        <w:t>QFC Credit Support</w:t>
      </w:r>
      <w:r>
        <w:rPr>
          <w:rFonts w:ascii="Times New Roman" w:cs="Times New Roman" w:eastAsia="Times New Roman" w:hAnsi="Times New Roman"/>
          <w:sz w:val="19"/>
          <w:szCs w:val="19"/>
          <w:color w:val="231F20"/>
        </w:rPr>
        <w:t>” and each such QFC a “</w:t>
      </w:r>
      <w:r>
        <w:rPr>
          <w:rFonts w:ascii="Times New Roman" w:cs="Times New Roman" w:eastAsia="Times New Roman" w:hAnsi="Times New Roman"/>
          <w:sz w:val="19"/>
          <w:szCs w:val="19"/>
          <w:u w:val="single" w:color="auto"/>
          <w:color w:val="231F20"/>
        </w:rPr>
        <w:t>Supported QFC</w:t>
      </w:r>
      <w:r>
        <w:rPr>
          <w:rFonts w:ascii="Times New Roman" w:cs="Times New Roman" w:eastAsia="Times New Roman" w:hAnsi="Times New Roman"/>
          <w:sz w:val="19"/>
          <w:szCs w:val="19"/>
          <w:color w:val="231F20"/>
        </w:rPr>
        <w:t>”), the parties acknowledge and agree as follows with respect to the resolution power of the Federal Deposit Insurance Corporation under the Federal Deposit Insurance Act and Title</w:t>
      </w:r>
    </w:p>
    <w:p>
      <w:pPr>
        <w:spacing w:after="0" w:line="1" w:lineRule="exact"/>
        <w:rPr>
          <w:sz w:val="20"/>
          <w:szCs w:val="20"/>
          <w:color w:val="auto"/>
        </w:rPr>
      </w:pPr>
    </w:p>
    <w:p>
      <w:pPr>
        <w:jc w:val="both"/>
        <w:ind w:left="740" w:hanging="5"/>
        <w:spacing w:after="0" w:line="241" w:lineRule="auto"/>
        <w:tabs>
          <w:tab w:leader="none" w:pos="925" w:val="left"/>
        </w:tabs>
        <w:numPr>
          <w:ilvl w:val="0"/>
          <w:numId w:val="2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231F20"/>
        </w:rPr>
        <w:t>U.S. Special Resolution Regimes</w:t>
      </w:r>
      <w:r>
        <w:rPr>
          <w:rFonts w:ascii="Times New Roman" w:cs="Times New Roman" w:eastAsia="Times New Roman" w:hAnsi="Times New Roman"/>
          <w:sz w:val="20"/>
          <w:szCs w:val="20"/>
          <w:color w:val="231F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8" w:lineRule="exact"/>
        <w:rPr>
          <w:rFonts w:ascii="Times New Roman" w:cs="Times New Roman" w:eastAsia="Times New Roman" w:hAnsi="Times New Roman"/>
          <w:sz w:val="20"/>
          <w:szCs w:val="20"/>
          <w:color w:val="231F20"/>
        </w:rPr>
      </w:pPr>
    </w:p>
    <w:p>
      <w:pPr>
        <w:jc w:val="both"/>
        <w:ind w:left="740" w:firstLine="745"/>
        <w:spacing w:after="0" w:line="244" w:lineRule="auto"/>
        <w:tabs>
          <w:tab w:leader="none" w:pos="2008" w:val="left"/>
        </w:tabs>
        <w:numPr>
          <w:ilvl w:val="1"/>
          <w:numId w:val="2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the event a Covered Entity that is party to a Supported QFC (each, a “</w:t>
      </w:r>
      <w:r>
        <w:rPr>
          <w:rFonts w:ascii="Times New Roman" w:cs="Times New Roman" w:eastAsia="Times New Roman" w:hAnsi="Times New Roman"/>
          <w:sz w:val="20"/>
          <w:szCs w:val="20"/>
          <w:u w:val="single" w:color="auto"/>
          <w:color w:val="231F20"/>
        </w:rPr>
        <w:t>Covered Party</w:t>
      </w:r>
      <w:r>
        <w:rPr>
          <w:rFonts w:ascii="Times New Roman" w:cs="Times New Roman" w:eastAsia="Times New Roman" w:hAnsi="Times New Roman"/>
          <w:sz w:val="20"/>
          <w:szCs w:val="20"/>
          <w:color w:val="231F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w:t>
      </w:r>
    </w:p>
    <w:p>
      <w:pPr>
        <w:spacing w:after="0" w:line="185" w:lineRule="exact"/>
        <w:rPr>
          <w:rFonts w:ascii="Times New Roman" w:cs="Times New Roman" w:eastAsia="Times New Roman" w:hAnsi="Times New Roman"/>
          <w:sz w:val="20"/>
          <w:szCs w:val="20"/>
          <w:color w:val="231F20"/>
        </w:rPr>
      </w:pPr>
    </w:p>
    <w:p>
      <w:pPr>
        <w:jc w:val="both"/>
        <w:ind w:left="740" w:right="40" w:firstLine="745"/>
        <w:spacing w:after="0" w:line="246" w:lineRule="auto"/>
        <w:tabs>
          <w:tab w:leader="none" w:pos="2005" w:val="left"/>
        </w:tabs>
        <w:numPr>
          <w:ilvl w:val="1"/>
          <w:numId w:val="2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84" w:lineRule="exact"/>
        <w:rPr>
          <w:rFonts w:ascii="Times New Roman" w:cs="Times New Roman" w:eastAsia="Times New Roman" w:hAnsi="Times New Roman"/>
          <w:sz w:val="20"/>
          <w:szCs w:val="20"/>
          <w:color w:val="231F20"/>
        </w:rPr>
      </w:pPr>
    </w:p>
    <w:p>
      <w:pPr>
        <w:jc w:val="both"/>
        <w:ind w:left="740" w:right="40" w:firstLine="745"/>
        <w:spacing w:after="0" w:line="254" w:lineRule="auto"/>
        <w:tabs>
          <w:tab w:leader="none" w:pos="2005" w:val="left"/>
        </w:tabs>
        <w:numPr>
          <w:ilvl w:val="1"/>
          <w:numId w:val="2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267" w:name="page268"/>
    <w:bookmarkEnd w:id="267"/>
    <w:p>
      <w:pPr>
        <w:jc w:val="both"/>
        <w:ind w:left="740" w:right="20" w:firstLine="747"/>
        <w:spacing w:after="0"/>
        <w:rPr>
          <w:sz w:val="20"/>
          <w:szCs w:val="20"/>
          <w:color w:val="auto"/>
        </w:rPr>
      </w:pPr>
      <w:r>
        <w:rPr>
          <w:rFonts w:ascii="Times New Roman" w:cs="Times New Roman" w:eastAsia="Times New Roman" w:hAnsi="Times New Roman"/>
          <w:sz w:val="20"/>
          <w:szCs w:val="20"/>
          <w:color w:val="231F20"/>
        </w:rPr>
        <w:t xml:space="preserve">SECTION 9.21 </w:t>
      </w:r>
      <w:r>
        <w:rPr>
          <w:rFonts w:ascii="Times New Roman" w:cs="Times New Roman" w:eastAsia="Times New Roman" w:hAnsi="Times New Roman"/>
          <w:sz w:val="20"/>
          <w:szCs w:val="20"/>
          <w:u w:val="single" w:color="auto"/>
          <w:color w:val="231F20"/>
        </w:rPr>
        <w:t>Amendment and Restatement of Existing Credit Agreement</w:t>
      </w:r>
      <w:r>
        <w:rPr>
          <w:rFonts w:ascii="Times New Roman" w:cs="Times New Roman" w:eastAsia="Times New Roman" w:hAnsi="Times New Roman"/>
          <w:sz w:val="20"/>
          <w:szCs w:val="20"/>
          <w:color w:val="231F20"/>
        </w:rPr>
        <w:t xml:space="preserve">. The parties to this Agreement agree that, on the Effective Date, the terms and provisions of the Existing Credit Agreement shall be and hereby are amended, superseded and restated in their entirety by the terms and provisions of this Agreement. This Agreement is not intended to and shall not constitute a novation. All loans made and obligations incurred under the Existing Credit Agreement which are outstanding on the Effective Date shall continue as Loans and Secured Obligations under (and shall be governed by the terms of) this Agreement and the other Loan Documents. Without limiting the foregoing, upon the effectiveness hereof: (a) all references in the “Loan Documents” (as defined in the Existing Credit Agreement) to the “Administrative Agent,” the “Credit Agreement” and the “Loan Documents” shall be deemed to refer to the Administrative Agent, this Agreement and the Loan Documents, (b) all obligations constituting “Obligations” with any Lender or any Affiliate of any Lender which are outstanding on the Effective Date shall continue as Obligations under this Agreement and the other Loan Documents, (c) the liens and security interests in favor of the Administrative Agent for the benefit of the Secured Parties securing payment of the Secured Obligations (and all filings with any Governmental Authority in connection therewith) are in all respects continuing and in full force and effect with respect to all Secured Obligations, (d) the Administrative Agent shall, in consultation with the Borrower, make such reallocations, sales, assignments or other relevant actions in respect of each Lender’s credit and loan exposure under the Existing Credit Agreement as are necessary in the judgment of the Administrative Agent in order that each such Lender’s outstanding Revolving Credit Loans hereunder reflect such Lender’s ratable share of the outstanding Revolving Credit Loans on the Effective Date, (e) [reserved], (f) the Loan Parties hereby agree to compensate each Lender for any and all losses, costs and expenses incurred by such Lender in connection with the sale and assignment of any Term SOFR Loans and such reallocation described above, in each case, on the terms and in the manner set forth in </w:t>
      </w:r>
      <w:r>
        <w:rPr>
          <w:rFonts w:ascii="Times New Roman" w:cs="Times New Roman" w:eastAsia="Times New Roman" w:hAnsi="Times New Roman"/>
          <w:sz w:val="20"/>
          <w:szCs w:val="20"/>
          <w:u w:val="single" w:color="auto"/>
          <w:color w:val="231F20"/>
        </w:rPr>
        <w:t>Section 2.16</w:t>
      </w:r>
      <w:r>
        <w:rPr>
          <w:rFonts w:ascii="Times New Roman" w:cs="Times New Roman" w:eastAsia="Times New Roman" w:hAnsi="Times New Roman"/>
          <w:sz w:val="20"/>
          <w:szCs w:val="20"/>
          <w:color w:val="231F20"/>
        </w:rPr>
        <w:t xml:space="preserve"> of the Existing Credit Agreement, and (g) each of the Loan Parties reaffirms the terms and conditions of the “Loan Documents” (as referred to and defined in the Existing Credit Agreement) executed by it, as modified and/or restated by the Loan Documents, and acknowledges and agrees that each “Loan Document” (as referred to and defined in the Existing Credit Agreement) executed by it, as modified and/or restated by the Loan Documents, remains in full force and effect and is hereby ratified, reaffirmed and confirmed.</w:t>
      </w: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231F20"/>
        </w:rPr>
        <w:t>ARTICLE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3756660</wp:posOffset>
            </wp:positionH>
            <wp:positionV relativeFrom="paragraph">
              <wp:posOffset>-10795</wp:posOffset>
            </wp:positionV>
            <wp:extent cx="10096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00965" cy="8890"/>
                    </a:xfrm>
                    <a:prstGeom prst="rect">
                      <a:avLst/>
                    </a:prstGeom>
                    <a:noFill/>
                  </pic:spPr>
                </pic:pic>
              </a:graphicData>
            </a:graphic>
          </wp:anchor>
        </w:drawing>
      </w:r>
    </w:p>
    <w:p>
      <w:pPr>
        <w:spacing w:after="0" w:line="20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u w:val="single" w:color="auto"/>
          <w:color w:val="231F20"/>
        </w:rPr>
        <w:t>LOAN GUARANTY</w:t>
      </w:r>
    </w:p>
    <w:p>
      <w:pPr>
        <w:spacing w:after="0" w:line="216"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231F20"/>
        </w:rPr>
        <w:t xml:space="preserve">SECTION 10.01 </w:t>
      </w:r>
      <w:r>
        <w:rPr>
          <w:rFonts w:ascii="Times New Roman" w:cs="Times New Roman" w:eastAsia="Times New Roman" w:hAnsi="Times New Roman"/>
          <w:sz w:val="20"/>
          <w:szCs w:val="20"/>
          <w:u w:val="single" w:color="auto"/>
          <w:color w:val="231F20"/>
        </w:rPr>
        <w:t>Guaranty</w:t>
      </w:r>
      <w:r>
        <w:rPr>
          <w:rFonts w:ascii="Times New Roman" w:cs="Times New Roman" w:eastAsia="Times New Roman" w:hAnsi="Times New Roman"/>
          <w:sz w:val="20"/>
          <w:szCs w:val="20"/>
          <w:color w:val="231F20"/>
        </w:rPr>
        <w:t>. Each Loan Guarantor (other than those that have delivered a separate guaranty with respect to the Guaranteed Obligations)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and expenses paid or incurred by the Administrative Agent, the Issuing Banks and the Lenders in endeavoring to collect all or any part of the Secured Obligations from, or in prosecuting any action against, the Borrower, any Loan Guarantor or any other guarantor of all or any part of the Secured Obligations (such costs and expenses, together with the Secured Obligations, collectively the “</w:t>
      </w:r>
      <w:r>
        <w:rPr>
          <w:rFonts w:ascii="Times New Roman" w:cs="Times New Roman" w:eastAsia="Times New Roman" w:hAnsi="Times New Roman"/>
          <w:sz w:val="20"/>
          <w:szCs w:val="20"/>
          <w:u w:val="single" w:color="auto"/>
          <w:color w:val="231F20"/>
        </w:rPr>
        <w:t>Guaranteed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Obligations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however</w:t>
      </w:r>
      <w:r>
        <w:rPr>
          <w:rFonts w:ascii="Times New Roman" w:cs="Times New Roman" w:eastAsia="Times New Roman" w:hAnsi="Times New Roman"/>
          <w:sz w:val="20"/>
          <w:szCs w:val="20"/>
          <w:color w:val="231F20"/>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68" w:name="page269"/>
    <w:bookmarkEnd w:id="268"/>
    <w:p>
      <w:pPr>
        <w:ind w:left="740" w:right="100"/>
        <w:spacing w:after="0" w:line="269" w:lineRule="auto"/>
        <w:rPr>
          <w:sz w:val="20"/>
          <w:szCs w:val="20"/>
          <w:color w:val="auto"/>
        </w:rPr>
      </w:pPr>
      <w:r>
        <w:rPr>
          <w:rFonts w:ascii="Times New Roman" w:cs="Times New Roman" w:eastAsia="Times New Roman" w:hAnsi="Times New Roman"/>
          <w:sz w:val="20"/>
          <w:szCs w:val="20"/>
          <w:color w:val="231F20"/>
        </w:rPr>
        <w:t>may be enforced by or on behalf of any domestic or foreign branch or Affiliate of any Lender that extended any portion of the Guaranteed Obligations.</w:t>
      </w:r>
    </w:p>
    <w:p>
      <w:pPr>
        <w:spacing w:after="0" w:line="159"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231F20"/>
        </w:rPr>
        <w:t xml:space="preserve">SECTION 10.02 </w:t>
      </w:r>
      <w:r>
        <w:rPr>
          <w:rFonts w:ascii="Times New Roman" w:cs="Times New Roman" w:eastAsia="Times New Roman" w:hAnsi="Times New Roman"/>
          <w:sz w:val="20"/>
          <w:szCs w:val="20"/>
          <w:u w:val="single" w:color="auto"/>
          <w:color w:val="231F20"/>
        </w:rPr>
        <w:t>Guaranty of Payment</w:t>
      </w:r>
      <w:r>
        <w:rPr>
          <w:rFonts w:ascii="Times New Roman" w:cs="Times New Roman" w:eastAsia="Times New Roman" w:hAnsi="Times New Roman"/>
          <w:sz w:val="20"/>
          <w:szCs w:val="20"/>
          <w:color w:val="231F20"/>
        </w:rPr>
        <w:t>. This Loan Guaranty is a guaranty of payment and not of collection. Each Loan Guarantor waives any right to require the Administrative Agent, any Issuing Bank or any Lender to sue the Borrower, any Loan Guarantor, any other guarantor, or any other Person obligated for all or any part of the Guaranteed Obligations (each, an “</w:t>
      </w:r>
      <w:r>
        <w:rPr>
          <w:rFonts w:ascii="Times New Roman" w:cs="Times New Roman" w:eastAsia="Times New Roman" w:hAnsi="Times New Roman"/>
          <w:sz w:val="20"/>
          <w:szCs w:val="20"/>
          <w:u w:val="single" w:color="auto"/>
          <w:color w:val="231F20"/>
        </w:rPr>
        <w:t>Obligated Party</w:t>
      </w:r>
      <w:r>
        <w:rPr>
          <w:rFonts w:ascii="Times New Roman" w:cs="Times New Roman" w:eastAsia="Times New Roman" w:hAnsi="Times New Roman"/>
          <w:sz w:val="20"/>
          <w:szCs w:val="20"/>
          <w:color w:val="231F20"/>
        </w:rPr>
        <w:t>”), or otherwise to enforce its payment against any collateral securing all or any part of the Guaranteed Obligations.</w:t>
      </w:r>
    </w:p>
    <w:p>
      <w:pPr>
        <w:spacing w:after="0" w:line="185"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10.03</w:t>
      </w:r>
      <w:r>
        <w:rPr>
          <w:sz w:val="20"/>
          <w:szCs w:val="20"/>
          <w:color w:val="auto"/>
        </w:rPr>
        <w:tab/>
      </w:r>
      <w:r>
        <w:rPr>
          <w:rFonts w:ascii="Times New Roman" w:cs="Times New Roman" w:eastAsia="Times New Roman" w:hAnsi="Times New Roman"/>
          <w:sz w:val="19"/>
          <w:szCs w:val="19"/>
          <w:u w:val="single" w:color="auto"/>
          <w:color w:val="231F20"/>
        </w:rPr>
        <w:t>No Discharge or Diminishment of Loan Guaranty</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firstLine="745"/>
        <w:spacing w:after="0" w:line="256" w:lineRule="auto"/>
        <w:tabs>
          <w:tab w:leader="none" w:pos="2006" w:val="left"/>
        </w:tabs>
        <w:numPr>
          <w:ilvl w:val="1"/>
          <w:numId w:val="25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Except as otherwise provided for herein, to the fullest extent permitted by applicable law, the obligations of each Loan Guarantor hereunder are unconditional and absolute and not subject to any reduction, limitation, impairment or termination for any reason (other than Payment in Full), and the cash collateralization of all Unliquidated Obligations in a manner satisfactory to each affected Lender),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any Issuing Bank, any Lender, or any other Person, whether in connection herewith or in any unrelated transactions.</w:t>
      </w:r>
    </w:p>
    <w:p>
      <w:pPr>
        <w:spacing w:after="0" w:line="180" w:lineRule="exact"/>
        <w:rPr>
          <w:rFonts w:ascii="Times New Roman" w:cs="Times New Roman" w:eastAsia="Times New Roman" w:hAnsi="Times New Roman"/>
          <w:sz w:val="19"/>
          <w:szCs w:val="19"/>
          <w:color w:val="231F20"/>
        </w:rPr>
      </w:pPr>
    </w:p>
    <w:p>
      <w:pPr>
        <w:jc w:val="both"/>
        <w:ind w:left="740" w:firstLine="745"/>
        <w:spacing w:after="0" w:line="249" w:lineRule="auto"/>
        <w:tabs>
          <w:tab w:leader="none" w:pos="2006" w:val="left"/>
        </w:tabs>
        <w:numPr>
          <w:ilvl w:val="1"/>
          <w:numId w:val="2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 the fullest extent permitted by applicable law,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79" w:lineRule="exact"/>
        <w:rPr>
          <w:rFonts w:ascii="Times New Roman" w:cs="Times New Roman" w:eastAsia="Times New Roman" w:hAnsi="Times New Roman"/>
          <w:sz w:val="20"/>
          <w:szCs w:val="20"/>
          <w:color w:val="231F20"/>
        </w:rPr>
      </w:pPr>
    </w:p>
    <w:p>
      <w:pPr>
        <w:jc w:val="both"/>
        <w:ind w:left="740" w:firstLine="745"/>
        <w:spacing w:after="0" w:line="247" w:lineRule="auto"/>
        <w:tabs>
          <w:tab w:leader="none" w:pos="2006" w:val="left"/>
        </w:tabs>
        <w:numPr>
          <w:ilvl w:val="1"/>
          <w:numId w:val="2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Further, to the fullest extent permitted by applicable law, the obligations of any Loan Guarantor hereunder are not discharged or impaired or otherwise affected by: (i) the failure of the Administrative Agent, any Issuing Bank or any Lender to assert any claim or demand or to enforce any remedy with respect to all or any part of the Guaranteed Obligations;</w:t>
      </w:r>
    </w:p>
    <w:p>
      <w:pPr>
        <w:jc w:val="both"/>
        <w:ind w:left="740" w:hanging="3"/>
        <w:spacing w:after="0"/>
        <w:tabs>
          <w:tab w:leader="none" w:pos="1053" w:val="left"/>
        </w:tabs>
        <w:numPr>
          <w:ilvl w:val="0"/>
          <w:numId w:val="2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any waiver or modification of or supplement to any provision of any agreement relating to the Guaranteed Obligations (including, without limitation, any Conforming Changes or any other modifications or other amendments delivered or otherwise implemented or effected (automatically or otherwise) in accordance with or in furtherance of </w:t>
      </w:r>
      <w:r>
        <w:rPr>
          <w:rFonts w:ascii="Times New Roman" w:cs="Times New Roman" w:eastAsia="Times New Roman" w:hAnsi="Times New Roman"/>
          <w:sz w:val="20"/>
          <w:szCs w:val="20"/>
          <w:u w:val="single" w:color="auto"/>
          <w:color w:val="231F20"/>
        </w:rPr>
        <w:t>Section 2.25</w:t>
      </w:r>
      <w:r>
        <w:rPr>
          <w:rFonts w:ascii="Times New Roman" w:cs="Times New Roman" w:eastAsia="Times New Roman" w:hAnsi="Times New Roman"/>
          <w:sz w:val="20"/>
          <w:szCs w:val="20"/>
          <w:color w:val="231F20"/>
        </w:rPr>
        <w:t>);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any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Payment in Full).</w:t>
      </w:r>
    </w:p>
    <w:p>
      <w:pPr>
        <w:spacing w:after="0" w:line="189" w:lineRule="exact"/>
        <w:rPr>
          <w:sz w:val="20"/>
          <w:szCs w:val="20"/>
          <w:color w:val="auto"/>
        </w:rPr>
      </w:pPr>
    </w:p>
    <w:p>
      <w:pPr>
        <w:jc w:val="both"/>
        <w:ind w:left="740" w:right="20" w:firstLine="749"/>
        <w:spacing w:after="0" w:line="263" w:lineRule="auto"/>
        <w:rPr>
          <w:sz w:val="20"/>
          <w:szCs w:val="20"/>
          <w:color w:val="auto"/>
        </w:rPr>
      </w:pPr>
      <w:r>
        <w:rPr>
          <w:rFonts w:ascii="Times New Roman" w:cs="Times New Roman" w:eastAsia="Times New Roman" w:hAnsi="Times New Roman"/>
          <w:sz w:val="19"/>
          <w:szCs w:val="19"/>
          <w:color w:val="231F20"/>
        </w:rPr>
        <w:t xml:space="preserve">SECTION 10.04 </w:t>
      </w:r>
      <w:r>
        <w:rPr>
          <w:rFonts w:ascii="Times New Roman" w:cs="Times New Roman" w:eastAsia="Times New Roman" w:hAnsi="Times New Roman"/>
          <w:sz w:val="19"/>
          <w:szCs w:val="19"/>
          <w:u w:val="single" w:color="auto"/>
          <w:color w:val="231F20"/>
        </w:rPr>
        <w:t>Defenses Waived</w:t>
      </w:r>
      <w:r>
        <w:rPr>
          <w:rFonts w:ascii="Times New Roman" w:cs="Times New Roman" w:eastAsia="Times New Roman" w:hAnsi="Times New Roman"/>
          <w:sz w:val="19"/>
          <w:szCs w:val="19"/>
          <w:color w:val="231F20"/>
        </w:rPr>
        <w:t>. To the fullest extent permitted by applicable law, each Loan Guarantor hereby waives any defense 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Payment in Full. Without limiting the generality of the foregoing, each Loan Guarantor irrevocably waives acceptance hereof, presentment, demand, protest and, to the fullest extent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291" w:right="759" w:bottom="1440" w:gutter="0" w:footer="0" w:header="0"/>
        </w:sectPr>
      </w:pPr>
    </w:p>
    <w:bookmarkStart w:id="269" w:name="page270"/>
    <w:bookmarkEnd w:id="269"/>
    <w:p>
      <w:pPr>
        <w:jc w:val="both"/>
        <w:ind w:left="740" w:right="20"/>
        <w:spacing w:after="0" w:line="256" w:lineRule="auto"/>
        <w:rPr>
          <w:sz w:val="20"/>
          <w:szCs w:val="20"/>
          <w:color w:val="auto"/>
        </w:rPr>
      </w:pPr>
      <w:r>
        <w:rPr>
          <w:rFonts w:ascii="Times New Roman" w:cs="Times New Roman" w:eastAsia="Times New Roman" w:hAnsi="Times New Roman"/>
          <w:sz w:val="19"/>
          <w:szCs w:val="19"/>
          <w:color w:val="231F20"/>
        </w:rPr>
        <w:t>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77" w:lineRule="exact"/>
        <w:rPr>
          <w:sz w:val="20"/>
          <w:szCs w:val="20"/>
          <w:color w:val="auto"/>
        </w:rPr>
      </w:pPr>
    </w:p>
    <w:p>
      <w:pPr>
        <w:jc w:val="both"/>
        <w:ind w:left="740" w:right="60" w:firstLine="747"/>
        <w:spacing w:after="0" w:line="254" w:lineRule="auto"/>
        <w:rPr>
          <w:sz w:val="20"/>
          <w:szCs w:val="20"/>
          <w:color w:val="auto"/>
        </w:rPr>
      </w:pPr>
      <w:r>
        <w:rPr>
          <w:rFonts w:ascii="Times New Roman" w:cs="Times New Roman" w:eastAsia="Times New Roman" w:hAnsi="Times New Roman"/>
          <w:sz w:val="20"/>
          <w:szCs w:val="20"/>
          <w:color w:val="231F20"/>
        </w:rPr>
        <w:t xml:space="preserve">SECTION 10.05 </w:t>
      </w:r>
      <w:r>
        <w:rPr>
          <w:rFonts w:ascii="Times New Roman" w:cs="Times New Roman" w:eastAsia="Times New Roman" w:hAnsi="Times New Roman"/>
          <w:sz w:val="20"/>
          <w:szCs w:val="20"/>
          <w:u w:val="single" w:color="auto"/>
          <w:color w:val="231F20"/>
        </w:rPr>
        <w:t>Rights of Subrogation</w:t>
      </w:r>
      <w:r>
        <w:rPr>
          <w:rFonts w:ascii="Times New Roman" w:cs="Times New Roman" w:eastAsia="Times New Roman" w:hAnsi="Times New Roman"/>
          <w:sz w:val="20"/>
          <w:szCs w:val="20"/>
          <w:color w:val="231F20"/>
        </w:rPr>
        <w:t>. No Loan Guarantor will assert any right, claim or cause of action, including, without limitation, a claim of subrogation, contribution or indemnification that it has against any Obligated Party, or any collateral, until Payment in Full.</w:t>
      </w:r>
    </w:p>
    <w:p>
      <w:pPr>
        <w:spacing w:after="0" w:line="174"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color w:val="231F20"/>
        </w:rPr>
        <w:t xml:space="preserve">SECTION 10.06 </w:t>
      </w:r>
      <w:r>
        <w:rPr>
          <w:rFonts w:ascii="Times New Roman" w:cs="Times New Roman" w:eastAsia="Times New Roman" w:hAnsi="Times New Roman"/>
          <w:sz w:val="20"/>
          <w:szCs w:val="20"/>
          <w:u w:val="single" w:color="auto"/>
          <w:color w:val="231F20"/>
        </w:rPr>
        <w:t>Reinstatement; Stay of Acceleration</w:t>
      </w:r>
      <w:r>
        <w:rPr>
          <w:rFonts w:ascii="Times New Roman" w:cs="Times New Roman" w:eastAsia="Times New Roman" w:hAnsi="Times New Roman"/>
          <w:sz w:val="20"/>
          <w:szCs w:val="20"/>
          <w:color w:val="231F20"/>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any Secured Party in its discretion), each Loan Guarantor’s obligations under this Loan Guaranty with respect to that payment shall be reinstated at such time as though the payment had not been made and whether or not the Administrative Agent, the Issuing Banks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Administrative Agent.</w:t>
      </w:r>
    </w:p>
    <w:p>
      <w:pPr>
        <w:spacing w:after="0" w:line="186" w:lineRule="exact"/>
        <w:rPr>
          <w:sz w:val="20"/>
          <w:szCs w:val="20"/>
          <w:color w:val="auto"/>
        </w:rPr>
      </w:pPr>
    </w:p>
    <w:p>
      <w:pPr>
        <w:jc w:val="both"/>
        <w:ind w:left="740" w:right="60" w:firstLine="749"/>
        <w:spacing w:after="0" w:line="246" w:lineRule="auto"/>
        <w:rPr>
          <w:sz w:val="20"/>
          <w:szCs w:val="20"/>
          <w:color w:val="auto"/>
        </w:rPr>
      </w:pPr>
      <w:r>
        <w:rPr>
          <w:rFonts w:ascii="Times New Roman" w:cs="Times New Roman" w:eastAsia="Times New Roman" w:hAnsi="Times New Roman"/>
          <w:sz w:val="20"/>
          <w:szCs w:val="20"/>
          <w:color w:val="231F20"/>
        </w:rPr>
        <w:t xml:space="preserve">SECTION 10.07 </w:t>
      </w:r>
      <w:r>
        <w:rPr>
          <w:rFonts w:ascii="Times New Roman" w:cs="Times New Roman" w:eastAsia="Times New Roman" w:hAnsi="Times New Roman"/>
          <w:sz w:val="20"/>
          <w:szCs w:val="20"/>
          <w:u w:val="single" w:color="auto"/>
          <w:color w:val="231F20"/>
        </w:rPr>
        <w:t>Information</w:t>
      </w:r>
      <w:r>
        <w:rPr>
          <w:rFonts w:ascii="Times New Roman" w:cs="Times New Roman" w:eastAsia="Times New Roman" w:hAnsi="Times New Roman"/>
          <w:sz w:val="20"/>
          <w:szCs w:val="20"/>
          <w:color w:val="231F20"/>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neither the Administrative Agent nor any Issuing Bank nor any Lender shall have any duty to advise any Loan Guarantor of information known to it regarding those circumstances or risks.</w:t>
      </w:r>
    </w:p>
    <w:p>
      <w:pPr>
        <w:spacing w:after="0" w:line="185"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color w:val="231F20"/>
        </w:rPr>
        <w:t xml:space="preserve">SECTION 10.08 </w:t>
      </w:r>
      <w:r>
        <w:rPr>
          <w:rFonts w:ascii="Times New Roman" w:cs="Times New Roman" w:eastAsia="Times New Roman" w:hAnsi="Times New Roman"/>
          <w:sz w:val="20"/>
          <w:szCs w:val="20"/>
          <w:u w:val="single" w:color="auto"/>
          <w:color w:val="231F20"/>
        </w:rPr>
        <w:t>Termination</w:t>
      </w:r>
      <w:r>
        <w:rPr>
          <w:rFonts w:ascii="Times New Roman" w:cs="Times New Roman" w:eastAsia="Times New Roman" w:hAnsi="Times New Roman"/>
          <w:sz w:val="20"/>
          <w:szCs w:val="20"/>
          <w:color w:val="231F20"/>
        </w:rPr>
        <w:t xml:space="preserve">. Each of the Lenders and the Issuing Bank may continue to make loans or extend credit to the Borrower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the Guaranteed Obligations. Nothing in this </w:t>
      </w:r>
      <w:r>
        <w:rPr>
          <w:rFonts w:ascii="Times New Roman" w:cs="Times New Roman" w:eastAsia="Times New Roman" w:hAnsi="Times New Roman"/>
          <w:sz w:val="20"/>
          <w:szCs w:val="20"/>
          <w:u w:val="single" w:color="auto"/>
          <w:color w:val="231F20"/>
        </w:rPr>
        <w:t>Section 10.08</w:t>
      </w:r>
      <w:r>
        <w:rPr>
          <w:rFonts w:ascii="Times New Roman" w:cs="Times New Roman" w:eastAsia="Times New Roman" w:hAnsi="Times New Roman"/>
          <w:sz w:val="20"/>
          <w:szCs w:val="20"/>
          <w:color w:val="231F20"/>
        </w:rPr>
        <w:t xml:space="preserve"> shall be deemed to constitute a waiver of, or eliminate, limit, reduce or otherwise impair any rights or remedies the Administrative Agent or any Lender may have in respect of, any Default or Event of Default that shall exist under </w:t>
      </w:r>
      <w:r>
        <w:rPr>
          <w:rFonts w:ascii="Times New Roman" w:cs="Times New Roman" w:eastAsia="Times New Roman" w:hAnsi="Times New Roman"/>
          <w:sz w:val="20"/>
          <w:szCs w:val="20"/>
          <w:u w:val="single" w:color="auto"/>
          <w:color w:val="231F20"/>
        </w:rPr>
        <w:t>clause (o)</w:t>
      </w:r>
      <w:r>
        <w:rPr>
          <w:rFonts w:ascii="Times New Roman" w:cs="Times New Roman" w:eastAsia="Times New Roman" w:hAnsi="Times New Roman"/>
          <w:sz w:val="20"/>
          <w:szCs w:val="20"/>
          <w:color w:val="231F20"/>
        </w:rPr>
        <w:t xml:space="preserve"> of </w:t>
      </w:r>
      <w:r>
        <w:rPr>
          <w:rFonts w:ascii="Times New Roman" w:cs="Times New Roman" w:eastAsia="Times New Roman" w:hAnsi="Times New Roman"/>
          <w:sz w:val="20"/>
          <w:szCs w:val="20"/>
          <w:u w:val="single" w:color="auto"/>
          <w:color w:val="231F20"/>
        </w:rPr>
        <w:t>Article VII</w:t>
      </w:r>
      <w:r>
        <w:rPr>
          <w:rFonts w:ascii="Times New Roman" w:cs="Times New Roman" w:eastAsia="Times New Roman" w:hAnsi="Times New Roman"/>
          <w:sz w:val="20"/>
          <w:szCs w:val="20"/>
          <w:color w:val="231F20"/>
        </w:rPr>
        <w:t xml:space="preserve"> hereof as a result of any such notice of termination.</w:t>
      </w:r>
    </w:p>
    <w:p>
      <w:pPr>
        <w:spacing w:after="0" w:line="189"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10.09</w:t>
      </w:r>
      <w:r>
        <w:rPr>
          <w:sz w:val="20"/>
          <w:szCs w:val="20"/>
          <w:color w:val="auto"/>
        </w:rPr>
        <w:tab/>
      </w: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u w:val="single" w:color="auto"/>
          <w:color w:val="231F20"/>
        </w:rPr>
        <w:t>Reserved</w:t>
      </w:r>
      <w:r>
        <w:rPr>
          <w:rFonts w:ascii="Times New Roman" w:cs="Times New Roman" w:eastAsia="Times New Roman" w:hAnsi="Times New Roman"/>
          <w:sz w:val="19"/>
          <w:szCs w:val="19"/>
          <w:color w:val="231F20"/>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70" w:name="page271"/>
    <w:bookmarkEnd w:id="270"/>
    <w:p>
      <w:pPr>
        <w:jc w:val="both"/>
        <w:ind w:left="740" w:right="20" w:firstLine="749"/>
        <w:spacing w:after="0" w:line="244" w:lineRule="auto"/>
        <w:rPr>
          <w:sz w:val="20"/>
          <w:szCs w:val="20"/>
          <w:color w:val="auto"/>
        </w:rPr>
      </w:pPr>
      <w:r>
        <w:rPr>
          <w:rFonts w:ascii="Times New Roman" w:cs="Times New Roman" w:eastAsia="Times New Roman" w:hAnsi="Times New Roman"/>
          <w:sz w:val="20"/>
          <w:szCs w:val="20"/>
          <w:color w:val="231F20"/>
        </w:rPr>
        <w:t xml:space="preserve">SECTION 10.10 </w:t>
      </w:r>
      <w:r>
        <w:rPr>
          <w:rFonts w:ascii="Times New Roman" w:cs="Times New Roman" w:eastAsia="Times New Roman" w:hAnsi="Times New Roman"/>
          <w:sz w:val="20"/>
          <w:szCs w:val="20"/>
          <w:u w:val="single" w:color="auto"/>
          <w:color w:val="231F20"/>
        </w:rPr>
        <w:t>Maximum Liability</w:t>
      </w:r>
      <w:r>
        <w:rPr>
          <w:rFonts w:ascii="Times New Roman" w:cs="Times New Roman" w:eastAsia="Times New Roman" w:hAnsi="Times New Roman"/>
          <w:sz w:val="20"/>
          <w:szCs w:val="20"/>
          <w:color w:val="231F20"/>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86" w:lineRule="exact"/>
        <w:rPr>
          <w:sz w:val="20"/>
          <w:szCs w:val="20"/>
          <w:color w:val="auto"/>
        </w:rPr>
      </w:pPr>
    </w:p>
    <w:p>
      <w:pPr>
        <w:ind w:left="1480"/>
        <w:spacing w:after="0"/>
        <w:tabs>
          <w:tab w:leader="none" w:pos="3040" w:val="left"/>
        </w:tabs>
        <w:rPr>
          <w:sz w:val="20"/>
          <w:szCs w:val="20"/>
          <w:color w:val="auto"/>
        </w:rPr>
      </w:pPr>
      <w:r>
        <w:rPr>
          <w:rFonts w:ascii="Times New Roman" w:cs="Times New Roman" w:eastAsia="Times New Roman" w:hAnsi="Times New Roman"/>
          <w:sz w:val="20"/>
          <w:szCs w:val="20"/>
          <w:color w:val="231F20"/>
        </w:rPr>
        <w:t>SECTION 10.11</w:t>
      </w:r>
      <w:r>
        <w:rPr>
          <w:sz w:val="20"/>
          <w:szCs w:val="20"/>
          <w:color w:val="auto"/>
        </w:rPr>
        <w:tab/>
      </w:r>
      <w:r>
        <w:rPr>
          <w:rFonts w:ascii="Times New Roman" w:cs="Times New Roman" w:eastAsia="Times New Roman" w:hAnsi="Times New Roman"/>
          <w:sz w:val="19"/>
          <w:szCs w:val="19"/>
          <w:u w:val="single" w:color="auto"/>
          <w:color w:val="231F20"/>
        </w:rPr>
        <w:t>Contribution</w:t>
      </w:r>
      <w:r>
        <w:rPr>
          <w:rFonts w:ascii="Times New Roman" w:cs="Times New Roman" w:eastAsia="Times New Roman" w:hAnsi="Times New Roman"/>
          <w:sz w:val="19"/>
          <w:szCs w:val="19"/>
          <w:color w:val="231F20"/>
        </w:rPr>
        <w:t>.</w:t>
      </w:r>
    </w:p>
    <w:p>
      <w:pPr>
        <w:spacing w:after="0" w:line="216" w:lineRule="exact"/>
        <w:rPr>
          <w:sz w:val="20"/>
          <w:szCs w:val="20"/>
          <w:color w:val="auto"/>
        </w:rPr>
      </w:pPr>
    </w:p>
    <w:p>
      <w:pPr>
        <w:jc w:val="both"/>
        <w:ind w:left="740" w:firstLine="745"/>
        <w:spacing w:after="0" w:line="243" w:lineRule="auto"/>
        <w:tabs>
          <w:tab w:leader="none" w:pos="2008" w:val="left"/>
        </w:tabs>
        <w:numPr>
          <w:ilvl w:val="0"/>
          <w:numId w:val="2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 the extent that any Loan Guarantor shall make a payment under this Loan Guaranty (a “</w:t>
      </w:r>
      <w:r>
        <w:rPr>
          <w:rFonts w:ascii="Times New Roman" w:cs="Times New Roman" w:eastAsia="Times New Roman" w:hAnsi="Times New Roman"/>
          <w:sz w:val="20"/>
          <w:szCs w:val="20"/>
          <w:u w:val="single" w:color="auto"/>
          <w:color w:val="231F20"/>
        </w:rPr>
        <w:t>Guarantor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Payment</w:t>
      </w:r>
      <w:r>
        <w:rPr>
          <w:rFonts w:ascii="Times New Roman" w:cs="Times New Roman" w:eastAsia="Times New Roman" w:hAnsi="Times New Roman"/>
          <w:sz w:val="20"/>
          <w:szCs w:val="20"/>
          <w:color w:val="231F20"/>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Payment in Full,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85" w:lineRule="exact"/>
        <w:rPr>
          <w:rFonts w:ascii="Times New Roman" w:cs="Times New Roman" w:eastAsia="Times New Roman" w:hAnsi="Times New Roman"/>
          <w:sz w:val="20"/>
          <w:szCs w:val="20"/>
          <w:color w:val="231F20"/>
        </w:rPr>
      </w:pPr>
    </w:p>
    <w:p>
      <w:pPr>
        <w:jc w:val="both"/>
        <w:ind w:left="740" w:right="20" w:firstLine="745"/>
        <w:spacing w:after="0" w:line="263" w:lineRule="auto"/>
        <w:tabs>
          <w:tab w:leader="none" w:pos="2006" w:val="left"/>
        </w:tabs>
        <w:numPr>
          <w:ilvl w:val="0"/>
          <w:numId w:val="26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As of any date of determination, the “</w:t>
      </w:r>
      <w:r>
        <w:rPr>
          <w:rFonts w:ascii="Times New Roman" w:cs="Times New Roman" w:eastAsia="Times New Roman" w:hAnsi="Times New Roman"/>
          <w:sz w:val="19"/>
          <w:szCs w:val="19"/>
          <w:u w:val="single" w:color="auto"/>
          <w:color w:val="231F20"/>
        </w:rPr>
        <w:t>Allocable Amount</w:t>
      </w:r>
      <w:r>
        <w:rPr>
          <w:rFonts w:ascii="Times New Roman" w:cs="Times New Roman" w:eastAsia="Times New Roman" w:hAnsi="Times New Roman"/>
          <w:sz w:val="19"/>
          <w:szCs w:val="19"/>
          <w:color w:val="231F20"/>
        </w:rPr>
        <w: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66" w:lineRule="exact"/>
        <w:rPr>
          <w:rFonts w:ascii="Times New Roman" w:cs="Times New Roman" w:eastAsia="Times New Roman" w:hAnsi="Times New Roman"/>
          <w:sz w:val="19"/>
          <w:szCs w:val="19"/>
          <w:color w:val="231F20"/>
        </w:rPr>
      </w:pPr>
    </w:p>
    <w:p>
      <w:pPr>
        <w:jc w:val="both"/>
        <w:ind w:left="740" w:right="40" w:firstLine="745"/>
        <w:spacing w:after="0" w:line="254" w:lineRule="auto"/>
        <w:tabs>
          <w:tab w:leader="none" w:pos="2005" w:val="left"/>
        </w:tabs>
        <w:numPr>
          <w:ilvl w:val="0"/>
          <w:numId w:val="2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This </w:t>
      </w:r>
      <w:r>
        <w:rPr>
          <w:rFonts w:ascii="Times New Roman" w:cs="Times New Roman" w:eastAsia="Times New Roman" w:hAnsi="Times New Roman"/>
          <w:sz w:val="20"/>
          <w:szCs w:val="20"/>
          <w:u w:val="single" w:color="auto"/>
          <w:color w:val="231F20"/>
        </w:rPr>
        <w:t>Section 10.11</w:t>
      </w:r>
      <w:r>
        <w:rPr>
          <w:rFonts w:ascii="Times New Roman" w:cs="Times New Roman" w:eastAsia="Times New Roman" w:hAnsi="Times New Roman"/>
          <w:sz w:val="20"/>
          <w:szCs w:val="20"/>
          <w:color w:val="231F20"/>
        </w:rPr>
        <w:t xml:space="preserve"> is intended only to define the relative rights of the Loan Guarantors, and nothing set forth in this </w:t>
      </w:r>
      <w:r>
        <w:rPr>
          <w:rFonts w:ascii="Times New Roman" w:cs="Times New Roman" w:eastAsia="Times New Roman" w:hAnsi="Times New Roman"/>
          <w:sz w:val="20"/>
          <w:szCs w:val="20"/>
          <w:u w:val="single" w:color="auto"/>
          <w:color w:val="231F20"/>
        </w:rPr>
        <w:t>Section 10.11</w:t>
      </w:r>
      <w:r>
        <w:rPr>
          <w:rFonts w:ascii="Times New Roman" w:cs="Times New Roman" w:eastAsia="Times New Roman" w:hAnsi="Times New Roman"/>
          <w:sz w:val="20"/>
          <w:szCs w:val="20"/>
          <w:color w:val="231F20"/>
        </w:rPr>
        <w:t xml:space="preserve"> is intended to or shall impair the obligations of the Loan Guarantors, jointly and severally, to pay any amounts as and when the same shall become due and payable in accordance with the terms of this Loan Guaranty.</w:t>
      </w:r>
    </w:p>
    <w:p>
      <w:pPr>
        <w:spacing w:after="0" w:line="174" w:lineRule="exact"/>
        <w:rPr>
          <w:rFonts w:ascii="Times New Roman" w:cs="Times New Roman" w:eastAsia="Times New Roman" w:hAnsi="Times New Roman"/>
          <w:sz w:val="20"/>
          <w:szCs w:val="20"/>
          <w:color w:val="231F20"/>
        </w:rPr>
      </w:pPr>
    </w:p>
    <w:p>
      <w:pPr>
        <w:ind w:left="740" w:right="40" w:firstLine="745"/>
        <w:spacing w:after="0" w:line="269" w:lineRule="auto"/>
        <w:tabs>
          <w:tab w:leader="none" w:pos="2005" w:val="left"/>
        </w:tabs>
        <w:numPr>
          <w:ilvl w:val="0"/>
          <w:numId w:val="2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parties hereto acknowledge that the rights of contribution and indemnification hereunder shall constitute assets of the Loan Guarantor or Loan Guarantors to which such contribution and indemnification is owing.</w:t>
      </w:r>
    </w:p>
    <w:p>
      <w:pPr>
        <w:spacing w:after="0" w:line="159" w:lineRule="exact"/>
        <w:rPr>
          <w:rFonts w:ascii="Times New Roman" w:cs="Times New Roman" w:eastAsia="Times New Roman" w:hAnsi="Times New Roman"/>
          <w:sz w:val="20"/>
          <w:szCs w:val="20"/>
          <w:color w:val="231F20"/>
        </w:rPr>
      </w:pPr>
    </w:p>
    <w:p>
      <w:pPr>
        <w:ind w:left="740" w:firstLine="745"/>
        <w:spacing w:after="0" w:line="269" w:lineRule="auto"/>
        <w:tabs>
          <w:tab w:leader="none" w:pos="2008" w:val="left"/>
        </w:tabs>
        <w:numPr>
          <w:ilvl w:val="0"/>
          <w:numId w:val="2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The rights of the indemnifying Loan Guarantors against other Loan Guarantors under this </w:t>
      </w:r>
      <w:r>
        <w:rPr>
          <w:rFonts w:ascii="Times New Roman" w:cs="Times New Roman" w:eastAsia="Times New Roman" w:hAnsi="Times New Roman"/>
          <w:sz w:val="20"/>
          <w:szCs w:val="20"/>
          <w:u w:val="single" w:color="auto"/>
          <w:color w:val="231F20"/>
        </w:rPr>
        <w:t>Section 10.11</w:t>
      </w:r>
      <w:r>
        <w:rPr>
          <w:rFonts w:ascii="Times New Roman" w:cs="Times New Roman" w:eastAsia="Times New Roman" w:hAnsi="Times New Roman"/>
          <w:sz w:val="20"/>
          <w:szCs w:val="20"/>
          <w:color w:val="231F20"/>
        </w:rPr>
        <w:t xml:space="preserve"> shall be exercisable upon Payment in Full.</w:t>
      </w:r>
    </w:p>
    <w:p>
      <w:pPr>
        <w:spacing w:after="0" w:line="159"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231F20"/>
        </w:rPr>
        <w:t xml:space="preserve">SECTION 10.12 </w:t>
      </w:r>
      <w:r>
        <w:rPr>
          <w:rFonts w:ascii="Times New Roman" w:cs="Times New Roman" w:eastAsia="Times New Roman" w:hAnsi="Times New Roman"/>
          <w:sz w:val="20"/>
          <w:szCs w:val="20"/>
          <w:u w:val="single" w:color="auto"/>
          <w:color w:val="231F20"/>
        </w:rPr>
        <w:t>Liability Cumulative</w:t>
      </w:r>
      <w:r>
        <w:rPr>
          <w:rFonts w:ascii="Times New Roman" w:cs="Times New Roman" w:eastAsia="Times New Roman" w:hAnsi="Times New Roman"/>
          <w:sz w:val="20"/>
          <w:szCs w:val="20"/>
          <w:color w:val="231F20"/>
        </w:rPr>
        <w:t xml:space="preserve">. The liability of each Loan Party as a Loan Guarantor under this </w:t>
      </w:r>
      <w:r>
        <w:rPr>
          <w:rFonts w:ascii="Times New Roman" w:cs="Times New Roman" w:eastAsia="Times New Roman" w:hAnsi="Times New Roman"/>
          <w:sz w:val="20"/>
          <w:szCs w:val="20"/>
          <w:u w:val="single" w:color="auto"/>
          <w:color w:val="231F20"/>
        </w:rPr>
        <w:t>Article X</w:t>
      </w:r>
      <w:r>
        <w:rPr>
          <w:rFonts w:ascii="Times New Roman" w:cs="Times New Roman" w:eastAsia="Times New Roman" w:hAnsi="Times New Roman"/>
          <w:sz w:val="20"/>
          <w:szCs w:val="20"/>
          <w:color w:val="231F20"/>
        </w:rPr>
        <w:t xml:space="preserve"> is in addition to and shall be cumulative with all liabilities of each Loan Party to the Administrative Agent, the Issuing Banks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649605</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91" w:right="739" w:bottom="1440" w:gutter="0" w:footer="0" w:header="0"/>
        </w:sectPr>
      </w:pPr>
    </w:p>
    <w:bookmarkStart w:id="271" w:name="page272"/>
    <w:bookmarkEnd w:id="271"/>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231F20"/>
        </w:rPr>
        <w:t xml:space="preserve">SECTION 10.13 </w:t>
      </w:r>
      <w:r>
        <w:rPr>
          <w:rFonts w:ascii="Times New Roman" w:cs="Times New Roman" w:eastAsia="Times New Roman" w:hAnsi="Times New Roman"/>
          <w:sz w:val="20"/>
          <w:szCs w:val="20"/>
          <w:u w:val="single" w:color="auto"/>
          <w:color w:val="231F20"/>
        </w:rPr>
        <w:t>Keepwell</w:t>
      </w:r>
      <w:r>
        <w:rPr>
          <w:rFonts w:ascii="Times New Roman" w:cs="Times New Roman" w:eastAsia="Times New Roman" w:hAnsi="Times New Roman"/>
          <w:sz w:val="20"/>
          <w:szCs w:val="20"/>
          <w:color w:val="231F20"/>
        </w:rPr>
        <w:t>. Each Qualified ECP Guarantor hereby jointly and severally absolutely, unconditionally and irrevocably undertakes to provide such funds or other support as may be needed from time to time by each other Loan Party or Loan Guarantor to honor all of its obligations under this Loan Guaranty in respect of a Swap Obligation (</w:t>
      </w:r>
      <w:r>
        <w:rPr>
          <w:rFonts w:ascii="Times New Roman" w:cs="Times New Roman" w:eastAsia="Times New Roman" w:hAnsi="Times New Roman"/>
          <w:sz w:val="20"/>
          <w:szCs w:val="20"/>
          <w:u w:val="single" w:color="auto"/>
          <w:color w:val="231F20"/>
        </w:rPr>
        <w:t>provided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however</w:t>
      </w:r>
      <w:r>
        <w:rPr>
          <w:rFonts w:ascii="Times New Roman" w:cs="Times New Roman" w:eastAsia="Times New Roman" w:hAnsi="Times New Roman"/>
          <w:sz w:val="20"/>
          <w:szCs w:val="20"/>
          <w:color w:val="231F20"/>
        </w:rPr>
        <w:t xml:space="preserve">, that each Qualified ECP Guarantor shall only be liable under this </w:t>
      </w:r>
      <w:r>
        <w:rPr>
          <w:rFonts w:ascii="Times New Roman" w:cs="Times New Roman" w:eastAsia="Times New Roman" w:hAnsi="Times New Roman"/>
          <w:sz w:val="20"/>
          <w:szCs w:val="20"/>
          <w:u w:val="single" w:color="auto"/>
          <w:color w:val="231F20"/>
        </w:rPr>
        <w:t>Section 10.13</w:t>
      </w:r>
      <w:r>
        <w:rPr>
          <w:rFonts w:ascii="Times New Roman" w:cs="Times New Roman" w:eastAsia="Times New Roman" w:hAnsi="Times New Roman"/>
          <w:sz w:val="20"/>
          <w:szCs w:val="20"/>
          <w:color w:val="231F20"/>
        </w:rPr>
        <w:t xml:space="preserve"> for the maximum amount of such liability that can be hereby incurred without rendering its obligations under this </w:t>
      </w:r>
      <w:r>
        <w:rPr>
          <w:rFonts w:ascii="Times New Roman" w:cs="Times New Roman" w:eastAsia="Times New Roman" w:hAnsi="Times New Roman"/>
          <w:sz w:val="20"/>
          <w:szCs w:val="20"/>
          <w:u w:val="single" w:color="auto"/>
          <w:color w:val="231F20"/>
        </w:rPr>
        <w:t>Section 10.13</w:t>
      </w:r>
      <w:r>
        <w:rPr>
          <w:rFonts w:ascii="Times New Roman" w:cs="Times New Roman" w:eastAsia="Times New Roman" w:hAnsi="Times New Roman"/>
          <w:sz w:val="20"/>
          <w:szCs w:val="20"/>
          <w:color w:val="231F20"/>
        </w:rPr>
        <w:t xml:space="preserve"> or otherwise under this Loan Guaranty, voidable under applicable law relating to fraudulent conveyance or fraudulent transfer, and not for any greater amount). Except as otherwise provided herein, the obligations of each Qualified ECP Guarantor under this </w:t>
      </w:r>
      <w:r>
        <w:rPr>
          <w:rFonts w:ascii="Times New Roman" w:cs="Times New Roman" w:eastAsia="Times New Roman" w:hAnsi="Times New Roman"/>
          <w:sz w:val="20"/>
          <w:szCs w:val="20"/>
          <w:u w:val="single" w:color="auto"/>
          <w:color w:val="231F20"/>
        </w:rPr>
        <w:t>Section 10.13</w:t>
      </w:r>
      <w:r>
        <w:rPr>
          <w:rFonts w:ascii="Times New Roman" w:cs="Times New Roman" w:eastAsia="Times New Roman" w:hAnsi="Times New Roman"/>
          <w:sz w:val="20"/>
          <w:szCs w:val="20"/>
          <w:color w:val="231F20"/>
        </w:rPr>
        <w:t xml:space="preserve"> shall remain in full force and effect until the termination of all Swap Obligations. Each Qualified ECP Guarantor intends that this </w:t>
      </w:r>
      <w:r>
        <w:rPr>
          <w:rFonts w:ascii="Times New Roman" w:cs="Times New Roman" w:eastAsia="Times New Roman" w:hAnsi="Times New Roman"/>
          <w:sz w:val="20"/>
          <w:szCs w:val="20"/>
          <w:u w:val="single" w:color="auto"/>
          <w:color w:val="231F20"/>
        </w:rPr>
        <w:t>Section 10.13</w:t>
      </w:r>
      <w:r>
        <w:rPr>
          <w:rFonts w:ascii="Times New Roman" w:cs="Times New Roman" w:eastAsia="Times New Roman" w:hAnsi="Times New Roman"/>
          <w:sz w:val="20"/>
          <w:szCs w:val="20"/>
          <w:color w:val="231F20"/>
        </w:rPr>
        <w:t xml:space="preserve"> constitute, and this </w:t>
      </w:r>
      <w:r>
        <w:rPr>
          <w:rFonts w:ascii="Times New Roman" w:cs="Times New Roman" w:eastAsia="Times New Roman" w:hAnsi="Times New Roman"/>
          <w:sz w:val="20"/>
          <w:szCs w:val="20"/>
          <w:u w:val="single" w:color="auto"/>
          <w:color w:val="231F20"/>
        </w:rPr>
        <w:t>Section</w:t>
      </w:r>
    </w:p>
    <w:p>
      <w:pPr>
        <w:ind w:left="740" w:right="40"/>
        <w:spacing w:after="0" w:line="246" w:lineRule="auto"/>
        <w:rPr>
          <w:sz w:val="20"/>
          <w:szCs w:val="20"/>
          <w:color w:val="auto"/>
        </w:rPr>
      </w:pPr>
      <w:r>
        <w:rPr>
          <w:rFonts w:ascii="Times New Roman" w:cs="Times New Roman" w:eastAsia="Times New Roman" w:hAnsi="Times New Roman"/>
          <w:sz w:val="20"/>
          <w:szCs w:val="20"/>
          <w:u w:val="single" w:color="auto"/>
          <w:color w:val="231F20"/>
        </w:rPr>
        <w:t>10.13</w:t>
      </w:r>
      <w:r>
        <w:rPr>
          <w:rFonts w:ascii="Times New Roman" w:cs="Times New Roman" w:eastAsia="Times New Roman" w:hAnsi="Times New Roman"/>
          <w:sz w:val="20"/>
          <w:szCs w:val="20"/>
          <w:color w:val="231F20"/>
        </w:rPr>
        <w:t xml:space="preserve"> shall be deemed to constitute, a “keepwell, support, or other agreement” for the benefit of each other Loan Party for all purposes of Section 1a(18)(A)(v)(II) of the Commodity Exchange Act.</w:t>
      </w:r>
    </w:p>
    <w:p>
      <w:pPr>
        <w:spacing w:after="0" w:line="17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i w:val="1"/>
          <w:iCs w:val="1"/>
          <w:color w:val="231F20"/>
        </w:rPr>
        <w:t>[Signature Pages Follow.]</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658495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291" w:right="719" w:bottom="1440" w:gutter="0" w:footer="0" w:header="0"/>
        </w:sectPr>
      </w:pPr>
    </w:p>
    <w:bookmarkStart w:id="272" w:name="page273"/>
    <w:bookmarkEnd w:id="272"/>
    <w:p>
      <w:pPr>
        <w:ind w:left="5480"/>
        <w:spacing w:after="0"/>
        <w:rPr>
          <w:sz w:val="20"/>
          <w:szCs w:val="20"/>
          <w:color w:val="auto"/>
        </w:rPr>
      </w:pPr>
      <w:r>
        <w:rPr>
          <w:rFonts w:ascii="Times New Roman" w:cs="Times New Roman" w:eastAsia="Times New Roman" w:hAnsi="Times New Roman"/>
          <w:sz w:val="20"/>
          <w:szCs w:val="20"/>
          <w:b w:val="1"/>
          <w:bCs w:val="1"/>
          <w:u w:val="single" w:color="auto"/>
          <w:color w:val="231F20"/>
        </w:rPr>
        <w:t>EXHIBIT B</w:t>
      </w:r>
    </w:p>
    <w:p>
      <w:pPr>
        <w:spacing w:after="0" w:line="2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u w:val="single" w:color="auto"/>
          <w:color w:val="231F20"/>
        </w:rPr>
        <w:t>FIRST AMENDMENT INCREMENTAL COMMITMENTS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780" w:type="dxa"/>
            <w:vAlign w:val="bottom"/>
            <w:tcBorders>
              <w:right w:val="single" w:sz="8" w:color="231F20"/>
            </w:tcBorders>
          </w:tcPr>
          <w:p>
            <w:pPr>
              <w:spacing w:after="0"/>
              <w:rPr>
                <w:sz w:val="24"/>
                <w:szCs w:val="24"/>
                <w:color w:val="auto"/>
              </w:rPr>
            </w:pPr>
          </w:p>
        </w:tc>
        <w:tc>
          <w:tcPr>
            <w:tcW w:w="6320" w:type="dxa"/>
            <w:vAlign w:val="bottom"/>
            <w:tcBorders>
              <w:top w:val="single" w:sz="8" w:color="231F20"/>
              <w:right w:val="single" w:sz="8" w:color="231F20"/>
            </w:tcBorders>
            <w:shd w:val="clear" w:color="auto" w:fill="DCDDDF"/>
          </w:tcPr>
          <w:p>
            <w:pPr>
              <w:spacing w:after="0"/>
              <w:rPr>
                <w:sz w:val="20"/>
                <w:szCs w:val="20"/>
                <w:color w:val="auto"/>
              </w:rPr>
            </w:pPr>
            <w:r>
              <w:rPr>
                <w:rFonts w:ascii="Times New Roman" w:cs="Times New Roman" w:eastAsia="Times New Roman" w:hAnsi="Times New Roman"/>
                <w:sz w:val="22"/>
                <w:szCs w:val="22"/>
                <w:b w:val="1"/>
                <w:bCs w:val="1"/>
                <w:color w:val="231F20"/>
              </w:rPr>
              <w:t>Lender</w:t>
            </w:r>
          </w:p>
        </w:tc>
        <w:tc>
          <w:tcPr>
            <w:tcW w:w="3760" w:type="dxa"/>
            <w:vAlign w:val="bottom"/>
            <w:tcBorders>
              <w:top w:val="single" w:sz="8" w:color="231F20"/>
              <w:right w:val="single" w:sz="8" w:color="231F20"/>
            </w:tcBorders>
            <w:shd w:val="clear" w:color="auto" w:fill="DCDDDF"/>
          </w:tcPr>
          <w:p>
            <w:pPr>
              <w:ind w:left="40"/>
              <w:spacing w:after="0"/>
              <w:rPr>
                <w:sz w:val="20"/>
                <w:szCs w:val="20"/>
                <w:color w:val="auto"/>
              </w:rPr>
            </w:pPr>
            <w:r>
              <w:rPr>
                <w:rFonts w:ascii="Times New Roman" w:cs="Times New Roman" w:eastAsia="Times New Roman" w:hAnsi="Times New Roman"/>
                <w:sz w:val="22"/>
                <w:szCs w:val="22"/>
                <w:b w:val="1"/>
                <w:bCs w:val="1"/>
                <w:color w:val="231F20"/>
              </w:rPr>
              <w:t>First Amendment Incremental</w:t>
            </w:r>
          </w:p>
        </w:tc>
        <w:tc>
          <w:tcPr>
            <w:tcW w:w="380" w:type="dxa"/>
            <w:vAlign w:val="bottom"/>
          </w:tcPr>
          <w:p>
            <w:pPr>
              <w:spacing w:after="0"/>
              <w:rPr>
                <w:sz w:val="24"/>
                <w:szCs w:val="24"/>
                <w:color w:val="auto"/>
              </w:rPr>
            </w:pPr>
          </w:p>
        </w:tc>
      </w:tr>
      <w:tr>
        <w:trPr>
          <w:trHeight w:val="286"/>
        </w:trPr>
        <w:tc>
          <w:tcPr>
            <w:tcW w:w="780" w:type="dxa"/>
            <w:vAlign w:val="bottom"/>
            <w:tcBorders>
              <w:right w:val="single" w:sz="8" w:color="231F20"/>
            </w:tcBorders>
          </w:tcPr>
          <w:p>
            <w:pPr>
              <w:spacing w:after="0"/>
              <w:rPr>
                <w:sz w:val="24"/>
                <w:szCs w:val="24"/>
                <w:color w:val="auto"/>
              </w:rPr>
            </w:pPr>
          </w:p>
        </w:tc>
        <w:tc>
          <w:tcPr>
            <w:tcW w:w="6320" w:type="dxa"/>
            <w:vAlign w:val="bottom"/>
            <w:tcBorders>
              <w:right w:val="single" w:sz="8" w:color="231F20"/>
            </w:tcBorders>
            <w:shd w:val="clear" w:color="auto" w:fill="DCDDDF"/>
          </w:tcPr>
          <w:p>
            <w:pPr>
              <w:spacing w:after="0"/>
              <w:rPr>
                <w:sz w:val="24"/>
                <w:szCs w:val="24"/>
                <w:color w:val="auto"/>
              </w:rPr>
            </w:pPr>
          </w:p>
        </w:tc>
        <w:tc>
          <w:tcPr>
            <w:tcW w:w="3760" w:type="dxa"/>
            <w:vAlign w:val="bottom"/>
            <w:tcBorders>
              <w:right w:val="single" w:sz="8" w:color="231F20"/>
            </w:tcBorders>
            <w:shd w:val="clear" w:color="auto" w:fill="DCDDDF"/>
          </w:tcPr>
          <w:p>
            <w:pPr>
              <w:ind w:left="360"/>
              <w:spacing w:after="0"/>
              <w:rPr>
                <w:sz w:val="20"/>
                <w:szCs w:val="20"/>
                <w:color w:val="auto"/>
              </w:rPr>
            </w:pPr>
            <w:r>
              <w:rPr>
                <w:rFonts w:ascii="Times New Roman" w:cs="Times New Roman" w:eastAsia="Times New Roman" w:hAnsi="Times New Roman"/>
                <w:sz w:val="22"/>
                <w:szCs w:val="22"/>
                <w:b w:val="1"/>
                <w:bCs w:val="1"/>
                <w:color w:val="231F20"/>
              </w:rPr>
              <w:t>Commitment</w:t>
            </w:r>
          </w:p>
        </w:tc>
        <w:tc>
          <w:tcPr>
            <w:tcW w:w="380" w:type="dxa"/>
            <w:vAlign w:val="bottom"/>
          </w:tcPr>
          <w:p>
            <w:pPr>
              <w:spacing w:after="0"/>
              <w:rPr>
                <w:sz w:val="24"/>
                <w:szCs w:val="24"/>
                <w:color w:val="auto"/>
              </w:rPr>
            </w:pPr>
          </w:p>
        </w:tc>
      </w:tr>
      <w:tr>
        <w:trPr>
          <w:trHeight w:val="79"/>
        </w:trPr>
        <w:tc>
          <w:tcPr>
            <w:tcW w:w="780" w:type="dxa"/>
            <w:vAlign w:val="bottom"/>
            <w:tcBorders>
              <w:right w:val="single" w:sz="8" w:color="231F20"/>
            </w:tcBorders>
          </w:tcPr>
          <w:p>
            <w:pPr>
              <w:spacing w:after="0"/>
              <w:rPr>
                <w:sz w:val="6"/>
                <w:szCs w:val="6"/>
                <w:color w:val="auto"/>
              </w:rPr>
            </w:pPr>
          </w:p>
        </w:tc>
        <w:tc>
          <w:tcPr>
            <w:tcW w:w="6320" w:type="dxa"/>
            <w:vAlign w:val="bottom"/>
            <w:tcBorders>
              <w:bottom w:val="single" w:sz="8" w:color="231F20"/>
              <w:right w:val="single" w:sz="8" w:color="231F20"/>
            </w:tcBorders>
            <w:shd w:val="clear" w:color="auto" w:fill="DCDDDF"/>
          </w:tcPr>
          <w:p>
            <w:pPr>
              <w:spacing w:after="0"/>
              <w:rPr>
                <w:sz w:val="6"/>
                <w:szCs w:val="6"/>
                <w:color w:val="auto"/>
              </w:rPr>
            </w:pPr>
          </w:p>
        </w:tc>
        <w:tc>
          <w:tcPr>
            <w:tcW w:w="3760" w:type="dxa"/>
            <w:vAlign w:val="bottom"/>
            <w:tcBorders>
              <w:bottom w:val="single" w:sz="8" w:color="231F20"/>
              <w:right w:val="single" w:sz="8" w:color="231F20"/>
            </w:tcBorders>
            <w:shd w:val="clear" w:color="auto" w:fill="DCDDDF"/>
          </w:tcPr>
          <w:p>
            <w:pPr>
              <w:spacing w:after="0"/>
              <w:rPr>
                <w:sz w:val="6"/>
                <w:szCs w:val="6"/>
                <w:color w:val="auto"/>
              </w:rPr>
            </w:pPr>
          </w:p>
        </w:tc>
        <w:tc>
          <w:tcPr>
            <w:tcW w:w="380" w:type="dxa"/>
            <w:vAlign w:val="bottom"/>
          </w:tcPr>
          <w:p>
            <w:pPr>
              <w:spacing w:after="0"/>
              <w:rPr>
                <w:sz w:val="6"/>
                <w:szCs w:val="6"/>
                <w:color w:val="auto"/>
              </w:rPr>
            </w:pPr>
          </w:p>
        </w:tc>
      </w:tr>
      <w:tr>
        <w:trPr>
          <w:trHeight w:val="387"/>
        </w:trPr>
        <w:tc>
          <w:tcPr>
            <w:tcW w:w="780" w:type="dxa"/>
            <w:vAlign w:val="bottom"/>
            <w:tcBorders>
              <w:right w:val="single" w:sz="8" w:color="231F20"/>
            </w:tcBorders>
          </w:tcPr>
          <w:p>
            <w:pPr>
              <w:spacing w:after="0"/>
              <w:rPr>
                <w:sz w:val="24"/>
                <w:szCs w:val="24"/>
                <w:color w:val="auto"/>
              </w:rPr>
            </w:pPr>
          </w:p>
        </w:tc>
        <w:tc>
          <w:tcPr>
            <w:tcW w:w="63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22"/>
                <w:szCs w:val="22"/>
                <w:color w:val="231F20"/>
              </w:rPr>
              <w:t>Citibank, N.A.</w:t>
            </w:r>
          </w:p>
        </w:tc>
        <w:tc>
          <w:tcPr>
            <w:tcW w:w="37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22"/>
                <w:szCs w:val="22"/>
                <w:color w:val="231F20"/>
              </w:rPr>
              <w:t>$35,000,000</w:t>
            </w:r>
          </w:p>
        </w:tc>
        <w:tc>
          <w:tcPr>
            <w:tcW w:w="380" w:type="dxa"/>
            <w:vAlign w:val="bottom"/>
          </w:tcPr>
          <w:p>
            <w:pPr>
              <w:spacing w:after="0"/>
              <w:rPr>
                <w:sz w:val="24"/>
                <w:szCs w:val="24"/>
                <w:color w:val="auto"/>
              </w:rPr>
            </w:pPr>
          </w:p>
        </w:tc>
      </w:tr>
      <w:tr>
        <w:trPr>
          <w:trHeight w:val="96"/>
        </w:trPr>
        <w:tc>
          <w:tcPr>
            <w:tcW w:w="780" w:type="dxa"/>
            <w:vAlign w:val="bottom"/>
            <w:tcBorders>
              <w:right w:val="single" w:sz="8" w:color="231F20"/>
            </w:tcBorders>
          </w:tcPr>
          <w:p>
            <w:pPr>
              <w:spacing w:after="0"/>
              <w:rPr>
                <w:sz w:val="8"/>
                <w:szCs w:val="8"/>
                <w:color w:val="auto"/>
              </w:rPr>
            </w:pPr>
          </w:p>
        </w:tc>
        <w:tc>
          <w:tcPr>
            <w:tcW w:w="6320" w:type="dxa"/>
            <w:vAlign w:val="bottom"/>
            <w:tcBorders>
              <w:bottom w:val="single" w:sz="8" w:color="231F20"/>
              <w:right w:val="single" w:sz="8" w:color="231F20"/>
            </w:tcBorders>
          </w:tcPr>
          <w:p>
            <w:pPr>
              <w:spacing w:after="0"/>
              <w:rPr>
                <w:sz w:val="8"/>
                <w:szCs w:val="8"/>
                <w:color w:val="auto"/>
              </w:rPr>
            </w:pPr>
          </w:p>
        </w:tc>
        <w:tc>
          <w:tcPr>
            <w:tcW w:w="3760" w:type="dxa"/>
            <w:vAlign w:val="bottom"/>
            <w:tcBorders>
              <w:bottom w:val="single" w:sz="8" w:color="231F20"/>
              <w:right w:val="single" w:sz="8" w:color="231F20"/>
            </w:tcBorders>
          </w:tcPr>
          <w:p>
            <w:pPr>
              <w:spacing w:after="0"/>
              <w:rPr>
                <w:sz w:val="8"/>
                <w:szCs w:val="8"/>
                <w:color w:val="auto"/>
              </w:rPr>
            </w:pPr>
          </w:p>
        </w:tc>
        <w:tc>
          <w:tcPr>
            <w:tcW w:w="380" w:type="dxa"/>
            <w:vAlign w:val="bottom"/>
          </w:tcPr>
          <w:p>
            <w:pPr>
              <w:spacing w:after="0"/>
              <w:rPr>
                <w:sz w:val="8"/>
                <w:szCs w:val="8"/>
                <w:color w:val="auto"/>
              </w:rPr>
            </w:pPr>
          </w:p>
        </w:tc>
      </w:tr>
      <w:tr>
        <w:trPr>
          <w:trHeight w:val="383"/>
        </w:trPr>
        <w:tc>
          <w:tcPr>
            <w:tcW w:w="780" w:type="dxa"/>
            <w:vAlign w:val="bottom"/>
            <w:tcBorders>
              <w:right w:val="single" w:sz="8" w:color="231F20"/>
            </w:tcBorders>
          </w:tcPr>
          <w:p>
            <w:pPr>
              <w:spacing w:after="0"/>
              <w:rPr>
                <w:sz w:val="24"/>
                <w:szCs w:val="24"/>
                <w:color w:val="auto"/>
              </w:rPr>
            </w:pPr>
          </w:p>
        </w:tc>
        <w:tc>
          <w:tcPr>
            <w:tcW w:w="63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22"/>
                <w:szCs w:val="22"/>
                <w:color w:val="231F20"/>
              </w:rPr>
              <w:t>Bank of America N.A.</w:t>
            </w:r>
          </w:p>
        </w:tc>
        <w:tc>
          <w:tcPr>
            <w:tcW w:w="37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22"/>
                <w:szCs w:val="22"/>
                <w:color w:val="231F20"/>
              </w:rPr>
              <w:t>$35,000,000</w:t>
            </w:r>
          </w:p>
        </w:tc>
        <w:tc>
          <w:tcPr>
            <w:tcW w:w="380" w:type="dxa"/>
            <w:vAlign w:val="bottom"/>
          </w:tcPr>
          <w:p>
            <w:pPr>
              <w:spacing w:after="0"/>
              <w:rPr>
                <w:sz w:val="24"/>
                <w:szCs w:val="24"/>
                <w:color w:val="auto"/>
              </w:rPr>
            </w:pPr>
          </w:p>
        </w:tc>
      </w:tr>
      <w:tr>
        <w:trPr>
          <w:trHeight w:val="96"/>
        </w:trPr>
        <w:tc>
          <w:tcPr>
            <w:tcW w:w="780" w:type="dxa"/>
            <w:vAlign w:val="bottom"/>
            <w:tcBorders>
              <w:right w:val="single" w:sz="8" w:color="231F20"/>
            </w:tcBorders>
          </w:tcPr>
          <w:p>
            <w:pPr>
              <w:spacing w:after="0"/>
              <w:rPr>
                <w:sz w:val="8"/>
                <w:szCs w:val="8"/>
                <w:color w:val="auto"/>
              </w:rPr>
            </w:pPr>
          </w:p>
        </w:tc>
        <w:tc>
          <w:tcPr>
            <w:tcW w:w="6320" w:type="dxa"/>
            <w:vAlign w:val="bottom"/>
            <w:tcBorders>
              <w:bottom w:val="single" w:sz="8" w:color="231F20"/>
              <w:right w:val="single" w:sz="8" w:color="231F20"/>
            </w:tcBorders>
          </w:tcPr>
          <w:p>
            <w:pPr>
              <w:spacing w:after="0"/>
              <w:rPr>
                <w:sz w:val="8"/>
                <w:szCs w:val="8"/>
                <w:color w:val="auto"/>
              </w:rPr>
            </w:pPr>
          </w:p>
        </w:tc>
        <w:tc>
          <w:tcPr>
            <w:tcW w:w="3760" w:type="dxa"/>
            <w:vAlign w:val="bottom"/>
            <w:tcBorders>
              <w:bottom w:val="single" w:sz="8" w:color="231F20"/>
              <w:right w:val="single" w:sz="8" w:color="231F20"/>
            </w:tcBorders>
          </w:tcPr>
          <w:p>
            <w:pPr>
              <w:spacing w:after="0"/>
              <w:rPr>
                <w:sz w:val="8"/>
                <w:szCs w:val="8"/>
                <w:color w:val="auto"/>
              </w:rPr>
            </w:pPr>
          </w:p>
        </w:tc>
        <w:tc>
          <w:tcPr>
            <w:tcW w:w="380" w:type="dxa"/>
            <w:vAlign w:val="bottom"/>
          </w:tcPr>
          <w:p>
            <w:pPr>
              <w:spacing w:after="0"/>
              <w:rPr>
                <w:sz w:val="8"/>
                <w:szCs w:val="8"/>
                <w:color w:val="auto"/>
              </w:rPr>
            </w:pPr>
          </w:p>
        </w:tc>
      </w:tr>
      <w:tr>
        <w:trPr>
          <w:trHeight w:val="383"/>
        </w:trPr>
        <w:tc>
          <w:tcPr>
            <w:tcW w:w="780" w:type="dxa"/>
            <w:vAlign w:val="bottom"/>
            <w:tcBorders>
              <w:right w:val="single" w:sz="8" w:color="231F20"/>
            </w:tcBorders>
          </w:tcPr>
          <w:p>
            <w:pPr>
              <w:spacing w:after="0"/>
              <w:rPr>
                <w:sz w:val="24"/>
                <w:szCs w:val="24"/>
                <w:color w:val="auto"/>
              </w:rPr>
            </w:pPr>
          </w:p>
        </w:tc>
        <w:tc>
          <w:tcPr>
            <w:tcW w:w="63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22"/>
                <w:szCs w:val="22"/>
                <w:color w:val="231F20"/>
              </w:rPr>
              <w:t>JPMorgan Chase Bank, N.A.</w:t>
            </w:r>
          </w:p>
        </w:tc>
        <w:tc>
          <w:tcPr>
            <w:tcW w:w="37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22"/>
                <w:szCs w:val="22"/>
                <w:color w:val="231F20"/>
              </w:rPr>
              <w:t>$35,000,000</w:t>
            </w:r>
          </w:p>
        </w:tc>
        <w:tc>
          <w:tcPr>
            <w:tcW w:w="380" w:type="dxa"/>
            <w:vAlign w:val="bottom"/>
          </w:tcPr>
          <w:p>
            <w:pPr>
              <w:spacing w:after="0"/>
              <w:rPr>
                <w:sz w:val="24"/>
                <w:szCs w:val="24"/>
                <w:color w:val="auto"/>
              </w:rPr>
            </w:pPr>
          </w:p>
        </w:tc>
      </w:tr>
      <w:tr>
        <w:trPr>
          <w:trHeight w:val="96"/>
        </w:trPr>
        <w:tc>
          <w:tcPr>
            <w:tcW w:w="780" w:type="dxa"/>
            <w:vAlign w:val="bottom"/>
            <w:tcBorders>
              <w:right w:val="single" w:sz="8" w:color="231F20"/>
            </w:tcBorders>
          </w:tcPr>
          <w:p>
            <w:pPr>
              <w:spacing w:after="0"/>
              <w:rPr>
                <w:sz w:val="8"/>
                <w:szCs w:val="8"/>
                <w:color w:val="auto"/>
              </w:rPr>
            </w:pPr>
          </w:p>
        </w:tc>
        <w:tc>
          <w:tcPr>
            <w:tcW w:w="6320" w:type="dxa"/>
            <w:vAlign w:val="bottom"/>
            <w:tcBorders>
              <w:bottom w:val="single" w:sz="8" w:color="231F20"/>
              <w:right w:val="single" w:sz="8" w:color="231F20"/>
            </w:tcBorders>
          </w:tcPr>
          <w:p>
            <w:pPr>
              <w:spacing w:after="0"/>
              <w:rPr>
                <w:sz w:val="8"/>
                <w:szCs w:val="8"/>
                <w:color w:val="auto"/>
              </w:rPr>
            </w:pPr>
          </w:p>
        </w:tc>
        <w:tc>
          <w:tcPr>
            <w:tcW w:w="3760" w:type="dxa"/>
            <w:vAlign w:val="bottom"/>
            <w:tcBorders>
              <w:bottom w:val="single" w:sz="8" w:color="231F20"/>
              <w:right w:val="single" w:sz="8" w:color="231F20"/>
            </w:tcBorders>
          </w:tcPr>
          <w:p>
            <w:pPr>
              <w:spacing w:after="0"/>
              <w:rPr>
                <w:sz w:val="8"/>
                <w:szCs w:val="8"/>
                <w:color w:val="auto"/>
              </w:rPr>
            </w:pPr>
          </w:p>
        </w:tc>
        <w:tc>
          <w:tcPr>
            <w:tcW w:w="380" w:type="dxa"/>
            <w:vAlign w:val="bottom"/>
          </w:tcPr>
          <w:p>
            <w:pPr>
              <w:spacing w:after="0"/>
              <w:rPr>
                <w:sz w:val="8"/>
                <w:szCs w:val="8"/>
                <w:color w:val="auto"/>
              </w:rPr>
            </w:pPr>
          </w:p>
        </w:tc>
      </w:tr>
      <w:tr>
        <w:trPr>
          <w:trHeight w:val="383"/>
        </w:trPr>
        <w:tc>
          <w:tcPr>
            <w:tcW w:w="780" w:type="dxa"/>
            <w:vAlign w:val="bottom"/>
            <w:tcBorders>
              <w:right w:val="single" w:sz="8" w:color="231F20"/>
            </w:tcBorders>
          </w:tcPr>
          <w:p>
            <w:pPr>
              <w:spacing w:after="0"/>
              <w:rPr>
                <w:sz w:val="24"/>
                <w:szCs w:val="24"/>
                <w:color w:val="auto"/>
              </w:rPr>
            </w:pPr>
          </w:p>
        </w:tc>
        <w:tc>
          <w:tcPr>
            <w:tcW w:w="63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22"/>
                <w:szCs w:val="22"/>
                <w:color w:val="231F20"/>
              </w:rPr>
              <w:t>Deutsche Bank AG New York Branch</w:t>
            </w:r>
          </w:p>
        </w:tc>
        <w:tc>
          <w:tcPr>
            <w:tcW w:w="37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22"/>
                <w:szCs w:val="22"/>
                <w:color w:val="231F20"/>
              </w:rPr>
              <w:t>$45,000,000</w:t>
            </w:r>
          </w:p>
        </w:tc>
        <w:tc>
          <w:tcPr>
            <w:tcW w:w="380" w:type="dxa"/>
            <w:vAlign w:val="bottom"/>
          </w:tcPr>
          <w:p>
            <w:pPr>
              <w:spacing w:after="0"/>
              <w:rPr>
                <w:sz w:val="24"/>
                <w:szCs w:val="24"/>
                <w:color w:val="auto"/>
              </w:rPr>
            </w:pPr>
          </w:p>
        </w:tc>
      </w:tr>
      <w:tr>
        <w:trPr>
          <w:trHeight w:val="96"/>
        </w:trPr>
        <w:tc>
          <w:tcPr>
            <w:tcW w:w="780" w:type="dxa"/>
            <w:vAlign w:val="bottom"/>
            <w:tcBorders>
              <w:right w:val="single" w:sz="8" w:color="231F20"/>
            </w:tcBorders>
          </w:tcPr>
          <w:p>
            <w:pPr>
              <w:spacing w:after="0"/>
              <w:rPr>
                <w:sz w:val="8"/>
                <w:szCs w:val="8"/>
                <w:color w:val="auto"/>
              </w:rPr>
            </w:pPr>
          </w:p>
        </w:tc>
        <w:tc>
          <w:tcPr>
            <w:tcW w:w="6320" w:type="dxa"/>
            <w:vAlign w:val="bottom"/>
            <w:tcBorders>
              <w:bottom w:val="single" w:sz="8" w:color="231F20"/>
              <w:right w:val="single" w:sz="8" w:color="231F20"/>
            </w:tcBorders>
          </w:tcPr>
          <w:p>
            <w:pPr>
              <w:spacing w:after="0"/>
              <w:rPr>
                <w:sz w:val="8"/>
                <w:szCs w:val="8"/>
                <w:color w:val="auto"/>
              </w:rPr>
            </w:pPr>
          </w:p>
        </w:tc>
        <w:tc>
          <w:tcPr>
            <w:tcW w:w="3760" w:type="dxa"/>
            <w:vAlign w:val="bottom"/>
            <w:tcBorders>
              <w:bottom w:val="single" w:sz="8" w:color="231F20"/>
              <w:right w:val="single" w:sz="8" w:color="231F20"/>
            </w:tcBorders>
          </w:tcPr>
          <w:p>
            <w:pPr>
              <w:spacing w:after="0"/>
              <w:rPr>
                <w:sz w:val="8"/>
                <w:szCs w:val="8"/>
                <w:color w:val="auto"/>
              </w:rPr>
            </w:pPr>
          </w:p>
        </w:tc>
        <w:tc>
          <w:tcPr>
            <w:tcW w:w="380" w:type="dxa"/>
            <w:vAlign w:val="bottom"/>
          </w:tcPr>
          <w:p>
            <w:pPr>
              <w:spacing w:after="0"/>
              <w:rPr>
                <w:sz w:val="8"/>
                <w:szCs w:val="8"/>
                <w:color w:val="auto"/>
              </w:rPr>
            </w:pPr>
          </w:p>
        </w:tc>
      </w:tr>
      <w:tr>
        <w:trPr>
          <w:trHeight w:val="383"/>
        </w:trPr>
        <w:tc>
          <w:tcPr>
            <w:tcW w:w="780" w:type="dxa"/>
            <w:vAlign w:val="bottom"/>
            <w:tcBorders>
              <w:right w:val="single" w:sz="8" w:color="231F20"/>
            </w:tcBorders>
          </w:tcPr>
          <w:p>
            <w:pPr>
              <w:spacing w:after="0"/>
              <w:rPr>
                <w:sz w:val="24"/>
                <w:szCs w:val="24"/>
                <w:color w:val="auto"/>
              </w:rPr>
            </w:pPr>
          </w:p>
        </w:tc>
        <w:tc>
          <w:tcPr>
            <w:tcW w:w="63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22"/>
                <w:szCs w:val="22"/>
                <w:color w:val="231F20"/>
              </w:rPr>
              <w:t>First-Citizens Bank &amp; Trust Company</w:t>
            </w:r>
          </w:p>
        </w:tc>
        <w:tc>
          <w:tcPr>
            <w:tcW w:w="37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22"/>
                <w:szCs w:val="22"/>
                <w:color w:val="231F20"/>
              </w:rPr>
              <w:t>$25,000,000</w:t>
            </w:r>
          </w:p>
        </w:tc>
        <w:tc>
          <w:tcPr>
            <w:tcW w:w="380" w:type="dxa"/>
            <w:vAlign w:val="bottom"/>
          </w:tcPr>
          <w:p>
            <w:pPr>
              <w:spacing w:after="0"/>
              <w:rPr>
                <w:sz w:val="24"/>
                <w:szCs w:val="24"/>
                <w:color w:val="auto"/>
              </w:rPr>
            </w:pPr>
          </w:p>
        </w:tc>
      </w:tr>
      <w:tr>
        <w:trPr>
          <w:trHeight w:val="96"/>
        </w:trPr>
        <w:tc>
          <w:tcPr>
            <w:tcW w:w="780" w:type="dxa"/>
            <w:vAlign w:val="bottom"/>
            <w:tcBorders>
              <w:right w:val="single" w:sz="8" w:color="231F20"/>
            </w:tcBorders>
          </w:tcPr>
          <w:p>
            <w:pPr>
              <w:spacing w:after="0"/>
              <w:rPr>
                <w:sz w:val="8"/>
                <w:szCs w:val="8"/>
                <w:color w:val="auto"/>
              </w:rPr>
            </w:pPr>
          </w:p>
        </w:tc>
        <w:tc>
          <w:tcPr>
            <w:tcW w:w="6320" w:type="dxa"/>
            <w:vAlign w:val="bottom"/>
            <w:tcBorders>
              <w:bottom w:val="single" w:sz="8" w:color="231F20"/>
              <w:right w:val="single" w:sz="8" w:color="231F20"/>
            </w:tcBorders>
          </w:tcPr>
          <w:p>
            <w:pPr>
              <w:spacing w:after="0"/>
              <w:rPr>
                <w:sz w:val="8"/>
                <w:szCs w:val="8"/>
                <w:color w:val="auto"/>
              </w:rPr>
            </w:pPr>
          </w:p>
        </w:tc>
        <w:tc>
          <w:tcPr>
            <w:tcW w:w="3760" w:type="dxa"/>
            <w:vAlign w:val="bottom"/>
            <w:tcBorders>
              <w:bottom w:val="single" w:sz="8" w:color="231F20"/>
              <w:right w:val="single" w:sz="8" w:color="231F20"/>
            </w:tcBorders>
          </w:tcPr>
          <w:p>
            <w:pPr>
              <w:spacing w:after="0"/>
              <w:rPr>
                <w:sz w:val="8"/>
                <w:szCs w:val="8"/>
                <w:color w:val="auto"/>
              </w:rPr>
            </w:pPr>
          </w:p>
        </w:tc>
        <w:tc>
          <w:tcPr>
            <w:tcW w:w="380" w:type="dxa"/>
            <w:vAlign w:val="bottom"/>
          </w:tcPr>
          <w:p>
            <w:pPr>
              <w:spacing w:after="0"/>
              <w:rPr>
                <w:sz w:val="8"/>
                <w:szCs w:val="8"/>
                <w:color w:val="auto"/>
              </w:rPr>
            </w:pPr>
          </w:p>
        </w:tc>
      </w:tr>
      <w:tr>
        <w:trPr>
          <w:trHeight w:val="356"/>
        </w:trPr>
        <w:tc>
          <w:tcPr>
            <w:tcW w:w="780" w:type="dxa"/>
            <w:vAlign w:val="bottom"/>
            <w:tcBorders>
              <w:right w:val="single" w:sz="8" w:color="231F20"/>
            </w:tcBorders>
          </w:tcPr>
          <w:p>
            <w:pPr>
              <w:spacing w:after="0"/>
              <w:rPr>
                <w:sz w:val="24"/>
                <w:szCs w:val="24"/>
                <w:color w:val="auto"/>
              </w:rPr>
            </w:pPr>
          </w:p>
        </w:tc>
        <w:tc>
          <w:tcPr>
            <w:tcW w:w="6320" w:type="dxa"/>
            <w:vAlign w:val="bottom"/>
            <w:tcBorders>
              <w:right w:val="single" w:sz="8" w:color="231F20"/>
            </w:tcBorders>
            <w:shd w:val="clear" w:color="auto" w:fill="F1F1F2"/>
          </w:tcPr>
          <w:p>
            <w:pPr>
              <w:spacing w:after="0"/>
              <w:rPr>
                <w:sz w:val="20"/>
                <w:szCs w:val="20"/>
                <w:color w:val="auto"/>
              </w:rPr>
            </w:pPr>
            <w:r>
              <w:rPr>
                <w:rFonts w:ascii="Times New Roman" w:cs="Times New Roman" w:eastAsia="Times New Roman" w:hAnsi="Times New Roman"/>
                <w:sz w:val="22"/>
                <w:szCs w:val="22"/>
                <w:b w:val="1"/>
                <w:bCs w:val="1"/>
                <w:color w:val="231F20"/>
              </w:rPr>
              <w:t>Total</w:t>
            </w:r>
          </w:p>
        </w:tc>
        <w:tc>
          <w:tcPr>
            <w:tcW w:w="3760" w:type="dxa"/>
            <w:vAlign w:val="bottom"/>
            <w:tcBorders>
              <w:right w:val="single" w:sz="8" w:color="231F20"/>
            </w:tcBorders>
            <w:shd w:val="clear" w:color="auto" w:fill="F1F1F2"/>
          </w:tcPr>
          <w:p>
            <w:pPr>
              <w:spacing w:after="0"/>
              <w:rPr>
                <w:sz w:val="20"/>
                <w:szCs w:val="20"/>
                <w:color w:val="auto"/>
              </w:rPr>
            </w:pPr>
            <w:r>
              <w:rPr>
                <w:rFonts w:ascii="Times New Roman" w:cs="Times New Roman" w:eastAsia="Times New Roman" w:hAnsi="Times New Roman"/>
                <w:sz w:val="22"/>
                <w:szCs w:val="22"/>
                <w:b w:val="1"/>
                <w:bCs w:val="1"/>
                <w:color w:val="231F20"/>
              </w:rPr>
              <w:t>$175,000,000</w:t>
            </w:r>
          </w:p>
        </w:tc>
        <w:tc>
          <w:tcPr>
            <w:tcW w:w="380" w:type="dxa"/>
            <w:vAlign w:val="bottom"/>
          </w:tcPr>
          <w:p>
            <w:pPr>
              <w:spacing w:after="0"/>
              <w:rPr>
                <w:sz w:val="24"/>
                <w:szCs w:val="24"/>
                <w:color w:val="auto"/>
              </w:rPr>
            </w:pPr>
          </w:p>
        </w:tc>
      </w:tr>
      <w:tr>
        <w:trPr>
          <w:trHeight w:val="96"/>
        </w:trPr>
        <w:tc>
          <w:tcPr>
            <w:tcW w:w="780" w:type="dxa"/>
            <w:vAlign w:val="bottom"/>
            <w:tcBorders>
              <w:right w:val="single" w:sz="8" w:color="231F20"/>
            </w:tcBorders>
          </w:tcPr>
          <w:p>
            <w:pPr>
              <w:spacing w:after="0"/>
              <w:rPr>
                <w:sz w:val="8"/>
                <w:szCs w:val="8"/>
                <w:color w:val="auto"/>
              </w:rPr>
            </w:pPr>
          </w:p>
        </w:tc>
        <w:tc>
          <w:tcPr>
            <w:tcW w:w="6320" w:type="dxa"/>
            <w:vAlign w:val="bottom"/>
            <w:tcBorders>
              <w:bottom w:val="single" w:sz="8" w:color="231F20"/>
              <w:right w:val="single" w:sz="8" w:color="231F20"/>
            </w:tcBorders>
            <w:shd w:val="clear" w:color="auto" w:fill="F1F1F2"/>
          </w:tcPr>
          <w:p>
            <w:pPr>
              <w:spacing w:after="0"/>
              <w:rPr>
                <w:sz w:val="8"/>
                <w:szCs w:val="8"/>
                <w:color w:val="auto"/>
              </w:rPr>
            </w:pPr>
          </w:p>
        </w:tc>
        <w:tc>
          <w:tcPr>
            <w:tcW w:w="3760" w:type="dxa"/>
            <w:vAlign w:val="bottom"/>
            <w:tcBorders>
              <w:bottom w:val="single" w:sz="8" w:color="231F20"/>
              <w:right w:val="single" w:sz="8" w:color="231F20"/>
            </w:tcBorders>
            <w:shd w:val="clear" w:color="auto" w:fill="F1F1F2"/>
          </w:tcPr>
          <w:p>
            <w:pPr>
              <w:spacing w:after="0"/>
              <w:rPr>
                <w:sz w:val="8"/>
                <w:szCs w:val="8"/>
                <w:color w:val="auto"/>
              </w:rPr>
            </w:pPr>
          </w:p>
        </w:tc>
        <w:tc>
          <w:tcPr>
            <w:tcW w:w="380" w:type="dxa"/>
            <w:vAlign w:val="bottom"/>
          </w:tcPr>
          <w:p>
            <w:pPr>
              <w:spacing w:after="0"/>
              <w:rPr>
                <w:sz w:val="8"/>
                <w:szCs w:val="8"/>
                <w:color w:val="auto"/>
              </w:rPr>
            </w:pPr>
          </w:p>
        </w:tc>
      </w:tr>
      <w:tr>
        <w:trPr>
          <w:trHeight w:val="1472"/>
        </w:trPr>
        <w:tc>
          <w:tcPr>
            <w:tcW w:w="78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73" w:name="page274"/>
    <w:bookmarkEnd w:id="273"/>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SCHEDULE I</w:t>
            </w:r>
          </w:p>
        </w:tc>
        <w:tc>
          <w:tcPr>
            <w:tcW w:w="4820" w:type="dxa"/>
            <w:vAlign w:val="bottom"/>
            <w:gridSpan w:val="4"/>
          </w:tcPr>
          <w:p>
            <w:pPr>
              <w:spacing w:after="0"/>
              <w:rPr>
                <w:sz w:val="19"/>
                <w:szCs w:val="19"/>
                <w:color w:val="auto"/>
              </w:rPr>
            </w:pPr>
          </w:p>
        </w:tc>
      </w:tr>
      <w:tr>
        <w:trPr>
          <w:trHeight w:val="439"/>
        </w:trPr>
        <w:tc>
          <w:tcPr>
            <w:tcW w:w="7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900" w:type="dxa"/>
            <w:vAlign w:val="bottom"/>
            <w:gridSpan w:val="7"/>
          </w:tcPr>
          <w:p>
            <w:pPr>
              <w:jc w:val="center"/>
              <w:ind w:right="3960"/>
              <w:spacing w:after="0"/>
              <w:rPr>
                <w:sz w:val="20"/>
                <w:szCs w:val="20"/>
                <w:color w:val="auto"/>
              </w:rPr>
            </w:pPr>
            <w:r>
              <w:rPr>
                <w:rFonts w:ascii="Times New Roman" w:cs="Times New Roman" w:eastAsia="Times New Roman" w:hAnsi="Times New Roman"/>
                <w:sz w:val="20"/>
                <w:szCs w:val="20"/>
                <w:b w:val="1"/>
                <w:bCs w:val="1"/>
                <w:color w:val="231F20"/>
                <w:w w:val="99"/>
              </w:rPr>
              <w:t>COMMITMENT SCHEDULE</w:t>
            </w:r>
          </w:p>
        </w:tc>
      </w:tr>
      <w:tr>
        <w:trPr>
          <w:trHeight w:val="247"/>
        </w:trPr>
        <w:tc>
          <w:tcPr>
            <w:tcW w:w="780" w:type="dxa"/>
            <w:vAlign w:val="bottom"/>
          </w:tcPr>
          <w:p>
            <w:pPr>
              <w:spacing w:after="0"/>
              <w:rPr>
                <w:sz w:val="21"/>
                <w:szCs w:val="21"/>
                <w:color w:val="auto"/>
              </w:rPr>
            </w:pPr>
          </w:p>
        </w:tc>
        <w:tc>
          <w:tcPr>
            <w:tcW w:w="356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700" w:type="dxa"/>
            <w:vAlign w:val="bottom"/>
            <w:tcBorders>
              <w:top w:val="single" w:sz="8" w:color="231F20"/>
              <w:bottom w:val="single" w:sz="8" w:color="231F20"/>
            </w:tcBorders>
          </w:tcPr>
          <w:p>
            <w:pPr>
              <w:spacing w:after="0"/>
              <w:rPr>
                <w:sz w:val="21"/>
                <w:szCs w:val="21"/>
                <w:color w:val="auto"/>
              </w:rPr>
            </w:pPr>
          </w:p>
        </w:tc>
        <w:tc>
          <w:tcPr>
            <w:tcW w:w="1220" w:type="dxa"/>
            <w:vAlign w:val="bottom"/>
            <w:tcBorders>
              <w:top w:val="single" w:sz="8" w:color="231F20"/>
              <w:bottom w:val="single" w:sz="8" w:color="231F20"/>
            </w:tcBorders>
          </w:tcPr>
          <w:p>
            <w:pPr>
              <w:spacing w:after="0"/>
              <w:rPr>
                <w:sz w:val="21"/>
                <w:szCs w:val="21"/>
                <w:color w:val="auto"/>
              </w:rPr>
            </w:pPr>
          </w:p>
        </w:tc>
        <w:tc>
          <w:tcPr>
            <w:tcW w:w="700" w:type="dxa"/>
            <w:vAlign w:val="bottom"/>
            <w:tcBorders>
              <w:top w:val="single" w:sz="8" w:color="231F20"/>
              <w:bottom w:val="single" w:sz="8" w:color="231F20"/>
            </w:tcBorders>
          </w:tcPr>
          <w:p>
            <w:pPr>
              <w:spacing w:after="0"/>
              <w:rPr>
                <w:sz w:val="21"/>
                <w:szCs w:val="21"/>
                <w:color w:val="auto"/>
              </w:rPr>
            </w:pPr>
          </w:p>
        </w:tc>
        <w:tc>
          <w:tcPr>
            <w:tcW w:w="20" w:type="dxa"/>
            <w:vAlign w:val="bottom"/>
            <w:tcBorders>
              <w:top w:val="single" w:sz="8" w:color="231F20"/>
              <w:bottom w:val="single" w:sz="8" w:color="231F20"/>
            </w:tcBorders>
          </w:tcPr>
          <w:p>
            <w:pPr>
              <w:spacing w:after="0"/>
              <w:rPr>
                <w:sz w:val="21"/>
                <w:szCs w:val="21"/>
                <w:color w:val="auto"/>
              </w:rPr>
            </w:pPr>
          </w:p>
        </w:tc>
        <w:tc>
          <w:tcPr>
            <w:tcW w:w="3720" w:type="dxa"/>
            <w:vAlign w:val="bottom"/>
            <w:tcBorders>
              <w:bottom w:val="single" w:sz="8" w:color="231F20"/>
            </w:tcBorders>
          </w:tcPr>
          <w:p>
            <w:pPr>
              <w:spacing w:after="0"/>
              <w:rPr>
                <w:sz w:val="21"/>
                <w:szCs w:val="21"/>
                <w:color w:val="auto"/>
              </w:rPr>
            </w:pPr>
          </w:p>
        </w:tc>
        <w:tc>
          <w:tcPr>
            <w:tcW w:w="380" w:type="dxa"/>
            <w:vAlign w:val="bottom"/>
          </w:tcPr>
          <w:p>
            <w:pPr>
              <w:spacing w:after="0"/>
              <w:rPr>
                <w:sz w:val="21"/>
                <w:szCs w:val="21"/>
                <w:color w:val="auto"/>
              </w:rPr>
            </w:pPr>
          </w:p>
        </w:tc>
      </w:tr>
      <w:tr>
        <w:trPr>
          <w:trHeight w:val="360"/>
        </w:trPr>
        <w:tc>
          <w:tcPr>
            <w:tcW w:w="780" w:type="dxa"/>
            <w:vAlign w:val="bottom"/>
            <w:tcBorders>
              <w:right w:val="single" w:sz="8" w:color="231F20"/>
            </w:tcBorders>
          </w:tcPr>
          <w:p>
            <w:pPr>
              <w:spacing w:after="0"/>
              <w:rPr>
                <w:sz w:val="24"/>
                <w:szCs w:val="24"/>
                <w:color w:val="auto"/>
              </w:rPr>
            </w:pPr>
          </w:p>
        </w:tc>
        <w:tc>
          <w:tcPr>
            <w:tcW w:w="3560" w:type="dxa"/>
            <w:vAlign w:val="bottom"/>
            <w:shd w:val="clear" w:color="auto" w:fill="DCDDDF"/>
          </w:tcPr>
          <w:p>
            <w:pPr>
              <w:spacing w:after="0"/>
              <w:rPr>
                <w:sz w:val="20"/>
                <w:szCs w:val="20"/>
                <w:color w:val="auto"/>
              </w:rPr>
            </w:pPr>
            <w:r>
              <w:rPr>
                <w:rFonts w:ascii="Times New Roman" w:cs="Times New Roman" w:eastAsia="Times New Roman" w:hAnsi="Times New Roman"/>
                <w:sz w:val="22"/>
                <w:szCs w:val="22"/>
                <w:b w:val="1"/>
                <w:bCs w:val="1"/>
                <w:color w:val="231F20"/>
              </w:rPr>
              <w:t>Lender</w:t>
            </w:r>
          </w:p>
        </w:tc>
        <w:tc>
          <w:tcPr>
            <w:tcW w:w="160" w:type="dxa"/>
            <w:vAlign w:val="bottom"/>
            <w:shd w:val="clear" w:color="auto" w:fill="DCDDDF"/>
          </w:tcPr>
          <w:p>
            <w:pPr>
              <w:spacing w:after="0"/>
              <w:rPr>
                <w:sz w:val="24"/>
                <w:szCs w:val="24"/>
                <w:color w:val="auto"/>
              </w:rPr>
            </w:pPr>
          </w:p>
        </w:tc>
        <w:tc>
          <w:tcPr>
            <w:tcW w:w="700" w:type="dxa"/>
            <w:vAlign w:val="bottom"/>
            <w:shd w:val="clear" w:color="auto" w:fill="DCDDDF"/>
          </w:tcPr>
          <w:p>
            <w:pPr>
              <w:spacing w:after="0"/>
              <w:rPr>
                <w:sz w:val="24"/>
                <w:szCs w:val="24"/>
                <w:color w:val="auto"/>
              </w:rPr>
            </w:pPr>
          </w:p>
        </w:tc>
        <w:tc>
          <w:tcPr>
            <w:tcW w:w="1220" w:type="dxa"/>
            <w:vAlign w:val="bottom"/>
            <w:shd w:val="clear" w:color="auto" w:fill="DCDDDF"/>
          </w:tcPr>
          <w:p>
            <w:pPr>
              <w:spacing w:after="0"/>
              <w:rPr>
                <w:sz w:val="24"/>
                <w:szCs w:val="24"/>
                <w:color w:val="auto"/>
              </w:rPr>
            </w:pPr>
          </w:p>
        </w:tc>
        <w:tc>
          <w:tcPr>
            <w:tcW w:w="700" w:type="dxa"/>
            <w:vAlign w:val="bottom"/>
            <w:tcBorders>
              <w:right w:val="single" w:sz="8" w:color="231F20"/>
            </w:tcBorders>
            <w:shd w:val="clear" w:color="auto" w:fill="DCDDDF"/>
          </w:tcPr>
          <w:p>
            <w:pPr>
              <w:spacing w:after="0"/>
              <w:rPr>
                <w:sz w:val="24"/>
                <w:szCs w:val="24"/>
                <w:color w:val="auto"/>
              </w:rPr>
            </w:pPr>
          </w:p>
        </w:tc>
        <w:tc>
          <w:tcPr>
            <w:tcW w:w="3740" w:type="dxa"/>
            <w:vAlign w:val="bottom"/>
            <w:tcBorders>
              <w:right w:val="single" w:sz="8" w:color="231F20"/>
            </w:tcBorders>
            <w:gridSpan w:val="2"/>
            <w:shd w:val="clear" w:color="auto" w:fill="DCDDDF"/>
          </w:tcPr>
          <w:p>
            <w:pPr>
              <w:spacing w:after="0"/>
              <w:rPr>
                <w:sz w:val="20"/>
                <w:szCs w:val="20"/>
                <w:color w:val="auto"/>
              </w:rPr>
            </w:pPr>
            <w:r>
              <w:rPr>
                <w:rFonts w:ascii="Times New Roman" w:cs="Times New Roman" w:eastAsia="Times New Roman" w:hAnsi="Times New Roman"/>
                <w:sz w:val="22"/>
                <w:szCs w:val="22"/>
                <w:b w:val="1"/>
                <w:bCs w:val="1"/>
                <w:color w:val="231F20"/>
              </w:rPr>
              <w:t>Total Commitment</w:t>
            </w:r>
          </w:p>
        </w:tc>
        <w:tc>
          <w:tcPr>
            <w:tcW w:w="380" w:type="dxa"/>
            <w:vAlign w:val="bottom"/>
          </w:tcPr>
          <w:p>
            <w:pPr>
              <w:spacing w:after="0"/>
              <w:rPr>
                <w:sz w:val="24"/>
                <w:szCs w:val="24"/>
                <w:color w:val="auto"/>
              </w:rPr>
            </w:pPr>
          </w:p>
        </w:tc>
      </w:tr>
      <w:tr>
        <w:trPr>
          <w:trHeight w:val="79"/>
        </w:trPr>
        <w:tc>
          <w:tcPr>
            <w:tcW w:w="780" w:type="dxa"/>
            <w:vAlign w:val="bottom"/>
            <w:tcBorders>
              <w:right w:val="single" w:sz="8" w:color="231F20"/>
            </w:tcBorders>
          </w:tcPr>
          <w:p>
            <w:pPr>
              <w:spacing w:after="0"/>
              <w:rPr>
                <w:sz w:val="6"/>
                <w:szCs w:val="6"/>
                <w:color w:val="auto"/>
              </w:rPr>
            </w:pPr>
          </w:p>
        </w:tc>
        <w:tc>
          <w:tcPr>
            <w:tcW w:w="3560" w:type="dxa"/>
            <w:vAlign w:val="bottom"/>
            <w:tcBorders>
              <w:bottom w:val="single" w:sz="8" w:color="231F20"/>
            </w:tcBorders>
            <w:shd w:val="clear" w:color="auto" w:fill="DCDDDF"/>
          </w:tcPr>
          <w:p>
            <w:pPr>
              <w:spacing w:after="0"/>
              <w:rPr>
                <w:sz w:val="6"/>
                <w:szCs w:val="6"/>
                <w:color w:val="auto"/>
              </w:rPr>
            </w:pPr>
          </w:p>
        </w:tc>
        <w:tc>
          <w:tcPr>
            <w:tcW w:w="160" w:type="dxa"/>
            <w:vAlign w:val="bottom"/>
            <w:tcBorders>
              <w:bottom w:val="single" w:sz="8" w:color="231F20"/>
            </w:tcBorders>
            <w:shd w:val="clear" w:color="auto" w:fill="DCDDDF"/>
          </w:tcPr>
          <w:p>
            <w:pPr>
              <w:spacing w:after="0"/>
              <w:rPr>
                <w:sz w:val="6"/>
                <w:szCs w:val="6"/>
                <w:color w:val="auto"/>
              </w:rPr>
            </w:pPr>
          </w:p>
        </w:tc>
        <w:tc>
          <w:tcPr>
            <w:tcW w:w="700" w:type="dxa"/>
            <w:vAlign w:val="bottom"/>
            <w:tcBorders>
              <w:bottom w:val="single" w:sz="8" w:color="231F20"/>
            </w:tcBorders>
            <w:shd w:val="clear" w:color="auto" w:fill="DCDDDF"/>
          </w:tcPr>
          <w:p>
            <w:pPr>
              <w:spacing w:after="0"/>
              <w:rPr>
                <w:sz w:val="6"/>
                <w:szCs w:val="6"/>
                <w:color w:val="auto"/>
              </w:rPr>
            </w:pPr>
          </w:p>
        </w:tc>
        <w:tc>
          <w:tcPr>
            <w:tcW w:w="1220" w:type="dxa"/>
            <w:vAlign w:val="bottom"/>
            <w:tcBorders>
              <w:bottom w:val="single" w:sz="8" w:color="231F20"/>
            </w:tcBorders>
            <w:shd w:val="clear" w:color="auto" w:fill="DCDDDF"/>
          </w:tcPr>
          <w:p>
            <w:pPr>
              <w:spacing w:after="0"/>
              <w:rPr>
                <w:sz w:val="6"/>
                <w:szCs w:val="6"/>
                <w:color w:val="auto"/>
              </w:rPr>
            </w:pPr>
          </w:p>
        </w:tc>
        <w:tc>
          <w:tcPr>
            <w:tcW w:w="700" w:type="dxa"/>
            <w:vAlign w:val="bottom"/>
            <w:tcBorders>
              <w:bottom w:val="single" w:sz="8" w:color="231F20"/>
              <w:right w:val="single" w:sz="8" w:color="231F20"/>
            </w:tcBorders>
            <w:shd w:val="clear" w:color="auto" w:fill="DCDDDF"/>
          </w:tcPr>
          <w:p>
            <w:pPr>
              <w:spacing w:after="0"/>
              <w:rPr>
                <w:sz w:val="6"/>
                <w:szCs w:val="6"/>
                <w:color w:val="auto"/>
              </w:rPr>
            </w:pPr>
          </w:p>
        </w:tc>
        <w:tc>
          <w:tcPr>
            <w:tcW w:w="20" w:type="dxa"/>
            <w:vAlign w:val="bottom"/>
            <w:tcBorders>
              <w:bottom w:val="single" w:sz="8" w:color="231F20"/>
            </w:tcBorders>
            <w:shd w:val="clear" w:color="auto" w:fill="DCDDDF"/>
          </w:tcPr>
          <w:p>
            <w:pPr>
              <w:spacing w:after="0"/>
              <w:rPr>
                <w:sz w:val="6"/>
                <w:szCs w:val="6"/>
                <w:color w:val="auto"/>
              </w:rPr>
            </w:pPr>
          </w:p>
        </w:tc>
        <w:tc>
          <w:tcPr>
            <w:tcW w:w="3720" w:type="dxa"/>
            <w:vAlign w:val="bottom"/>
            <w:tcBorders>
              <w:bottom w:val="single" w:sz="8" w:color="231F20"/>
              <w:right w:val="single" w:sz="8" w:color="231F20"/>
            </w:tcBorders>
            <w:shd w:val="clear" w:color="auto" w:fill="DCDDDF"/>
          </w:tcPr>
          <w:p>
            <w:pPr>
              <w:spacing w:after="0"/>
              <w:rPr>
                <w:sz w:val="6"/>
                <w:szCs w:val="6"/>
                <w:color w:val="auto"/>
              </w:rPr>
            </w:pPr>
          </w:p>
        </w:tc>
        <w:tc>
          <w:tcPr>
            <w:tcW w:w="380" w:type="dxa"/>
            <w:vAlign w:val="bottom"/>
          </w:tcPr>
          <w:p>
            <w:pPr>
              <w:spacing w:after="0"/>
              <w:rPr>
                <w:sz w:val="6"/>
                <w:szCs w:val="6"/>
                <w:color w:val="auto"/>
              </w:rPr>
            </w:pPr>
          </w:p>
        </w:tc>
      </w:tr>
      <w:tr>
        <w:trPr>
          <w:trHeight w:val="387"/>
        </w:trPr>
        <w:tc>
          <w:tcPr>
            <w:tcW w:w="780" w:type="dxa"/>
            <w:vAlign w:val="bottom"/>
            <w:tcBorders>
              <w:right w:val="single" w:sz="8" w:color="231F20"/>
            </w:tcBorders>
          </w:tcPr>
          <w:p>
            <w:pPr>
              <w:spacing w:after="0"/>
              <w:rPr>
                <w:sz w:val="24"/>
                <w:szCs w:val="24"/>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22"/>
                <w:szCs w:val="22"/>
                <w:color w:val="231F20"/>
              </w:rPr>
              <w:t>Citibank, N.A.</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Borders>
              <w:right w:val="single" w:sz="8" w:color="231F20"/>
            </w:tcBorders>
          </w:tcPr>
          <w:p>
            <w:pPr>
              <w:spacing w:after="0"/>
              <w:rPr>
                <w:sz w:val="24"/>
                <w:szCs w:val="24"/>
                <w:color w:val="auto"/>
              </w:rPr>
            </w:pPr>
          </w:p>
        </w:tc>
        <w:tc>
          <w:tcPr>
            <w:tcW w:w="3740" w:type="dxa"/>
            <w:vAlign w:val="bottom"/>
            <w:tcBorders>
              <w:right w:val="single" w:sz="8" w:color="231F20"/>
            </w:tcBorders>
            <w:gridSpan w:val="2"/>
          </w:tcPr>
          <w:p>
            <w:pPr>
              <w:spacing w:after="0"/>
              <w:rPr>
                <w:sz w:val="20"/>
                <w:szCs w:val="20"/>
                <w:color w:val="auto"/>
              </w:rPr>
            </w:pPr>
            <w:r>
              <w:rPr>
                <w:rFonts w:ascii="Times New Roman" w:cs="Times New Roman" w:eastAsia="Times New Roman" w:hAnsi="Times New Roman"/>
                <w:sz w:val="22"/>
                <w:szCs w:val="22"/>
                <w:color w:val="231F20"/>
              </w:rPr>
              <w:t>$80,000,000</w:t>
            </w:r>
          </w:p>
        </w:tc>
        <w:tc>
          <w:tcPr>
            <w:tcW w:w="380" w:type="dxa"/>
            <w:vAlign w:val="bottom"/>
          </w:tcPr>
          <w:p>
            <w:pPr>
              <w:spacing w:after="0"/>
              <w:rPr>
                <w:sz w:val="24"/>
                <w:szCs w:val="24"/>
                <w:color w:val="auto"/>
              </w:rPr>
            </w:pPr>
          </w:p>
        </w:tc>
      </w:tr>
      <w:tr>
        <w:trPr>
          <w:trHeight w:val="96"/>
        </w:trPr>
        <w:tc>
          <w:tcPr>
            <w:tcW w:w="780" w:type="dxa"/>
            <w:vAlign w:val="bottom"/>
            <w:tcBorders>
              <w:right w:val="single" w:sz="8" w:color="231F20"/>
            </w:tcBorders>
          </w:tcPr>
          <w:p>
            <w:pPr>
              <w:spacing w:after="0"/>
              <w:rPr>
                <w:sz w:val="8"/>
                <w:szCs w:val="8"/>
                <w:color w:val="auto"/>
              </w:rPr>
            </w:pPr>
          </w:p>
        </w:tc>
        <w:tc>
          <w:tcPr>
            <w:tcW w:w="3560" w:type="dxa"/>
            <w:vAlign w:val="bottom"/>
            <w:tcBorders>
              <w:bottom w:val="single" w:sz="8" w:color="231F20"/>
            </w:tcBorders>
          </w:tcPr>
          <w:p>
            <w:pPr>
              <w:spacing w:after="0"/>
              <w:rPr>
                <w:sz w:val="8"/>
                <w:szCs w:val="8"/>
                <w:color w:val="auto"/>
              </w:rPr>
            </w:pPr>
          </w:p>
        </w:tc>
        <w:tc>
          <w:tcPr>
            <w:tcW w:w="160" w:type="dxa"/>
            <w:vAlign w:val="bottom"/>
            <w:tcBorders>
              <w:bottom w:val="single" w:sz="8" w:color="231F20"/>
            </w:tcBorders>
          </w:tcPr>
          <w:p>
            <w:pPr>
              <w:spacing w:after="0"/>
              <w:rPr>
                <w:sz w:val="8"/>
                <w:szCs w:val="8"/>
                <w:color w:val="auto"/>
              </w:rPr>
            </w:pPr>
          </w:p>
        </w:tc>
        <w:tc>
          <w:tcPr>
            <w:tcW w:w="700" w:type="dxa"/>
            <w:vAlign w:val="bottom"/>
            <w:tcBorders>
              <w:bottom w:val="single" w:sz="8" w:color="231F20"/>
            </w:tcBorders>
          </w:tcPr>
          <w:p>
            <w:pPr>
              <w:spacing w:after="0"/>
              <w:rPr>
                <w:sz w:val="8"/>
                <w:szCs w:val="8"/>
                <w:color w:val="auto"/>
              </w:rPr>
            </w:pPr>
          </w:p>
        </w:tc>
        <w:tc>
          <w:tcPr>
            <w:tcW w:w="1220" w:type="dxa"/>
            <w:vAlign w:val="bottom"/>
            <w:tcBorders>
              <w:bottom w:val="single" w:sz="8" w:color="231F20"/>
            </w:tcBorders>
          </w:tcPr>
          <w:p>
            <w:pPr>
              <w:spacing w:after="0"/>
              <w:rPr>
                <w:sz w:val="8"/>
                <w:szCs w:val="8"/>
                <w:color w:val="auto"/>
              </w:rPr>
            </w:pPr>
          </w:p>
        </w:tc>
        <w:tc>
          <w:tcPr>
            <w:tcW w:w="700" w:type="dxa"/>
            <w:vAlign w:val="bottom"/>
            <w:tcBorders>
              <w:bottom w:val="single" w:sz="8" w:color="231F20"/>
              <w:right w:val="single" w:sz="8" w:color="231F20"/>
            </w:tcBorders>
          </w:tcPr>
          <w:p>
            <w:pPr>
              <w:spacing w:after="0"/>
              <w:rPr>
                <w:sz w:val="8"/>
                <w:szCs w:val="8"/>
                <w:color w:val="auto"/>
              </w:rPr>
            </w:pPr>
          </w:p>
        </w:tc>
        <w:tc>
          <w:tcPr>
            <w:tcW w:w="20" w:type="dxa"/>
            <w:vAlign w:val="bottom"/>
            <w:tcBorders>
              <w:bottom w:val="single" w:sz="8" w:color="231F20"/>
            </w:tcBorders>
          </w:tcPr>
          <w:p>
            <w:pPr>
              <w:spacing w:after="0"/>
              <w:rPr>
                <w:sz w:val="8"/>
                <w:szCs w:val="8"/>
                <w:color w:val="auto"/>
              </w:rPr>
            </w:pPr>
          </w:p>
        </w:tc>
        <w:tc>
          <w:tcPr>
            <w:tcW w:w="3720" w:type="dxa"/>
            <w:vAlign w:val="bottom"/>
            <w:tcBorders>
              <w:bottom w:val="single" w:sz="8" w:color="231F20"/>
              <w:right w:val="single" w:sz="8" w:color="231F20"/>
            </w:tcBorders>
          </w:tcPr>
          <w:p>
            <w:pPr>
              <w:spacing w:after="0"/>
              <w:rPr>
                <w:sz w:val="8"/>
                <w:szCs w:val="8"/>
                <w:color w:val="auto"/>
              </w:rPr>
            </w:pPr>
          </w:p>
        </w:tc>
        <w:tc>
          <w:tcPr>
            <w:tcW w:w="380" w:type="dxa"/>
            <w:vAlign w:val="bottom"/>
          </w:tcPr>
          <w:p>
            <w:pPr>
              <w:spacing w:after="0"/>
              <w:rPr>
                <w:sz w:val="8"/>
                <w:szCs w:val="8"/>
                <w:color w:val="auto"/>
              </w:rPr>
            </w:pPr>
          </w:p>
        </w:tc>
      </w:tr>
      <w:tr>
        <w:trPr>
          <w:trHeight w:val="383"/>
        </w:trPr>
        <w:tc>
          <w:tcPr>
            <w:tcW w:w="780" w:type="dxa"/>
            <w:vAlign w:val="bottom"/>
            <w:tcBorders>
              <w:right w:val="single" w:sz="8" w:color="231F20"/>
            </w:tcBorders>
          </w:tcPr>
          <w:p>
            <w:pPr>
              <w:spacing w:after="0"/>
              <w:rPr>
                <w:sz w:val="24"/>
                <w:szCs w:val="24"/>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22"/>
                <w:szCs w:val="22"/>
                <w:color w:val="231F20"/>
              </w:rPr>
              <w:t>Bank of America N.A.</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Borders>
              <w:right w:val="single" w:sz="8" w:color="231F20"/>
            </w:tcBorders>
          </w:tcPr>
          <w:p>
            <w:pPr>
              <w:spacing w:after="0"/>
              <w:rPr>
                <w:sz w:val="24"/>
                <w:szCs w:val="24"/>
                <w:color w:val="auto"/>
              </w:rPr>
            </w:pPr>
          </w:p>
        </w:tc>
        <w:tc>
          <w:tcPr>
            <w:tcW w:w="3740" w:type="dxa"/>
            <w:vAlign w:val="bottom"/>
            <w:tcBorders>
              <w:right w:val="single" w:sz="8" w:color="231F20"/>
            </w:tcBorders>
            <w:gridSpan w:val="2"/>
          </w:tcPr>
          <w:p>
            <w:pPr>
              <w:spacing w:after="0"/>
              <w:rPr>
                <w:sz w:val="20"/>
                <w:szCs w:val="20"/>
                <w:color w:val="auto"/>
              </w:rPr>
            </w:pPr>
            <w:r>
              <w:rPr>
                <w:rFonts w:ascii="Times New Roman" w:cs="Times New Roman" w:eastAsia="Times New Roman" w:hAnsi="Times New Roman"/>
                <w:sz w:val="22"/>
                <w:szCs w:val="22"/>
                <w:color w:val="231F20"/>
              </w:rPr>
              <w:t>$65,000,000</w:t>
            </w:r>
          </w:p>
        </w:tc>
        <w:tc>
          <w:tcPr>
            <w:tcW w:w="380" w:type="dxa"/>
            <w:vAlign w:val="bottom"/>
          </w:tcPr>
          <w:p>
            <w:pPr>
              <w:spacing w:after="0"/>
              <w:rPr>
                <w:sz w:val="24"/>
                <w:szCs w:val="24"/>
                <w:color w:val="auto"/>
              </w:rPr>
            </w:pPr>
          </w:p>
        </w:tc>
      </w:tr>
      <w:tr>
        <w:trPr>
          <w:trHeight w:val="96"/>
        </w:trPr>
        <w:tc>
          <w:tcPr>
            <w:tcW w:w="780" w:type="dxa"/>
            <w:vAlign w:val="bottom"/>
            <w:tcBorders>
              <w:right w:val="single" w:sz="8" w:color="231F20"/>
            </w:tcBorders>
          </w:tcPr>
          <w:p>
            <w:pPr>
              <w:spacing w:after="0"/>
              <w:rPr>
                <w:sz w:val="8"/>
                <w:szCs w:val="8"/>
                <w:color w:val="auto"/>
              </w:rPr>
            </w:pPr>
          </w:p>
        </w:tc>
        <w:tc>
          <w:tcPr>
            <w:tcW w:w="3560" w:type="dxa"/>
            <w:vAlign w:val="bottom"/>
            <w:tcBorders>
              <w:bottom w:val="single" w:sz="8" w:color="231F20"/>
            </w:tcBorders>
          </w:tcPr>
          <w:p>
            <w:pPr>
              <w:spacing w:after="0"/>
              <w:rPr>
                <w:sz w:val="8"/>
                <w:szCs w:val="8"/>
                <w:color w:val="auto"/>
              </w:rPr>
            </w:pPr>
          </w:p>
        </w:tc>
        <w:tc>
          <w:tcPr>
            <w:tcW w:w="160" w:type="dxa"/>
            <w:vAlign w:val="bottom"/>
            <w:tcBorders>
              <w:bottom w:val="single" w:sz="8" w:color="231F20"/>
            </w:tcBorders>
          </w:tcPr>
          <w:p>
            <w:pPr>
              <w:spacing w:after="0"/>
              <w:rPr>
                <w:sz w:val="8"/>
                <w:szCs w:val="8"/>
                <w:color w:val="auto"/>
              </w:rPr>
            </w:pPr>
          </w:p>
        </w:tc>
        <w:tc>
          <w:tcPr>
            <w:tcW w:w="700" w:type="dxa"/>
            <w:vAlign w:val="bottom"/>
            <w:tcBorders>
              <w:bottom w:val="single" w:sz="8" w:color="231F20"/>
            </w:tcBorders>
          </w:tcPr>
          <w:p>
            <w:pPr>
              <w:spacing w:after="0"/>
              <w:rPr>
                <w:sz w:val="8"/>
                <w:szCs w:val="8"/>
                <w:color w:val="auto"/>
              </w:rPr>
            </w:pPr>
          </w:p>
        </w:tc>
        <w:tc>
          <w:tcPr>
            <w:tcW w:w="1220" w:type="dxa"/>
            <w:vAlign w:val="bottom"/>
            <w:tcBorders>
              <w:bottom w:val="single" w:sz="8" w:color="231F20"/>
            </w:tcBorders>
          </w:tcPr>
          <w:p>
            <w:pPr>
              <w:spacing w:after="0"/>
              <w:rPr>
                <w:sz w:val="8"/>
                <w:szCs w:val="8"/>
                <w:color w:val="auto"/>
              </w:rPr>
            </w:pPr>
          </w:p>
        </w:tc>
        <w:tc>
          <w:tcPr>
            <w:tcW w:w="700" w:type="dxa"/>
            <w:vAlign w:val="bottom"/>
            <w:tcBorders>
              <w:bottom w:val="single" w:sz="8" w:color="231F20"/>
              <w:right w:val="single" w:sz="8" w:color="231F20"/>
            </w:tcBorders>
          </w:tcPr>
          <w:p>
            <w:pPr>
              <w:spacing w:after="0"/>
              <w:rPr>
                <w:sz w:val="8"/>
                <w:szCs w:val="8"/>
                <w:color w:val="auto"/>
              </w:rPr>
            </w:pPr>
          </w:p>
        </w:tc>
        <w:tc>
          <w:tcPr>
            <w:tcW w:w="20" w:type="dxa"/>
            <w:vAlign w:val="bottom"/>
            <w:tcBorders>
              <w:bottom w:val="single" w:sz="8" w:color="231F20"/>
            </w:tcBorders>
          </w:tcPr>
          <w:p>
            <w:pPr>
              <w:spacing w:after="0"/>
              <w:rPr>
                <w:sz w:val="8"/>
                <w:szCs w:val="8"/>
                <w:color w:val="auto"/>
              </w:rPr>
            </w:pPr>
          </w:p>
        </w:tc>
        <w:tc>
          <w:tcPr>
            <w:tcW w:w="3720" w:type="dxa"/>
            <w:vAlign w:val="bottom"/>
            <w:tcBorders>
              <w:bottom w:val="single" w:sz="8" w:color="231F20"/>
              <w:right w:val="single" w:sz="8" w:color="231F20"/>
            </w:tcBorders>
          </w:tcPr>
          <w:p>
            <w:pPr>
              <w:spacing w:after="0"/>
              <w:rPr>
                <w:sz w:val="8"/>
                <w:szCs w:val="8"/>
                <w:color w:val="auto"/>
              </w:rPr>
            </w:pPr>
          </w:p>
        </w:tc>
        <w:tc>
          <w:tcPr>
            <w:tcW w:w="380" w:type="dxa"/>
            <w:vAlign w:val="bottom"/>
          </w:tcPr>
          <w:p>
            <w:pPr>
              <w:spacing w:after="0"/>
              <w:rPr>
                <w:sz w:val="8"/>
                <w:szCs w:val="8"/>
                <w:color w:val="auto"/>
              </w:rPr>
            </w:pPr>
          </w:p>
        </w:tc>
      </w:tr>
      <w:tr>
        <w:trPr>
          <w:trHeight w:val="383"/>
        </w:trPr>
        <w:tc>
          <w:tcPr>
            <w:tcW w:w="780" w:type="dxa"/>
            <w:vAlign w:val="bottom"/>
            <w:tcBorders>
              <w:right w:val="single" w:sz="8" w:color="231F20"/>
            </w:tcBorders>
          </w:tcPr>
          <w:p>
            <w:pPr>
              <w:spacing w:after="0"/>
              <w:rPr>
                <w:sz w:val="24"/>
                <w:szCs w:val="24"/>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22"/>
                <w:szCs w:val="22"/>
                <w:color w:val="231F20"/>
              </w:rPr>
              <w:t>JPMorgan Chase Bank, N.A.</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Borders>
              <w:right w:val="single" w:sz="8" w:color="231F20"/>
            </w:tcBorders>
          </w:tcPr>
          <w:p>
            <w:pPr>
              <w:spacing w:after="0"/>
              <w:rPr>
                <w:sz w:val="24"/>
                <w:szCs w:val="24"/>
                <w:color w:val="auto"/>
              </w:rPr>
            </w:pPr>
          </w:p>
        </w:tc>
        <w:tc>
          <w:tcPr>
            <w:tcW w:w="3740" w:type="dxa"/>
            <w:vAlign w:val="bottom"/>
            <w:tcBorders>
              <w:right w:val="single" w:sz="8" w:color="231F20"/>
            </w:tcBorders>
            <w:gridSpan w:val="2"/>
          </w:tcPr>
          <w:p>
            <w:pPr>
              <w:spacing w:after="0"/>
              <w:rPr>
                <w:sz w:val="20"/>
                <w:szCs w:val="20"/>
                <w:color w:val="auto"/>
              </w:rPr>
            </w:pPr>
            <w:r>
              <w:rPr>
                <w:rFonts w:ascii="Times New Roman" w:cs="Times New Roman" w:eastAsia="Times New Roman" w:hAnsi="Times New Roman"/>
                <w:sz w:val="22"/>
                <w:szCs w:val="22"/>
                <w:color w:val="231F20"/>
              </w:rPr>
              <w:t>$65,000,000</w:t>
            </w:r>
          </w:p>
        </w:tc>
        <w:tc>
          <w:tcPr>
            <w:tcW w:w="380" w:type="dxa"/>
            <w:vAlign w:val="bottom"/>
          </w:tcPr>
          <w:p>
            <w:pPr>
              <w:spacing w:after="0"/>
              <w:rPr>
                <w:sz w:val="24"/>
                <w:szCs w:val="24"/>
                <w:color w:val="auto"/>
              </w:rPr>
            </w:pPr>
          </w:p>
        </w:tc>
      </w:tr>
      <w:tr>
        <w:trPr>
          <w:trHeight w:val="96"/>
        </w:trPr>
        <w:tc>
          <w:tcPr>
            <w:tcW w:w="780" w:type="dxa"/>
            <w:vAlign w:val="bottom"/>
            <w:tcBorders>
              <w:right w:val="single" w:sz="8" w:color="231F20"/>
            </w:tcBorders>
          </w:tcPr>
          <w:p>
            <w:pPr>
              <w:spacing w:after="0"/>
              <w:rPr>
                <w:sz w:val="8"/>
                <w:szCs w:val="8"/>
                <w:color w:val="auto"/>
              </w:rPr>
            </w:pPr>
          </w:p>
        </w:tc>
        <w:tc>
          <w:tcPr>
            <w:tcW w:w="3560" w:type="dxa"/>
            <w:vAlign w:val="bottom"/>
            <w:tcBorders>
              <w:bottom w:val="single" w:sz="8" w:color="231F20"/>
            </w:tcBorders>
          </w:tcPr>
          <w:p>
            <w:pPr>
              <w:spacing w:after="0"/>
              <w:rPr>
                <w:sz w:val="8"/>
                <w:szCs w:val="8"/>
                <w:color w:val="auto"/>
              </w:rPr>
            </w:pPr>
          </w:p>
        </w:tc>
        <w:tc>
          <w:tcPr>
            <w:tcW w:w="160" w:type="dxa"/>
            <w:vAlign w:val="bottom"/>
            <w:tcBorders>
              <w:bottom w:val="single" w:sz="8" w:color="231F20"/>
            </w:tcBorders>
          </w:tcPr>
          <w:p>
            <w:pPr>
              <w:spacing w:after="0"/>
              <w:rPr>
                <w:sz w:val="8"/>
                <w:szCs w:val="8"/>
                <w:color w:val="auto"/>
              </w:rPr>
            </w:pPr>
          </w:p>
        </w:tc>
        <w:tc>
          <w:tcPr>
            <w:tcW w:w="700" w:type="dxa"/>
            <w:vAlign w:val="bottom"/>
            <w:tcBorders>
              <w:bottom w:val="single" w:sz="8" w:color="231F20"/>
            </w:tcBorders>
          </w:tcPr>
          <w:p>
            <w:pPr>
              <w:spacing w:after="0"/>
              <w:rPr>
                <w:sz w:val="8"/>
                <w:szCs w:val="8"/>
                <w:color w:val="auto"/>
              </w:rPr>
            </w:pPr>
          </w:p>
        </w:tc>
        <w:tc>
          <w:tcPr>
            <w:tcW w:w="1220" w:type="dxa"/>
            <w:vAlign w:val="bottom"/>
            <w:tcBorders>
              <w:bottom w:val="single" w:sz="8" w:color="231F20"/>
            </w:tcBorders>
          </w:tcPr>
          <w:p>
            <w:pPr>
              <w:spacing w:after="0"/>
              <w:rPr>
                <w:sz w:val="8"/>
                <w:szCs w:val="8"/>
                <w:color w:val="auto"/>
              </w:rPr>
            </w:pPr>
          </w:p>
        </w:tc>
        <w:tc>
          <w:tcPr>
            <w:tcW w:w="700" w:type="dxa"/>
            <w:vAlign w:val="bottom"/>
            <w:tcBorders>
              <w:bottom w:val="single" w:sz="8" w:color="231F20"/>
              <w:right w:val="single" w:sz="8" w:color="231F20"/>
            </w:tcBorders>
          </w:tcPr>
          <w:p>
            <w:pPr>
              <w:spacing w:after="0"/>
              <w:rPr>
                <w:sz w:val="8"/>
                <w:szCs w:val="8"/>
                <w:color w:val="auto"/>
              </w:rPr>
            </w:pPr>
          </w:p>
        </w:tc>
        <w:tc>
          <w:tcPr>
            <w:tcW w:w="20" w:type="dxa"/>
            <w:vAlign w:val="bottom"/>
            <w:tcBorders>
              <w:bottom w:val="single" w:sz="8" w:color="231F20"/>
            </w:tcBorders>
          </w:tcPr>
          <w:p>
            <w:pPr>
              <w:spacing w:after="0"/>
              <w:rPr>
                <w:sz w:val="8"/>
                <w:szCs w:val="8"/>
                <w:color w:val="auto"/>
              </w:rPr>
            </w:pPr>
          </w:p>
        </w:tc>
        <w:tc>
          <w:tcPr>
            <w:tcW w:w="3720" w:type="dxa"/>
            <w:vAlign w:val="bottom"/>
            <w:tcBorders>
              <w:bottom w:val="single" w:sz="8" w:color="231F20"/>
              <w:right w:val="single" w:sz="8" w:color="231F20"/>
            </w:tcBorders>
          </w:tcPr>
          <w:p>
            <w:pPr>
              <w:spacing w:after="0"/>
              <w:rPr>
                <w:sz w:val="8"/>
                <w:szCs w:val="8"/>
                <w:color w:val="auto"/>
              </w:rPr>
            </w:pPr>
          </w:p>
        </w:tc>
        <w:tc>
          <w:tcPr>
            <w:tcW w:w="380" w:type="dxa"/>
            <w:vAlign w:val="bottom"/>
          </w:tcPr>
          <w:p>
            <w:pPr>
              <w:spacing w:after="0"/>
              <w:rPr>
                <w:sz w:val="8"/>
                <w:szCs w:val="8"/>
                <w:color w:val="auto"/>
              </w:rPr>
            </w:pPr>
          </w:p>
        </w:tc>
      </w:tr>
      <w:tr>
        <w:trPr>
          <w:trHeight w:val="383"/>
        </w:trPr>
        <w:tc>
          <w:tcPr>
            <w:tcW w:w="780" w:type="dxa"/>
            <w:vAlign w:val="bottom"/>
            <w:tcBorders>
              <w:right w:val="single" w:sz="8" w:color="231F20"/>
            </w:tcBorders>
          </w:tcPr>
          <w:p>
            <w:pPr>
              <w:spacing w:after="0"/>
              <w:rPr>
                <w:sz w:val="24"/>
                <w:szCs w:val="24"/>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22"/>
                <w:szCs w:val="22"/>
                <w:color w:val="231F20"/>
              </w:rPr>
              <w:t>Deutsche Bank AG New York Branch</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Borders>
              <w:right w:val="single" w:sz="8" w:color="231F20"/>
            </w:tcBorders>
          </w:tcPr>
          <w:p>
            <w:pPr>
              <w:spacing w:after="0"/>
              <w:rPr>
                <w:sz w:val="24"/>
                <w:szCs w:val="24"/>
                <w:color w:val="auto"/>
              </w:rPr>
            </w:pPr>
          </w:p>
        </w:tc>
        <w:tc>
          <w:tcPr>
            <w:tcW w:w="3740" w:type="dxa"/>
            <w:vAlign w:val="bottom"/>
            <w:tcBorders>
              <w:right w:val="single" w:sz="8" w:color="231F20"/>
            </w:tcBorders>
            <w:gridSpan w:val="2"/>
          </w:tcPr>
          <w:p>
            <w:pPr>
              <w:spacing w:after="0"/>
              <w:rPr>
                <w:sz w:val="20"/>
                <w:szCs w:val="20"/>
                <w:color w:val="auto"/>
              </w:rPr>
            </w:pPr>
            <w:r>
              <w:rPr>
                <w:rFonts w:ascii="Times New Roman" w:cs="Times New Roman" w:eastAsia="Times New Roman" w:hAnsi="Times New Roman"/>
                <w:sz w:val="22"/>
                <w:szCs w:val="22"/>
                <w:color w:val="231F20"/>
              </w:rPr>
              <w:t>$45,000,000</w:t>
            </w:r>
          </w:p>
        </w:tc>
        <w:tc>
          <w:tcPr>
            <w:tcW w:w="380" w:type="dxa"/>
            <w:vAlign w:val="bottom"/>
          </w:tcPr>
          <w:p>
            <w:pPr>
              <w:spacing w:after="0"/>
              <w:rPr>
                <w:sz w:val="24"/>
                <w:szCs w:val="24"/>
                <w:color w:val="auto"/>
              </w:rPr>
            </w:pPr>
          </w:p>
        </w:tc>
      </w:tr>
      <w:tr>
        <w:trPr>
          <w:trHeight w:val="96"/>
        </w:trPr>
        <w:tc>
          <w:tcPr>
            <w:tcW w:w="780" w:type="dxa"/>
            <w:vAlign w:val="bottom"/>
            <w:tcBorders>
              <w:right w:val="single" w:sz="8" w:color="231F20"/>
            </w:tcBorders>
          </w:tcPr>
          <w:p>
            <w:pPr>
              <w:spacing w:after="0"/>
              <w:rPr>
                <w:sz w:val="8"/>
                <w:szCs w:val="8"/>
                <w:color w:val="auto"/>
              </w:rPr>
            </w:pPr>
          </w:p>
        </w:tc>
        <w:tc>
          <w:tcPr>
            <w:tcW w:w="3560" w:type="dxa"/>
            <w:vAlign w:val="bottom"/>
            <w:tcBorders>
              <w:bottom w:val="single" w:sz="8" w:color="231F20"/>
            </w:tcBorders>
          </w:tcPr>
          <w:p>
            <w:pPr>
              <w:spacing w:after="0"/>
              <w:rPr>
                <w:sz w:val="8"/>
                <w:szCs w:val="8"/>
                <w:color w:val="auto"/>
              </w:rPr>
            </w:pPr>
          </w:p>
        </w:tc>
        <w:tc>
          <w:tcPr>
            <w:tcW w:w="160" w:type="dxa"/>
            <w:vAlign w:val="bottom"/>
            <w:tcBorders>
              <w:bottom w:val="single" w:sz="8" w:color="231F20"/>
            </w:tcBorders>
          </w:tcPr>
          <w:p>
            <w:pPr>
              <w:spacing w:after="0"/>
              <w:rPr>
                <w:sz w:val="8"/>
                <w:szCs w:val="8"/>
                <w:color w:val="auto"/>
              </w:rPr>
            </w:pPr>
          </w:p>
        </w:tc>
        <w:tc>
          <w:tcPr>
            <w:tcW w:w="700" w:type="dxa"/>
            <w:vAlign w:val="bottom"/>
            <w:tcBorders>
              <w:bottom w:val="single" w:sz="8" w:color="231F20"/>
            </w:tcBorders>
          </w:tcPr>
          <w:p>
            <w:pPr>
              <w:spacing w:after="0"/>
              <w:rPr>
                <w:sz w:val="8"/>
                <w:szCs w:val="8"/>
                <w:color w:val="auto"/>
              </w:rPr>
            </w:pPr>
          </w:p>
        </w:tc>
        <w:tc>
          <w:tcPr>
            <w:tcW w:w="1220" w:type="dxa"/>
            <w:vAlign w:val="bottom"/>
            <w:tcBorders>
              <w:bottom w:val="single" w:sz="8" w:color="231F20"/>
            </w:tcBorders>
          </w:tcPr>
          <w:p>
            <w:pPr>
              <w:spacing w:after="0"/>
              <w:rPr>
                <w:sz w:val="8"/>
                <w:szCs w:val="8"/>
                <w:color w:val="auto"/>
              </w:rPr>
            </w:pPr>
          </w:p>
        </w:tc>
        <w:tc>
          <w:tcPr>
            <w:tcW w:w="700" w:type="dxa"/>
            <w:vAlign w:val="bottom"/>
            <w:tcBorders>
              <w:bottom w:val="single" w:sz="8" w:color="231F20"/>
              <w:right w:val="single" w:sz="8" w:color="231F20"/>
            </w:tcBorders>
          </w:tcPr>
          <w:p>
            <w:pPr>
              <w:spacing w:after="0"/>
              <w:rPr>
                <w:sz w:val="8"/>
                <w:szCs w:val="8"/>
                <w:color w:val="auto"/>
              </w:rPr>
            </w:pPr>
          </w:p>
        </w:tc>
        <w:tc>
          <w:tcPr>
            <w:tcW w:w="20" w:type="dxa"/>
            <w:vAlign w:val="bottom"/>
            <w:tcBorders>
              <w:bottom w:val="single" w:sz="8" w:color="231F20"/>
            </w:tcBorders>
          </w:tcPr>
          <w:p>
            <w:pPr>
              <w:spacing w:after="0"/>
              <w:rPr>
                <w:sz w:val="8"/>
                <w:szCs w:val="8"/>
                <w:color w:val="auto"/>
              </w:rPr>
            </w:pPr>
          </w:p>
        </w:tc>
        <w:tc>
          <w:tcPr>
            <w:tcW w:w="3720" w:type="dxa"/>
            <w:vAlign w:val="bottom"/>
            <w:tcBorders>
              <w:bottom w:val="single" w:sz="8" w:color="231F20"/>
              <w:right w:val="single" w:sz="8" w:color="231F20"/>
            </w:tcBorders>
          </w:tcPr>
          <w:p>
            <w:pPr>
              <w:spacing w:after="0"/>
              <w:rPr>
                <w:sz w:val="8"/>
                <w:szCs w:val="8"/>
                <w:color w:val="auto"/>
              </w:rPr>
            </w:pPr>
          </w:p>
        </w:tc>
        <w:tc>
          <w:tcPr>
            <w:tcW w:w="380" w:type="dxa"/>
            <w:vAlign w:val="bottom"/>
          </w:tcPr>
          <w:p>
            <w:pPr>
              <w:spacing w:after="0"/>
              <w:rPr>
                <w:sz w:val="8"/>
                <w:szCs w:val="8"/>
                <w:color w:val="auto"/>
              </w:rPr>
            </w:pPr>
          </w:p>
        </w:tc>
      </w:tr>
      <w:tr>
        <w:trPr>
          <w:trHeight w:val="383"/>
        </w:trPr>
        <w:tc>
          <w:tcPr>
            <w:tcW w:w="780" w:type="dxa"/>
            <w:vAlign w:val="bottom"/>
            <w:tcBorders>
              <w:right w:val="single" w:sz="8" w:color="231F20"/>
            </w:tcBorders>
          </w:tcPr>
          <w:p>
            <w:pPr>
              <w:spacing w:after="0"/>
              <w:rPr>
                <w:sz w:val="24"/>
                <w:szCs w:val="24"/>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22"/>
                <w:szCs w:val="22"/>
                <w:color w:val="231F20"/>
              </w:rPr>
              <w:t>First-Citizens Bank &amp; Trust Company</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Borders>
              <w:right w:val="single" w:sz="8" w:color="231F20"/>
            </w:tcBorders>
          </w:tcPr>
          <w:p>
            <w:pPr>
              <w:spacing w:after="0"/>
              <w:rPr>
                <w:sz w:val="24"/>
                <w:szCs w:val="24"/>
                <w:color w:val="auto"/>
              </w:rPr>
            </w:pPr>
          </w:p>
        </w:tc>
        <w:tc>
          <w:tcPr>
            <w:tcW w:w="3740" w:type="dxa"/>
            <w:vAlign w:val="bottom"/>
            <w:tcBorders>
              <w:right w:val="single" w:sz="8" w:color="231F20"/>
            </w:tcBorders>
            <w:gridSpan w:val="2"/>
          </w:tcPr>
          <w:p>
            <w:pPr>
              <w:spacing w:after="0"/>
              <w:rPr>
                <w:sz w:val="20"/>
                <w:szCs w:val="20"/>
                <w:color w:val="auto"/>
              </w:rPr>
            </w:pPr>
            <w:r>
              <w:rPr>
                <w:rFonts w:ascii="Times New Roman" w:cs="Times New Roman" w:eastAsia="Times New Roman" w:hAnsi="Times New Roman"/>
                <w:sz w:val="22"/>
                <w:szCs w:val="22"/>
                <w:color w:val="231F20"/>
              </w:rPr>
              <w:t>$45,000,000</w:t>
            </w:r>
          </w:p>
        </w:tc>
        <w:tc>
          <w:tcPr>
            <w:tcW w:w="380" w:type="dxa"/>
            <w:vAlign w:val="bottom"/>
          </w:tcPr>
          <w:p>
            <w:pPr>
              <w:spacing w:after="0"/>
              <w:rPr>
                <w:sz w:val="24"/>
                <w:szCs w:val="24"/>
                <w:color w:val="auto"/>
              </w:rPr>
            </w:pPr>
          </w:p>
        </w:tc>
      </w:tr>
      <w:tr>
        <w:trPr>
          <w:trHeight w:val="96"/>
        </w:trPr>
        <w:tc>
          <w:tcPr>
            <w:tcW w:w="780" w:type="dxa"/>
            <w:vAlign w:val="bottom"/>
            <w:tcBorders>
              <w:right w:val="single" w:sz="8" w:color="231F20"/>
            </w:tcBorders>
          </w:tcPr>
          <w:p>
            <w:pPr>
              <w:spacing w:after="0"/>
              <w:rPr>
                <w:sz w:val="8"/>
                <w:szCs w:val="8"/>
                <w:color w:val="auto"/>
              </w:rPr>
            </w:pPr>
          </w:p>
        </w:tc>
        <w:tc>
          <w:tcPr>
            <w:tcW w:w="3560" w:type="dxa"/>
            <w:vAlign w:val="bottom"/>
            <w:tcBorders>
              <w:bottom w:val="single" w:sz="8" w:color="231F20"/>
            </w:tcBorders>
          </w:tcPr>
          <w:p>
            <w:pPr>
              <w:spacing w:after="0"/>
              <w:rPr>
                <w:sz w:val="8"/>
                <w:szCs w:val="8"/>
                <w:color w:val="auto"/>
              </w:rPr>
            </w:pPr>
          </w:p>
        </w:tc>
        <w:tc>
          <w:tcPr>
            <w:tcW w:w="160" w:type="dxa"/>
            <w:vAlign w:val="bottom"/>
            <w:tcBorders>
              <w:bottom w:val="single" w:sz="8" w:color="231F20"/>
            </w:tcBorders>
          </w:tcPr>
          <w:p>
            <w:pPr>
              <w:spacing w:after="0"/>
              <w:rPr>
                <w:sz w:val="8"/>
                <w:szCs w:val="8"/>
                <w:color w:val="auto"/>
              </w:rPr>
            </w:pPr>
          </w:p>
        </w:tc>
        <w:tc>
          <w:tcPr>
            <w:tcW w:w="700" w:type="dxa"/>
            <w:vAlign w:val="bottom"/>
            <w:tcBorders>
              <w:bottom w:val="single" w:sz="8" w:color="231F20"/>
            </w:tcBorders>
          </w:tcPr>
          <w:p>
            <w:pPr>
              <w:spacing w:after="0"/>
              <w:rPr>
                <w:sz w:val="8"/>
                <w:szCs w:val="8"/>
                <w:color w:val="auto"/>
              </w:rPr>
            </w:pPr>
          </w:p>
        </w:tc>
        <w:tc>
          <w:tcPr>
            <w:tcW w:w="1220" w:type="dxa"/>
            <w:vAlign w:val="bottom"/>
            <w:tcBorders>
              <w:bottom w:val="single" w:sz="8" w:color="231F20"/>
            </w:tcBorders>
          </w:tcPr>
          <w:p>
            <w:pPr>
              <w:spacing w:after="0"/>
              <w:rPr>
                <w:sz w:val="8"/>
                <w:szCs w:val="8"/>
                <w:color w:val="auto"/>
              </w:rPr>
            </w:pPr>
          </w:p>
        </w:tc>
        <w:tc>
          <w:tcPr>
            <w:tcW w:w="700" w:type="dxa"/>
            <w:vAlign w:val="bottom"/>
            <w:tcBorders>
              <w:bottom w:val="single" w:sz="8" w:color="231F20"/>
              <w:right w:val="single" w:sz="8" w:color="231F20"/>
            </w:tcBorders>
          </w:tcPr>
          <w:p>
            <w:pPr>
              <w:spacing w:after="0"/>
              <w:rPr>
                <w:sz w:val="8"/>
                <w:szCs w:val="8"/>
                <w:color w:val="auto"/>
              </w:rPr>
            </w:pPr>
          </w:p>
        </w:tc>
        <w:tc>
          <w:tcPr>
            <w:tcW w:w="20" w:type="dxa"/>
            <w:vAlign w:val="bottom"/>
            <w:tcBorders>
              <w:bottom w:val="single" w:sz="8" w:color="231F20"/>
            </w:tcBorders>
          </w:tcPr>
          <w:p>
            <w:pPr>
              <w:spacing w:after="0"/>
              <w:rPr>
                <w:sz w:val="8"/>
                <w:szCs w:val="8"/>
                <w:color w:val="auto"/>
              </w:rPr>
            </w:pPr>
          </w:p>
        </w:tc>
        <w:tc>
          <w:tcPr>
            <w:tcW w:w="3720" w:type="dxa"/>
            <w:vAlign w:val="bottom"/>
            <w:tcBorders>
              <w:bottom w:val="single" w:sz="8" w:color="231F20"/>
              <w:right w:val="single" w:sz="8" w:color="231F20"/>
            </w:tcBorders>
          </w:tcPr>
          <w:p>
            <w:pPr>
              <w:spacing w:after="0"/>
              <w:rPr>
                <w:sz w:val="8"/>
                <w:szCs w:val="8"/>
                <w:color w:val="auto"/>
              </w:rPr>
            </w:pPr>
          </w:p>
        </w:tc>
        <w:tc>
          <w:tcPr>
            <w:tcW w:w="380" w:type="dxa"/>
            <w:vAlign w:val="bottom"/>
          </w:tcPr>
          <w:p>
            <w:pPr>
              <w:spacing w:after="0"/>
              <w:rPr>
                <w:sz w:val="8"/>
                <w:szCs w:val="8"/>
                <w:color w:val="auto"/>
              </w:rPr>
            </w:pPr>
          </w:p>
        </w:tc>
      </w:tr>
      <w:tr>
        <w:trPr>
          <w:trHeight w:val="357"/>
        </w:trPr>
        <w:tc>
          <w:tcPr>
            <w:tcW w:w="780" w:type="dxa"/>
            <w:vAlign w:val="bottom"/>
            <w:tcBorders>
              <w:right w:val="single" w:sz="8" w:color="231F20"/>
            </w:tcBorders>
          </w:tcPr>
          <w:p>
            <w:pPr>
              <w:spacing w:after="0"/>
              <w:rPr>
                <w:sz w:val="24"/>
                <w:szCs w:val="24"/>
                <w:color w:val="auto"/>
              </w:rPr>
            </w:pPr>
          </w:p>
        </w:tc>
        <w:tc>
          <w:tcPr>
            <w:tcW w:w="3560" w:type="dxa"/>
            <w:vAlign w:val="bottom"/>
            <w:shd w:val="clear" w:color="auto" w:fill="F1F1F2"/>
          </w:tcPr>
          <w:p>
            <w:pPr>
              <w:spacing w:after="0"/>
              <w:rPr>
                <w:sz w:val="20"/>
                <w:szCs w:val="20"/>
                <w:color w:val="auto"/>
              </w:rPr>
            </w:pPr>
            <w:r>
              <w:rPr>
                <w:rFonts w:ascii="Times New Roman" w:cs="Times New Roman" w:eastAsia="Times New Roman" w:hAnsi="Times New Roman"/>
                <w:sz w:val="22"/>
                <w:szCs w:val="22"/>
                <w:b w:val="1"/>
                <w:bCs w:val="1"/>
                <w:color w:val="231F20"/>
              </w:rPr>
              <w:t>Total</w:t>
            </w:r>
          </w:p>
        </w:tc>
        <w:tc>
          <w:tcPr>
            <w:tcW w:w="160" w:type="dxa"/>
            <w:vAlign w:val="bottom"/>
            <w:shd w:val="clear" w:color="auto" w:fill="F1F1F2"/>
          </w:tcPr>
          <w:p>
            <w:pPr>
              <w:spacing w:after="0"/>
              <w:rPr>
                <w:sz w:val="24"/>
                <w:szCs w:val="24"/>
                <w:color w:val="auto"/>
              </w:rPr>
            </w:pPr>
          </w:p>
        </w:tc>
        <w:tc>
          <w:tcPr>
            <w:tcW w:w="700" w:type="dxa"/>
            <w:vAlign w:val="bottom"/>
            <w:shd w:val="clear" w:color="auto" w:fill="F1F1F2"/>
          </w:tcPr>
          <w:p>
            <w:pPr>
              <w:spacing w:after="0"/>
              <w:rPr>
                <w:sz w:val="24"/>
                <w:szCs w:val="24"/>
                <w:color w:val="auto"/>
              </w:rPr>
            </w:pPr>
          </w:p>
        </w:tc>
        <w:tc>
          <w:tcPr>
            <w:tcW w:w="1220" w:type="dxa"/>
            <w:vAlign w:val="bottom"/>
            <w:shd w:val="clear" w:color="auto" w:fill="F1F1F2"/>
          </w:tcPr>
          <w:p>
            <w:pPr>
              <w:spacing w:after="0"/>
              <w:rPr>
                <w:sz w:val="24"/>
                <w:szCs w:val="24"/>
                <w:color w:val="auto"/>
              </w:rPr>
            </w:pPr>
          </w:p>
        </w:tc>
        <w:tc>
          <w:tcPr>
            <w:tcW w:w="700" w:type="dxa"/>
            <w:vAlign w:val="bottom"/>
            <w:tcBorders>
              <w:right w:val="single" w:sz="8" w:color="231F20"/>
            </w:tcBorders>
            <w:shd w:val="clear" w:color="auto" w:fill="F1F1F2"/>
          </w:tcPr>
          <w:p>
            <w:pPr>
              <w:spacing w:after="0"/>
              <w:rPr>
                <w:sz w:val="24"/>
                <w:szCs w:val="24"/>
                <w:color w:val="auto"/>
              </w:rPr>
            </w:pPr>
          </w:p>
        </w:tc>
        <w:tc>
          <w:tcPr>
            <w:tcW w:w="3740" w:type="dxa"/>
            <w:vAlign w:val="bottom"/>
            <w:tcBorders>
              <w:right w:val="single" w:sz="8" w:color="231F20"/>
            </w:tcBorders>
            <w:gridSpan w:val="2"/>
            <w:shd w:val="clear" w:color="auto" w:fill="F1F1F2"/>
          </w:tcPr>
          <w:p>
            <w:pPr>
              <w:spacing w:after="0"/>
              <w:rPr>
                <w:sz w:val="20"/>
                <w:szCs w:val="20"/>
                <w:color w:val="auto"/>
              </w:rPr>
            </w:pPr>
            <w:r>
              <w:rPr>
                <w:rFonts w:ascii="Times New Roman" w:cs="Times New Roman" w:eastAsia="Times New Roman" w:hAnsi="Times New Roman"/>
                <w:sz w:val="22"/>
                <w:szCs w:val="22"/>
                <w:b w:val="1"/>
                <w:bCs w:val="1"/>
                <w:color w:val="231F20"/>
              </w:rPr>
              <w:t>$300,000,000</w:t>
            </w:r>
          </w:p>
        </w:tc>
        <w:tc>
          <w:tcPr>
            <w:tcW w:w="380" w:type="dxa"/>
            <w:vAlign w:val="bottom"/>
          </w:tcPr>
          <w:p>
            <w:pPr>
              <w:spacing w:after="0"/>
              <w:rPr>
                <w:sz w:val="24"/>
                <w:szCs w:val="24"/>
                <w:color w:val="auto"/>
              </w:rPr>
            </w:pPr>
          </w:p>
        </w:tc>
      </w:tr>
      <w:tr>
        <w:trPr>
          <w:trHeight w:val="96"/>
        </w:trPr>
        <w:tc>
          <w:tcPr>
            <w:tcW w:w="780" w:type="dxa"/>
            <w:vAlign w:val="bottom"/>
            <w:tcBorders>
              <w:right w:val="single" w:sz="8" w:color="231F20"/>
            </w:tcBorders>
          </w:tcPr>
          <w:p>
            <w:pPr>
              <w:spacing w:after="0"/>
              <w:rPr>
                <w:sz w:val="8"/>
                <w:szCs w:val="8"/>
                <w:color w:val="auto"/>
              </w:rPr>
            </w:pPr>
          </w:p>
        </w:tc>
        <w:tc>
          <w:tcPr>
            <w:tcW w:w="3560" w:type="dxa"/>
            <w:vAlign w:val="bottom"/>
            <w:tcBorders>
              <w:bottom w:val="single" w:sz="8" w:color="231F20"/>
            </w:tcBorders>
            <w:shd w:val="clear" w:color="auto" w:fill="F1F1F2"/>
          </w:tcPr>
          <w:p>
            <w:pPr>
              <w:spacing w:after="0"/>
              <w:rPr>
                <w:sz w:val="8"/>
                <w:szCs w:val="8"/>
                <w:color w:val="auto"/>
              </w:rPr>
            </w:pPr>
          </w:p>
        </w:tc>
        <w:tc>
          <w:tcPr>
            <w:tcW w:w="160" w:type="dxa"/>
            <w:vAlign w:val="bottom"/>
            <w:tcBorders>
              <w:bottom w:val="single" w:sz="8" w:color="231F20"/>
            </w:tcBorders>
            <w:shd w:val="clear" w:color="auto" w:fill="F1F1F2"/>
          </w:tcPr>
          <w:p>
            <w:pPr>
              <w:spacing w:after="0"/>
              <w:rPr>
                <w:sz w:val="8"/>
                <w:szCs w:val="8"/>
                <w:color w:val="auto"/>
              </w:rPr>
            </w:pPr>
          </w:p>
        </w:tc>
        <w:tc>
          <w:tcPr>
            <w:tcW w:w="700" w:type="dxa"/>
            <w:vAlign w:val="bottom"/>
            <w:tcBorders>
              <w:bottom w:val="single" w:sz="8" w:color="231F20"/>
            </w:tcBorders>
            <w:shd w:val="clear" w:color="auto" w:fill="F1F1F2"/>
          </w:tcPr>
          <w:p>
            <w:pPr>
              <w:spacing w:after="0"/>
              <w:rPr>
                <w:sz w:val="8"/>
                <w:szCs w:val="8"/>
                <w:color w:val="auto"/>
              </w:rPr>
            </w:pPr>
          </w:p>
        </w:tc>
        <w:tc>
          <w:tcPr>
            <w:tcW w:w="1220" w:type="dxa"/>
            <w:vAlign w:val="bottom"/>
            <w:tcBorders>
              <w:bottom w:val="single" w:sz="8" w:color="231F20"/>
            </w:tcBorders>
            <w:shd w:val="clear" w:color="auto" w:fill="F1F1F2"/>
          </w:tcPr>
          <w:p>
            <w:pPr>
              <w:spacing w:after="0"/>
              <w:rPr>
                <w:sz w:val="8"/>
                <w:szCs w:val="8"/>
                <w:color w:val="auto"/>
              </w:rPr>
            </w:pPr>
          </w:p>
        </w:tc>
        <w:tc>
          <w:tcPr>
            <w:tcW w:w="700" w:type="dxa"/>
            <w:vAlign w:val="bottom"/>
            <w:tcBorders>
              <w:bottom w:val="single" w:sz="8" w:color="231F20"/>
              <w:right w:val="single" w:sz="8" w:color="231F20"/>
            </w:tcBorders>
            <w:shd w:val="clear" w:color="auto" w:fill="F1F1F2"/>
          </w:tcPr>
          <w:p>
            <w:pPr>
              <w:spacing w:after="0"/>
              <w:rPr>
                <w:sz w:val="8"/>
                <w:szCs w:val="8"/>
                <w:color w:val="auto"/>
              </w:rPr>
            </w:pPr>
          </w:p>
        </w:tc>
        <w:tc>
          <w:tcPr>
            <w:tcW w:w="20" w:type="dxa"/>
            <w:vAlign w:val="bottom"/>
            <w:tcBorders>
              <w:bottom w:val="single" w:sz="8" w:color="231F20"/>
            </w:tcBorders>
            <w:shd w:val="clear" w:color="auto" w:fill="F1F1F2"/>
          </w:tcPr>
          <w:p>
            <w:pPr>
              <w:spacing w:after="0"/>
              <w:rPr>
                <w:sz w:val="8"/>
                <w:szCs w:val="8"/>
                <w:color w:val="auto"/>
              </w:rPr>
            </w:pPr>
          </w:p>
        </w:tc>
        <w:tc>
          <w:tcPr>
            <w:tcW w:w="3720" w:type="dxa"/>
            <w:vAlign w:val="bottom"/>
            <w:tcBorders>
              <w:bottom w:val="single" w:sz="8" w:color="231F20"/>
              <w:right w:val="single" w:sz="8" w:color="231F20"/>
            </w:tcBorders>
            <w:shd w:val="clear" w:color="auto" w:fill="F1F1F2"/>
          </w:tcPr>
          <w:p>
            <w:pPr>
              <w:spacing w:after="0"/>
              <w:rPr>
                <w:sz w:val="8"/>
                <w:szCs w:val="8"/>
                <w:color w:val="auto"/>
              </w:rPr>
            </w:pPr>
          </w:p>
        </w:tc>
        <w:tc>
          <w:tcPr>
            <w:tcW w:w="380" w:type="dxa"/>
            <w:vAlign w:val="bottom"/>
          </w:tcPr>
          <w:p>
            <w:pPr>
              <w:spacing w:after="0"/>
              <w:rPr>
                <w:sz w:val="8"/>
                <w:szCs w:val="8"/>
                <w:color w:val="auto"/>
              </w:rPr>
            </w:pPr>
          </w:p>
        </w:tc>
      </w:tr>
      <w:tr>
        <w:trPr>
          <w:trHeight w:val="1472"/>
        </w:trPr>
        <w:tc>
          <w:tcPr>
            <w:tcW w:w="7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74" w:name="page275"/>
    <w:bookmarkEnd w:id="274"/>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w:t>
      </w:r>
      <w:r>
        <w:rPr>
          <w:rFonts w:ascii="Times New Roman" w:cs="Times New Roman" w:eastAsia="Times New Roman" w:hAnsi="Times New Roman"/>
          <w:sz w:val="22"/>
          <w:szCs w:val="22"/>
          <w:b w:val="1"/>
          <w:bCs w:val="1"/>
          <w:color w:val="auto"/>
        </w:rPr>
        <w:t>mployment</w:t>
      </w:r>
      <w:r>
        <w:rPr>
          <w:rFonts w:ascii="Times New Roman" w:cs="Times New Roman" w:eastAsia="Times New Roman" w:hAnsi="Times New Roman"/>
          <w:sz w:val="32"/>
          <w:szCs w:val="32"/>
          <w:b w:val="1"/>
          <w:bCs w:val="1"/>
          <w:color w:val="auto"/>
        </w:rPr>
        <w:t xml:space="preserve"> A</w:t>
      </w:r>
      <w:r>
        <w:rPr>
          <w:rFonts w:ascii="Times New Roman" w:cs="Times New Roman" w:eastAsia="Times New Roman" w:hAnsi="Times New Roman"/>
          <w:sz w:val="22"/>
          <w:szCs w:val="22"/>
          <w:b w:val="1"/>
          <w:bCs w:val="1"/>
          <w:color w:val="auto"/>
        </w:rPr>
        <w:t>greement</w:t>
      </w:r>
    </w:p>
    <w:p>
      <w:pPr>
        <w:spacing w:after="0" w:line="200" w:lineRule="exact"/>
        <w:rPr>
          <w:sz w:val="20"/>
          <w:szCs w:val="20"/>
          <w:color w:val="auto"/>
        </w:rPr>
      </w:pPr>
    </w:p>
    <w:p>
      <w:pPr>
        <w:spacing w:after="0" w:line="352"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23"/>
          <w:szCs w:val="23"/>
          <w:color w:val="auto"/>
        </w:rPr>
        <w:t>T</w:t>
      </w:r>
      <w:r>
        <w:rPr>
          <w:rFonts w:ascii="Times New Roman" w:cs="Times New Roman" w:eastAsia="Times New Roman" w:hAnsi="Times New Roman"/>
          <w:sz w:val="16"/>
          <w:szCs w:val="16"/>
          <w:color w:val="auto"/>
        </w:rPr>
        <w:t>his</w:t>
      </w:r>
      <w:r>
        <w:rPr>
          <w:rFonts w:ascii="Times New Roman" w:cs="Times New Roman" w:eastAsia="Times New Roman" w:hAnsi="Times New Roman"/>
          <w:sz w:val="23"/>
          <w:szCs w:val="23"/>
          <w:color w:val="auto"/>
        </w:rPr>
        <w:t xml:space="preserve"> A</w:t>
      </w:r>
      <w:r>
        <w:rPr>
          <w:rFonts w:ascii="Times New Roman" w:cs="Times New Roman" w:eastAsia="Times New Roman" w:hAnsi="Times New Roman"/>
          <w:sz w:val="16"/>
          <w:szCs w:val="16"/>
          <w:color w:val="auto"/>
        </w:rPr>
        <w:t>greement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(the “Agreement”) is entered into as of August 1, 2025, by and between Michael Massaro (the</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 xml:space="preserve">“Executive” or “you”) and </w:t>
      </w:r>
      <w:r>
        <w:rPr>
          <w:rFonts w:ascii="Times New Roman" w:cs="Times New Roman" w:eastAsia="Times New Roman" w:hAnsi="Times New Roman"/>
          <w:sz w:val="23"/>
          <w:szCs w:val="23"/>
          <w:b w:val="1"/>
          <w:bCs w:val="1"/>
          <w:color w:val="auto"/>
        </w:rPr>
        <w:t>F</w:t>
      </w:r>
      <w:r>
        <w:rPr>
          <w:rFonts w:ascii="Times New Roman" w:cs="Times New Roman" w:eastAsia="Times New Roman" w:hAnsi="Times New Roman"/>
          <w:sz w:val="16"/>
          <w:szCs w:val="16"/>
          <w:b w:val="1"/>
          <w:bCs w:val="1"/>
          <w:color w:val="auto"/>
        </w:rPr>
        <w:t>lywire corporation</w:t>
      </w:r>
      <w:r>
        <w:rPr>
          <w:rFonts w:ascii="Times New Roman" w:cs="Times New Roman" w:eastAsia="Times New Roman" w:hAnsi="Times New Roman"/>
          <w:sz w:val="21"/>
          <w:szCs w:val="21"/>
          <w:color w:val="auto"/>
        </w:rPr>
        <w:t>, a Delaware corporation (the “Company”), and replaces and supersedes the employment agreement between the Executive and Company, dated May 14, 2021 (the “Prior Agreement”).</w:t>
      </w:r>
    </w:p>
    <w:p>
      <w:pPr>
        <w:spacing w:after="0" w:line="146" w:lineRule="exact"/>
        <w:rPr>
          <w:sz w:val="20"/>
          <w:szCs w:val="20"/>
          <w:color w:val="auto"/>
        </w:rPr>
      </w:pPr>
    </w:p>
    <w:p>
      <w:pPr>
        <w:ind w:left="1020" w:hanging="263"/>
        <w:spacing w:after="0"/>
        <w:tabs>
          <w:tab w:leader="none" w:pos="102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Duties and Scope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2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For the term of his employment under this Agreement (the “Employment”),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to employ the Executive in the position of Chief Executive Officer. The Executive shall report to the Company’s Board of Directors (the “Board”).</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2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Obligations to the Company</w:t>
      </w:r>
      <w:r>
        <w:rPr>
          <w:rFonts w:ascii="Times New Roman" w:cs="Times New Roman" w:eastAsia="Times New Roman" w:hAnsi="Times New Roman"/>
          <w:sz w:val="22"/>
          <w:szCs w:val="22"/>
          <w:color w:val="auto"/>
        </w:rPr>
        <w:t>. During his Employment, the Executive (i) shall devote his full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efforts and time to the Company, (ii) shall not engage in any other employment, consulting or other business activity that would create a conflict of interest with the Company, (iii) shall not assist any person or entity in competing with the Company or in preparing to compete with the Company and (iv) shall materially comply with the Company’s policies and rules, as they may be in effect from time to time.</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1"/>
          <w:numId w:val="2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Conflicting Obligations</w:t>
      </w:r>
      <w:r>
        <w:rPr>
          <w:rFonts w:ascii="Times New Roman" w:cs="Times New Roman" w:eastAsia="Times New Roman" w:hAnsi="Times New Roman"/>
          <w:sz w:val="22"/>
          <w:szCs w:val="22"/>
          <w:color w:val="auto"/>
        </w:rPr>
        <w:t>. The Executive represents and warrants to the Company that he is under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or commitments, whether contractual or otherwise, that are inconsistent with his obligations under this Agreement provided that the Company acknowledges that you may serve on the board of directors or as an advisor for up to two for-profit companies, in addition to the Company’s Board. You agree to attend in person no more than four meetings per year per company and any remaining meetings, if attended, will not require travel.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will not infringe or violate the rights of any other person.</w:t>
      </w:r>
    </w:p>
    <w:p>
      <w:pPr>
        <w:spacing w:after="0" w:line="178"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2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Certain capitalized terms are defined in Section 11.</w:t>
      </w:r>
    </w:p>
    <w:p>
      <w:pPr>
        <w:spacing w:after="0" w:line="20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and Incentive Compensation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2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The Company shall pay the Executive as compensation for his services a base salary at a gross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rate of $450,000. Such salary shall be payable in accordance with the Company’s standard payroll procedures and shall be subject to adjustment pursuant to the Company’s executive compensation policies in effect from time to time.</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63" w:lineRule="auto"/>
        <w:tabs>
          <w:tab w:leader="none" w:pos="2036" w:val="left"/>
        </w:tabs>
        <w:numPr>
          <w:ilvl w:val="1"/>
          <w:numId w:val="2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Bonus</w:t>
      </w:r>
      <w:r>
        <w:rPr>
          <w:rFonts w:ascii="Times New Roman" w:cs="Times New Roman" w:eastAsia="Times New Roman" w:hAnsi="Times New Roman"/>
          <w:sz w:val="21"/>
          <w:szCs w:val="21"/>
          <w:color w:val="auto"/>
        </w:rPr>
        <w:t>. You will be eligible for an annual discretionary performance bonus, with a target bonus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opportunity of $500,000 in fiscal year 2025, subject to achievement of targets that you will develop for approval by the Board or its Compensation Committee (the “Committee”). Performance bonus goals and attainment of such goals will be evaluated and</w:t>
      </w: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DOCPROPERTY"SWDocID" GDSVF&amp;H\11288011.3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5" w:name="page276"/>
    <w:bookmarkEnd w:id="275"/>
    <w:p>
      <w:pPr>
        <w:jc w:val="both"/>
        <w:spacing w:after="0" w:line="244" w:lineRule="auto"/>
        <w:rPr>
          <w:sz w:val="20"/>
          <w:szCs w:val="20"/>
          <w:color w:val="auto"/>
        </w:rPr>
      </w:pPr>
      <w:r>
        <w:rPr>
          <w:rFonts w:ascii="Times New Roman" w:cs="Times New Roman" w:eastAsia="Times New Roman" w:hAnsi="Times New Roman"/>
          <w:sz w:val="22"/>
          <w:szCs w:val="22"/>
          <w:color w:val="auto"/>
        </w:rPr>
        <w:t>approved by the Committee and paid on an annual basis, with such payment, to the extent earned, to be made within 2 ½ months following the close of the applicable fiscal year, but only if you are still employed by the Company as of the date of payment. The determinations of the Board or Committee with respect to your bonus will be final and binding.</w:t>
      </w:r>
    </w:p>
    <w:p>
      <w:pPr>
        <w:spacing w:after="0" w:line="169" w:lineRule="exact"/>
        <w:rPr>
          <w:sz w:val="20"/>
          <w:szCs w:val="20"/>
          <w:color w:val="auto"/>
        </w:rPr>
      </w:pPr>
    </w:p>
    <w:p>
      <w:pPr>
        <w:jc w:val="both"/>
        <w:ind w:firstLine="757"/>
        <w:spacing w:after="0" w:line="241" w:lineRule="auto"/>
        <w:tabs>
          <w:tab w:leader="none" w:pos="1018"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Executive Benefits</w:t>
      </w:r>
      <w:r>
        <w:rPr>
          <w:rFonts w:ascii="Times New Roman" w:cs="Times New Roman" w:eastAsia="Times New Roman" w:hAnsi="Times New Roman"/>
          <w:sz w:val="22"/>
          <w:szCs w:val="22"/>
          <w:color w:val="auto"/>
        </w:rPr>
        <w:t>. During his Employment, the Executive shall be eligible for paid time off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PTO policy, as in effect from time to time. During his Employment, the Executive shall also be eligible to participate in the executive benefit plans maintained by the Company, subject in each case to the generally applicable terms and conditions of the plan in question and to the determinations of any person or committee administering such plan.</w:t>
      </w:r>
    </w:p>
    <w:p>
      <w:pPr>
        <w:spacing w:after="0" w:line="171"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2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at Will</w:t>
      </w:r>
      <w:r>
        <w:rPr>
          <w:rFonts w:ascii="Times New Roman" w:cs="Times New Roman" w:eastAsia="Times New Roman" w:hAnsi="Times New Roman"/>
          <w:sz w:val="22"/>
          <w:szCs w:val="22"/>
          <w:color w:val="auto"/>
        </w:rPr>
        <w:t>. The Executive’s Employment with the Company shall be “at will,” meaning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the Executive or the Company shall be entitled to terminate the Executive’s Employment at any time and for any reason, with or without Cause. Any contrary representations that may have been made to the Executive shall be superseded by this Agreement. This Agreement shall constitute the full and complete agreement between the Executive and the Company on the “at will” nature of the Executive’s Employment. Although Executive’s job duties, title, compensation and benefits, as well as the Company’s personnel policies and procedures, may change from time to time, the “at will” nature of the Executive’s employment may only be changed in an express written agreement signed by the Executive and a duly authorized officer of the Company (other than the Executive). The termination of the Executive’s Employment shall not limit or otherwise affect his obligations under Sections 6 and/or 7 below or his rights under Section 5 below.</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2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upon Termination</w:t>
      </w:r>
      <w:r>
        <w:rPr>
          <w:rFonts w:ascii="Times New Roman" w:cs="Times New Roman" w:eastAsia="Times New Roman" w:hAnsi="Times New Roman"/>
          <w:sz w:val="22"/>
          <w:szCs w:val="22"/>
          <w:color w:val="auto"/>
        </w:rPr>
        <w:t>. Except as expressly provided in Section 5 below, upon the termination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the Executive shall only be entitled to the compensation and benefits that the Executive has earned under this Agreement before the effective date of the termination. The payments under this Agreement shall fully discharge all responsibilities of the Company to the Executive (other than payments of accrued and vested executive benefits, if any, under the Company’s executive benefit plans).</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Benefits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2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If you are subject to an Involuntary Termination, then you will be entitled to the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in Section 5(b) or 5(c), as applicable, below. However, Section 5(b) or 5(c), as applicable, will not apply unless you (i) have returned all Company property in your possession, (ii) have resigned from all positions you hold with the Company, including (if applicable) as a member of the Board and as a member of the board of directors of any subsidiaries of the Company, and (iii) have executed a general release of all claims (with applicable carve-out for continued indemnification pursuant to law, contract or the Company’s bylaws and other customary exceptions at the discretion of the Company) that you may have against the Company or persons affiliated with the Company. You must execute and return the release on or before the date specified by the Company in the prescribed form (the “Release Deadline”). The Release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6" w:name="page277"/>
    <w:bookmarkEnd w:id="276"/>
    <w:p>
      <w:pPr>
        <w:jc w:val="both"/>
        <w:spacing w:after="0" w:line="236" w:lineRule="auto"/>
        <w:rPr>
          <w:sz w:val="20"/>
          <w:szCs w:val="20"/>
          <w:color w:val="auto"/>
        </w:rPr>
      </w:pPr>
      <w:r>
        <w:rPr>
          <w:rFonts w:ascii="Times New Roman" w:cs="Times New Roman" w:eastAsia="Times New Roman" w:hAnsi="Times New Roman"/>
          <w:sz w:val="22"/>
          <w:szCs w:val="22"/>
          <w:color w:val="auto"/>
        </w:rPr>
        <w:t>Deadline will in no event be later than 50 days after your Separation. If you fail to return the release on or before the Release Deadline, or if you revoke the release, then you will not be entitled to the benefits described in Section 5(b) or 5(c), as applicable. For avoidance of doubt, severance benefits will be provided pursuant to either, but not both of, Section 5(b) or 5(c) below. All lump sum severance payments and equity acceleration will be paid or provided within 60 days after your Separation or, if later, on the date a Change in Control occurs. Notwithstanding the foregoing, if the 60 day period described in the preceding sentence spans calendar years, then payment will in any event be made in the second calendar year.</w:t>
      </w:r>
    </w:p>
    <w:p>
      <w:pPr>
        <w:spacing w:after="0" w:line="177" w:lineRule="exact"/>
        <w:rPr>
          <w:sz w:val="20"/>
          <w:szCs w:val="20"/>
          <w:color w:val="auto"/>
        </w:rPr>
      </w:pPr>
    </w:p>
    <w:p>
      <w:pPr>
        <w:jc w:val="both"/>
        <w:ind w:firstLine="1505"/>
        <w:spacing w:after="0" w:line="246" w:lineRule="auto"/>
        <w:tabs>
          <w:tab w:leader="none" w:pos="2036" w:val="left"/>
        </w:tabs>
        <w:numPr>
          <w:ilvl w:val="0"/>
          <w:numId w:val="2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Involuntary Termination Not Involving a Change in Control</w:t>
      </w:r>
      <w:r>
        <w:rPr>
          <w:rFonts w:ascii="Times New Roman" w:cs="Times New Roman" w:eastAsia="Times New Roman" w:hAnsi="Times New Roman"/>
          <w:sz w:val="22"/>
          <w:szCs w:val="22"/>
          <w:color w:val="auto"/>
        </w:rPr>
        <w:t>. If you are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at any time other than during a Change in Control Window and you satisfy the conditions described in Section 5(a) above, then you will be entitled to the following severance benefits:</w:t>
      </w:r>
    </w:p>
    <w:p>
      <w:pPr>
        <w:spacing w:after="0" w:line="17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 a lump-sum cash severance payment equal to 1.5 times the sum of your Base Salary and</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Target Bonus;</w:t>
      </w:r>
    </w:p>
    <w:p>
      <w:pPr>
        <w:spacing w:after="0" w:line="182" w:lineRule="exact"/>
        <w:rPr>
          <w:sz w:val="20"/>
          <w:szCs w:val="20"/>
          <w:color w:val="auto"/>
        </w:rPr>
      </w:pPr>
    </w:p>
    <w:p>
      <w:pPr>
        <w:jc w:val="both"/>
        <w:ind w:left="760" w:right="760" w:firstLine="1391"/>
        <w:spacing w:after="0" w:line="244" w:lineRule="auto"/>
        <w:rPr>
          <w:sz w:val="20"/>
          <w:szCs w:val="20"/>
          <w:color w:val="auto"/>
        </w:rPr>
      </w:pPr>
      <w:r>
        <w:rPr>
          <w:rFonts w:ascii="Times New Roman" w:cs="Times New Roman" w:eastAsia="Times New Roman" w:hAnsi="Times New Roman"/>
          <w:sz w:val="22"/>
          <w:szCs w:val="22"/>
          <w:color w:val="auto"/>
        </w:rPr>
        <w:t>(ii)if the Involuntary Termination occurs after the end of a fiscal year, but prior to payment of bonuses for such fiscal year, a lump sum payment equal to any accrued and unpaid bonus for the prior fiscal year (the “Accrued Bonus”);</w:t>
      </w:r>
    </w:p>
    <w:p>
      <w:pPr>
        <w:spacing w:after="0" w:line="173" w:lineRule="exact"/>
        <w:rPr>
          <w:sz w:val="20"/>
          <w:szCs w:val="20"/>
          <w:color w:val="auto"/>
        </w:rPr>
      </w:pPr>
    </w:p>
    <w:p>
      <w:pPr>
        <w:jc w:val="both"/>
        <w:ind w:left="760" w:right="740" w:firstLine="1391"/>
        <w:spacing w:after="0" w:line="239" w:lineRule="auto"/>
        <w:rPr>
          <w:sz w:val="20"/>
          <w:szCs w:val="20"/>
          <w:color w:val="auto"/>
        </w:rPr>
      </w:pPr>
      <w:r>
        <w:rPr>
          <w:rFonts w:ascii="Times New Roman" w:cs="Times New Roman" w:eastAsia="Times New Roman" w:hAnsi="Times New Roman"/>
          <w:sz w:val="22"/>
          <w:szCs w:val="22"/>
          <w:color w:val="auto"/>
        </w:rPr>
        <w:t>(iii)if you elect to continue your health insurance coverage under the Consolidated Omnibus Budget Reconciliation Act (“COBRA”) following your Separation, then the Company will pay your monthly premium under COBRA, which is understood to potentially be higher than said premium for active employees, for the eighteen (18) months following your Separation; and</w:t>
      </w:r>
    </w:p>
    <w:p>
      <w:pPr>
        <w:spacing w:after="0" w:line="180" w:lineRule="exact"/>
        <w:rPr>
          <w:sz w:val="20"/>
          <w:szCs w:val="20"/>
          <w:color w:val="auto"/>
        </w:rPr>
      </w:pPr>
    </w:p>
    <w:p>
      <w:pPr>
        <w:jc w:val="both"/>
        <w:ind w:left="760" w:right="760" w:firstLine="1391"/>
        <w:spacing w:after="0" w:line="236" w:lineRule="auto"/>
        <w:rPr>
          <w:sz w:val="20"/>
          <w:szCs w:val="20"/>
          <w:color w:val="auto"/>
        </w:rPr>
      </w:pPr>
      <w:r>
        <w:rPr>
          <w:rFonts w:ascii="Times New Roman" w:cs="Times New Roman" w:eastAsia="Times New Roman" w:hAnsi="Times New Roman"/>
          <w:sz w:val="22"/>
          <w:szCs w:val="22"/>
          <w:color w:val="auto"/>
        </w:rPr>
        <w:t>(iv)each outstanding equity award that you hold as of the Involuntary Termination and that is subject to time-based vesting will accelerate and become vested and, if applicable, exercisable with respect the number of shares that would have vested if you had completed an additional eighteen (18) months of service with the Company. Any equity awards that are subject to unsatisfied performance conditions will not be eligible for acceleration pursuant to this clause (iv) and will be treated as described in the applicable award agreement.</w:t>
      </w:r>
    </w:p>
    <w:p>
      <w:pPr>
        <w:spacing w:after="0" w:line="177" w:lineRule="exact"/>
        <w:rPr>
          <w:sz w:val="20"/>
          <w:szCs w:val="20"/>
          <w:color w:val="auto"/>
        </w:rPr>
      </w:pPr>
    </w:p>
    <w:p>
      <w:pPr>
        <w:jc w:val="both"/>
        <w:ind w:firstLine="1505"/>
        <w:spacing w:after="0" w:line="246" w:lineRule="auto"/>
        <w:tabs>
          <w:tab w:leader="none" w:pos="2036" w:val="left"/>
        </w:tabs>
        <w:numPr>
          <w:ilvl w:val="0"/>
          <w:numId w:val="2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Involuntary Termination Involving a Change in Control</w:t>
      </w:r>
      <w:r>
        <w:rPr>
          <w:rFonts w:ascii="Times New Roman" w:cs="Times New Roman" w:eastAsia="Times New Roman" w:hAnsi="Times New Roman"/>
          <w:sz w:val="22"/>
          <w:szCs w:val="22"/>
          <w:color w:val="auto"/>
        </w:rPr>
        <w:t>. If you are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during a Change in Control Window and you satisfy the conditions described in Section 5(a) above, then you will be entitled to the following severance benefits:</w:t>
      </w:r>
    </w:p>
    <w:p>
      <w:pPr>
        <w:spacing w:after="0" w:line="17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 a lump-sum cash severance payment equal to two (2) times the sum of your Base Salary and</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Target Bonus;</w:t>
      </w:r>
    </w:p>
    <w:p>
      <w:pPr>
        <w:spacing w:after="0" w:line="18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(ii)the Accrued Bonus (if any);</w:t>
      </w:r>
    </w:p>
    <w:p>
      <w:pPr>
        <w:spacing w:after="0" w:line="20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(iii)if you elect to continue your health insurance coverage under</w:t>
      </w: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7" w:name="page278"/>
    <w:bookmarkEnd w:id="277"/>
    <w:p>
      <w:pPr>
        <w:jc w:val="both"/>
        <w:ind w:left="760" w:right="760"/>
        <w:spacing w:after="0" w:line="244" w:lineRule="auto"/>
        <w:rPr>
          <w:sz w:val="20"/>
          <w:szCs w:val="20"/>
          <w:color w:val="auto"/>
        </w:rPr>
      </w:pPr>
      <w:r>
        <w:rPr>
          <w:rFonts w:ascii="Times New Roman" w:cs="Times New Roman" w:eastAsia="Times New Roman" w:hAnsi="Times New Roman"/>
          <w:sz w:val="22"/>
          <w:szCs w:val="22"/>
          <w:color w:val="auto"/>
        </w:rPr>
        <w:t>COBRA following your Separation, then the Company will pay your monthly premium under COBRA, which is understood to potentially be higher than said premium for active employees, for the eighteen (18) months following your Separation; and</w:t>
      </w:r>
    </w:p>
    <w:p>
      <w:pPr>
        <w:spacing w:after="0" w:line="173" w:lineRule="exact"/>
        <w:rPr>
          <w:sz w:val="20"/>
          <w:szCs w:val="20"/>
          <w:color w:val="auto"/>
        </w:rPr>
      </w:pPr>
    </w:p>
    <w:p>
      <w:pPr>
        <w:jc w:val="both"/>
        <w:ind w:left="760" w:right="740" w:firstLine="1391"/>
        <w:spacing w:after="0" w:line="238" w:lineRule="auto"/>
        <w:rPr>
          <w:sz w:val="20"/>
          <w:szCs w:val="20"/>
          <w:color w:val="auto"/>
        </w:rPr>
      </w:pPr>
      <w:r>
        <w:rPr>
          <w:rFonts w:ascii="Times New Roman" w:cs="Times New Roman" w:eastAsia="Times New Roman" w:hAnsi="Times New Roman"/>
          <w:sz w:val="22"/>
          <w:szCs w:val="22"/>
          <w:color w:val="auto"/>
        </w:rPr>
        <w:t>(iv)one hundred percent (100%) of the unvested portion of each outstanding equity award that you hold as of the Involuntary Termination and that is subject to time-based vesting will vest and, if applicable, become exercisable. Any equity awards that are subject to unsatisfied performance conditions will not be eligible for acceleration pursuant to this clause (iv) and will be treated as described in the applicable award agreement.</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avoidance of doubt, if you are subject to an Involuntary Termination that occurs during a Change in Control Window and such Involuntary Termination occurs prior to a Change in Control, the portion of your then-outstanding and unvested equity awards that is eligible to vest and become exercisable pursuant to clause (iv) above will remain outstanding post-termination so that any additional benefits due pursuant to clause (iv) may be provided if a Change in Control occurs during the Change in Control Window, provided that in no event will any of your stock options remain outstanding beyond the option’s maximum term to expiration. If a Change in Control does not occur during the Change in Control Window, any unvested portion of your equity awards that remained outstanding following your Involuntary Termination will immediately and automatically be forfeited on the date that such awards are no longer eligible for acceleration pursuant to clause (iv) above.</w:t>
      </w:r>
    </w:p>
    <w:p>
      <w:pPr>
        <w:spacing w:after="0" w:line="174" w:lineRule="exact"/>
        <w:rPr>
          <w:sz w:val="20"/>
          <w:szCs w:val="20"/>
          <w:color w:val="auto"/>
        </w:rPr>
      </w:pPr>
    </w:p>
    <w:p>
      <w:pPr>
        <w:ind w:left="2040" w:hanging="535"/>
        <w:spacing w:after="0"/>
        <w:tabs>
          <w:tab w:leader="none" w:pos="2040" w:val="left"/>
        </w:tabs>
        <w:numPr>
          <w:ilvl w:val="1"/>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Accrued Rights. </w:t>
      </w:r>
      <w:r>
        <w:rPr>
          <w:rFonts w:ascii="Times New Roman" w:cs="Times New Roman" w:eastAsia="Times New Roman" w:hAnsi="Times New Roman"/>
          <w:sz w:val="22"/>
          <w:szCs w:val="22"/>
          <w:color w:val="auto"/>
        </w:rPr>
        <w:t>You will be entitled to receive the following upon termination of employment for any</w:t>
      </w:r>
    </w:p>
    <w:p>
      <w:pPr>
        <w:spacing w:after="0" w:line="18" w:lineRule="exact"/>
        <w:rPr>
          <w:rFonts w:ascii="Times New Roman" w:cs="Times New Roman" w:eastAsia="Times New Roman" w:hAnsi="Times New Roman"/>
          <w:sz w:val="22"/>
          <w:szCs w:val="22"/>
          <w:b w:val="1"/>
          <w:bCs w:val="1"/>
          <w:color w:val="auto"/>
        </w:rPr>
      </w:pPr>
    </w:p>
    <w:p>
      <w:pPr>
        <w:jc w:val="both"/>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reason: (i) accrued and unpaid Base Salary through the date of termination of employment; (ii) reimbursement for any unreimbursed business expenses; and (iii) such employee benefits, if any, to which the Executive may be entitled under the applicable Company plans upon termination of employment.</w:t>
      </w:r>
    </w:p>
    <w:p>
      <w:pPr>
        <w:spacing w:after="0" w:line="173"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Documents and Company Property. </w:t>
      </w:r>
      <w:r>
        <w:rPr>
          <w:rFonts w:ascii="Times New Roman" w:cs="Times New Roman" w:eastAsia="Times New Roman" w:hAnsi="Times New Roman"/>
          <w:sz w:val="22"/>
          <w:szCs w:val="22"/>
          <w:color w:val="auto"/>
        </w:rPr>
        <w:t>The Executive is prohibited from keeping in his possession in any way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correspondence, documents, other information carriers, copies thereof, and other goods made available by the Company or its affiliates to him (including, but not limited to, credit cards, mobile communication devices, keys, documents, handbooks, financial data, plans, USB sticks or other information carriers, access cards and laptop computer), except to the extent that this is necessary for the performance of his work for the Company. In any event, the Executive is obliged to immediately hand over such documents and other goods made available to him at the end of this Agreement or upon suspension of his active duties for any reason other than documents relating to his own employment and compensation.</w:t>
      </w:r>
    </w:p>
    <w:p>
      <w:pPr>
        <w:spacing w:after="0" w:line="175"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Proprietary Information and Inventions Agreement. </w:t>
      </w:r>
      <w:r>
        <w:rPr>
          <w:rFonts w:ascii="Times New Roman" w:cs="Times New Roman" w:eastAsia="Times New Roman" w:hAnsi="Times New Roman"/>
          <w:sz w:val="22"/>
          <w:szCs w:val="22"/>
          <w:color w:val="auto"/>
        </w:rPr>
        <w:t>The Executive and the Company entered into that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Employee Invention Assignment and Confidentiality Agreement dated March 30, 2012 (the “PIIA”), a copy of which is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PIIA remains in full force and effect.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8" w:name="page279"/>
    <w:bookmarkEnd w:id="278"/>
    <w:p>
      <w:pPr>
        <w:jc w:val="both"/>
        <w:ind w:firstLine="757"/>
        <w:spacing w:after="0" w:line="238" w:lineRule="auto"/>
        <w:tabs>
          <w:tab w:leader="none" w:pos="1018"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Reimbursement of Expenses. </w:t>
      </w:r>
      <w:r>
        <w:rPr>
          <w:rFonts w:ascii="Times New Roman" w:cs="Times New Roman" w:eastAsia="Times New Roman" w:hAnsi="Times New Roman"/>
          <w:sz w:val="22"/>
          <w:szCs w:val="22"/>
          <w:color w:val="auto"/>
        </w:rPr>
        <w:t>The Company will reimburse business expenses reasonably incurred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your duties in accordance with the Company’s standard practice and expense scheme in place at the time (generally within 30 days after you have submitted appropriate documentation, which you must do within 30 days after incurring the expense) and, in any case, on or before the last day of the calendar year following the calendar year in which the relevant expense is incurred. The Company will reimburse reasonable costs of the professional use of your (mobile) telephone.</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1"/>
          <w:numId w:val="2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Company’s Successors</w:t>
      </w:r>
      <w:r>
        <w:rPr>
          <w:rFonts w:ascii="Times New Roman" w:cs="Times New Roman" w:eastAsia="Times New Roman" w:hAnsi="Times New Roman"/>
          <w:sz w:val="22"/>
          <w:szCs w:val="22"/>
          <w:color w:val="auto"/>
        </w:rPr>
        <w:t>. This Agreement shall be binding upon any successor (whether direct or indirect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1"/>
          <w:numId w:val="2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Executive’s Successors</w:t>
      </w:r>
      <w:r>
        <w:rPr>
          <w:rFonts w:ascii="Times New Roman" w:cs="Times New Roman" w:eastAsia="Times New Roman" w:hAnsi="Times New Roman"/>
          <w:sz w:val="22"/>
          <w:szCs w:val="22"/>
          <w:color w:val="auto"/>
        </w:rPr>
        <w:t>. This Agreement and all rights of the Executive hereunder shall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and be enforceable by, the Executive’s personal or legal representatives, executors, administrators, successors, heirs, distributees, devisees and legatees.</w:t>
      </w:r>
    </w:p>
    <w:p>
      <w:pPr>
        <w:spacing w:after="0" w:line="16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 During your employment by the Company and at all times thereafter, regardless of the reason for termination, to the fullest extent permitted by its articles of incorporation and by applicable law, the Company shall indemnify you and hold you harmless against any cost, fee, expense, fine or penalty to which you may be subject as a result of serving as an employee or officer of the Company or member of its Board and provide for you to be covered by the insurance or other indemnity policy applicable to officers or directors of the Company (including any rights to advances or reimbursement of legal fees thereunder) as well as enter into any separate indemnification agreement that the Company may enter into with members of the Board. The Company’s indemnification obligation shall survive any termination of your employment.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The following terms shall have the meaning set forth below wherever they are used in this Agreement:</w:t>
      </w:r>
    </w:p>
    <w:p>
      <w:pPr>
        <w:spacing w:after="0" w:line="206" w:lineRule="exact"/>
        <w:rPr>
          <w:sz w:val="20"/>
          <w:szCs w:val="20"/>
          <w:color w:val="auto"/>
        </w:rPr>
      </w:pPr>
    </w:p>
    <w:p>
      <w:pPr>
        <w:jc w:val="both"/>
        <w:ind w:firstLine="1505"/>
        <w:spacing w:after="0" w:line="241" w:lineRule="auto"/>
        <w:tabs>
          <w:tab w:leader="none" w:pos="2036" w:val="left"/>
        </w:tabs>
        <w:numPr>
          <w:ilvl w:val="0"/>
          <w:numId w:val="2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shall mean the Executive’s annual base salary, as it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adjusted from time to time. For purposes of Sections 5(b) and (c),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shall mean Executive’s annual base salary as in effect immediately prior to an Involuntary Termination, determined without regard to any reduction that constitutes grounds for a Resignation for Good Reason.</w:t>
      </w:r>
    </w:p>
    <w:p>
      <w:pPr>
        <w:spacing w:after="0" w:line="171"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2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210" w:lineRule="exact"/>
        <w:rPr>
          <w:sz w:val="20"/>
          <w:szCs w:val="20"/>
          <w:color w:val="auto"/>
        </w:rPr>
      </w:pPr>
    </w:p>
    <w:p>
      <w:pPr>
        <w:ind w:left="760" w:right="40" w:firstLine="1494"/>
        <w:spacing w:after="0" w:line="258" w:lineRule="auto"/>
        <w:tabs>
          <w:tab w:leader="none" w:pos="2689"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failure by you to comply with the Company’s written policies or rules after being provided written notice and 30 days’ opportunity to cure;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9" w:name="page280"/>
    <w:bookmarkEnd w:id="279"/>
    <w:p>
      <w:pPr>
        <w:ind w:left="760" w:right="140" w:firstLine="1494"/>
        <w:spacing w:after="0" w:line="258" w:lineRule="auto"/>
        <w:tabs>
          <w:tab w:leader="none" w:pos="2689"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conviction of, or plea of “guilty” or “no contest” to, a crime involving moral turpitude, deceit, dishonesty or fraud that has caused harm to the Company or any affiliate of the Company;</w:t>
      </w:r>
    </w:p>
    <w:p>
      <w:pPr>
        <w:spacing w:after="0" w:line="50" w:lineRule="exact"/>
        <w:rPr>
          <w:rFonts w:ascii="Times New Roman" w:cs="Times New Roman" w:eastAsia="Times New Roman" w:hAnsi="Times New Roman"/>
          <w:sz w:val="22"/>
          <w:szCs w:val="22"/>
          <w:color w:val="auto"/>
        </w:rPr>
      </w:pPr>
    </w:p>
    <w:p>
      <w:pPr>
        <w:ind w:left="760" w:firstLine="1576"/>
        <w:spacing w:after="0" w:line="226" w:lineRule="auto"/>
        <w:tabs>
          <w:tab w:leader="none" w:pos="3121"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willful and continued failure to substantially perform (other than by reason of Disabili your duties and responsibilities assigned or delegated after receiving written notification of such failure from the Board</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and 30 days’ opportunity to cure;</w:t>
      </w:r>
    </w:p>
    <w:p>
      <w:pPr>
        <w:spacing w:after="0" w:line="71" w:lineRule="exact"/>
        <w:rPr>
          <w:sz w:val="20"/>
          <w:szCs w:val="20"/>
          <w:color w:val="auto"/>
        </w:rPr>
      </w:pPr>
    </w:p>
    <w:p>
      <w:pPr>
        <w:jc w:val="both"/>
        <w:ind w:left="760" w:right="100" w:firstLine="1494"/>
        <w:spacing w:after="0" w:line="244" w:lineRule="auto"/>
        <w:tabs>
          <w:tab w:leader="none" w:pos="2689"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intentional act of dishonesty, deceit, fraud, moral turpitude, misconduct, breach of trust or acts intentionally against the financial or business interests of the Company by you, or your use or possession of illegal drugs in the workplace;</w:t>
      </w:r>
    </w:p>
    <w:p>
      <w:pPr>
        <w:spacing w:after="0" w:line="65" w:lineRule="exact"/>
        <w:rPr>
          <w:rFonts w:ascii="Times New Roman" w:cs="Times New Roman" w:eastAsia="Times New Roman" w:hAnsi="Times New Roman"/>
          <w:sz w:val="22"/>
          <w:szCs w:val="22"/>
          <w:color w:val="auto"/>
        </w:rPr>
      </w:pPr>
    </w:p>
    <w:p>
      <w:pPr>
        <w:ind w:left="760" w:right="120" w:firstLine="1494"/>
        <w:spacing w:after="0" w:line="258" w:lineRule="auto"/>
        <w:tabs>
          <w:tab w:leader="none" w:pos="2689"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breach by you of any of your obligations under any agreement between you and the Company after being provided written notice and 30 days’ opportunity to cure; or</w:t>
      </w:r>
    </w:p>
    <w:p>
      <w:pPr>
        <w:spacing w:after="0" w:line="50" w:lineRule="exact"/>
        <w:rPr>
          <w:rFonts w:ascii="Times New Roman" w:cs="Times New Roman" w:eastAsia="Times New Roman" w:hAnsi="Times New Roman"/>
          <w:sz w:val="22"/>
          <w:szCs w:val="22"/>
          <w:color w:val="auto"/>
        </w:rPr>
      </w:pPr>
    </w:p>
    <w:p>
      <w:pPr>
        <w:ind w:left="760" w:right="160" w:firstLine="1494"/>
        <w:spacing w:after="0" w:line="258" w:lineRule="auto"/>
        <w:tabs>
          <w:tab w:leader="none" w:pos="2689"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failure to cooperate in good faith with a governmental or internal investigation of the Company or its directors, officers or employees, if the Company has requested your cooperation</w:t>
      </w:r>
      <w:r>
        <w:rPr>
          <w:rFonts w:ascii="Times New Roman" w:cs="Times New Roman" w:eastAsia="Times New Roman" w:hAnsi="Times New Roman"/>
          <w:sz w:val="22"/>
          <w:szCs w:val="22"/>
          <w:b w:val="1"/>
          <w:bCs w:val="1"/>
          <w:color w:val="auto"/>
        </w:rPr>
        <w:t>.</w:t>
      </w:r>
    </w:p>
    <w:p>
      <w:pPr>
        <w:spacing w:after="0" w:line="50" w:lineRule="exact"/>
        <w:rPr>
          <w:sz w:val="20"/>
          <w:szCs w:val="20"/>
          <w:color w:val="auto"/>
        </w:rPr>
      </w:pPr>
    </w:p>
    <w:p>
      <w:pPr>
        <w:jc w:val="both"/>
        <w:ind w:right="100" w:firstLine="1497"/>
        <w:spacing w:after="0" w:line="244" w:lineRule="auto"/>
        <w:rPr>
          <w:sz w:val="20"/>
          <w:szCs w:val="20"/>
          <w:color w:val="auto"/>
        </w:rPr>
      </w:pPr>
      <w:r>
        <w:rPr>
          <w:rFonts w:ascii="Times New Roman" w:cs="Times New Roman" w:eastAsia="Times New Roman" w:hAnsi="Times New Roman"/>
          <w:sz w:val="22"/>
          <w:szCs w:val="22"/>
          <w:color w:val="auto"/>
        </w:rPr>
        <w:t>For purposes of this definition of Cause, no act, or failure to act, will be deemed “willful” or “intentional” if done or omitted to be done by the Executive in good faith with a reasonable belief that Executive’s act, or failure to act, was in the best interest of the Company.</w:t>
      </w:r>
    </w:p>
    <w:p>
      <w:pPr>
        <w:spacing w:after="0" w:line="61" w:lineRule="exact"/>
        <w:rPr>
          <w:sz w:val="20"/>
          <w:szCs w:val="20"/>
          <w:color w:val="auto"/>
        </w:rPr>
      </w:pPr>
    </w:p>
    <w:p>
      <w:pPr>
        <w:jc w:val="both"/>
        <w:ind w:right="100" w:firstLine="1505"/>
        <w:spacing w:after="0" w:line="233" w:lineRule="auto"/>
        <w:tabs>
          <w:tab w:leader="none" w:pos="2036" w:val="left"/>
        </w:tabs>
        <w:numPr>
          <w:ilvl w:val="0"/>
          <w:numId w:val="2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shall mean (i) any “person” (as such term is used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 (iii) the sale, transfer or other disposition of all or substantially all of the Company’s assets. In the case of any severance payment or benefit that is subject to Section 409A of the Code, a Change in Control must also constitute a “change in control event,” as defined in Treasury Regulation Section 1.409A-3(i)(5), but only to the extent necessary to avoid the imposition of penalty taxes pursuant to Code Section 409A.</w:t>
      </w:r>
    </w:p>
    <w:p>
      <w:pPr>
        <w:spacing w:after="0" w:line="184" w:lineRule="exact"/>
        <w:rPr>
          <w:rFonts w:ascii="Times New Roman" w:cs="Times New Roman" w:eastAsia="Times New Roman" w:hAnsi="Times New Roman"/>
          <w:sz w:val="22"/>
          <w:szCs w:val="22"/>
          <w:b w:val="1"/>
          <w:bCs w:val="1"/>
          <w:color w:val="auto"/>
        </w:rPr>
      </w:pPr>
    </w:p>
    <w:p>
      <w:pPr>
        <w:jc w:val="both"/>
        <w:ind w:right="100" w:firstLine="1505"/>
        <w:spacing w:after="0" w:line="246" w:lineRule="auto"/>
        <w:tabs>
          <w:tab w:leader="none" w:pos="2036" w:val="left"/>
        </w:tabs>
        <w:numPr>
          <w:ilvl w:val="0"/>
          <w:numId w:val="2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 Window</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Change in Control Window</w:t>
      </w:r>
      <w:r>
        <w:rPr>
          <w:rFonts w:ascii="Times New Roman" w:cs="Times New Roman" w:eastAsia="Times New Roman" w:hAnsi="Times New Roman"/>
          <w:sz w:val="22"/>
          <w:szCs w:val="22"/>
          <w:color w:val="auto"/>
        </w:rPr>
        <w:t>” shall mean the period beginning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three (3) months prior to a Change in Control (if any) and ending twelve months after such Change in Control. In addition, the “</w:t>
      </w:r>
      <w:r>
        <w:rPr>
          <w:rFonts w:ascii="Times New Roman" w:cs="Times New Roman" w:eastAsia="Times New Roman" w:hAnsi="Times New Roman"/>
          <w:sz w:val="22"/>
          <w:szCs w:val="22"/>
          <w:b w:val="1"/>
          <w:bCs w:val="1"/>
          <w:color w:val="auto"/>
        </w:rPr>
        <w:t>Change in Control Window</w:t>
      </w:r>
      <w:r>
        <w:rPr>
          <w:rFonts w:ascii="Times New Roman" w:cs="Times New Roman" w:eastAsia="Times New Roman" w:hAnsi="Times New Roman"/>
          <w:sz w:val="22"/>
          <w:szCs w:val="22"/>
          <w:color w:val="auto"/>
        </w:rPr>
        <w: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1688465" cy="508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84" w:lineRule="exact"/>
        <w:rPr>
          <w:sz w:val="20"/>
          <w:szCs w:val="20"/>
          <w:color w:val="auto"/>
        </w:rPr>
      </w:pPr>
    </w:p>
    <w:p>
      <w:pPr>
        <w:ind w:left="100" w:hanging="92"/>
        <w:spacing w:after="0"/>
        <w:tabs>
          <w:tab w:leader="none" w:pos="100" w:val="left"/>
        </w:tabs>
        <w:numPr>
          <w:ilvl w:val="0"/>
          <w:numId w:val="27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CEO for other officers.</w:t>
      </w:r>
    </w:p>
    <w:p>
      <w:pPr>
        <w:spacing w:after="0" w:line="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8" w:right="239" w:bottom="1440" w:gutter="0" w:footer="0" w:header="0"/>
        </w:sectPr>
      </w:pPr>
    </w:p>
    <w:bookmarkStart w:id="280" w:name="page281"/>
    <w:bookmarkEnd w:id="280"/>
    <w:p>
      <w:pPr>
        <w:spacing w:after="0" w:line="258" w:lineRule="auto"/>
        <w:rPr>
          <w:sz w:val="20"/>
          <w:szCs w:val="20"/>
          <w:color w:val="auto"/>
        </w:rPr>
      </w:pPr>
      <w:r>
        <w:rPr>
          <w:rFonts w:ascii="Times New Roman" w:cs="Times New Roman" w:eastAsia="Times New Roman" w:hAnsi="Times New Roman"/>
          <w:sz w:val="22"/>
          <w:szCs w:val="22"/>
          <w:color w:val="auto"/>
        </w:rPr>
        <w:t>also include such longer period (if any) beginning on the date that a definitive agreement for a Change in Control is executed, but only if such Change in Control is consummated.</w:t>
      </w:r>
    </w:p>
    <w:p>
      <w:pPr>
        <w:spacing w:after="0" w:line="154" w:lineRule="exact"/>
        <w:rPr>
          <w:sz w:val="20"/>
          <w:szCs w:val="20"/>
          <w:color w:val="auto"/>
        </w:rPr>
      </w:pPr>
    </w:p>
    <w:p>
      <w:pPr>
        <w:ind w:left="2040" w:hanging="535"/>
        <w:spacing w:after="0"/>
        <w:tabs>
          <w:tab w:leader="none" w:pos="2040" w:val="left"/>
        </w:tabs>
        <w:numPr>
          <w:ilvl w:val="0"/>
          <w:numId w:val="2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2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that the Executive is unable to engage in any substantial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gainful activity as required to perform his material duties (with reasonable accommodation) by reason of any medically determinable physical or mental impairment which can be expected to result in death or to last for a continuous period of not less than twelve months.</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2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shall mean either the Executive’s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Without Cause or (ii) Resignation for Good Reason. For avoidance of doubt, Executive’s Separation due to Executive’s death or Disability shall not constitute an Involuntary Termination.</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2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Resignation for Good Reason</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Resignation for Good Reason</w:t>
      </w:r>
      <w:r>
        <w:rPr>
          <w:rFonts w:ascii="Times New Roman" w:cs="Times New Roman" w:eastAsia="Times New Roman" w:hAnsi="Times New Roman"/>
          <w:sz w:val="22"/>
          <w:szCs w:val="22"/>
          <w:color w:val="auto"/>
        </w:rPr>
        <w:t>” means a Separation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of the Executive’s resignation within 12 months after one of the following conditions has come into existence without the Executive’s written consent:</w:t>
      </w:r>
    </w:p>
    <w:p>
      <w:pPr>
        <w:spacing w:after="0" w:line="171" w:lineRule="exact"/>
        <w:rPr>
          <w:rFonts w:ascii="Times New Roman" w:cs="Times New Roman" w:eastAsia="Times New Roman" w:hAnsi="Times New Roman"/>
          <w:sz w:val="22"/>
          <w:szCs w:val="22"/>
          <w:b w:val="1"/>
          <w:bCs w:val="1"/>
          <w:color w:val="auto"/>
        </w:rPr>
      </w:pPr>
    </w:p>
    <w:p>
      <w:pPr>
        <w:jc w:val="both"/>
        <w:ind w:right="760" w:firstLine="2254"/>
        <w:spacing w:after="0" w:line="239" w:lineRule="auto"/>
        <w:tabs>
          <w:tab w:leader="none" w:pos="2526"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compensation (consisting of base salary, target bonus opportunity and target annual equity value and excluding any special, one-time, new hire, promotion or other exceptional equity awards), except for across-the-board reductions, outside of Change in Control Window, affecting the Company’s similarly situated employees generally;</w:t>
      </w:r>
    </w:p>
    <w:p>
      <w:pPr>
        <w:spacing w:after="0" w:line="1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(ii)a material diminution in your title, duties, authority and responsibilities within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82" w:lineRule="exact"/>
        <w:rPr>
          <w:sz w:val="20"/>
          <w:szCs w:val="20"/>
          <w:color w:val="auto"/>
        </w:rPr>
      </w:pPr>
    </w:p>
    <w:p>
      <w:pPr>
        <w:ind w:right="760" w:firstLine="2246"/>
        <w:spacing w:after="0" w:line="258" w:lineRule="auto"/>
        <w:rPr>
          <w:sz w:val="20"/>
          <w:szCs w:val="20"/>
          <w:color w:val="auto"/>
        </w:rPr>
      </w:pPr>
      <w:r>
        <w:rPr>
          <w:rFonts w:ascii="Times New Roman" w:cs="Times New Roman" w:eastAsia="Times New Roman" w:hAnsi="Times New Roman"/>
          <w:sz w:val="22"/>
          <w:szCs w:val="22"/>
          <w:color w:val="auto"/>
        </w:rPr>
        <w:t>(iii)relocation of your principal workplace by more than fifty (50) miles away from the location which you were working immediately prior to the required relocation without your prior consent; or</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(iv)a material breach of the Company’s obligation under any agreement between the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you.</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Resignation for Good Reason shall not be deemed to have occurred unless the Executive gives the Company written notice of the condition within 60 days after the condition comes into existence and the Company fails to remedy the condition within 30 days after receiving the Executive’s written notice.</w:t>
      </w:r>
    </w:p>
    <w:p>
      <w:pPr>
        <w:spacing w:after="0" w:line="169" w:lineRule="exact"/>
        <w:rPr>
          <w:sz w:val="20"/>
          <w:szCs w:val="20"/>
          <w:color w:val="auto"/>
        </w:rPr>
      </w:pPr>
    </w:p>
    <w:p>
      <w:pPr>
        <w:ind w:right="20" w:firstLine="1505"/>
        <w:spacing w:after="0" w:line="262" w:lineRule="auto"/>
        <w:tabs>
          <w:tab w:leader="none" w:pos="2036" w:val="left"/>
        </w:tabs>
        <w:numPr>
          <w:ilvl w:val="0"/>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The term “Separation” shall mean a “separation from service,” as defined in the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409A of the Code.</w:t>
      </w:r>
    </w:p>
    <w:p>
      <w:pPr>
        <w:spacing w:after="0" w:line="149" w:lineRule="exact"/>
        <w:rPr>
          <w:rFonts w:ascii="Times New Roman" w:cs="Times New Roman" w:eastAsia="Times New Roman" w:hAnsi="Times New Roman"/>
          <w:sz w:val="22"/>
          <w:szCs w:val="22"/>
          <w:b w:val="1"/>
          <w:bCs w:val="1"/>
          <w:color w:val="auto"/>
        </w:rPr>
      </w:pPr>
    </w:p>
    <w:p>
      <w:pPr>
        <w:ind w:firstLine="1505"/>
        <w:spacing w:after="0" w:line="262" w:lineRule="auto"/>
        <w:tabs>
          <w:tab w:leader="none" w:pos="2036" w:val="left"/>
        </w:tabs>
        <w:numPr>
          <w:ilvl w:val="0"/>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The term “Target Bonus” shall mean Executive’s annual target bonus opportunity,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adjusted from time to time. For purposes of Sections 5(b) and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1" w:name="page282"/>
    <w:bookmarkEnd w:id="281"/>
    <w:p>
      <w:pPr>
        <w:spacing w:after="0" w:line="258" w:lineRule="auto"/>
        <w:rPr>
          <w:sz w:val="20"/>
          <w:szCs w:val="20"/>
          <w:color w:val="auto"/>
        </w:rPr>
      </w:pPr>
      <w:r>
        <w:rPr>
          <w:rFonts w:ascii="Times New Roman" w:cs="Times New Roman" w:eastAsia="Times New Roman" w:hAnsi="Times New Roman"/>
          <w:sz w:val="22"/>
          <w:szCs w:val="22"/>
          <w:color w:val="auto"/>
        </w:rPr>
        <w:t>(c), “Target Bonus” shall mean Executive’s annual target bonus opportunity as in effect immediately prior to an Involuntary Termination, determined without regard to any reduction that constitutes grounds for a Resignation for Good Reason.</w:t>
      </w:r>
    </w:p>
    <w:p>
      <w:pPr>
        <w:spacing w:after="0" w:line="154" w:lineRule="exact"/>
        <w:rPr>
          <w:sz w:val="20"/>
          <w:szCs w:val="20"/>
          <w:color w:val="auto"/>
        </w:rPr>
      </w:pPr>
    </w:p>
    <w:p>
      <w:pPr>
        <w:ind w:right="20" w:firstLine="1505"/>
        <w:spacing w:after="0" w:line="262" w:lineRule="auto"/>
        <w:tabs>
          <w:tab w:leader="none" w:pos="2036"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Without Cause</w:t>
      </w:r>
      <w:r>
        <w:rPr>
          <w:rFonts w:ascii="Times New Roman" w:cs="Times New Roman" w:eastAsia="Times New Roman" w:hAnsi="Times New Roman"/>
          <w:sz w:val="22"/>
          <w:szCs w:val="22"/>
          <w:color w:val="auto"/>
        </w:rPr>
        <w:t>” The term “Termination without Cause” means a Separation as a result of a termination of the Executive’s employment by the Company without Cause and other than as a result of Disability.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2036" w:val="left"/>
        </w:tabs>
        <w:numPr>
          <w:ilvl w:val="0"/>
          <w:numId w:val="2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Notices and all other communications contemplated by this Agreement shall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have been duly given when personally delivered, when delivered via email to a Company domain email address or, following the Separation, to the Executive’s personal email address on file with Human Resources, when delivered by FedEx with delivery charges prepaid, or when mailed by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2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Modifications and Waivers</w:t>
      </w:r>
      <w:r>
        <w:rPr>
          <w:rFonts w:ascii="Times New Roman" w:cs="Times New Roman" w:eastAsia="Times New Roman" w:hAnsi="Times New Roman"/>
          <w:sz w:val="22"/>
          <w:szCs w:val="22"/>
          <w:color w:val="auto"/>
        </w:rPr>
        <w:t>. No provision of this Agreement shall be modified, waived or discharged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2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Whole Agreement</w:t>
      </w:r>
      <w:r>
        <w:rPr>
          <w:rFonts w:ascii="Times New Roman" w:cs="Times New Roman" w:eastAsia="Times New Roman" w:hAnsi="Times New Roman"/>
          <w:sz w:val="22"/>
          <w:szCs w:val="22"/>
          <w:color w:val="auto"/>
        </w:rPr>
        <w:t>. This Agreement supersedes and replaces any prior agreements, including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limitation, the Prior Agreement, representations or understandings (whether written, oral, implied or otherwise) between the Executive and the Company and constitute the complete agreement between the Executive and the Company regarding the subject matter set forth herein.</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2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 Matters</w:t>
      </w:r>
      <w:r>
        <w:rPr>
          <w:rFonts w:ascii="Times New Roman" w:cs="Times New Roman" w:eastAsia="Times New Roman" w:hAnsi="Times New Roman"/>
          <w:sz w:val="21"/>
          <w:szCs w:val="21"/>
          <w:color w:val="auto"/>
        </w:rPr>
        <w:t>. All payments made under this Agreement shall be subject to reduction to reflect taxes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charges required to be withheld by law. The Company intends that all payments and benefits provided under this Agreement or otherwise are exempt from, or comply with, with the requirements of Code Section 409A so that none of the payments or benefits will be subject to the additional tax imposed under Code Section 409A, and any ambiguities herein will be interpreted in accordance with such intent. For purposes of Code Section 409A, each payment, installment or benefit payable under this Agreement is hereby designated as a separate payment. In addition, if the Company determines that you are a “specified Executive” under Code Section 409A(a)(2)(B)(i) at the time of your Separation, then (i) any severance payments or benefits, to the extent that they are subject to Code Section 409A, will not be paid or otherwise provided until the first business day following (A) expiration of the six-month period measured from your Separation or (B) the date of your death and (ii) any installments that otherwise would have been paid or provided prior to such date will be paid or provided in a lump sum when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2" w:name="page283"/>
    <w:bookmarkEnd w:id="282"/>
    <w:p>
      <w:pPr>
        <w:jc w:val="both"/>
        <w:spacing w:after="0" w:line="244" w:lineRule="auto"/>
        <w:rPr>
          <w:sz w:val="20"/>
          <w:szCs w:val="20"/>
          <w:color w:val="auto"/>
        </w:rPr>
      </w:pPr>
      <w:r>
        <w:rPr>
          <w:rFonts w:ascii="Times New Roman" w:cs="Times New Roman" w:eastAsia="Times New Roman" w:hAnsi="Times New Roman"/>
          <w:sz w:val="22"/>
          <w:szCs w:val="22"/>
          <w:color w:val="auto"/>
        </w:rPr>
        <w:t>severance payments or benefits commence. The Company shall not have a duty to design its compensation policies in a manner that minimizes your tax liabilities, and you agree not to make any claim against the Company or the Board related to tax liabilities arising from your compensation.</w:t>
      </w:r>
    </w:p>
    <w:p>
      <w:pPr>
        <w:spacing w:after="0" w:line="169" w:lineRule="exact"/>
        <w:rPr>
          <w:sz w:val="20"/>
          <w:szCs w:val="20"/>
          <w:color w:val="auto"/>
        </w:rPr>
      </w:pPr>
    </w:p>
    <w:p>
      <w:pPr>
        <w:jc w:val="both"/>
        <w:ind w:firstLine="1505"/>
        <w:spacing w:after="0" w:line="244" w:lineRule="auto"/>
        <w:tabs>
          <w:tab w:leader="none" w:pos="2036" w:val="left"/>
        </w:tabs>
        <w:numPr>
          <w:ilvl w:val="0"/>
          <w:numId w:val="2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280G. Parachute Payments. </w:t>
      </w:r>
      <w:r>
        <w:rPr>
          <w:rFonts w:ascii="Times New Roman" w:cs="Times New Roman" w:eastAsia="Times New Roman" w:hAnsi="Times New Roman"/>
          <w:sz w:val="21"/>
          <w:szCs w:val="21"/>
          <w:color w:val="auto"/>
        </w:rPr>
        <w:t>If any payment or benefit that you would receive in connection with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Change in Control from the Company or otherwise (“Payment”) would (i) constitute a “parachute payment” within the meaning of Section 280G of the Code, and (ii) but for this sentence, be subject to the excise tax imposed by Section 4999 of the Code (the “Excise Tax”), then such Payment shall be equal to the Reduced Amount. The “Reduced Amount”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your receipt of the greatest economic benefit notwithstanding that all or some portion of the Payment may be subject to the Excise Tax. If a reduction in payments or benefits constituting “parachute payments” is necessary so that the Payment equals the Reduced Amount, any reduction shall be applied first,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to amounts that constitute deferred compensation within the meaning of Section 409A of the Code, and, in the event that the reductions pursuant to this Section 12(e) exceed payments that are subject to Section 409A of the Code, the remaining reductions shall be applied,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to any other remaining payments, first with respect to amounts payable in cash before being made in respect to any payments to be provided in the form of benefits or equity award acceleration, and in the form of benefits before being made with respect to equity award acceleration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Company’s determinations hereunder shall be final, binding and conclusive on all interested parties.</w:t>
      </w:r>
    </w:p>
    <w:p>
      <w:pPr>
        <w:spacing w:after="0" w:line="178" w:lineRule="exact"/>
        <w:rPr>
          <w:rFonts w:ascii="Times New Roman" w:cs="Times New Roman" w:eastAsia="Times New Roman" w:hAnsi="Times New Roman"/>
          <w:sz w:val="21"/>
          <w:szCs w:val="21"/>
          <w:b w:val="1"/>
          <w:bCs w:val="1"/>
          <w:color w:val="auto"/>
        </w:rPr>
      </w:pPr>
    </w:p>
    <w:p>
      <w:pPr>
        <w:jc w:val="both"/>
        <w:ind w:firstLine="1505"/>
        <w:spacing w:after="0" w:line="233" w:lineRule="auto"/>
        <w:tabs>
          <w:tab w:leader="none" w:pos="2036" w:val="left"/>
        </w:tabs>
        <w:numPr>
          <w:ilvl w:val="0"/>
          <w:numId w:val="2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Arbitration. </w:t>
      </w:r>
      <w:r>
        <w:rPr>
          <w:rFonts w:ascii="Times New Roman" w:cs="Times New Roman" w:eastAsia="Times New Roman" w:hAnsi="Times New Roman"/>
          <w:sz w:val="22"/>
          <w:szCs w:val="22"/>
          <w:color w:val="auto"/>
        </w:rPr>
        <w:t>Any controversy or claim arising out of this Agreement and any and all claims relating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employment with the Company will be settled by final and binding arbitration. The arbitration will take place in the Commonwealth of Massachusetts. The arbitration will be administered by the American Arbitration Association under its National Rules for the Resolution of Employment Disputes. Any award or finding will be confidential. You and the Company agree to provide one another with reasonable access to documents and witnesses in connection with the resolution of the dispute. You and the Company will share the costs of arbitration equally up to, for you, the filing fee to bring a civil action in the state courts of Massachusetts. Each party will be responsible for its own attorneys’ fees, and the arbitrator may not award attorneys’ fees unless a statute or contract at issue specifically authorizes such an award. This Section 12(f) does not apply to claims for workers’ compensation benefits or unemployment insurance benefits. This Section 12(f) also does not apply to claims concerning the ownership, validity, infringement, misappropriation, disclosure, misuse or enforceability of any confidential information, patent right, copyright, mask work, trademark or any other trade secret or intellectual property held or sought by either you or the Company (whether or not arising under the Proprietary Information and Inventions Agreement between you and the Company).</w:t>
      </w:r>
    </w:p>
    <w:p>
      <w:pPr>
        <w:spacing w:after="0" w:line="182"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2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Law and Severability</w:t>
      </w:r>
      <w:r>
        <w:rPr>
          <w:rFonts w:ascii="Times New Roman" w:cs="Times New Roman" w:eastAsia="Times New Roman" w:hAnsi="Times New Roman"/>
          <w:sz w:val="22"/>
          <w:szCs w:val="22"/>
          <w:color w:val="auto"/>
        </w:rPr>
        <w:t>. This Agreement shall be interpreted in accordance with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Commonwealth of Massachusetts (except its provisions governing the choice of law). If any provision of this Agreement becomes or is deemed invalid, illegal or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3" w:name="page284"/>
    <w:bookmarkEnd w:id="283"/>
    <w:p>
      <w:pPr>
        <w:jc w:val="both"/>
        <w:spacing w:after="0" w:line="235" w:lineRule="auto"/>
        <w:rPr>
          <w:sz w:val="20"/>
          <w:szCs w:val="20"/>
          <w:color w:val="auto"/>
        </w:rPr>
      </w:pPr>
      <w:r>
        <w:rPr>
          <w:rFonts w:ascii="Times New Roman" w:cs="Times New Roman" w:eastAsia="Times New Roman" w:hAnsi="Times New Roman"/>
          <w:sz w:val="22"/>
          <w:szCs w:val="22"/>
          <w:color w:val="auto"/>
        </w:rPr>
        <w:t>unenforceable in any applicable jurisdiction by reason of the scope, extent or duration of its coverage or any other reason,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174" w:lineRule="exact"/>
        <w:rPr>
          <w:sz w:val="20"/>
          <w:szCs w:val="20"/>
          <w:color w:val="auto"/>
        </w:rPr>
      </w:pPr>
    </w:p>
    <w:p>
      <w:pPr>
        <w:jc w:val="both"/>
        <w:ind w:firstLine="1505"/>
        <w:spacing w:after="0" w:line="241" w:lineRule="auto"/>
        <w:tabs>
          <w:tab w:leader="none" w:pos="2036" w:val="left"/>
        </w:tabs>
        <w:numPr>
          <w:ilvl w:val="0"/>
          <w:numId w:val="2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Assignment</w:t>
      </w:r>
      <w:r>
        <w:rPr>
          <w:rFonts w:ascii="Times New Roman" w:cs="Times New Roman" w:eastAsia="Times New Roman" w:hAnsi="Times New Roman"/>
          <w:sz w:val="22"/>
          <w:szCs w:val="22"/>
          <w:color w:val="auto"/>
        </w:rPr>
        <w:t>. This Agreement and all rights and obligations of the Executive hereunder are personal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171" w:lineRule="exact"/>
        <w:rPr>
          <w:rFonts w:ascii="Times New Roman" w:cs="Times New Roman" w:eastAsia="Times New Roman" w:hAnsi="Times New Roman"/>
          <w:sz w:val="22"/>
          <w:szCs w:val="22"/>
          <w:b w:val="1"/>
          <w:bCs w:val="1"/>
          <w:color w:val="auto"/>
        </w:rPr>
      </w:pPr>
    </w:p>
    <w:p>
      <w:pPr>
        <w:ind w:right="20" w:firstLine="1505"/>
        <w:spacing w:after="0" w:line="262" w:lineRule="auto"/>
        <w:tabs>
          <w:tab w:leader="none" w:pos="2036" w:val="left"/>
        </w:tabs>
        <w:numPr>
          <w:ilvl w:val="0"/>
          <w:numId w:val="2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two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on following page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4" w:name="page285"/>
    <w:bookmarkEnd w:id="284"/>
    <w:p>
      <w:pPr>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has executed this Agreement, in the case of the Company by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officer, as of the day and year first above written.</w:t>
      </w:r>
    </w:p>
    <w:p>
      <w:pPr>
        <w:spacing w:after="0" w:line="200" w:lineRule="exact"/>
        <w:rPr>
          <w:sz w:val="20"/>
          <w:szCs w:val="20"/>
          <w:color w:val="auto"/>
        </w:rPr>
      </w:pPr>
    </w:p>
    <w:p>
      <w:pPr>
        <w:spacing w:after="0" w:line="27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flywire corporation</w:t>
      </w:r>
    </w:p>
    <w:p>
      <w:pPr>
        <w:spacing w:after="0" w:line="200" w:lineRule="exact"/>
        <w:rPr>
          <w:sz w:val="20"/>
          <w:szCs w:val="20"/>
          <w:color w:val="auto"/>
        </w:rPr>
      </w:pPr>
    </w:p>
    <w:p>
      <w:pPr>
        <w:spacing w:after="0" w:line="32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Rob Orgel</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Title: President and COO</w:t>
      </w:r>
    </w:p>
    <w:p>
      <w:pPr>
        <w:spacing w:after="0" w:line="200" w:lineRule="exact"/>
        <w:rPr>
          <w:sz w:val="20"/>
          <w:szCs w:val="20"/>
          <w:color w:val="auto"/>
        </w:rPr>
      </w:pPr>
    </w:p>
    <w:p>
      <w:pPr>
        <w:spacing w:after="0" w:line="3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Date: August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E</w:t>
      </w:r>
      <w:r>
        <w:rPr>
          <w:rFonts w:ascii="Times New Roman" w:cs="Times New Roman" w:eastAsia="Times New Roman" w:hAnsi="Times New Roman"/>
          <w:sz w:val="17"/>
          <w:szCs w:val="17"/>
          <w:b w:val="1"/>
          <w:bCs w:val="1"/>
          <w:color w:val="auto"/>
        </w:rPr>
        <w:t>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u w:val="single" w:color="auto"/>
          <w:color w:val="auto"/>
        </w:rPr>
        <w:t>/s/ Michael Massaro</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Michael Massaro</w:t>
      </w:r>
    </w:p>
    <w:p>
      <w:pPr>
        <w:spacing w:after="0" w:line="200" w:lineRule="exact"/>
        <w:rPr>
          <w:sz w:val="20"/>
          <w:szCs w:val="20"/>
          <w:color w:val="auto"/>
        </w:rPr>
      </w:pPr>
    </w:p>
    <w:p>
      <w:pPr>
        <w:spacing w:after="0" w:line="30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Date: August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PIIA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285" w:name="page286"/>
    <w:bookmarkEnd w:id="285"/>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w:t>
      </w:r>
      <w:r>
        <w:rPr>
          <w:rFonts w:ascii="Times New Roman" w:cs="Times New Roman" w:eastAsia="Times New Roman" w:hAnsi="Times New Roman"/>
          <w:sz w:val="22"/>
          <w:szCs w:val="22"/>
          <w:b w:val="1"/>
          <w:bCs w:val="1"/>
          <w:color w:val="auto"/>
        </w:rPr>
        <w:t>mployment</w:t>
      </w:r>
      <w:r>
        <w:rPr>
          <w:rFonts w:ascii="Times New Roman" w:cs="Times New Roman" w:eastAsia="Times New Roman" w:hAnsi="Times New Roman"/>
          <w:sz w:val="32"/>
          <w:szCs w:val="32"/>
          <w:b w:val="1"/>
          <w:bCs w:val="1"/>
          <w:color w:val="auto"/>
        </w:rPr>
        <w:t xml:space="preserve"> A</w:t>
      </w:r>
      <w:r>
        <w:rPr>
          <w:rFonts w:ascii="Times New Roman" w:cs="Times New Roman" w:eastAsia="Times New Roman" w:hAnsi="Times New Roman"/>
          <w:sz w:val="22"/>
          <w:szCs w:val="22"/>
          <w:b w:val="1"/>
          <w:bCs w:val="1"/>
          <w:color w:val="auto"/>
        </w:rPr>
        <w:t>greement</w:t>
      </w:r>
    </w:p>
    <w:p>
      <w:pPr>
        <w:spacing w:after="0" w:line="200" w:lineRule="exact"/>
        <w:rPr>
          <w:sz w:val="20"/>
          <w:szCs w:val="20"/>
          <w:color w:val="auto"/>
        </w:rPr>
      </w:pPr>
    </w:p>
    <w:p>
      <w:pPr>
        <w:spacing w:after="0" w:line="348"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23"/>
          <w:szCs w:val="23"/>
          <w:color w:val="auto"/>
        </w:rPr>
        <w:t>T</w:t>
      </w:r>
      <w:r>
        <w:rPr>
          <w:rFonts w:ascii="Times New Roman" w:cs="Times New Roman" w:eastAsia="Times New Roman" w:hAnsi="Times New Roman"/>
          <w:sz w:val="16"/>
          <w:szCs w:val="16"/>
          <w:color w:val="auto"/>
        </w:rPr>
        <w:t>his</w:t>
      </w:r>
      <w:r>
        <w:rPr>
          <w:rFonts w:ascii="Times New Roman" w:cs="Times New Roman" w:eastAsia="Times New Roman" w:hAnsi="Times New Roman"/>
          <w:sz w:val="23"/>
          <w:szCs w:val="23"/>
          <w:color w:val="auto"/>
        </w:rPr>
        <w:t xml:space="preserve"> A</w:t>
      </w:r>
      <w:r>
        <w:rPr>
          <w:rFonts w:ascii="Times New Roman" w:cs="Times New Roman" w:eastAsia="Times New Roman" w:hAnsi="Times New Roman"/>
          <w:sz w:val="16"/>
          <w:szCs w:val="16"/>
          <w:color w:val="auto"/>
        </w:rPr>
        <w:t>greement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(the “Agreement”) is entered into as of August 1, 2025 by and between</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b w:val="1"/>
          <w:bCs w:val="1"/>
          <w:color w:val="auto"/>
        </w:rPr>
        <w:t>R</w:t>
      </w:r>
      <w:r>
        <w:rPr>
          <w:rFonts w:ascii="Times New Roman" w:cs="Times New Roman" w:eastAsia="Times New Roman" w:hAnsi="Times New Roman"/>
          <w:sz w:val="16"/>
          <w:szCs w:val="16"/>
          <w:b w:val="1"/>
          <w:bCs w:val="1"/>
          <w:color w:val="auto"/>
        </w:rPr>
        <w:t>ob</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b w:val="1"/>
          <w:bCs w:val="1"/>
          <w:color w:val="auto"/>
        </w:rPr>
        <w:t>O</w:t>
      </w:r>
      <w:r>
        <w:rPr>
          <w:rFonts w:ascii="Times New Roman" w:cs="Times New Roman" w:eastAsia="Times New Roman" w:hAnsi="Times New Roman"/>
          <w:sz w:val="16"/>
          <w:szCs w:val="16"/>
          <w:b w:val="1"/>
          <w:bCs w:val="1"/>
          <w:color w:val="auto"/>
        </w:rPr>
        <w:t>rgel</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 xml:space="preserve">“Executive” or “you”) and </w:t>
      </w:r>
      <w:r>
        <w:rPr>
          <w:rFonts w:ascii="Times New Roman" w:cs="Times New Roman" w:eastAsia="Times New Roman" w:hAnsi="Times New Roman"/>
          <w:sz w:val="23"/>
          <w:szCs w:val="23"/>
          <w:b w:val="1"/>
          <w:bCs w:val="1"/>
          <w:color w:val="auto"/>
        </w:rPr>
        <w:t>F</w:t>
      </w:r>
      <w:r>
        <w:rPr>
          <w:rFonts w:ascii="Times New Roman" w:cs="Times New Roman" w:eastAsia="Times New Roman" w:hAnsi="Times New Roman"/>
          <w:sz w:val="16"/>
          <w:szCs w:val="16"/>
          <w:b w:val="1"/>
          <w:bCs w:val="1"/>
          <w:color w:val="auto"/>
        </w:rPr>
        <w:t>lywire corporation</w:t>
      </w:r>
      <w:r>
        <w:rPr>
          <w:rFonts w:ascii="Times New Roman" w:cs="Times New Roman" w:eastAsia="Times New Roman" w:hAnsi="Times New Roman"/>
          <w:sz w:val="21"/>
          <w:szCs w:val="21"/>
          <w:color w:val="auto"/>
        </w:rPr>
        <w:t>, a Delaware corporation (the “Company”), and replaces and supersedes the employment agreement between the Executive and Company, dated May 14, 2021 (the “Prior Agreement”).</w:t>
      </w:r>
    </w:p>
    <w:p>
      <w:pPr>
        <w:spacing w:after="0" w:line="143" w:lineRule="exact"/>
        <w:rPr>
          <w:sz w:val="20"/>
          <w:szCs w:val="20"/>
          <w:color w:val="auto"/>
        </w:rPr>
      </w:pPr>
    </w:p>
    <w:p>
      <w:pPr>
        <w:ind w:left="1020" w:hanging="263"/>
        <w:spacing w:after="0"/>
        <w:tabs>
          <w:tab w:leader="none" w:pos="102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Duties and Scope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2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For the term of his employment under this Agreement (the “Employment”),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to employ the Executive in the position of President and Chief Operating Officer. The Executive shall report to the Company’s Chief Executive Officer.</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2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Obligations to the Company</w:t>
      </w:r>
      <w:r>
        <w:rPr>
          <w:rFonts w:ascii="Times New Roman" w:cs="Times New Roman" w:eastAsia="Times New Roman" w:hAnsi="Times New Roman"/>
          <w:sz w:val="22"/>
          <w:szCs w:val="22"/>
          <w:color w:val="auto"/>
        </w:rPr>
        <w:t>. During his Employment, the Executive (i) shall devote his full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efforts and time to the Company, (ii) shall not engage in any other employment, consulting or other business activity that would create a conflict of interest with the Company, (iii) shall not assist any person or entity in competing with the Company or in preparing to compete with the Company and (iv) shall materially comply with the Company’s policies and rules, as they may be in effect from time to time.</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2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Conflicting Obligations</w:t>
      </w:r>
      <w:r>
        <w:rPr>
          <w:rFonts w:ascii="Times New Roman" w:cs="Times New Roman" w:eastAsia="Times New Roman" w:hAnsi="Times New Roman"/>
          <w:sz w:val="22"/>
          <w:szCs w:val="22"/>
          <w:color w:val="auto"/>
        </w:rPr>
        <w:t>. The Executive represents and warrants to the Company that he is under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or commitments, whether contractual or otherwise, that are inconsistent with his obligations under this Agreement.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will not infringe or violate the rights of any other person.</w:t>
      </w:r>
    </w:p>
    <w:p>
      <w:pPr>
        <w:spacing w:after="0" w:line="17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2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Certain capitalized terms are defined in Section 11.</w:t>
      </w:r>
    </w:p>
    <w:p>
      <w:pPr>
        <w:spacing w:after="0" w:line="20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and Incentive Compensation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2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The Company shall pay the Executive as compensation for his services a base salary at a gross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rate of $350,000. Such salary shall be payable in accordance with the Company’s standard payroll procedures and shall be subject to adjustment pursuant to the Company’s executive compensation policies in effect from time to time.</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37" w:lineRule="auto"/>
        <w:tabs>
          <w:tab w:leader="none" w:pos="2036" w:val="left"/>
        </w:tabs>
        <w:numPr>
          <w:ilvl w:val="1"/>
          <w:numId w:val="2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Bonus</w:t>
      </w:r>
      <w:r>
        <w:rPr>
          <w:rFonts w:ascii="Times New Roman" w:cs="Times New Roman" w:eastAsia="Times New Roman" w:hAnsi="Times New Roman"/>
          <w:sz w:val="22"/>
          <w:szCs w:val="22"/>
          <w:color w:val="auto"/>
        </w:rPr>
        <w:t>. You will be eligible for an annual discretionary performance bonus, with a target bonus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of $300,000 in fiscal year 2025, subject to achievement of targets as approved by the Company’s Board of Directors (the “Board”) or its Compensation Committee (the “Committee”). Performance bonus goals and attainment of such goals will be evaluated and approved by the Committee and paid on an annual basis, with such payment, to the extent earned, to be made within 2 ½ months following the close of the applicable fiscal year, but only if you are still employed by the Company as of the date of payment. The determinations of the Board or</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DOCPROPERTY"SWDocID" GDSVF&amp;H\11291974.3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Committee with respect to your bonus will be final and binding.</w:t>
      </w:r>
    </w:p>
    <w:p>
      <w:pPr>
        <w:spacing w:after="0" w:line="202" w:lineRule="exact"/>
        <w:rPr>
          <w:sz w:val="20"/>
          <w:szCs w:val="20"/>
          <w:color w:val="auto"/>
        </w:rPr>
      </w:pPr>
    </w:p>
    <w:p>
      <w:pPr>
        <w:jc w:val="both"/>
        <w:ind w:firstLine="757"/>
        <w:spacing w:after="0" w:line="241" w:lineRule="auto"/>
        <w:tabs>
          <w:tab w:leader="none" w:pos="1018"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Executive Benefits</w:t>
      </w:r>
      <w:r>
        <w:rPr>
          <w:rFonts w:ascii="Times New Roman" w:cs="Times New Roman" w:eastAsia="Times New Roman" w:hAnsi="Times New Roman"/>
          <w:sz w:val="22"/>
          <w:szCs w:val="22"/>
          <w:color w:val="auto"/>
        </w:rPr>
        <w:t>. During his Employment, the Executive shall be eligible for paid time off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PTO policy, as in effect from time to time. During his Employment, the Executive shall also be eligible to participate in the executive benefit plans maintained by the Company, subject in each case to the generally applicable terms and conditions of the plan in question and to the determinations of any person or committee administering such plan.</w:t>
      </w:r>
    </w:p>
    <w:p>
      <w:pPr>
        <w:spacing w:after="0" w:line="171"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2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at Will</w:t>
      </w:r>
      <w:r>
        <w:rPr>
          <w:rFonts w:ascii="Times New Roman" w:cs="Times New Roman" w:eastAsia="Times New Roman" w:hAnsi="Times New Roman"/>
          <w:sz w:val="22"/>
          <w:szCs w:val="22"/>
          <w:color w:val="auto"/>
        </w:rPr>
        <w:t>. The Executive’s Employment with the Company shall be “at will,” meaning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the Executive or the Company shall be entitled to terminate the Executive’s Employment at any time and for any reason, with or without Cause. Any contrary representations that may have been made to the Executive shall be superseded by this Agreement. This Agreement shall constitute the full and complete agreement between the Executive and the Company on the “at will” nature of the Executive’s Employment. Although Executive’s job duties, title, compensation and benefits, as well as the Company’s personnel policies and procedures, may change from time to time, the “at will” nature of the Executive’s employment may only be changed in an express written agreement signed by the Executive and a duly authorized officer of the Company (other than the Executive). The termination of the Executive’s Employment shall not limit or otherwise affect his obligations under Sections 6 and/or 7 below or his rights under Section 5 below.</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2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upon Termination</w:t>
      </w:r>
      <w:r>
        <w:rPr>
          <w:rFonts w:ascii="Times New Roman" w:cs="Times New Roman" w:eastAsia="Times New Roman" w:hAnsi="Times New Roman"/>
          <w:sz w:val="22"/>
          <w:szCs w:val="22"/>
          <w:color w:val="auto"/>
        </w:rPr>
        <w:t>. Except as expressly provided in Section 5 below, upon the termination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the Executive shall only be entitled to the compensation and benefits that the Executive has earned under this Agreement before the effective date of the termination. The payments under this Agreement shall fully discharge all responsibilities of the Company to the Executive (other than payments of accrued and vested executive benefits, if any, under the Company’s executive benefit plans).</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Benefits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2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General. </w:t>
      </w:r>
      <w:r>
        <w:rPr>
          <w:rFonts w:ascii="Times New Roman" w:cs="Times New Roman" w:eastAsia="Times New Roman" w:hAnsi="Times New Roman"/>
          <w:sz w:val="21"/>
          <w:szCs w:val="21"/>
          <w:color w:val="auto"/>
        </w:rPr>
        <w:t>If you are subject to an Involuntary Termination, then you will be entitled to the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described in Section 5(b) or 5(c), as applicable, below. However, Section 5(b) or 5(c), as applicable, will not apply unless you (i) have returned all Company property in your possession, (ii) have resigned from all positions you hold with the Company, including (if applicable) as a member of the Board and as a member of the board of directors of any subsidiaries of the Company, and (iii) have executed a general release of all claims (with applicable carve-out for continued indemnification pursuant to law, contract or the Company’s bylaws and other customary exceptions at the discretion of the Company) that you may have against the Company or persons affiliated with the Company.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Section 5(b) or 5(c), as applicable. For avoidance of doubt, severance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benefits will be provided pursuant to either, but not both of, Section 5(b) or 5(c) below. All lump sum severance payments and equity acceleration will be paid or provided within 60 days after your Separation or, if later, on the date a Change in Control occurs. Notwithstanding the foregoing, if the 60 day period described in the preceding sentence spans calendar years, then payment will in any event be made in the second calendar year.</w:t>
      </w:r>
    </w:p>
    <w:p>
      <w:pPr>
        <w:spacing w:after="0" w:line="176" w:lineRule="exact"/>
        <w:rPr>
          <w:sz w:val="20"/>
          <w:szCs w:val="20"/>
          <w:color w:val="auto"/>
        </w:rPr>
      </w:pPr>
    </w:p>
    <w:p>
      <w:pPr>
        <w:jc w:val="both"/>
        <w:ind w:firstLine="1505"/>
        <w:spacing w:after="0" w:line="246" w:lineRule="auto"/>
        <w:tabs>
          <w:tab w:leader="none" w:pos="2036" w:val="left"/>
        </w:tabs>
        <w:numPr>
          <w:ilvl w:val="0"/>
          <w:numId w:val="2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Involuntary Termination Not Involving a Change in Control</w:t>
      </w:r>
      <w:r>
        <w:rPr>
          <w:rFonts w:ascii="Times New Roman" w:cs="Times New Roman" w:eastAsia="Times New Roman" w:hAnsi="Times New Roman"/>
          <w:sz w:val="22"/>
          <w:szCs w:val="22"/>
          <w:color w:val="auto"/>
        </w:rPr>
        <w:t>. If you are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at any time other than during a Change in Control Window and you satisfy the conditions described in Section 5(a) above, then you will be entitled to the following severance benefits:</w:t>
      </w:r>
    </w:p>
    <w:p>
      <w:pPr>
        <w:spacing w:after="0" w:line="17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 a lump-sum cash severance payment equal to one (1) times the sum of your Base Salary and</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Target Bonus;</w:t>
      </w:r>
    </w:p>
    <w:p>
      <w:pPr>
        <w:spacing w:after="0" w:line="182" w:lineRule="exact"/>
        <w:rPr>
          <w:sz w:val="20"/>
          <w:szCs w:val="20"/>
          <w:color w:val="auto"/>
        </w:rPr>
      </w:pPr>
    </w:p>
    <w:p>
      <w:pPr>
        <w:jc w:val="both"/>
        <w:ind w:left="760" w:right="760" w:firstLine="1391"/>
        <w:spacing w:after="0" w:line="244" w:lineRule="auto"/>
        <w:rPr>
          <w:sz w:val="20"/>
          <w:szCs w:val="20"/>
          <w:color w:val="auto"/>
        </w:rPr>
      </w:pPr>
      <w:r>
        <w:rPr>
          <w:rFonts w:ascii="Times New Roman" w:cs="Times New Roman" w:eastAsia="Times New Roman" w:hAnsi="Times New Roman"/>
          <w:sz w:val="22"/>
          <w:szCs w:val="22"/>
          <w:color w:val="auto"/>
        </w:rPr>
        <w:t>(ii)if the Involuntary Termination occurs after the end of a fiscal year, but prior to payment of bonuses for such fiscal year, a lump sum payment equal to any accrued and unpaid bonus for the prior fiscal year (the “Accrued Bonus”);</w:t>
      </w:r>
    </w:p>
    <w:p>
      <w:pPr>
        <w:spacing w:after="0" w:line="173" w:lineRule="exact"/>
        <w:rPr>
          <w:sz w:val="20"/>
          <w:szCs w:val="20"/>
          <w:color w:val="auto"/>
        </w:rPr>
      </w:pPr>
    </w:p>
    <w:p>
      <w:pPr>
        <w:jc w:val="both"/>
        <w:ind w:left="760" w:right="740" w:firstLine="1391"/>
        <w:spacing w:after="0" w:line="239" w:lineRule="auto"/>
        <w:rPr>
          <w:sz w:val="20"/>
          <w:szCs w:val="20"/>
          <w:color w:val="auto"/>
        </w:rPr>
      </w:pPr>
      <w:r>
        <w:rPr>
          <w:rFonts w:ascii="Times New Roman" w:cs="Times New Roman" w:eastAsia="Times New Roman" w:hAnsi="Times New Roman"/>
          <w:sz w:val="22"/>
          <w:szCs w:val="22"/>
          <w:color w:val="auto"/>
        </w:rPr>
        <w:t>(iii)if you elect to continue your health insurance coverage under the Consolidated Omnibus Budget Reconciliation Act (“COBRA”) following your Separation, then the Company will pay your monthly premium under COBRA, which is understood to potentially be higher than said premium for active employees, for the twelve (12) months following your Separation; and</w:t>
      </w:r>
    </w:p>
    <w:p>
      <w:pPr>
        <w:spacing w:after="0" w:line="180" w:lineRule="exact"/>
        <w:rPr>
          <w:sz w:val="20"/>
          <w:szCs w:val="20"/>
          <w:color w:val="auto"/>
        </w:rPr>
      </w:pPr>
    </w:p>
    <w:p>
      <w:pPr>
        <w:jc w:val="both"/>
        <w:ind w:left="760" w:right="760" w:firstLine="1391"/>
        <w:spacing w:after="0" w:line="251" w:lineRule="auto"/>
        <w:rPr>
          <w:sz w:val="20"/>
          <w:szCs w:val="20"/>
          <w:color w:val="auto"/>
        </w:rPr>
      </w:pPr>
      <w:r>
        <w:rPr>
          <w:rFonts w:ascii="Times New Roman" w:cs="Times New Roman" w:eastAsia="Times New Roman" w:hAnsi="Times New Roman"/>
          <w:sz w:val="21"/>
          <w:szCs w:val="21"/>
          <w:color w:val="auto"/>
        </w:rPr>
        <w:t>(iv)each outstanding equity award that you hold as of the Involuntary Termination and that is subject to time-based vesting will accelerate and become vested and, if applicable, exercisable with respect the number of shares that would have vested if you had completed an additional twelve (12) months of service with the Company. Any equity awards that are subject to unsatisfied performance conditions will not be eligible for acceleration pursuant to this clause (iv) and will be treated as described in the applicable award agreement.</w:t>
      </w:r>
    </w:p>
    <w:p>
      <w:pPr>
        <w:spacing w:after="0" w:line="164" w:lineRule="exact"/>
        <w:rPr>
          <w:sz w:val="20"/>
          <w:szCs w:val="20"/>
          <w:color w:val="auto"/>
        </w:rPr>
      </w:pPr>
    </w:p>
    <w:p>
      <w:pPr>
        <w:jc w:val="both"/>
        <w:ind w:firstLine="1505"/>
        <w:spacing w:after="0" w:line="246" w:lineRule="auto"/>
        <w:tabs>
          <w:tab w:leader="none" w:pos="2036" w:val="left"/>
        </w:tabs>
        <w:numPr>
          <w:ilvl w:val="0"/>
          <w:numId w:val="2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Involuntary Termination Involving a Change in Control</w:t>
      </w:r>
      <w:r>
        <w:rPr>
          <w:rFonts w:ascii="Times New Roman" w:cs="Times New Roman" w:eastAsia="Times New Roman" w:hAnsi="Times New Roman"/>
          <w:sz w:val="22"/>
          <w:szCs w:val="22"/>
          <w:color w:val="auto"/>
        </w:rPr>
        <w:t>. If you are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during a Change in Control Window and you satisfy the conditions described in Section 5(a) above, then you will be entitled to the following severance benefits:</w:t>
      </w:r>
    </w:p>
    <w:p>
      <w:pPr>
        <w:spacing w:after="0" w:line="171" w:lineRule="exact"/>
        <w:rPr>
          <w:sz w:val="20"/>
          <w:szCs w:val="20"/>
          <w:color w:val="auto"/>
        </w:rPr>
      </w:pPr>
    </w:p>
    <w:p>
      <w:pPr>
        <w:ind w:left="760" w:right="740" w:firstLine="1387"/>
        <w:spacing w:after="0" w:line="258" w:lineRule="auto"/>
        <w:tabs>
          <w:tab w:leader="none" w:pos="2429"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lump-sum cash severance payment equal to one and one-half (1.5) times the sum of your Base Salary and Target Bonus;</w:t>
      </w:r>
    </w:p>
    <w:p>
      <w:pPr>
        <w:spacing w:after="0" w:line="15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(ii)the Accrued Bonus (if any);</w:t>
      </w:r>
    </w:p>
    <w:p>
      <w:pPr>
        <w:spacing w:after="0" w:line="206" w:lineRule="exact"/>
        <w:rPr>
          <w:sz w:val="20"/>
          <w:szCs w:val="20"/>
          <w:color w:val="auto"/>
        </w:rPr>
      </w:pPr>
    </w:p>
    <w:p>
      <w:pPr>
        <w:jc w:val="both"/>
        <w:ind w:left="760" w:right="740" w:firstLine="1391"/>
        <w:spacing w:after="0" w:line="244" w:lineRule="auto"/>
        <w:rPr>
          <w:sz w:val="20"/>
          <w:szCs w:val="20"/>
          <w:color w:val="auto"/>
        </w:rPr>
      </w:pPr>
      <w:r>
        <w:rPr>
          <w:rFonts w:ascii="Times New Roman" w:cs="Times New Roman" w:eastAsia="Times New Roman" w:hAnsi="Times New Roman"/>
          <w:sz w:val="22"/>
          <w:szCs w:val="22"/>
          <w:color w:val="auto"/>
        </w:rPr>
        <w:t>(iii)if you elect to continue your health insurance coverage under COBRA following your Separation, then the Company will pay your monthly premium under COBRA, which is understood to potentially be higher than said premium for active employees, for the eighteen (18) months following your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Separation; and</w:t>
      </w:r>
    </w:p>
    <w:p>
      <w:pPr>
        <w:spacing w:after="0" w:line="206" w:lineRule="exact"/>
        <w:rPr>
          <w:sz w:val="20"/>
          <w:szCs w:val="20"/>
          <w:color w:val="auto"/>
        </w:rPr>
      </w:pPr>
    </w:p>
    <w:p>
      <w:pPr>
        <w:jc w:val="both"/>
        <w:ind w:left="760" w:right="740" w:firstLine="1391"/>
        <w:spacing w:after="0" w:line="238" w:lineRule="auto"/>
        <w:rPr>
          <w:sz w:val="20"/>
          <w:szCs w:val="20"/>
          <w:color w:val="auto"/>
        </w:rPr>
      </w:pPr>
      <w:r>
        <w:rPr>
          <w:rFonts w:ascii="Times New Roman" w:cs="Times New Roman" w:eastAsia="Times New Roman" w:hAnsi="Times New Roman"/>
          <w:sz w:val="22"/>
          <w:szCs w:val="22"/>
          <w:color w:val="auto"/>
        </w:rPr>
        <w:t>(iv)one hundred percent (100%) of the unvested portion of each outstanding equity award that you hold as of the Involuntary Termination and that is subject to time-based vesting will vest and, if applicable, become exercisable. Any equity awards that are subject to unsatisfied performance conditions will not be eligible for acceleration pursuant to this clause (iv) and will be treated as described in the applicable award agreement.</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avoidance of doubt, if you are subject to an Involuntary Termination that occurs during a Change in Control Window and such Involuntary Termination occurs prior to a Change in Control, the portion of your then-outstanding and unvested equity awards that is eligible to vest and become exercisable pursuant to clause (iv) above will remain outstanding post-termination so that any additional benefits due pursuant to clause (iv) may be provided if a Change in Control occurs during the Change in Control Window, provided that in no event will any of your stock options remain outstanding beyond the option’s maximum term to expiration. If a Change in Control does not occur during the Change in Control Window, any unvested portion of your equity awards that remained outstanding following your Involuntary Termination will immediately and automatically be forfeited on the date that such awards are no longer eligible for acceleration pursuant to clause (iv) above.</w:t>
      </w:r>
    </w:p>
    <w:p>
      <w:pPr>
        <w:spacing w:after="0" w:line="174" w:lineRule="exact"/>
        <w:rPr>
          <w:sz w:val="20"/>
          <w:szCs w:val="20"/>
          <w:color w:val="auto"/>
        </w:rPr>
      </w:pPr>
    </w:p>
    <w:p>
      <w:pPr>
        <w:ind w:left="2040" w:hanging="535"/>
        <w:spacing w:after="0"/>
        <w:tabs>
          <w:tab w:leader="none" w:pos="2040" w:val="left"/>
        </w:tabs>
        <w:numPr>
          <w:ilvl w:val="1"/>
          <w:numId w:val="2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Accrued Rights. </w:t>
      </w:r>
      <w:r>
        <w:rPr>
          <w:rFonts w:ascii="Times New Roman" w:cs="Times New Roman" w:eastAsia="Times New Roman" w:hAnsi="Times New Roman"/>
          <w:sz w:val="22"/>
          <w:szCs w:val="22"/>
          <w:color w:val="auto"/>
        </w:rPr>
        <w:t>You will be entitled to receive the following upon termination of employment for any</w:t>
      </w:r>
    </w:p>
    <w:p>
      <w:pPr>
        <w:spacing w:after="0" w:line="18" w:lineRule="exact"/>
        <w:rPr>
          <w:rFonts w:ascii="Times New Roman" w:cs="Times New Roman" w:eastAsia="Times New Roman" w:hAnsi="Times New Roman"/>
          <w:sz w:val="22"/>
          <w:szCs w:val="22"/>
          <w:b w:val="1"/>
          <w:bCs w:val="1"/>
          <w:color w:val="auto"/>
        </w:rPr>
      </w:pPr>
    </w:p>
    <w:p>
      <w:pPr>
        <w:jc w:val="both"/>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reason: (i) accrued and unpaid Base Salary through the date of termination of employment; (ii) reimbursement for any unreimbursed business expenses; and (iii) such employee benefits, if any, to which the Executive may be entitled under the applicable Company plans upon termination of employment.</w:t>
      </w:r>
    </w:p>
    <w:p>
      <w:pPr>
        <w:spacing w:after="0" w:line="173"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Documents and Company Property. </w:t>
      </w:r>
      <w:r>
        <w:rPr>
          <w:rFonts w:ascii="Times New Roman" w:cs="Times New Roman" w:eastAsia="Times New Roman" w:hAnsi="Times New Roman"/>
          <w:sz w:val="22"/>
          <w:szCs w:val="22"/>
          <w:color w:val="auto"/>
        </w:rPr>
        <w:t>The Executive is prohibited from keeping in his possession in any way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correspondence, documents, other information carriers, copies thereof, and other goods made available by the Company or its affiliates to him (including, but not limited to, credit cards, mobile communication devices, keys, documents, handbooks, financial data, plans, USB sticks or other information carriers, access cards and laptop computer), except to the extent that this is necessary for the performance of his work for the Company. In any event, the Executive is obliged to immediately hand over such documents and other goods made available to him at the end of this Agreement or upon suspension of his active duties for any reason other than documents relating to his own employment and compensation.</w:t>
      </w:r>
    </w:p>
    <w:p>
      <w:pPr>
        <w:spacing w:after="0" w:line="175"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Proprietary Information and Inventions Agreement. </w:t>
      </w:r>
      <w:r>
        <w:rPr>
          <w:rFonts w:ascii="Times New Roman" w:cs="Times New Roman" w:eastAsia="Times New Roman" w:hAnsi="Times New Roman"/>
          <w:sz w:val="22"/>
          <w:szCs w:val="22"/>
          <w:color w:val="auto"/>
        </w:rPr>
        <w:t>The Executive and the Company entered into that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Proprietary Rights, Non-Disclosure, Developments, Non-Competition, and Non-Solicitation Agreement dated October 16, 2019 (the “PIIA”), a copy of which is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PIIA remains in full force and effect</w:t>
      </w:r>
      <w:r>
        <w:rPr>
          <w:rFonts w:ascii="Times New Roman" w:cs="Times New Roman" w:eastAsia="Times New Roman" w:hAnsi="Times New Roman"/>
          <w:sz w:val="22"/>
          <w:szCs w:val="22"/>
          <w:b w:val="1"/>
          <w:bCs w:val="1"/>
          <w:color w:val="auto"/>
        </w:rPr>
        <w:t>.</w:t>
      </w:r>
    </w:p>
    <w:p>
      <w:pPr>
        <w:spacing w:after="0" w:line="167" w:lineRule="exact"/>
        <w:rPr>
          <w:rFonts w:ascii="Times New Roman" w:cs="Times New Roman" w:eastAsia="Times New Roman" w:hAnsi="Times New Roman"/>
          <w:sz w:val="22"/>
          <w:szCs w:val="22"/>
          <w:color w:val="auto"/>
        </w:rPr>
      </w:pPr>
    </w:p>
    <w:p>
      <w:pPr>
        <w:jc w:val="both"/>
        <w:ind w:firstLine="757"/>
        <w:spacing w:after="0" w:line="241" w:lineRule="auto"/>
        <w:tabs>
          <w:tab w:leader="none" w:pos="1018"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Reimbursement of Expenses. </w:t>
      </w:r>
      <w:r>
        <w:rPr>
          <w:rFonts w:ascii="Times New Roman" w:cs="Times New Roman" w:eastAsia="Times New Roman" w:hAnsi="Times New Roman"/>
          <w:sz w:val="22"/>
          <w:szCs w:val="22"/>
          <w:color w:val="auto"/>
        </w:rPr>
        <w:t>The Company will reimburse business expenses reasonably incurred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your duties in accordance with the Company’s standard practice and expense scheme in place at the time (generally within 30 days after you have submitted appropriate documentation, which you must do within 30 days after incurring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expense) and, in any case, on or before the last day of the calendar year following the calendar year in which the relevant expense is incurred. The Company will reimburse reasonable costs of the professional use of your (mobile) telephone.</w:t>
      </w:r>
    </w:p>
    <w:p>
      <w:pPr>
        <w:spacing w:after="0" w:line="154" w:lineRule="exact"/>
        <w:rPr>
          <w:sz w:val="20"/>
          <w:szCs w:val="20"/>
          <w:color w:val="auto"/>
        </w:rPr>
      </w:pPr>
    </w:p>
    <w:p>
      <w:pPr>
        <w:ind w:left="1020" w:hanging="263"/>
        <w:spacing w:after="0"/>
        <w:tabs>
          <w:tab w:leader="none" w:pos="102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100" w:firstLine="1505"/>
        <w:spacing w:after="0" w:line="241" w:lineRule="auto"/>
        <w:tabs>
          <w:tab w:leader="none" w:pos="2036" w:val="left"/>
        </w:tabs>
        <w:numPr>
          <w:ilvl w:val="1"/>
          <w:numId w:val="2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Company’s Successors</w:t>
      </w:r>
      <w:r>
        <w:rPr>
          <w:rFonts w:ascii="Times New Roman" w:cs="Times New Roman" w:eastAsia="Times New Roman" w:hAnsi="Times New Roman"/>
          <w:sz w:val="22"/>
          <w:szCs w:val="22"/>
          <w:color w:val="auto"/>
        </w:rPr>
        <w:t>. This Agreement shall be binding upon any successor (whether direct or indirect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71" w:lineRule="exact"/>
        <w:rPr>
          <w:rFonts w:ascii="Times New Roman" w:cs="Times New Roman" w:eastAsia="Times New Roman" w:hAnsi="Times New Roman"/>
          <w:sz w:val="22"/>
          <w:szCs w:val="22"/>
          <w:b w:val="1"/>
          <w:bCs w:val="1"/>
          <w:color w:val="auto"/>
        </w:rPr>
      </w:pPr>
    </w:p>
    <w:p>
      <w:pPr>
        <w:jc w:val="both"/>
        <w:ind w:right="100" w:firstLine="1505"/>
        <w:spacing w:after="0" w:line="246" w:lineRule="auto"/>
        <w:tabs>
          <w:tab w:leader="none" w:pos="2036" w:val="left"/>
        </w:tabs>
        <w:numPr>
          <w:ilvl w:val="1"/>
          <w:numId w:val="2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Executive’s Successors</w:t>
      </w:r>
      <w:r>
        <w:rPr>
          <w:rFonts w:ascii="Times New Roman" w:cs="Times New Roman" w:eastAsia="Times New Roman" w:hAnsi="Times New Roman"/>
          <w:sz w:val="22"/>
          <w:szCs w:val="22"/>
          <w:color w:val="auto"/>
        </w:rPr>
        <w:t>. This Agreement and all rights of the Executive hereunder shall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and be enforceable by, the Executive’s personal or legal representatives, executors, administrators, successors, heirs, distributees, devisees and legatees.</w:t>
      </w:r>
    </w:p>
    <w:p>
      <w:pPr>
        <w:spacing w:after="0" w:line="167" w:lineRule="exact"/>
        <w:rPr>
          <w:sz w:val="20"/>
          <w:szCs w:val="20"/>
          <w:color w:val="auto"/>
        </w:rPr>
      </w:pPr>
    </w:p>
    <w:p>
      <w:pPr>
        <w:jc w:val="both"/>
        <w:ind w:right="100" w:firstLine="749"/>
        <w:spacing w:after="0" w:line="237"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 During your employment by the Company and at all times thereafter, regardless of the reason for termination, to the fullest extent permitted by its articles of incorporation and by applicable law, the Company shall indemnify you and hold you harmless against any cost, fee, expense, fine or penalty to which you may be subject as a result of serving as an employee or officer of the Company and provide for you to be covered by the insurance or other indemnity policy applicable to officers or directors of the Company (including any rights to advances or reimbursement of legal fees thereunder). The Company’s indemnification obligation shall survive any termination of your employment.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The following terms shall have the meaning set forth below wherever they are used in this Agreement:</w:t>
      </w:r>
    </w:p>
    <w:p>
      <w:pPr>
        <w:spacing w:after="0" w:line="206" w:lineRule="exact"/>
        <w:rPr>
          <w:sz w:val="20"/>
          <w:szCs w:val="20"/>
          <w:color w:val="auto"/>
        </w:rPr>
      </w:pPr>
    </w:p>
    <w:p>
      <w:pPr>
        <w:jc w:val="both"/>
        <w:ind w:right="100" w:firstLine="1505"/>
        <w:spacing w:after="0" w:line="241" w:lineRule="auto"/>
        <w:tabs>
          <w:tab w:leader="none" w:pos="2036" w:val="left"/>
        </w:tabs>
        <w:numPr>
          <w:ilvl w:val="0"/>
          <w:numId w:val="2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shall mean the Executive’s annual base salary, as it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adjusted from time to time. For purposes of Sections 5(b) and (c),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shall mean Executive’s annual base salary as in effect immediately prior to an Involuntary Termination, determined without regard to any reduction that constitutes grounds for a Resignation for Good Reason.</w:t>
      </w:r>
    </w:p>
    <w:p>
      <w:pPr>
        <w:spacing w:after="0" w:line="171"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2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210" w:lineRule="exact"/>
        <w:rPr>
          <w:rFonts w:ascii="Times New Roman" w:cs="Times New Roman" w:eastAsia="Times New Roman" w:hAnsi="Times New Roman"/>
          <w:sz w:val="22"/>
          <w:szCs w:val="22"/>
          <w:b w:val="1"/>
          <w:bCs w:val="1"/>
          <w:color w:val="auto"/>
        </w:rPr>
      </w:pPr>
    </w:p>
    <w:p>
      <w:pPr>
        <w:ind w:left="760" w:right="140" w:firstLine="1494"/>
        <w:spacing w:after="0" w:line="258" w:lineRule="auto"/>
        <w:tabs>
          <w:tab w:leader="none" w:pos="2689"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failure by you to comply with the Company’s written policies or rules after being provided written notice and 30 days’ opportunity to cure;</w:t>
      </w:r>
    </w:p>
    <w:p>
      <w:pPr>
        <w:spacing w:after="0" w:line="50" w:lineRule="exact"/>
        <w:rPr>
          <w:rFonts w:ascii="Times New Roman" w:cs="Times New Roman" w:eastAsia="Times New Roman" w:hAnsi="Times New Roman"/>
          <w:sz w:val="22"/>
          <w:szCs w:val="22"/>
          <w:color w:val="auto"/>
        </w:rPr>
      </w:pPr>
    </w:p>
    <w:p>
      <w:pPr>
        <w:ind w:left="760" w:right="140" w:firstLine="1494"/>
        <w:spacing w:after="0" w:line="258" w:lineRule="auto"/>
        <w:tabs>
          <w:tab w:leader="none" w:pos="2689"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conviction of, or plea of “guilty” or “no contest” to, a crime involving moral turpitude, deceit, dishonesty or fraud that has caused harm to the Company or any affiliate of the Company;</w:t>
      </w:r>
    </w:p>
    <w:p>
      <w:pPr>
        <w:spacing w:after="0" w:line="50" w:lineRule="exact"/>
        <w:rPr>
          <w:sz w:val="20"/>
          <w:szCs w:val="20"/>
          <w:color w:val="auto"/>
        </w:rPr>
      </w:pPr>
    </w:p>
    <w:p>
      <w:pPr>
        <w:ind w:left="760" w:firstLine="1576"/>
        <w:spacing w:after="0" w:line="244" w:lineRule="auto"/>
        <w:tabs>
          <w:tab w:leader="none" w:pos="3121"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willful and continued failure to substantially perform (other than by reason of Disabili your duties and responsibilities assigned or delegated after receiving written notification of such failure from the Company and 30 days’ opportunity to cure;</w:t>
      </w:r>
    </w:p>
    <w:p>
      <w:pPr>
        <w:spacing w:after="0" w:line="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90" w:name="page291"/>
    <w:bookmarkEnd w:id="290"/>
    <w:p>
      <w:pPr>
        <w:spacing w:after="0" w:line="185" w:lineRule="exact"/>
        <w:rPr>
          <w:sz w:val="20"/>
          <w:szCs w:val="20"/>
          <w:color w:val="auto"/>
        </w:rPr>
      </w:pPr>
    </w:p>
    <w:p>
      <w:pPr>
        <w:jc w:val="both"/>
        <w:ind w:left="760" w:firstLine="1494"/>
        <w:spacing w:after="0" w:line="244" w:lineRule="auto"/>
        <w:tabs>
          <w:tab w:leader="none" w:pos="2689"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intentional act of dishonesty, deceit, fraud, moral turpitude, misconduct, breach of trust or acts intentionally against the financial or business interests of the Company by you, or your use or possession of illegal drugs in the workplace;</w:t>
      </w:r>
    </w:p>
    <w:p>
      <w:pPr>
        <w:spacing w:after="0" w:line="65" w:lineRule="exact"/>
        <w:rPr>
          <w:rFonts w:ascii="Times New Roman" w:cs="Times New Roman" w:eastAsia="Times New Roman" w:hAnsi="Times New Roman"/>
          <w:sz w:val="22"/>
          <w:szCs w:val="22"/>
          <w:color w:val="auto"/>
        </w:rPr>
      </w:pPr>
    </w:p>
    <w:p>
      <w:pPr>
        <w:ind w:left="760" w:right="20" w:firstLine="1494"/>
        <w:spacing w:after="0" w:line="258" w:lineRule="auto"/>
        <w:tabs>
          <w:tab w:leader="none" w:pos="2689"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breach by you of any of your obligations under any agreement between you and the Company after being provided written notice and 30 days’ opportunity to cure; or</w:t>
      </w:r>
    </w:p>
    <w:p>
      <w:pPr>
        <w:spacing w:after="0" w:line="50" w:lineRule="exact"/>
        <w:rPr>
          <w:rFonts w:ascii="Times New Roman" w:cs="Times New Roman" w:eastAsia="Times New Roman" w:hAnsi="Times New Roman"/>
          <w:sz w:val="22"/>
          <w:szCs w:val="22"/>
          <w:color w:val="auto"/>
        </w:rPr>
      </w:pPr>
    </w:p>
    <w:p>
      <w:pPr>
        <w:ind w:left="760" w:right="60" w:firstLine="1494"/>
        <w:spacing w:after="0" w:line="258" w:lineRule="auto"/>
        <w:tabs>
          <w:tab w:leader="none" w:pos="2689"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failure to cooperate in good faith with a governmental or internal investigation of the Company or its directors, officers or employees, if the Company has requested your cooperation</w:t>
      </w:r>
      <w:r>
        <w:rPr>
          <w:rFonts w:ascii="Times New Roman" w:cs="Times New Roman" w:eastAsia="Times New Roman" w:hAnsi="Times New Roman"/>
          <w:sz w:val="22"/>
          <w:szCs w:val="22"/>
          <w:b w:val="1"/>
          <w:bCs w:val="1"/>
          <w:color w:val="auto"/>
        </w:rPr>
        <w:t>.</w:t>
      </w:r>
    </w:p>
    <w:p>
      <w:pPr>
        <w:spacing w:after="0" w:line="5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For purposes of this definition of Cause, no act, or failure to act, will be deemed “willful” or “intentional” if done or omitted to be done by the Executive in good faith with a reasonable belief that Executive’s act, or failure to act, was in the best interest of the Company.</w:t>
      </w:r>
    </w:p>
    <w:p>
      <w:pPr>
        <w:spacing w:after="0" w:line="61" w:lineRule="exact"/>
        <w:rPr>
          <w:sz w:val="20"/>
          <w:szCs w:val="20"/>
          <w:color w:val="auto"/>
        </w:rPr>
      </w:pPr>
    </w:p>
    <w:p>
      <w:pPr>
        <w:jc w:val="both"/>
        <w:ind w:firstLine="1505"/>
        <w:spacing w:after="0" w:line="233" w:lineRule="auto"/>
        <w:tabs>
          <w:tab w:leader="none" w:pos="2036" w:val="left"/>
        </w:tabs>
        <w:numPr>
          <w:ilvl w:val="0"/>
          <w:numId w:val="2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shall mean (i) any “person” (as such term is used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 (iii) the sale, transfer or other disposition of all or substantially all of the Company’s assets. In the case of any severance payment or benefit that is subject to Section 409A of the Code, a Change in Control must also constitute a “change in control event,” as defined in Treasury Regulation Section 1.409A-3(i)(5), but only to the extent necessary to avoid the imposition of penalty taxes pursuant to Code Section 409A.</w:t>
      </w:r>
    </w:p>
    <w:p>
      <w:pPr>
        <w:spacing w:after="0" w:line="184"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2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 Window</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Change in Control Window</w:t>
      </w:r>
      <w:r>
        <w:rPr>
          <w:rFonts w:ascii="Times New Roman" w:cs="Times New Roman" w:eastAsia="Times New Roman" w:hAnsi="Times New Roman"/>
          <w:sz w:val="22"/>
          <w:szCs w:val="22"/>
          <w:color w:val="auto"/>
        </w:rPr>
        <w:t>” shall mean the period beginning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three (3) months prior to a Change in Control (if any) and ending twelve months after such Change in Control. In addition, the “</w:t>
      </w:r>
      <w:r>
        <w:rPr>
          <w:rFonts w:ascii="Times New Roman" w:cs="Times New Roman" w:eastAsia="Times New Roman" w:hAnsi="Times New Roman"/>
          <w:sz w:val="22"/>
          <w:szCs w:val="22"/>
          <w:b w:val="1"/>
          <w:bCs w:val="1"/>
          <w:color w:val="auto"/>
        </w:rPr>
        <w:t>Change in Control Window</w:t>
      </w:r>
      <w:r>
        <w:rPr>
          <w:rFonts w:ascii="Times New Roman" w:cs="Times New Roman" w:eastAsia="Times New Roman" w:hAnsi="Times New Roman"/>
          <w:sz w:val="22"/>
          <w:szCs w:val="22"/>
          <w:color w:val="auto"/>
        </w:rPr>
        <w:t>” shall also include such longer period (if any) beginning on the date that a definitive agreement for a Change in Control is executed, but only if such Change in Control is consummated.</w:t>
      </w:r>
    </w:p>
    <w:p>
      <w:pPr>
        <w:spacing w:after="0" w:line="171"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2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2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that the Executive is unable to engage in any substantial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gainful activity as required to perform his material duties (with reasonable accommodation) by reason of any medically determinable physical or mental impairment which can be expected to result in death or to last for a continuous period of not less than twelve months.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81" w:lineRule="exact"/>
        <w:rPr>
          <w:sz w:val="20"/>
          <w:szCs w:val="20"/>
          <w:color w:val="auto"/>
        </w:rPr>
      </w:pPr>
    </w:p>
    <w:p>
      <w:pPr>
        <w:jc w:val="both"/>
        <w:ind w:firstLine="1505"/>
        <w:spacing w:after="0" w:line="246" w:lineRule="auto"/>
        <w:tabs>
          <w:tab w:leader="none" w:pos="2036" w:val="left"/>
        </w:tabs>
        <w:numPr>
          <w:ilvl w:val="0"/>
          <w:numId w:val="2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shall mean either the Executive’s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Without Cause or (ii) Resignation for Good Reason. For avoidance of doubt, Executive’s Separation due to Executive’s death or Disability shall not constitute an Involuntary Termination.</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2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Resignation for Good Reason</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Resignation for Good Reason</w:t>
      </w:r>
      <w:r>
        <w:rPr>
          <w:rFonts w:ascii="Times New Roman" w:cs="Times New Roman" w:eastAsia="Times New Roman" w:hAnsi="Times New Roman"/>
          <w:sz w:val="22"/>
          <w:szCs w:val="22"/>
          <w:color w:val="auto"/>
        </w:rPr>
        <w:t>” means a Separation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of the Executive’s resignation within 12 months after one of the following conditions has come into existence without the Executive’s written consent:</w:t>
      </w:r>
    </w:p>
    <w:p>
      <w:pPr>
        <w:spacing w:after="0" w:line="171" w:lineRule="exact"/>
        <w:rPr>
          <w:rFonts w:ascii="Times New Roman" w:cs="Times New Roman" w:eastAsia="Times New Roman" w:hAnsi="Times New Roman"/>
          <w:sz w:val="22"/>
          <w:szCs w:val="22"/>
          <w:b w:val="1"/>
          <w:bCs w:val="1"/>
          <w:color w:val="auto"/>
        </w:rPr>
      </w:pPr>
    </w:p>
    <w:p>
      <w:pPr>
        <w:jc w:val="both"/>
        <w:ind w:left="760" w:firstLine="1494"/>
        <w:spacing w:after="0" w:line="239" w:lineRule="auto"/>
        <w:tabs>
          <w:tab w:leader="none" w:pos="2557"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compensation (consisting of base salary, target bonus opportunity and target annual equity value and excluding any special, one-time, new hire, promotion or other exceptional equity awards), except for across-the-board reductions, outside of Change in Control Window, affecting the Company’s similarly situated employees generally;</w:t>
      </w:r>
    </w:p>
    <w:p>
      <w:pPr>
        <w:spacing w:after="0" w:line="180"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title, duties, authority and responsibilities within the Company;</w:t>
      </w:r>
    </w:p>
    <w:p>
      <w:pPr>
        <w:spacing w:after="0" w:line="206" w:lineRule="exact"/>
        <w:rPr>
          <w:sz w:val="20"/>
          <w:szCs w:val="20"/>
          <w:color w:val="auto"/>
        </w:rPr>
      </w:pPr>
    </w:p>
    <w:p>
      <w:pPr>
        <w:ind w:left="760" w:firstLine="1497"/>
        <w:spacing w:after="0" w:line="258" w:lineRule="auto"/>
        <w:rPr>
          <w:sz w:val="20"/>
          <w:szCs w:val="20"/>
          <w:color w:val="auto"/>
        </w:rPr>
      </w:pPr>
      <w:r>
        <w:rPr>
          <w:rFonts w:ascii="Times New Roman" w:cs="Times New Roman" w:eastAsia="Times New Roman" w:hAnsi="Times New Roman"/>
          <w:sz w:val="22"/>
          <w:szCs w:val="22"/>
          <w:color w:val="auto"/>
        </w:rPr>
        <w:t>(iii)relocation of your principal workplace by more than fifty (50) miles away from the location which you were working immediately prior to the required relocation without your prior consent; or</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(iv)a material breach of the Company’s obligation under any agreement between the Company and you.</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Resignation for Good Reason shall not be deemed to have occurred unless the Executive gives the Company written notice of the condition within 60 days after the condition comes into existence and the Company fails to remedy the condition within 30 days after receiving the Executive’s written notice.</w:t>
      </w:r>
    </w:p>
    <w:p>
      <w:pPr>
        <w:spacing w:after="0" w:line="169" w:lineRule="exact"/>
        <w:rPr>
          <w:sz w:val="20"/>
          <w:szCs w:val="20"/>
          <w:color w:val="auto"/>
        </w:rPr>
      </w:pPr>
    </w:p>
    <w:p>
      <w:pPr>
        <w:ind w:right="20" w:firstLine="1505"/>
        <w:spacing w:after="0" w:line="262" w:lineRule="auto"/>
        <w:tabs>
          <w:tab w:leader="none" w:pos="2036" w:val="left"/>
        </w:tabs>
        <w:numPr>
          <w:ilvl w:val="0"/>
          <w:numId w:val="2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The term “Separation” shall mean a “separation from service,” as defined in the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409A of the Code.</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2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The term “Target Bonus” shall mean Executive’s annual target bonus opportunity,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adjusted from time to time. For purposes of Sections 5(b) and (c), “Target Bonus” shall mean Executive’s annual target bonus opportunity as in effect immediately prior to an Involuntary Termination, determined without regard to any reduction that constitutes grounds for a Resignation for Good Reason.</w:t>
      </w:r>
    </w:p>
    <w:p>
      <w:pPr>
        <w:spacing w:after="0" w:line="171" w:lineRule="exact"/>
        <w:rPr>
          <w:rFonts w:ascii="Times New Roman" w:cs="Times New Roman" w:eastAsia="Times New Roman" w:hAnsi="Times New Roman"/>
          <w:sz w:val="22"/>
          <w:szCs w:val="22"/>
          <w:b w:val="1"/>
          <w:bCs w:val="1"/>
          <w:color w:val="auto"/>
        </w:rPr>
      </w:pPr>
    </w:p>
    <w:p>
      <w:pPr>
        <w:ind w:right="20" w:firstLine="1505"/>
        <w:spacing w:after="0" w:line="262" w:lineRule="auto"/>
        <w:tabs>
          <w:tab w:leader="none" w:pos="203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Without Cause</w:t>
      </w:r>
      <w:r>
        <w:rPr>
          <w:rFonts w:ascii="Times New Roman" w:cs="Times New Roman" w:eastAsia="Times New Roman" w:hAnsi="Times New Roman"/>
          <w:sz w:val="22"/>
          <w:szCs w:val="22"/>
          <w:color w:val="auto"/>
        </w:rPr>
        <w:t>” The term “Termination without Cause” means a Separation as a result of a termination of the Executive’s employment by the Company without Cause and other than as a result of Disability.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5"/>
        <w:spacing w:after="0" w:line="262" w:lineRule="auto"/>
        <w:tabs>
          <w:tab w:leader="none" w:pos="2036" w:val="left"/>
        </w:tabs>
        <w:numPr>
          <w:ilvl w:val="0"/>
          <w:numId w:val="2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Notices and all other communications contemplated by this Agreement shall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have been duly given when personally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delivered, when delivered via email to a Company domain email address or, following the Separation, to the Executive’s personal email address on file with Human Resources, when delivered by FedEx with delivery charges prepaid, or when mailed by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77" w:lineRule="exact"/>
        <w:rPr>
          <w:sz w:val="20"/>
          <w:szCs w:val="20"/>
          <w:color w:val="auto"/>
        </w:rPr>
      </w:pPr>
    </w:p>
    <w:p>
      <w:pPr>
        <w:jc w:val="both"/>
        <w:ind w:firstLine="1505"/>
        <w:spacing w:after="0" w:line="238" w:lineRule="auto"/>
        <w:tabs>
          <w:tab w:leader="none" w:pos="2036" w:val="left"/>
        </w:tabs>
        <w:numPr>
          <w:ilvl w:val="0"/>
          <w:numId w:val="2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Modifications and Waivers</w:t>
      </w:r>
      <w:r>
        <w:rPr>
          <w:rFonts w:ascii="Times New Roman" w:cs="Times New Roman" w:eastAsia="Times New Roman" w:hAnsi="Times New Roman"/>
          <w:sz w:val="22"/>
          <w:szCs w:val="22"/>
          <w:color w:val="auto"/>
        </w:rPr>
        <w:t>. No provision of this Agreement shall be modified, waived or discharged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2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Whole Agreement</w:t>
      </w:r>
      <w:r>
        <w:rPr>
          <w:rFonts w:ascii="Times New Roman" w:cs="Times New Roman" w:eastAsia="Times New Roman" w:hAnsi="Times New Roman"/>
          <w:sz w:val="22"/>
          <w:szCs w:val="22"/>
          <w:color w:val="auto"/>
        </w:rPr>
        <w:t>. This Agreement supersedes and replaces any prior agreements, including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limitation, the Prior Agreement, representations or understandings (whether written, oral, implied or otherwise) between the Executive and the Company and constitute the complete agreement between the Executive and the Company regarding the subject matter set forth herein.</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2036" w:val="left"/>
        </w:tabs>
        <w:numPr>
          <w:ilvl w:val="0"/>
          <w:numId w:val="2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Matters</w:t>
      </w:r>
      <w:r>
        <w:rPr>
          <w:rFonts w:ascii="Times New Roman" w:cs="Times New Roman" w:eastAsia="Times New Roman" w:hAnsi="Times New Roman"/>
          <w:sz w:val="22"/>
          <w:szCs w:val="22"/>
          <w:color w:val="auto"/>
        </w:rPr>
        <w:t>. All payments made under this Agreement shall be subject to reduction to reflect taxes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charges required to be withheld by law. The Company intends that all payments and benefits provided under this Agreement or otherwise are exempt from, or comply with, with the requirements of Code Section 409A so that none of the payments or benefits will be subject to the additional tax imposed under Code Section 409A, and any ambiguities herein will be interpreted in accordance with such intent. For purposes of Code Section 409A, each payment, installment or benefit payable under this Agreement is hereby designated as a separate payment. In addition, if the Company determines that you are a “specified employee” under Code Section 409A(a)(2)(B)(i) at the time of your Separation, then (i) any severance payments or benefits, to the extent that they are subject to Code Section 409A, will not be paid or otherwise provided until the first business day following (A) expiration of the six-month period measured from your Separation or (B) the date of your death and (ii) any installments that otherwise would have been paid or provided prior to such date will be paid or provided in a lump sum when the severance payments or benefits commence. The Company shall not have a duty to design its compensation policies in a manner that minimizes your tax liabilities, and you agree not to make any claim against the Company or the Board related to tax liabilities arising from your compensation.</w:t>
      </w:r>
    </w:p>
    <w:p>
      <w:pPr>
        <w:spacing w:after="0" w:line="182" w:lineRule="exact"/>
        <w:rPr>
          <w:rFonts w:ascii="Times New Roman" w:cs="Times New Roman" w:eastAsia="Times New Roman" w:hAnsi="Times New Roman"/>
          <w:sz w:val="22"/>
          <w:szCs w:val="22"/>
          <w:b w:val="1"/>
          <w:bCs w:val="1"/>
          <w:color w:val="auto"/>
        </w:rPr>
      </w:pPr>
    </w:p>
    <w:p>
      <w:pPr>
        <w:jc w:val="both"/>
        <w:ind w:firstLine="1505"/>
        <w:spacing w:after="0" w:line="237" w:lineRule="auto"/>
        <w:tabs>
          <w:tab w:leader="none" w:pos="2036" w:val="left"/>
        </w:tabs>
        <w:numPr>
          <w:ilvl w:val="0"/>
          <w:numId w:val="2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280G. Parachute Payments. </w:t>
      </w:r>
      <w:r>
        <w:rPr>
          <w:rFonts w:ascii="Times New Roman" w:cs="Times New Roman" w:eastAsia="Times New Roman" w:hAnsi="Times New Roman"/>
          <w:sz w:val="22"/>
          <w:szCs w:val="22"/>
          <w:color w:val="auto"/>
        </w:rPr>
        <w:t>If any payment or benefit that you would receive in connection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in Control from the Company or otherwise (“Payment”) would (i) constitute a “parachute payment” within the meaning of Section 280G of the Code, and (ii) but for this sentence, be subject to the excise tax imposed by Section 4999 of the Code (the “Excise Tax”), then such Payment shall be equal to the Reduced Amount. The “Reduced Amount” shall be either (x) the largest portion of the Payment that would result in no portion of the Payment being subject to the Excise Tax, or (y) the largest portion, up to and including the total, of the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Payment, whichever amount, after taking into account all applicable federal, state and local employment taxes, income taxes, and the Excise Tax (all computed at the highest applicable marginal rate), results in your receipt of the greatest economic benefit notwithstanding that all or some portion of the Payment may be subject to the Excise Tax. If a reduction in payments or benefits constituting “parachute payments” is necessary so that the Payment equals the Reduced Amount, any reduction shall be applied first,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amounts that constitute deferred compensation within the meaning of Section 409A of the Code, and, in the event that the reductions pursuant to this Section 12(e) exceed payments that are subject to Section 409A of the Code, the remaining reductions shall be applied,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any other remaining payments, first with respect to amounts payable in cash before being made in respect to any payments to be provided in the form of benefits or equity award acceleration, and in the form of benefits before being made with respect to equity award acceleration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Company’s determinations hereunder shall be final, binding and conclusive on all interested parties.</w:t>
      </w:r>
    </w:p>
    <w:p>
      <w:pPr>
        <w:spacing w:after="0" w:line="175" w:lineRule="exact"/>
        <w:rPr>
          <w:sz w:val="20"/>
          <w:szCs w:val="20"/>
          <w:color w:val="auto"/>
        </w:rPr>
      </w:pPr>
    </w:p>
    <w:p>
      <w:pPr>
        <w:jc w:val="both"/>
        <w:ind w:firstLine="1505"/>
        <w:spacing w:after="0" w:line="233" w:lineRule="auto"/>
        <w:tabs>
          <w:tab w:leader="none" w:pos="2036" w:val="left"/>
        </w:tabs>
        <w:numPr>
          <w:ilvl w:val="0"/>
          <w:numId w:val="2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Arbitration. </w:t>
      </w:r>
      <w:r>
        <w:rPr>
          <w:rFonts w:ascii="Times New Roman" w:cs="Times New Roman" w:eastAsia="Times New Roman" w:hAnsi="Times New Roman"/>
          <w:sz w:val="22"/>
          <w:szCs w:val="22"/>
          <w:color w:val="auto"/>
        </w:rPr>
        <w:t>Any controversy or claim arising out of this Agreement and any and all claims relating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employment with the Company will be settled by final and binding arbitration. The arbitration will take place in the Commonwealth of Massachusetts. The arbitration will be administered by the American Arbitration Association under its National Rules for the Resolution of Employment Disputes. Any award or finding will be confidential. You and the Company agree to provide one another with reasonable access to documents and witnesses in connection with the resolution of the dispute. You and the Company will share the costs of arbitration equally up to, for you, the filing fee to bring a civil action in the state courts of Massachusetts. Each party will be responsible for its own attorneys’ fees, and the arbitrator may not award attorneys’ fees unless a statute or contract at issue specifically authorizes such an award. This Section 12(f) does not apply to claims for workers’ compensation benefits or unemployment insurance benefits. This Section 12(f) also does not apply to claims concerning the ownership, validity, infringement, misappropriation, disclosure, misuse or enforceability of any confidential information, patent right, copyright, mask work, trademark or any other trade secret or intellectual property held or sought by either you or the Company (whether or not arising under the Proprietary Information and Inventions Agreement between you and the Company).</w:t>
      </w:r>
    </w:p>
    <w:p>
      <w:pPr>
        <w:spacing w:after="0" w:line="182"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0"/>
          <w:numId w:val="2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Law and Severability</w:t>
      </w:r>
      <w:r>
        <w:rPr>
          <w:rFonts w:ascii="Times New Roman" w:cs="Times New Roman" w:eastAsia="Times New Roman" w:hAnsi="Times New Roman"/>
          <w:sz w:val="22"/>
          <w:szCs w:val="22"/>
          <w:color w:val="auto"/>
        </w:rPr>
        <w:t>. This Agreement shall be interpreted in accordance with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Commonwealth of Massachusetts (except its provisions governing the choice of law). If any provision of this Agreement becomes or is deemed invalid, illegal or unenforceable in any applicable jurisdiction by reason of the scope, extent or duration of its coverage or any other reason,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81" w:lineRule="exact"/>
        <w:rPr>
          <w:sz w:val="20"/>
          <w:szCs w:val="20"/>
          <w:color w:val="auto"/>
        </w:rPr>
      </w:pPr>
    </w:p>
    <w:p>
      <w:pPr>
        <w:jc w:val="both"/>
        <w:ind w:firstLine="1505"/>
        <w:spacing w:after="0" w:line="241" w:lineRule="auto"/>
        <w:tabs>
          <w:tab w:leader="none" w:pos="2036" w:val="left"/>
        </w:tabs>
        <w:numPr>
          <w:ilvl w:val="0"/>
          <w:numId w:val="2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Assignment</w:t>
      </w:r>
      <w:r>
        <w:rPr>
          <w:rFonts w:ascii="Times New Roman" w:cs="Times New Roman" w:eastAsia="Times New Roman" w:hAnsi="Times New Roman"/>
          <w:sz w:val="22"/>
          <w:szCs w:val="22"/>
          <w:color w:val="auto"/>
        </w:rPr>
        <w:t>. This Agreement and all rights and obligations of the Executive hereunder are personal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171" w:lineRule="exact"/>
        <w:rPr>
          <w:rFonts w:ascii="Times New Roman" w:cs="Times New Roman" w:eastAsia="Times New Roman" w:hAnsi="Times New Roman"/>
          <w:sz w:val="22"/>
          <w:szCs w:val="22"/>
          <w:b w:val="1"/>
          <w:bCs w:val="1"/>
          <w:color w:val="auto"/>
        </w:rPr>
      </w:pPr>
    </w:p>
    <w:p>
      <w:pPr>
        <w:ind w:right="20" w:firstLine="1505"/>
        <w:spacing w:after="0" w:line="262" w:lineRule="auto"/>
        <w:tabs>
          <w:tab w:leader="none" w:pos="2036" w:val="left"/>
        </w:tabs>
        <w:numPr>
          <w:ilvl w:val="0"/>
          <w:numId w:val="2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two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on following page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81"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has executed this Agreement, in the case of the Company by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officer, as of the day and year first above written.</w:t>
      </w:r>
    </w:p>
    <w:p>
      <w:pPr>
        <w:spacing w:after="0" w:line="200" w:lineRule="exact"/>
        <w:rPr>
          <w:sz w:val="20"/>
          <w:szCs w:val="20"/>
          <w:color w:val="auto"/>
        </w:rPr>
      </w:pPr>
    </w:p>
    <w:p>
      <w:pPr>
        <w:spacing w:after="0" w:line="27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flywire corporation</w:t>
      </w:r>
    </w:p>
    <w:p>
      <w:pPr>
        <w:spacing w:after="0" w:line="200" w:lineRule="exact"/>
        <w:rPr>
          <w:sz w:val="20"/>
          <w:szCs w:val="20"/>
          <w:color w:val="auto"/>
        </w:rPr>
      </w:pPr>
    </w:p>
    <w:p>
      <w:pPr>
        <w:spacing w:after="0" w:line="3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Michael Massaro</w:t>
      </w:r>
    </w:p>
    <w:p>
      <w:pPr>
        <w:spacing w:after="0" w:line="200" w:lineRule="exact"/>
        <w:rPr>
          <w:sz w:val="20"/>
          <w:szCs w:val="20"/>
          <w:color w:val="auto"/>
        </w:rPr>
      </w:pPr>
    </w:p>
    <w:p>
      <w:pPr>
        <w:spacing w:after="0" w:line="24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3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Date: August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E</w:t>
      </w:r>
      <w:r>
        <w:rPr>
          <w:rFonts w:ascii="Times New Roman" w:cs="Times New Roman" w:eastAsia="Times New Roman" w:hAnsi="Times New Roman"/>
          <w:sz w:val="17"/>
          <w:szCs w:val="17"/>
          <w:b w:val="1"/>
          <w:bCs w:val="1"/>
          <w:color w:val="auto"/>
        </w:rPr>
        <w:t>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u w:val="single" w:color="auto"/>
          <w:color w:val="auto"/>
        </w:rPr>
        <w:t>/s/ Rob Orgel</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Rob Orgel</w:t>
      </w:r>
    </w:p>
    <w:p>
      <w:pPr>
        <w:spacing w:after="0" w:line="200" w:lineRule="exact"/>
        <w:rPr>
          <w:sz w:val="20"/>
          <w:szCs w:val="20"/>
          <w:color w:val="auto"/>
        </w:rPr>
      </w:pPr>
    </w:p>
    <w:p>
      <w:pPr>
        <w:spacing w:after="0" w:line="30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Date: August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PIIA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6" w:name="page297"/>
    <w:bookmarkEnd w:id="296"/>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w:t>
      </w:r>
      <w:r>
        <w:rPr>
          <w:rFonts w:ascii="Times New Roman" w:cs="Times New Roman" w:eastAsia="Times New Roman" w:hAnsi="Times New Roman"/>
          <w:sz w:val="22"/>
          <w:szCs w:val="22"/>
          <w:b w:val="1"/>
          <w:bCs w:val="1"/>
          <w:color w:val="auto"/>
        </w:rPr>
        <w:t>mployment</w:t>
      </w:r>
      <w:r>
        <w:rPr>
          <w:rFonts w:ascii="Times New Roman" w:cs="Times New Roman" w:eastAsia="Times New Roman" w:hAnsi="Times New Roman"/>
          <w:sz w:val="32"/>
          <w:szCs w:val="32"/>
          <w:b w:val="1"/>
          <w:bCs w:val="1"/>
          <w:color w:val="auto"/>
        </w:rPr>
        <w:t xml:space="preserve"> A</w:t>
      </w:r>
      <w:r>
        <w:rPr>
          <w:rFonts w:ascii="Times New Roman" w:cs="Times New Roman" w:eastAsia="Times New Roman" w:hAnsi="Times New Roman"/>
          <w:sz w:val="22"/>
          <w:szCs w:val="22"/>
          <w:b w:val="1"/>
          <w:bCs w:val="1"/>
          <w:color w:val="auto"/>
        </w:rPr>
        <w:t>greement</w:t>
      </w:r>
    </w:p>
    <w:p>
      <w:pPr>
        <w:spacing w:after="0" w:line="200" w:lineRule="exact"/>
        <w:rPr>
          <w:sz w:val="20"/>
          <w:szCs w:val="20"/>
          <w:color w:val="auto"/>
        </w:rPr>
      </w:pPr>
    </w:p>
    <w:p>
      <w:pPr>
        <w:spacing w:after="0" w:line="352"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23"/>
          <w:szCs w:val="23"/>
          <w:color w:val="auto"/>
        </w:rPr>
        <w:t>T</w:t>
      </w:r>
      <w:r>
        <w:rPr>
          <w:rFonts w:ascii="Times New Roman" w:cs="Times New Roman" w:eastAsia="Times New Roman" w:hAnsi="Times New Roman"/>
          <w:sz w:val="16"/>
          <w:szCs w:val="16"/>
          <w:color w:val="auto"/>
        </w:rPr>
        <w:t>his</w:t>
      </w:r>
      <w:r>
        <w:rPr>
          <w:rFonts w:ascii="Times New Roman" w:cs="Times New Roman" w:eastAsia="Times New Roman" w:hAnsi="Times New Roman"/>
          <w:sz w:val="23"/>
          <w:szCs w:val="23"/>
          <w:color w:val="auto"/>
        </w:rPr>
        <w:t xml:space="preserve"> A</w:t>
      </w:r>
      <w:r>
        <w:rPr>
          <w:rFonts w:ascii="Times New Roman" w:cs="Times New Roman" w:eastAsia="Times New Roman" w:hAnsi="Times New Roman"/>
          <w:sz w:val="16"/>
          <w:szCs w:val="16"/>
          <w:color w:val="auto"/>
        </w:rPr>
        <w:t>greement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(the “Agreement”) is entered into as of August 1, 2025 by and between Cosmin Pitigoi (the</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 xml:space="preserve">“Executive” or “you”) and </w:t>
      </w:r>
      <w:r>
        <w:rPr>
          <w:rFonts w:ascii="Times New Roman" w:cs="Times New Roman" w:eastAsia="Times New Roman" w:hAnsi="Times New Roman"/>
          <w:sz w:val="23"/>
          <w:szCs w:val="23"/>
          <w:b w:val="1"/>
          <w:bCs w:val="1"/>
          <w:color w:val="auto"/>
        </w:rPr>
        <w:t>F</w:t>
      </w:r>
      <w:r>
        <w:rPr>
          <w:rFonts w:ascii="Times New Roman" w:cs="Times New Roman" w:eastAsia="Times New Roman" w:hAnsi="Times New Roman"/>
          <w:sz w:val="16"/>
          <w:szCs w:val="16"/>
          <w:b w:val="1"/>
          <w:bCs w:val="1"/>
          <w:color w:val="auto"/>
        </w:rPr>
        <w:t>lywire corporation</w:t>
      </w:r>
      <w:r>
        <w:rPr>
          <w:rFonts w:ascii="Times New Roman" w:cs="Times New Roman" w:eastAsia="Times New Roman" w:hAnsi="Times New Roman"/>
          <w:sz w:val="21"/>
          <w:szCs w:val="21"/>
          <w:color w:val="auto"/>
        </w:rPr>
        <w:t>, a Delaware corporation (the “Company”), and replaces and supersedes the employment agreement between the Executive and Company, dated February 8, 2024 (the “Prior Agreement”).</w:t>
      </w:r>
    </w:p>
    <w:p>
      <w:pPr>
        <w:spacing w:after="0" w:line="146" w:lineRule="exact"/>
        <w:rPr>
          <w:sz w:val="20"/>
          <w:szCs w:val="20"/>
          <w:color w:val="auto"/>
        </w:rPr>
      </w:pPr>
    </w:p>
    <w:p>
      <w:pPr>
        <w:ind w:left="1020" w:hanging="263"/>
        <w:spacing w:after="0"/>
        <w:tabs>
          <w:tab w:leader="none" w:pos="1020"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Duties and Scope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For the term of his employment under this Agreement (the “Employment”),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to employ the Executive in the position of Chief Financial Officer. The Executive shall report to the Chief Executive Officer.</w:t>
      </w:r>
    </w:p>
    <w:p>
      <w:pPr>
        <w:spacing w:after="0" w:line="167"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Obligations to the Company</w:t>
      </w:r>
      <w:r>
        <w:rPr>
          <w:rFonts w:ascii="Times New Roman" w:cs="Times New Roman" w:eastAsia="Times New Roman" w:hAnsi="Times New Roman"/>
          <w:sz w:val="22"/>
          <w:szCs w:val="22"/>
          <w:color w:val="auto"/>
        </w:rPr>
        <w:t>. During his Employment, the Executive (i) shall devote his full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efforts and time to the Company, (ii) shall not engage in any other employment, consulting or other business activity that would create a conflict of interest with the Company, (iii) shall not assist any person or entity in competing with the Company or in preparing to compete with the Company and (iv) shall materially comply with the Company’s policies and rules, as they may be in effect from time to time.</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Conflicting Obligations</w:t>
      </w:r>
      <w:r>
        <w:rPr>
          <w:rFonts w:ascii="Times New Roman" w:cs="Times New Roman" w:eastAsia="Times New Roman" w:hAnsi="Times New Roman"/>
          <w:sz w:val="22"/>
          <w:szCs w:val="22"/>
          <w:color w:val="auto"/>
        </w:rPr>
        <w:t>. The Executive represents and warrants to the Company that he is under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or commitments, whether contractual or otherwise, that are inconsistent with his obligations under this Agreement.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will not infringe or violate the rights of any other person.</w:t>
      </w:r>
    </w:p>
    <w:p>
      <w:pPr>
        <w:spacing w:after="0" w:line="17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Certain capitalized terms are defined in Section 11.</w:t>
      </w:r>
    </w:p>
    <w:p>
      <w:pPr>
        <w:spacing w:after="0" w:line="20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and Incentive Compensation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The Company shall pay the Executive as compensation for his services a base salary at a gross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rate of $410,000. Such salary shall be payable in accordance with the Company’s standard payroll procedures and shall be subject to adjustment pursuant to the Company’s executive compensation policies in effect from time to time.</w:t>
      </w:r>
    </w:p>
    <w:p>
      <w:pPr>
        <w:spacing w:after="0" w:line="167"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6"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Bonus</w:t>
      </w:r>
      <w:r>
        <w:rPr>
          <w:rFonts w:ascii="Times New Roman" w:cs="Times New Roman" w:eastAsia="Times New Roman" w:hAnsi="Times New Roman"/>
          <w:sz w:val="22"/>
          <w:szCs w:val="22"/>
          <w:color w:val="auto"/>
        </w:rPr>
        <w:t>. You will be eligible for an annual discretionary performance bonus subject to achievement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targets as approved by the Company’s Board of Directors (the “Board”) or its Compensation Committee (the “Committee”). This discretionary target bonus will be $300,000 and any such bonus will be paid in accordance with the Company’s bonus program then in effect. Performance bonus goals and attainment of such goals will be evaluated and approved by the Committee and paid on an annual basis, with such payment, to the extent earned, to be made within 2 ½ months following the close of the applicable fiscal year, but only if you are still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employed by the Company as of the date of payment. The determinations of the Board or Committee with respect to your bonus will be final and binding.</w:t>
      </w:r>
    </w:p>
    <w:p>
      <w:pPr>
        <w:spacing w:after="0" w:line="154" w:lineRule="exact"/>
        <w:rPr>
          <w:sz w:val="20"/>
          <w:szCs w:val="20"/>
          <w:color w:val="auto"/>
        </w:rPr>
      </w:pPr>
    </w:p>
    <w:p>
      <w:pPr>
        <w:jc w:val="both"/>
        <w:ind w:firstLine="757"/>
        <w:spacing w:after="0" w:line="241" w:lineRule="auto"/>
        <w:tabs>
          <w:tab w:leader="none" w:pos="1018"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Executive Benefits</w:t>
      </w:r>
      <w:r>
        <w:rPr>
          <w:rFonts w:ascii="Times New Roman" w:cs="Times New Roman" w:eastAsia="Times New Roman" w:hAnsi="Times New Roman"/>
          <w:sz w:val="22"/>
          <w:szCs w:val="22"/>
          <w:color w:val="auto"/>
        </w:rPr>
        <w:t>. During his Employment, the Executive shall be eligible for paid time off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PTO policy, as in effect from time to time. During his Employment, the Executive shall also be eligible to participate in the executive benefit plans maintained by the Company, subject in each case to the generally applicable terms and conditions of the plan in question and to the determinations of any person or committee administering such plan.</w:t>
      </w:r>
    </w:p>
    <w:p>
      <w:pPr>
        <w:spacing w:after="0" w:line="171"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Employment at Will</w:t>
      </w:r>
      <w:r>
        <w:rPr>
          <w:rFonts w:ascii="Times New Roman" w:cs="Times New Roman" w:eastAsia="Times New Roman" w:hAnsi="Times New Roman"/>
          <w:sz w:val="22"/>
          <w:szCs w:val="22"/>
          <w:color w:val="auto"/>
        </w:rPr>
        <w:t>. The Executive’s Employment with the Company shall be “at will,” meaning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the Executive or the Company shall be entitled to terminate the Executive’s Employment at any time and for any reason, with or without Cause. Any contrary representations that may have been made to the Executive shall be superseded by this Agreement. This Agreement shall constitute the full and complete agreement between the Executive and the Company on the “at will” nature of the Executive’s Employment. Although the Executive’s job duties, title, compensation and benefits, as well as the Company’s personnel policies and procedures, may change from time to time, the “at will” nature of the Executive’s Employment may only be changed in an express written agreement signed by the Executive and a duly authorized officer of the Company (other than the Executive). The termination of the Executive’s Employment shall not limit or otherwise affect his obligations under Sections 6 and/or 7 below or his rights under Section 5 below.</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Rights upon Termination</w:t>
      </w:r>
      <w:r>
        <w:rPr>
          <w:rFonts w:ascii="Times New Roman" w:cs="Times New Roman" w:eastAsia="Times New Roman" w:hAnsi="Times New Roman"/>
          <w:sz w:val="22"/>
          <w:szCs w:val="22"/>
          <w:color w:val="auto"/>
        </w:rPr>
        <w:t>. Except as expressly provided in Section 5 below, upon the termination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the Executive shall only be entitled to the compensation and benefits that the Executive has earned under this Agreement before the effective date of the termination. The payments under this Agreement shall fully discharge all responsibilities of the Company to the Executive (other than payments of accrued and vested executive benefits, if any, under the Company’s executive benefit plans).</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Benefits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General. </w:t>
      </w:r>
      <w:r>
        <w:rPr>
          <w:rFonts w:ascii="Times New Roman" w:cs="Times New Roman" w:eastAsia="Times New Roman" w:hAnsi="Times New Roman"/>
          <w:sz w:val="21"/>
          <w:szCs w:val="21"/>
          <w:color w:val="auto"/>
        </w:rPr>
        <w:t>If you are subject to an Involuntary Termination, then you will be entitled to the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described in Section 5(b) or 5(c), as applicable, below. However, Section 5(b) or 5(c), as applicable, will not apply unless you (i) have returned all Company property in your possession, (ii) have resigned from all positions you hold with the Company, including (if applicable) as a member of the Board and as a member of the board of directors of any subsidiaries of the Company, and (iii) have executed a general release of all claims (with applicable carve-out for continued indemnification pursuant to law, contract or the Company’s bylaws and other customary exceptions at the discretion of the Company) that you may have against the Company or persons affiliated with the Company.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Section 5(b) or 5(c), as applicable. For avoidance of doubt,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benefits will be provided pursuant to either, but not both of, Section 5(b) or 5(c) below. All lump sum severance payments and equity acceleration will be paid or provided within 60 days after your Separation or, if later, on the date a Change in Control occurs. Notwithstanding the foregoing, if the 60 day period described in the preceding sentence spans calendar years, then payment will in any event be made in the second calendar year.</w:t>
      </w:r>
    </w:p>
    <w:p>
      <w:pPr>
        <w:spacing w:after="0" w:line="176" w:lineRule="exact"/>
        <w:rPr>
          <w:sz w:val="20"/>
          <w:szCs w:val="20"/>
          <w:color w:val="auto"/>
        </w:rPr>
      </w:pPr>
    </w:p>
    <w:p>
      <w:pPr>
        <w:jc w:val="both"/>
        <w:ind w:firstLine="1505"/>
        <w:spacing w:after="0" w:line="246" w:lineRule="auto"/>
        <w:tabs>
          <w:tab w:leader="none" w:pos="2036"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Involuntary Termination Not Involving a Change in Control</w:t>
      </w:r>
      <w:r>
        <w:rPr>
          <w:rFonts w:ascii="Times New Roman" w:cs="Times New Roman" w:eastAsia="Times New Roman" w:hAnsi="Times New Roman"/>
          <w:sz w:val="22"/>
          <w:szCs w:val="22"/>
          <w:color w:val="auto"/>
        </w:rPr>
        <w:t>. If you are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at any time other than during a Change in Control Window and you satisfy the conditions described in Section 5(a) above, then you will be entitled to the following severance benefits:</w:t>
      </w:r>
    </w:p>
    <w:p>
      <w:pPr>
        <w:spacing w:after="0" w:line="17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 a lump-sum cash severance payment equal to one (1) times the sum of your Base Salary and</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Target Bonus;</w:t>
      </w:r>
    </w:p>
    <w:p>
      <w:pPr>
        <w:spacing w:after="0" w:line="182" w:lineRule="exact"/>
        <w:rPr>
          <w:sz w:val="20"/>
          <w:szCs w:val="20"/>
          <w:color w:val="auto"/>
        </w:rPr>
      </w:pPr>
    </w:p>
    <w:p>
      <w:pPr>
        <w:jc w:val="both"/>
        <w:ind w:left="760" w:right="760" w:firstLine="1391"/>
        <w:spacing w:after="0" w:line="244" w:lineRule="auto"/>
        <w:rPr>
          <w:sz w:val="20"/>
          <w:szCs w:val="20"/>
          <w:color w:val="auto"/>
        </w:rPr>
      </w:pPr>
      <w:r>
        <w:rPr>
          <w:rFonts w:ascii="Times New Roman" w:cs="Times New Roman" w:eastAsia="Times New Roman" w:hAnsi="Times New Roman"/>
          <w:sz w:val="22"/>
          <w:szCs w:val="22"/>
          <w:color w:val="auto"/>
        </w:rPr>
        <w:t>(ii)if the Involuntary Termination occurs after the end of a fiscal year, but prior to payment of bonuses for such fiscal year, a lump sum payment equal to any accrued and unpaid bonus for the prior fiscal year (the “Accrued Bonus”);</w:t>
      </w:r>
    </w:p>
    <w:p>
      <w:pPr>
        <w:spacing w:after="0" w:line="173" w:lineRule="exact"/>
        <w:rPr>
          <w:sz w:val="20"/>
          <w:szCs w:val="20"/>
          <w:color w:val="auto"/>
        </w:rPr>
      </w:pPr>
    </w:p>
    <w:p>
      <w:pPr>
        <w:jc w:val="both"/>
        <w:ind w:left="760" w:right="740" w:firstLine="1391"/>
        <w:spacing w:after="0" w:line="239" w:lineRule="auto"/>
        <w:rPr>
          <w:sz w:val="20"/>
          <w:szCs w:val="20"/>
          <w:color w:val="auto"/>
        </w:rPr>
      </w:pPr>
      <w:r>
        <w:rPr>
          <w:rFonts w:ascii="Times New Roman" w:cs="Times New Roman" w:eastAsia="Times New Roman" w:hAnsi="Times New Roman"/>
          <w:sz w:val="22"/>
          <w:szCs w:val="22"/>
          <w:color w:val="auto"/>
        </w:rPr>
        <w:t>(iii)if you elect to continue your health insurance coverage under the Consolidated Omnibus Budget Reconciliation Act (“COBRA”) following your Separation, then the Company will pay your monthly premium under COBRA, which is understood to potentially be higher than said premium for active employees, for the twelve (12) months following your Separation; and</w:t>
      </w:r>
    </w:p>
    <w:p>
      <w:pPr>
        <w:spacing w:after="0" w:line="180" w:lineRule="exact"/>
        <w:rPr>
          <w:sz w:val="20"/>
          <w:szCs w:val="20"/>
          <w:color w:val="auto"/>
        </w:rPr>
      </w:pPr>
    </w:p>
    <w:p>
      <w:pPr>
        <w:jc w:val="both"/>
        <w:ind w:left="760" w:right="760" w:firstLine="1391"/>
        <w:spacing w:after="0" w:line="251" w:lineRule="auto"/>
        <w:rPr>
          <w:sz w:val="20"/>
          <w:szCs w:val="20"/>
          <w:color w:val="auto"/>
        </w:rPr>
      </w:pPr>
      <w:r>
        <w:rPr>
          <w:rFonts w:ascii="Times New Roman" w:cs="Times New Roman" w:eastAsia="Times New Roman" w:hAnsi="Times New Roman"/>
          <w:sz w:val="21"/>
          <w:szCs w:val="21"/>
          <w:color w:val="auto"/>
        </w:rPr>
        <w:t>(iv)each outstanding equity award that you hold as of the Involuntary Termination and that is subject to time-based vesting will accelerate and become vested and, if applicable, exercisable with respect the number of shares that would have vested if you had completed an additional twelve (12) months of service with the Company. Any equity awards that are subject to unsatisfied performance conditions will not be eligible for acceleration pursuant to this clause (iv) and will be treated as described in the applicable award agreement.</w:t>
      </w:r>
    </w:p>
    <w:p>
      <w:pPr>
        <w:spacing w:after="0" w:line="164" w:lineRule="exact"/>
        <w:rPr>
          <w:sz w:val="20"/>
          <w:szCs w:val="20"/>
          <w:color w:val="auto"/>
        </w:rPr>
      </w:pPr>
    </w:p>
    <w:p>
      <w:pPr>
        <w:jc w:val="both"/>
        <w:ind w:firstLine="1505"/>
        <w:spacing w:after="0" w:line="246" w:lineRule="auto"/>
        <w:tabs>
          <w:tab w:leader="none" w:pos="2036"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Involuntary Termination Involving a Change in Control</w:t>
      </w:r>
      <w:r>
        <w:rPr>
          <w:rFonts w:ascii="Times New Roman" w:cs="Times New Roman" w:eastAsia="Times New Roman" w:hAnsi="Times New Roman"/>
          <w:sz w:val="22"/>
          <w:szCs w:val="22"/>
          <w:color w:val="auto"/>
        </w:rPr>
        <w:t>. If you are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during a Change in Control Window and you satisfy the conditions described in Section 5(a) above, then you will be entitled to the following severance benefits:</w:t>
      </w:r>
    </w:p>
    <w:p>
      <w:pPr>
        <w:spacing w:after="0" w:line="171" w:lineRule="exact"/>
        <w:rPr>
          <w:sz w:val="20"/>
          <w:szCs w:val="20"/>
          <w:color w:val="auto"/>
        </w:rPr>
      </w:pPr>
    </w:p>
    <w:p>
      <w:pPr>
        <w:ind w:left="760" w:right="740" w:firstLine="1387"/>
        <w:spacing w:after="0" w:line="258" w:lineRule="auto"/>
        <w:tabs>
          <w:tab w:leader="none" w:pos="2429"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lump-sum cash severance payment equal to one and one-half (1.5) times the sum of your Base Salary and Target Bonus;</w:t>
      </w:r>
    </w:p>
    <w:p>
      <w:pPr>
        <w:spacing w:after="0" w:line="15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(ii)the Accrued Bonus (if any);</w:t>
      </w:r>
    </w:p>
    <w:p>
      <w:pPr>
        <w:spacing w:after="0" w:line="206" w:lineRule="exact"/>
        <w:rPr>
          <w:sz w:val="20"/>
          <w:szCs w:val="20"/>
          <w:color w:val="auto"/>
        </w:rPr>
      </w:pPr>
    </w:p>
    <w:p>
      <w:pPr>
        <w:jc w:val="both"/>
        <w:ind w:left="760" w:right="740" w:firstLine="1391"/>
        <w:spacing w:after="0" w:line="239" w:lineRule="auto"/>
        <w:rPr>
          <w:sz w:val="20"/>
          <w:szCs w:val="20"/>
          <w:color w:val="auto"/>
        </w:rPr>
      </w:pPr>
      <w:r>
        <w:rPr>
          <w:rFonts w:ascii="Times New Roman" w:cs="Times New Roman" w:eastAsia="Times New Roman" w:hAnsi="Times New Roman"/>
          <w:sz w:val="22"/>
          <w:szCs w:val="22"/>
          <w:color w:val="auto"/>
        </w:rPr>
        <w:t>(iii)if you elect to continue your health insurance coverage under COBRA following your Separation, then the Company will pay your monthly premium under COBRA, which is understood to potentially be higher than said premium for active employees, for the eighteen (18) months following your Separation;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85" w:lineRule="exact"/>
        <w:rPr>
          <w:sz w:val="20"/>
          <w:szCs w:val="20"/>
          <w:color w:val="auto"/>
        </w:rPr>
      </w:pPr>
    </w:p>
    <w:p>
      <w:pPr>
        <w:jc w:val="both"/>
        <w:ind w:left="760" w:right="740" w:firstLine="1391"/>
        <w:spacing w:after="0" w:line="238" w:lineRule="auto"/>
        <w:rPr>
          <w:sz w:val="20"/>
          <w:szCs w:val="20"/>
          <w:color w:val="auto"/>
        </w:rPr>
      </w:pPr>
      <w:r>
        <w:rPr>
          <w:rFonts w:ascii="Times New Roman" w:cs="Times New Roman" w:eastAsia="Times New Roman" w:hAnsi="Times New Roman"/>
          <w:sz w:val="22"/>
          <w:szCs w:val="22"/>
          <w:color w:val="auto"/>
        </w:rPr>
        <w:t>(iv)one hundred percent (100%) of the unvested portion of each outstanding equity award that you hold as of the Involuntary Termination and that is subject to time-based vesting will vest and, if applicable, become exercisable. Any equity awards that are subject to unsatisfied performance conditions will not be eligible for acceleration pursuant to this clause (iv) and will be treated as described in the applicable award agreement.</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avoidance of doubt, if you are subject to an Involuntary Termination that occurs during a Change in Control Window and such Involuntary Termination occurs prior to a Change in Control, the portion of your then-outstanding and unvested equity awards that is eligible to vest and become exercisable pursuant to clause (iv) above will remain outstanding post-termination so that any additional benefits due pursuant to clause (iv) may be provided if a Change in Control occurs during the Change in Control Window, provided that in no event will any of your stock options remain outstanding beyond the option’s maximum term to expiration. If a Change in Control does not occur during the Change in Control Window, any unvested portion of your equity awards that remained outstanding following your Involuntary Termination will immediately and automatically be forfeited on the date that such awards are no longer eligible for acceleration pursuant to clause (iv) above.</w:t>
      </w:r>
    </w:p>
    <w:p>
      <w:pPr>
        <w:spacing w:after="0" w:line="174" w:lineRule="exact"/>
        <w:rPr>
          <w:sz w:val="20"/>
          <w:szCs w:val="20"/>
          <w:color w:val="auto"/>
        </w:rPr>
      </w:pPr>
    </w:p>
    <w:p>
      <w:pPr>
        <w:ind w:left="2040" w:hanging="535"/>
        <w:spacing w:after="0"/>
        <w:tabs>
          <w:tab w:leader="none" w:pos="2040"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Accrued Rights. </w:t>
      </w:r>
      <w:r>
        <w:rPr>
          <w:rFonts w:ascii="Times New Roman" w:cs="Times New Roman" w:eastAsia="Times New Roman" w:hAnsi="Times New Roman"/>
          <w:sz w:val="22"/>
          <w:szCs w:val="22"/>
          <w:color w:val="auto"/>
        </w:rPr>
        <w:t>You will be entitled to receive the following upon termination of employment for any</w:t>
      </w:r>
    </w:p>
    <w:p>
      <w:pPr>
        <w:spacing w:after="0" w:line="18" w:lineRule="exact"/>
        <w:rPr>
          <w:rFonts w:ascii="Times New Roman" w:cs="Times New Roman" w:eastAsia="Times New Roman" w:hAnsi="Times New Roman"/>
          <w:sz w:val="22"/>
          <w:szCs w:val="22"/>
          <w:color w:val="auto"/>
        </w:rPr>
      </w:pPr>
    </w:p>
    <w:p>
      <w:pPr>
        <w:jc w:val="both"/>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 (i) accrued and unpaid Base Salary through the date of termination of employment; (ii) reimbursement for any unreimbursed business expenses; and (iii) such employee benefits, if any, to which the Executive may be entitled under the applicable Company plans upon termination of employment.</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Documents and Company Property. </w:t>
      </w:r>
      <w:r>
        <w:rPr>
          <w:rFonts w:ascii="Times New Roman" w:cs="Times New Roman" w:eastAsia="Times New Roman" w:hAnsi="Times New Roman"/>
          <w:sz w:val="22"/>
          <w:szCs w:val="22"/>
          <w:color w:val="auto"/>
        </w:rPr>
        <w:t>The Executive is prohibited from keeping in his possession in any way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correspondence, documents, other information carriers, copies thereof, and other goods made available by the Company or its affiliates to him (including, but not limited to, credit cards, mobile communication devices, keys, documents, handbooks, financial data, plans, USB sticks or other information carriers, access cards and laptop computer), except to the extent that this is necessary for the performance of his work for the Company. In any event, the Executive is obliged to immediately hand over such documents and other goods made available to him at the end of this Agreement or upon suspension of his active duties for any reason other than documents relating to his own employment and compensation.</w:t>
      </w:r>
    </w:p>
    <w:p>
      <w:pPr>
        <w:spacing w:after="0" w:line="175" w:lineRule="exact"/>
        <w:rPr>
          <w:rFonts w:ascii="Times New Roman" w:cs="Times New Roman" w:eastAsia="Times New Roman" w:hAnsi="Times New Roman"/>
          <w:sz w:val="22"/>
          <w:szCs w:val="22"/>
          <w:color w:val="auto"/>
        </w:rPr>
      </w:pPr>
    </w:p>
    <w:p>
      <w:pPr>
        <w:jc w:val="both"/>
        <w:ind w:right="20" w:firstLine="757"/>
        <w:spacing w:after="0" w:line="246" w:lineRule="auto"/>
        <w:tabs>
          <w:tab w:leader="none" w:pos="1018"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Proprietary Information and Inventions Agreement. </w:t>
      </w:r>
      <w:r>
        <w:rPr>
          <w:rFonts w:ascii="Times New Roman" w:cs="Times New Roman" w:eastAsia="Times New Roman" w:hAnsi="Times New Roman"/>
          <w:sz w:val="22"/>
          <w:szCs w:val="22"/>
          <w:color w:val="auto"/>
        </w:rPr>
        <w:t>You and the Company entered into that certain Proprietary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Rights, Non-Disclosure, Developments, Non-Competition, and Non-Solicitation Agreement dated February 8, 2024, a copy of which is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“PIIA”). The PIIA remains in full force and effect.</w:t>
      </w:r>
    </w:p>
    <w:p>
      <w:pPr>
        <w:spacing w:after="0" w:line="167"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Reimbursement of Expenses. </w:t>
      </w:r>
      <w:r>
        <w:rPr>
          <w:rFonts w:ascii="Times New Roman" w:cs="Times New Roman" w:eastAsia="Times New Roman" w:hAnsi="Times New Roman"/>
          <w:sz w:val="22"/>
          <w:szCs w:val="22"/>
          <w:color w:val="auto"/>
        </w:rPr>
        <w:t>The Company will reimburse business expenses reasonably incurred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your duties in accordance with the Company’s standard practice and expense scheme in place at the time (generally within 30 days after you have submitted appropriate documentation, which you must do within 30 days after incurring the expense) and, in any case, on or before the last day of the calendar year following the calendar year in which the relevant expense is incurred. The Company will reimburse reasonable costs of the professional use of your (mobile)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81" w:lineRule="exact"/>
        <w:rPr>
          <w:sz w:val="20"/>
          <w:szCs w:val="20"/>
          <w:color w:val="auto"/>
        </w:rPr>
      </w:pPr>
    </w:p>
    <w:p>
      <w:pPr>
        <w:ind w:left="1020" w:hanging="263"/>
        <w:spacing w:after="0"/>
        <w:tabs>
          <w:tab w:leader="none" w:pos="1020"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100" w:firstLine="1505"/>
        <w:spacing w:after="0" w:line="241" w:lineRule="auto"/>
        <w:tabs>
          <w:tab w:leader="none" w:pos="2036"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Successors</w:t>
      </w:r>
      <w:r>
        <w:rPr>
          <w:rFonts w:ascii="Times New Roman" w:cs="Times New Roman" w:eastAsia="Times New Roman" w:hAnsi="Times New Roman"/>
          <w:sz w:val="22"/>
          <w:szCs w:val="22"/>
          <w:color w:val="auto"/>
        </w:rPr>
        <w:t>. This Agreement shall be binding upon any successor (whether direct or indirect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71" w:lineRule="exact"/>
        <w:rPr>
          <w:rFonts w:ascii="Times New Roman" w:cs="Times New Roman" w:eastAsia="Times New Roman" w:hAnsi="Times New Roman"/>
          <w:sz w:val="22"/>
          <w:szCs w:val="22"/>
          <w:color w:val="auto"/>
        </w:rPr>
      </w:pPr>
    </w:p>
    <w:p>
      <w:pPr>
        <w:jc w:val="both"/>
        <w:ind w:right="100" w:firstLine="1505"/>
        <w:spacing w:after="0" w:line="246" w:lineRule="auto"/>
        <w:tabs>
          <w:tab w:leader="none" w:pos="2036"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Executive’s Successors</w:t>
      </w:r>
      <w:r>
        <w:rPr>
          <w:rFonts w:ascii="Times New Roman" w:cs="Times New Roman" w:eastAsia="Times New Roman" w:hAnsi="Times New Roman"/>
          <w:sz w:val="22"/>
          <w:szCs w:val="22"/>
          <w:color w:val="auto"/>
        </w:rPr>
        <w:t>. This Agreement and all rights of the Executive hereunder shall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and be enforceable by, the Executive’s personal or legal representatives, executors, administrators, successors, heirs, distributees, devisees and legatees.</w:t>
      </w:r>
    </w:p>
    <w:p>
      <w:pPr>
        <w:spacing w:after="0" w:line="167" w:lineRule="exact"/>
        <w:rPr>
          <w:sz w:val="20"/>
          <w:szCs w:val="20"/>
          <w:color w:val="auto"/>
        </w:rPr>
      </w:pPr>
    </w:p>
    <w:p>
      <w:pPr>
        <w:jc w:val="both"/>
        <w:ind w:right="100" w:firstLine="749"/>
        <w:spacing w:after="0" w:line="241"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 xml:space="preserve"> As an officer of the Company, you are entitled to indemnification by the Company pursuant to that certain Indemnification Agreement by and between you and the Company, dated February 8, 2024, a copy of which is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“Indemnification Agreement”). The Indemnification Agreement remains in full force and effect and the Company’s indemnification obligation shall survive any termination of your employment.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The following terms shall have the meaning set forth below wherever they are used in this Agreement:</w:t>
      </w:r>
    </w:p>
    <w:p>
      <w:pPr>
        <w:spacing w:after="0" w:line="206" w:lineRule="exact"/>
        <w:rPr>
          <w:sz w:val="20"/>
          <w:szCs w:val="20"/>
          <w:color w:val="auto"/>
        </w:rPr>
      </w:pPr>
    </w:p>
    <w:p>
      <w:pPr>
        <w:jc w:val="both"/>
        <w:ind w:right="100" w:firstLine="1505"/>
        <w:spacing w:after="0" w:line="241" w:lineRule="auto"/>
        <w:tabs>
          <w:tab w:leader="none" w:pos="2036"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shall mean the Executive’s annual base salary, as it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adjusted from time to time. For purposes of Sections 5(b) and (c),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shall mean Executive’s annual base salary as in effect immediately prior to an Involuntary Termination, determined without regard to any reduction that constitutes grounds for a Resignation for Good Reason.</w:t>
      </w:r>
    </w:p>
    <w:p>
      <w:pPr>
        <w:spacing w:after="0" w:line="17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210" w:lineRule="exact"/>
        <w:rPr>
          <w:rFonts w:ascii="Times New Roman" w:cs="Times New Roman" w:eastAsia="Times New Roman" w:hAnsi="Times New Roman"/>
          <w:sz w:val="22"/>
          <w:szCs w:val="22"/>
          <w:color w:val="auto"/>
        </w:rPr>
      </w:pPr>
    </w:p>
    <w:p>
      <w:pPr>
        <w:ind w:left="760" w:right="140" w:firstLine="1494"/>
        <w:spacing w:after="0" w:line="258" w:lineRule="auto"/>
        <w:tabs>
          <w:tab w:leader="none" w:pos="2689"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failure by you to comply with the Company’s written policies or rules after being provided written notice and 30 days’ opportunity to cure;</w:t>
      </w:r>
    </w:p>
    <w:p>
      <w:pPr>
        <w:spacing w:after="0" w:line="50" w:lineRule="exact"/>
        <w:rPr>
          <w:rFonts w:ascii="Times New Roman" w:cs="Times New Roman" w:eastAsia="Times New Roman" w:hAnsi="Times New Roman"/>
          <w:sz w:val="22"/>
          <w:szCs w:val="22"/>
          <w:color w:val="auto"/>
        </w:rPr>
      </w:pPr>
    </w:p>
    <w:p>
      <w:pPr>
        <w:ind w:left="760" w:right="140" w:firstLine="1494"/>
        <w:spacing w:after="0" w:line="258" w:lineRule="auto"/>
        <w:tabs>
          <w:tab w:leader="none" w:pos="2689"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conviction of, or plea of “guilty” or “no contest” to, a crime involving moral turpitude, deceit, dishonesty or fraud that has caused harm to the Company or any affiliate of the Company;</w:t>
      </w:r>
    </w:p>
    <w:p>
      <w:pPr>
        <w:spacing w:after="0" w:line="50" w:lineRule="exact"/>
        <w:rPr>
          <w:rFonts w:ascii="Times New Roman" w:cs="Times New Roman" w:eastAsia="Times New Roman" w:hAnsi="Times New Roman"/>
          <w:sz w:val="22"/>
          <w:szCs w:val="22"/>
          <w:color w:val="auto"/>
        </w:rPr>
      </w:pPr>
    </w:p>
    <w:p>
      <w:pPr>
        <w:ind w:left="760" w:firstLine="1576"/>
        <w:spacing w:after="0" w:line="244" w:lineRule="auto"/>
        <w:tabs>
          <w:tab w:leader="none" w:pos="3121" w:val="left"/>
        </w:tabs>
        <w:numPr>
          <w:ilvl w:val="2"/>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willful and continued failure to substantially perform (other than by reason of Disabili your duties and responsibilities assigned or delegated after receiving written notification of such failure from the Company and 30 days’ opportunity to cure;</w:t>
      </w:r>
    </w:p>
    <w:p>
      <w:pPr>
        <w:spacing w:after="0" w:line="65" w:lineRule="exact"/>
        <w:rPr>
          <w:sz w:val="20"/>
          <w:szCs w:val="20"/>
          <w:color w:val="auto"/>
        </w:rPr>
      </w:pPr>
    </w:p>
    <w:p>
      <w:pPr>
        <w:jc w:val="both"/>
        <w:ind w:left="760" w:right="100" w:firstLine="1494"/>
        <w:spacing w:after="0" w:line="244" w:lineRule="auto"/>
        <w:tabs>
          <w:tab w:leader="none" w:pos="2689"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intentional act of dishonesty, deceit, fraud, moral turpitude, misconduct, breach of trust or acts intentionally against the financial or business interests of the Company by you, or your use or possession of illegal drugs in the workplace;</w:t>
      </w:r>
    </w:p>
    <w:p>
      <w:pPr>
        <w:spacing w:after="0" w:line="65" w:lineRule="exact"/>
        <w:rPr>
          <w:rFonts w:ascii="Times New Roman" w:cs="Times New Roman" w:eastAsia="Times New Roman" w:hAnsi="Times New Roman"/>
          <w:sz w:val="22"/>
          <w:szCs w:val="22"/>
          <w:color w:val="auto"/>
        </w:rPr>
      </w:pPr>
    </w:p>
    <w:p>
      <w:pPr>
        <w:ind w:left="760" w:right="120" w:firstLine="1494"/>
        <w:spacing w:after="0" w:line="258" w:lineRule="auto"/>
        <w:tabs>
          <w:tab w:leader="none" w:pos="2689"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breach by you of any of your obligations under any agreement between you and the Company after being provided written notice and 30 days’ opportunity to cure;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928370</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01" w:name="page302"/>
    <w:bookmarkEnd w:id="301"/>
    <w:p>
      <w:pPr>
        <w:spacing w:after="0" w:line="185" w:lineRule="exact"/>
        <w:rPr>
          <w:sz w:val="20"/>
          <w:szCs w:val="20"/>
          <w:color w:val="auto"/>
        </w:rPr>
      </w:pPr>
    </w:p>
    <w:p>
      <w:pPr>
        <w:ind w:left="760" w:right="60" w:firstLine="1494"/>
        <w:spacing w:after="0" w:line="258" w:lineRule="auto"/>
        <w:tabs>
          <w:tab w:leader="none" w:pos="2689"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failure to cooperate in good faith with a governmental or internal investigation of the Company or its directors, officers or employees, if the Company has requested your cooperation</w:t>
      </w:r>
      <w:r>
        <w:rPr>
          <w:rFonts w:ascii="Times New Roman" w:cs="Times New Roman" w:eastAsia="Times New Roman" w:hAnsi="Times New Roman"/>
          <w:sz w:val="22"/>
          <w:szCs w:val="22"/>
          <w:b w:val="1"/>
          <w:bCs w:val="1"/>
          <w:color w:val="auto"/>
        </w:rPr>
        <w:t>.</w:t>
      </w:r>
    </w:p>
    <w:p>
      <w:pPr>
        <w:spacing w:after="0" w:line="5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For purposes of this definition of Cause, no act, or failure to act, will be deemed “willful” or “intentional” if done or omitted to be done by the Executive in good faith with a reasonable belief that Executive’s act, or failure to act, was in the best interest of the Company.</w:t>
      </w:r>
    </w:p>
    <w:p>
      <w:pPr>
        <w:spacing w:after="0" w:line="61" w:lineRule="exact"/>
        <w:rPr>
          <w:sz w:val="20"/>
          <w:szCs w:val="20"/>
          <w:color w:val="auto"/>
        </w:rPr>
      </w:pPr>
    </w:p>
    <w:p>
      <w:pPr>
        <w:jc w:val="both"/>
        <w:ind w:firstLine="1505"/>
        <w:spacing w:after="0" w:line="233" w:lineRule="auto"/>
        <w:tabs>
          <w:tab w:leader="none" w:pos="2036"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shall mean (i) any “person” (as such term is used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 (iii) the sale, transfer or other disposition of all or substantially all of the Company’s assets. In the case of any severance payment or benefit that is subject to Section 409A of the Code, a Change in Control must also constitute a “change in control event,” as defined in Treasury Regulation Section 1.409A-3(i)(5), but only to the extent necessary to avoid the imposition of penalty taxes pursuant to Code Section 409A.</w:t>
      </w:r>
    </w:p>
    <w:p>
      <w:pPr>
        <w:spacing w:after="0" w:line="184"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 Window</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Change in Control Window</w:t>
      </w:r>
      <w:r>
        <w:rPr>
          <w:rFonts w:ascii="Times New Roman" w:cs="Times New Roman" w:eastAsia="Times New Roman" w:hAnsi="Times New Roman"/>
          <w:sz w:val="22"/>
          <w:szCs w:val="22"/>
          <w:color w:val="auto"/>
        </w:rPr>
        <w:t>” shall mean the period beginning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three (3) months prior to a Change in Control (if any) and ending twelve months after such Change in Control. In addition, the “</w:t>
      </w:r>
      <w:r>
        <w:rPr>
          <w:rFonts w:ascii="Times New Roman" w:cs="Times New Roman" w:eastAsia="Times New Roman" w:hAnsi="Times New Roman"/>
          <w:sz w:val="22"/>
          <w:szCs w:val="22"/>
          <w:b w:val="1"/>
          <w:bCs w:val="1"/>
          <w:color w:val="auto"/>
        </w:rPr>
        <w:t>Change in Control Window</w:t>
      </w:r>
      <w:r>
        <w:rPr>
          <w:rFonts w:ascii="Times New Roman" w:cs="Times New Roman" w:eastAsia="Times New Roman" w:hAnsi="Times New Roman"/>
          <w:sz w:val="22"/>
          <w:szCs w:val="22"/>
          <w:color w:val="auto"/>
        </w:rPr>
        <w:t>” shall also include such longer period (if any) beginning on the date that a definitive agreement for a Change in Control is executed, but only if such Change in Control is consummated.</w:t>
      </w:r>
    </w:p>
    <w:p>
      <w:pPr>
        <w:spacing w:after="0" w:line="17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06"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that the Executive is unable to engage in any substantial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gainful activity as required to perform his material duties (with reasonable accommodation) by reason of any medically determinable physical or mental impairment which can be expected to result in death or to last for a continuous period of not less than twelve months.</w:t>
      </w:r>
    </w:p>
    <w:p>
      <w:pPr>
        <w:spacing w:after="0" w:line="171"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shall mean either the Executive’s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Without Cause or (ii) Resignation for Good Reason. For avoidance of doubt, Executive’s Separation due to Executive’s death or Disability shall not constitute an Involuntary Termination.</w:t>
      </w:r>
    </w:p>
    <w:p>
      <w:pPr>
        <w:spacing w:after="0" w:line="167"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Resignation for Good Reason</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Resignation for Good Reason</w:t>
      </w:r>
      <w:r>
        <w:rPr>
          <w:rFonts w:ascii="Times New Roman" w:cs="Times New Roman" w:eastAsia="Times New Roman" w:hAnsi="Times New Roman"/>
          <w:sz w:val="22"/>
          <w:szCs w:val="22"/>
          <w:color w:val="auto"/>
        </w:rPr>
        <w:t>” means a Separation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of the Executive’s resignation within 12 months after one of the following conditions has come into existence without the Executive’s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85" w:lineRule="exact"/>
        <w:rPr>
          <w:sz w:val="20"/>
          <w:szCs w:val="20"/>
          <w:color w:val="auto"/>
        </w:rPr>
      </w:pPr>
    </w:p>
    <w:p>
      <w:pPr>
        <w:jc w:val="both"/>
        <w:ind w:left="760" w:firstLine="1494"/>
        <w:spacing w:after="0" w:line="239" w:lineRule="auto"/>
        <w:tabs>
          <w:tab w:leader="none" w:pos="2557"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compensation (consisting of base salary, target bonus opportunity and target annual equity value and excluding any special, one-time, new hire, promotion or other exceptional equity awards), except for across-the-board reductions, outside of Change in Control Window, affecting the Company’s similarly situated employees generally;</w:t>
      </w:r>
    </w:p>
    <w:p>
      <w:pPr>
        <w:spacing w:after="0" w:line="180"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title, duties, authority and responsibilities within the Company;</w:t>
      </w:r>
    </w:p>
    <w:p>
      <w:pPr>
        <w:spacing w:after="0" w:line="206" w:lineRule="exact"/>
        <w:rPr>
          <w:sz w:val="20"/>
          <w:szCs w:val="20"/>
          <w:color w:val="auto"/>
        </w:rPr>
      </w:pPr>
    </w:p>
    <w:p>
      <w:pPr>
        <w:ind w:left="760" w:firstLine="1497"/>
        <w:spacing w:after="0" w:line="258" w:lineRule="auto"/>
        <w:rPr>
          <w:sz w:val="20"/>
          <w:szCs w:val="20"/>
          <w:color w:val="auto"/>
        </w:rPr>
      </w:pPr>
      <w:r>
        <w:rPr>
          <w:rFonts w:ascii="Times New Roman" w:cs="Times New Roman" w:eastAsia="Times New Roman" w:hAnsi="Times New Roman"/>
          <w:sz w:val="22"/>
          <w:szCs w:val="22"/>
          <w:color w:val="auto"/>
        </w:rPr>
        <w:t>(iii)relocation of your principal workplace by more than fifty (50) miles away from the location which you were working immediately prior to the required relocation without your prior consent; or</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(iv)a material breach of the Company’s obligation under any agreement between the Company and you.</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Resignation for Good Reason shall not be deemed to have occurred unless the Executive gives the Company written notice of the condition within 60 days after the condition comes into existence and the Company fails to remedy the condition within 30 days after receiving the Executive’s written notice.</w:t>
      </w:r>
    </w:p>
    <w:p>
      <w:pPr>
        <w:spacing w:after="0" w:line="169" w:lineRule="exact"/>
        <w:rPr>
          <w:sz w:val="20"/>
          <w:szCs w:val="20"/>
          <w:color w:val="auto"/>
        </w:rPr>
      </w:pPr>
    </w:p>
    <w:p>
      <w:pPr>
        <w:ind w:right="20" w:firstLine="1505"/>
        <w:spacing w:after="0" w:line="262" w:lineRule="auto"/>
        <w:tabs>
          <w:tab w:leader="none" w:pos="2036"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The term “Separation” shall mean a “separation from service,” as defined in the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409A of the Code.</w:t>
      </w:r>
    </w:p>
    <w:p>
      <w:pPr>
        <w:spacing w:after="0" w:line="149"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The term “Target Bonus” shall mean the Executive’s annual target bonus opportunity,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adjusted from time to time. For purposes of Sections 5(b) and (c), “Target Bonus” shall mean the Executive’s annual target bonus opportunity as in effect immediately prior to an Involuntary Termination, determined without regard to any reduction that constitutes grounds for a Resignation for Good Reason.</w:t>
      </w:r>
    </w:p>
    <w:p>
      <w:pPr>
        <w:spacing w:after="0" w:line="171" w:lineRule="exact"/>
        <w:rPr>
          <w:rFonts w:ascii="Times New Roman" w:cs="Times New Roman" w:eastAsia="Times New Roman" w:hAnsi="Times New Roman"/>
          <w:sz w:val="22"/>
          <w:szCs w:val="22"/>
          <w:color w:val="auto"/>
        </w:rPr>
      </w:pPr>
    </w:p>
    <w:p>
      <w:pPr>
        <w:ind w:right="20" w:firstLine="1505"/>
        <w:spacing w:after="0" w:line="262" w:lineRule="auto"/>
        <w:tabs>
          <w:tab w:leader="none" w:pos="2036"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Without Cause</w:t>
      </w:r>
      <w:r>
        <w:rPr>
          <w:rFonts w:ascii="Times New Roman" w:cs="Times New Roman" w:eastAsia="Times New Roman" w:hAnsi="Times New Roman"/>
          <w:sz w:val="22"/>
          <w:szCs w:val="22"/>
          <w:color w:val="auto"/>
        </w:rPr>
        <w:t>” The term “Termination without Cause” means a Separation as a result of a termination of the Executive’s employment by the Company without Cause and other than as a result of Disability.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2036"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Notices and all other communications contemplated by this Agreement shall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have been duly given when personally delivered, when delivered via email to a Company domain email address or, following the Separation, to the Executive’s personal email address on file with Human Resources, when delivered by FedEx with delivery charges prepaid, or when mailed by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75" w:lineRule="exact"/>
        <w:rPr>
          <w:rFonts w:ascii="Times New Roman" w:cs="Times New Roman" w:eastAsia="Times New Roman" w:hAnsi="Times New Roman"/>
          <w:sz w:val="22"/>
          <w:szCs w:val="22"/>
          <w:color w:val="auto"/>
        </w:rPr>
      </w:pPr>
    </w:p>
    <w:p>
      <w:pPr>
        <w:ind w:right="20" w:firstLine="1505"/>
        <w:spacing w:after="0" w:line="262" w:lineRule="auto"/>
        <w:tabs>
          <w:tab w:leader="none" w:pos="2036"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Modifications and Waivers</w:t>
      </w:r>
      <w:r>
        <w:rPr>
          <w:rFonts w:ascii="Times New Roman" w:cs="Times New Roman" w:eastAsia="Times New Roman" w:hAnsi="Times New Roman"/>
          <w:sz w:val="22"/>
          <w:szCs w:val="22"/>
          <w:color w:val="auto"/>
        </w:rPr>
        <w:t>. No provision of this Agreement shall be modified, waived or discharged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the modification, waiver or discharge is agreed to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69" w:lineRule="exact"/>
        <w:rPr>
          <w:sz w:val="20"/>
          <w:szCs w:val="20"/>
          <w:color w:val="auto"/>
        </w:rPr>
      </w:pPr>
    </w:p>
    <w:p>
      <w:pPr>
        <w:jc w:val="both"/>
        <w:ind w:firstLine="1505"/>
        <w:spacing w:after="0" w:line="241" w:lineRule="auto"/>
        <w:tabs>
          <w:tab w:leader="none" w:pos="2036"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Whole Agreement</w:t>
      </w:r>
      <w:r>
        <w:rPr>
          <w:rFonts w:ascii="Times New Roman" w:cs="Times New Roman" w:eastAsia="Times New Roman" w:hAnsi="Times New Roman"/>
          <w:sz w:val="22"/>
          <w:szCs w:val="22"/>
          <w:color w:val="auto"/>
        </w:rPr>
        <w:t>. This Agreement supersedes and replaces any prior agreements, including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limitation, the Prior Agreement, representations or understandings (whether written, oral, implied or otherwise) between the Executive and the Company and constitute the complete agreement between the Executive and the Company regarding the subject matter set forth herein.</w:t>
      </w:r>
    </w:p>
    <w:p>
      <w:pPr>
        <w:spacing w:after="0" w:line="171"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Matters</w:t>
      </w:r>
      <w:r>
        <w:rPr>
          <w:rFonts w:ascii="Times New Roman" w:cs="Times New Roman" w:eastAsia="Times New Roman" w:hAnsi="Times New Roman"/>
          <w:sz w:val="22"/>
          <w:szCs w:val="22"/>
          <w:color w:val="auto"/>
        </w:rPr>
        <w:t>. All payments made under this Agreement shall be subject to reduction to reflect taxes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charges required to be withheld by law. The Company intends that all payments and benefits provided under this Agreement or otherwise are exempt from, or comply with, with the requirements of Section 409A of the Code so that none of the payments or benefits will be subject to the additional tax imposed under Section 409A of the Code, and any ambiguities herein will be interpreted in accordance with such intent. For purposes of Section 409A of the Code, each payment, installment or benefit payable under this Agreement is hereby designated as a separate payment. In addition, if the Company determines that you are a “specified employee” under Section 409A(a)(2)(B)(i) of the Code at the time of your Separation, then (i) any severance payments or benefits, to the extent that they are subject to Section 409A of the Code, will not be paid or otherwise provided until the first business day following (A) expiration of the six-month period measured from your Separation or (B) the date of your death and (ii) any installments that otherwise would have been paid or provided prior to such date will be paid or provided in a lump sum when the severance payments or benefits commence. The Company shall not have a duty to design its compensation policies in a manner that minimizes your tax liabilities, and you agree not to make any claim against the Company or the Board related to tax liabilities arising from your compensation.</w:t>
      </w:r>
    </w:p>
    <w:p>
      <w:pPr>
        <w:spacing w:after="0" w:line="182"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280G. Parachute Payments. </w:t>
      </w:r>
      <w:r>
        <w:rPr>
          <w:rFonts w:ascii="Times New Roman" w:cs="Times New Roman" w:eastAsia="Times New Roman" w:hAnsi="Times New Roman"/>
          <w:sz w:val="22"/>
          <w:szCs w:val="22"/>
          <w:color w:val="auto"/>
        </w:rPr>
        <w:t>If any payment or benefit that you would receive in connection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Change in Control from the Company or otherwise (“Payment”) would (i) constitute a “parachute payment” within the meaning of Section 280G of the Code, and (ii) but for this sentence, be subject to the excise tax imposed by Section 4999 of the Code (the “Excise Tax”), then such Payment shall be equal to the Reduced Amount. The “Reduced Amount”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your receipt of the greatest economic benefit notwithstanding that all or some portion of the Payment may be subject to the Excise Tax. If a reduction in payments or benefits constituting “parachute payments” is necessary so that the Payment equals the Reduced Amount, any reduction shall be applied first,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amounts that constitute deferred compensation within the meaning of Section 409A of the Code, and, in the event that the reductions pursuant to this Section 12(e) exceed payments that are subject to Section 409A of the Code, the remaining reductions shall be applied,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any other remaining payments, first with respect to amounts payable in cash before being made in respect to any payments to be provided in the form of benefits or equity award acceleration, and in the form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1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benefits before being made with respect to equity award acceleration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Company’s determinations hereunder shall be final, binding and conclusive on all interested parties.</w:t>
      </w:r>
    </w:p>
    <w:p>
      <w:pPr>
        <w:spacing w:after="0" w:line="150" w:lineRule="exact"/>
        <w:rPr>
          <w:sz w:val="20"/>
          <w:szCs w:val="20"/>
          <w:color w:val="auto"/>
        </w:rPr>
      </w:pPr>
    </w:p>
    <w:p>
      <w:pPr>
        <w:jc w:val="both"/>
        <w:ind w:firstLine="1505"/>
        <w:spacing w:after="0" w:line="233" w:lineRule="auto"/>
        <w:tabs>
          <w:tab w:leader="none" w:pos="2036"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Arbitration. </w:t>
      </w:r>
      <w:r>
        <w:rPr>
          <w:rFonts w:ascii="Times New Roman" w:cs="Times New Roman" w:eastAsia="Times New Roman" w:hAnsi="Times New Roman"/>
          <w:sz w:val="22"/>
          <w:szCs w:val="22"/>
          <w:color w:val="auto"/>
        </w:rPr>
        <w:t>Any controversy or claim arising out of this Agreement and any and all claims relating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Employment with the Company will be settled by final and binding arbitration. The arbitration will take place in the Commonwealth of Massachusetts. The arbitration will be administered by the American Arbitration Association under its National Rules for the Resolution of Employment Disputes. Any award or finding will be confidential. You and the Company agree to provide one another with reasonable access to documents and witnesses in connection with the resolution of the dispute. You and the Company will share the costs of arbitration equally up to, for you, the filing fee to bring a civil action in the state courts of Massachusetts. Each party will be responsible for its own attorneys’ fees, and the arbitrator may not award attorneys’ fees unless a statute or contract at issue specifically authorizes such an award. This Section 12(f) does not apply to claims for workers’ compensation benefits or unemployment insurance benefits. This Section 12(f) also does not apply to claims concerning the ownership, validity, infringement, misappropriation, disclosure, misuse or enforceability of any confidential information, patent right, copyright, mask work, trademark or any other trade secret or intellectual property held or sought by either you or the Company (whether or not arising under the PIIA).</w:t>
      </w:r>
    </w:p>
    <w:p>
      <w:pPr>
        <w:spacing w:after="0" w:line="184"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Choice of Law and Severability</w:t>
      </w:r>
      <w:r>
        <w:rPr>
          <w:rFonts w:ascii="Times New Roman" w:cs="Times New Roman" w:eastAsia="Times New Roman" w:hAnsi="Times New Roman"/>
          <w:sz w:val="22"/>
          <w:szCs w:val="22"/>
          <w:color w:val="auto"/>
        </w:rPr>
        <w:t>. This Agreement shall be interpreted in accordance with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Commonwealth of Massachusetts (except its provisions governing the choice of law). If any provision of this Agreement becomes or is deemed invalid, illegal or unenforceable in any applicable jurisdiction by reason of the scope, extent or duration of its coverage or any other reason,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179"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Assignment</w:t>
      </w:r>
      <w:r>
        <w:rPr>
          <w:rFonts w:ascii="Times New Roman" w:cs="Times New Roman" w:eastAsia="Times New Roman" w:hAnsi="Times New Roman"/>
          <w:sz w:val="22"/>
          <w:szCs w:val="22"/>
          <w:color w:val="auto"/>
        </w:rPr>
        <w:t>. This Agreement and all rights and obligations of the Executive hereunder are personal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171" w:lineRule="exact"/>
        <w:rPr>
          <w:rFonts w:ascii="Times New Roman" w:cs="Times New Roman" w:eastAsia="Times New Roman" w:hAnsi="Times New Roman"/>
          <w:sz w:val="22"/>
          <w:szCs w:val="22"/>
          <w:color w:val="auto"/>
        </w:rPr>
      </w:pPr>
    </w:p>
    <w:p>
      <w:pPr>
        <w:ind w:right="20" w:firstLine="1505"/>
        <w:spacing w:after="0" w:line="262" w:lineRule="auto"/>
        <w:tabs>
          <w:tab w:leader="none" w:pos="2036"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two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on following page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81"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has executed this Agreement, in the case of the Company by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officer, as of the day and year first above written.</w:t>
      </w:r>
    </w:p>
    <w:p>
      <w:pPr>
        <w:spacing w:after="0" w:line="200" w:lineRule="exact"/>
        <w:rPr>
          <w:sz w:val="20"/>
          <w:szCs w:val="20"/>
          <w:color w:val="auto"/>
        </w:rPr>
      </w:pPr>
    </w:p>
    <w:p>
      <w:pPr>
        <w:spacing w:after="0" w:line="27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flywire corporation</w:t>
      </w:r>
    </w:p>
    <w:p>
      <w:pPr>
        <w:spacing w:after="0" w:line="200" w:lineRule="exact"/>
        <w:rPr>
          <w:sz w:val="20"/>
          <w:szCs w:val="20"/>
          <w:color w:val="auto"/>
        </w:rPr>
      </w:pPr>
    </w:p>
    <w:p>
      <w:pPr>
        <w:spacing w:after="0" w:line="3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Michael Massaro</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3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Date: August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E</w:t>
      </w:r>
      <w:r>
        <w:rPr>
          <w:rFonts w:ascii="Times New Roman" w:cs="Times New Roman" w:eastAsia="Times New Roman" w:hAnsi="Times New Roman"/>
          <w:sz w:val="17"/>
          <w:szCs w:val="17"/>
          <w:b w:val="1"/>
          <w:bCs w:val="1"/>
          <w:color w:val="auto"/>
        </w:rPr>
        <w:t>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u w:val="single" w:color="auto"/>
          <w:color w:val="auto"/>
        </w:rPr>
        <w:t>/s/ Cosmin Pitigoi</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Cosmin Pitigoi</w:t>
      </w:r>
    </w:p>
    <w:p>
      <w:pPr>
        <w:spacing w:after="0" w:line="200" w:lineRule="exact"/>
        <w:rPr>
          <w:sz w:val="20"/>
          <w:szCs w:val="20"/>
          <w:color w:val="auto"/>
        </w:rPr>
      </w:pPr>
    </w:p>
    <w:p>
      <w:pPr>
        <w:spacing w:after="0" w:line="30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Date: August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PIIA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1680210</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6" w:name="page307"/>
    <w:bookmarkEnd w:id="306"/>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w:t>
      </w:r>
      <w:r>
        <w:rPr>
          <w:rFonts w:ascii="Times New Roman" w:cs="Times New Roman" w:eastAsia="Times New Roman" w:hAnsi="Times New Roman"/>
          <w:sz w:val="22"/>
          <w:szCs w:val="22"/>
          <w:b w:val="1"/>
          <w:bCs w:val="1"/>
          <w:color w:val="auto"/>
        </w:rPr>
        <w:t>mployment</w:t>
      </w:r>
      <w:r>
        <w:rPr>
          <w:rFonts w:ascii="Times New Roman" w:cs="Times New Roman" w:eastAsia="Times New Roman" w:hAnsi="Times New Roman"/>
          <w:sz w:val="32"/>
          <w:szCs w:val="32"/>
          <w:b w:val="1"/>
          <w:bCs w:val="1"/>
          <w:color w:val="auto"/>
        </w:rPr>
        <w:t xml:space="preserve"> A</w:t>
      </w:r>
      <w:r>
        <w:rPr>
          <w:rFonts w:ascii="Times New Roman" w:cs="Times New Roman" w:eastAsia="Times New Roman" w:hAnsi="Times New Roman"/>
          <w:sz w:val="22"/>
          <w:szCs w:val="22"/>
          <w:b w:val="1"/>
          <w:bCs w:val="1"/>
          <w:color w:val="auto"/>
        </w:rPr>
        <w:t>greement</w:t>
      </w:r>
    </w:p>
    <w:p>
      <w:pPr>
        <w:spacing w:after="0" w:line="200" w:lineRule="exact"/>
        <w:rPr>
          <w:sz w:val="20"/>
          <w:szCs w:val="20"/>
          <w:color w:val="auto"/>
        </w:rPr>
      </w:pPr>
    </w:p>
    <w:p>
      <w:pPr>
        <w:spacing w:after="0" w:line="348"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23"/>
          <w:szCs w:val="23"/>
          <w:color w:val="auto"/>
        </w:rPr>
        <w:t>T</w:t>
      </w:r>
      <w:r>
        <w:rPr>
          <w:rFonts w:ascii="Times New Roman" w:cs="Times New Roman" w:eastAsia="Times New Roman" w:hAnsi="Times New Roman"/>
          <w:sz w:val="16"/>
          <w:szCs w:val="16"/>
          <w:color w:val="auto"/>
        </w:rPr>
        <w:t>his</w:t>
      </w:r>
      <w:r>
        <w:rPr>
          <w:rFonts w:ascii="Times New Roman" w:cs="Times New Roman" w:eastAsia="Times New Roman" w:hAnsi="Times New Roman"/>
          <w:sz w:val="23"/>
          <w:szCs w:val="23"/>
          <w:color w:val="auto"/>
        </w:rPr>
        <w:t xml:space="preserve"> A</w:t>
      </w:r>
      <w:r>
        <w:rPr>
          <w:rFonts w:ascii="Times New Roman" w:cs="Times New Roman" w:eastAsia="Times New Roman" w:hAnsi="Times New Roman"/>
          <w:sz w:val="16"/>
          <w:szCs w:val="16"/>
          <w:color w:val="auto"/>
        </w:rPr>
        <w:t>greement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(the “Agreement”) is entered into as of August 1, 2025 by and between</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b w:val="1"/>
          <w:bCs w:val="1"/>
          <w:color w:val="auto"/>
        </w:rPr>
        <w:t>D</w:t>
      </w:r>
      <w:r>
        <w:rPr>
          <w:rFonts w:ascii="Times New Roman" w:cs="Times New Roman" w:eastAsia="Times New Roman" w:hAnsi="Times New Roman"/>
          <w:sz w:val="16"/>
          <w:szCs w:val="16"/>
          <w:b w:val="1"/>
          <w:bCs w:val="1"/>
          <w:color w:val="auto"/>
        </w:rPr>
        <w:t>avid</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b w:val="1"/>
          <w:bCs w:val="1"/>
          <w:color w:val="auto"/>
        </w:rPr>
        <w:t>K</w:t>
      </w:r>
      <w:r>
        <w:rPr>
          <w:rFonts w:ascii="Times New Roman" w:cs="Times New Roman" w:eastAsia="Times New Roman" w:hAnsi="Times New Roman"/>
          <w:sz w:val="16"/>
          <w:szCs w:val="16"/>
          <w:b w:val="1"/>
          <w:bCs w:val="1"/>
          <w:color w:val="auto"/>
        </w:rPr>
        <w:t>ing</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 xml:space="preserve">“Executive” or “you”) and </w:t>
      </w:r>
      <w:r>
        <w:rPr>
          <w:rFonts w:ascii="Times New Roman" w:cs="Times New Roman" w:eastAsia="Times New Roman" w:hAnsi="Times New Roman"/>
          <w:sz w:val="23"/>
          <w:szCs w:val="23"/>
          <w:b w:val="1"/>
          <w:bCs w:val="1"/>
          <w:color w:val="auto"/>
        </w:rPr>
        <w:t>F</w:t>
      </w:r>
      <w:r>
        <w:rPr>
          <w:rFonts w:ascii="Times New Roman" w:cs="Times New Roman" w:eastAsia="Times New Roman" w:hAnsi="Times New Roman"/>
          <w:sz w:val="16"/>
          <w:szCs w:val="16"/>
          <w:b w:val="1"/>
          <w:bCs w:val="1"/>
          <w:color w:val="auto"/>
        </w:rPr>
        <w:t>lywire corporation</w:t>
      </w:r>
      <w:r>
        <w:rPr>
          <w:rFonts w:ascii="Times New Roman" w:cs="Times New Roman" w:eastAsia="Times New Roman" w:hAnsi="Times New Roman"/>
          <w:sz w:val="21"/>
          <w:szCs w:val="21"/>
          <w:color w:val="auto"/>
        </w:rPr>
        <w:t>, a Delaware corporation (the “Company”), and replaces and supersedes the employment agreement between the Executive and Company, dated May 14, 2021 (the “Prior Agreement”).</w:t>
      </w:r>
    </w:p>
    <w:p>
      <w:pPr>
        <w:spacing w:after="0" w:line="143" w:lineRule="exact"/>
        <w:rPr>
          <w:sz w:val="20"/>
          <w:szCs w:val="20"/>
          <w:color w:val="auto"/>
        </w:rPr>
      </w:pPr>
    </w:p>
    <w:p>
      <w:pPr>
        <w:ind w:left="1020" w:hanging="263"/>
        <w:spacing w:after="0"/>
        <w:tabs>
          <w:tab w:leader="none" w:pos="1020"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Duties and Scope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3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For the term of his or her employment under this Agreement (the “Employment”),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agrees to employ the Executive in the position of Senior Vice President, Product and Engineering &amp; Chief Technology Officer. The Executive shall report to the Chief Executive Officer.</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3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Obligations to the Company</w:t>
      </w:r>
      <w:r>
        <w:rPr>
          <w:rFonts w:ascii="Times New Roman" w:cs="Times New Roman" w:eastAsia="Times New Roman" w:hAnsi="Times New Roman"/>
          <w:sz w:val="22"/>
          <w:szCs w:val="22"/>
          <w:color w:val="auto"/>
        </w:rPr>
        <w:t>. During his or her Employment, the Executive (i) shall devote his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 business efforts and time to the Company, (ii) shall not engage in any other employment, consulting or other business activity that would create a conflict of interest with the Company, (iii) shall not assist any person or entity in competing with the Company or in preparing to compete with the Company and (iv) shall materially comply with the Company’s policies and rules, as they may be in effect from time to time.</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3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Conflicting Obligations</w:t>
      </w:r>
      <w:r>
        <w:rPr>
          <w:rFonts w:ascii="Times New Roman" w:cs="Times New Roman" w:eastAsia="Times New Roman" w:hAnsi="Times New Roman"/>
          <w:sz w:val="22"/>
          <w:szCs w:val="22"/>
          <w:color w:val="auto"/>
        </w:rPr>
        <w:t>. The Executive represents and warrants to the Company that he or she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no obligations or commitments, whether contractual or otherwise, that are inconsistent with his or her obligations under this Agreement. The Executive represents and warrants that he or she will not use or disclose, in connection with his or her Employment, any trade secrets or other proprietary information or intellectual property in which the Executive or any other person has any right, title or interest and that his Employment will not infringe or violate the rights of any other person.</w:t>
      </w:r>
    </w:p>
    <w:p>
      <w:pPr>
        <w:spacing w:after="0" w:line="17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3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Certain capitalized terms are defined in Section 11.</w:t>
      </w:r>
    </w:p>
    <w:p>
      <w:pPr>
        <w:spacing w:after="0" w:line="20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and Incentive Compensation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3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The Company shall pay the Executive as compensation for his services a base salary at a gross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rate of $310,000. Such salary shall be payable in accordance with the Company’s standard payroll procedures and shall be subject to adjustment pursuant to the Company’s executive compensation policies in effect from time to time.</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3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Bonus</w:t>
      </w:r>
      <w:r>
        <w:rPr>
          <w:rFonts w:ascii="Times New Roman" w:cs="Times New Roman" w:eastAsia="Times New Roman" w:hAnsi="Times New Roman"/>
          <w:sz w:val="22"/>
          <w:szCs w:val="22"/>
          <w:color w:val="auto"/>
        </w:rPr>
        <w:t>. You will be eligible for an annual discretionary performance bonus subject to achievement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targets as approved by the Company’s Board of Directors (the “Board”) or its Compensation Committee (the “Committee”). This discretionary target bonus will be $150,000 and any such bonus will be paid in accordance with the Company’s bonus program then in effect. Performance bonus goals and attainment of such goals will be evaluated and approved by the Committee and paid on an annual basis, with such payment, to the extent earned,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within 2 ½ months following the close of the applicable fiscal year, but only if you are still employed by the Company as of the date of payment. The determinations of the Board or Committee with respect to your bonus will be final and binding.</w:t>
      </w:r>
    </w:p>
    <w:p>
      <w:pPr>
        <w:spacing w:after="0" w:line="154" w:lineRule="exact"/>
        <w:rPr>
          <w:sz w:val="20"/>
          <w:szCs w:val="20"/>
          <w:color w:val="auto"/>
        </w:rPr>
      </w:pPr>
    </w:p>
    <w:p>
      <w:pPr>
        <w:jc w:val="both"/>
        <w:ind w:firstLine="757"/>
        <w:spacing w:after="0" w:line="256" w:lineRule="auto"/>
        <w:tabs>
          <w:tab w:leader="none" w:pos="1018" w:val="left"/>
        </w:tabs>
        <w:numPr>
          <w:ilvl w:val="0"/>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Executive Benefits</w:t>
      </w:r>
      <w:r>
        <w:rPr>
          <w:rFonts w:ascii="Times New Roman" w:cs="Times New Roman" w:eastAsia="Times New Roman" w:hAnsi="Times New Roman"/>
          <w:sz w:val="21"/>
          <w:szCs w:val="21"/>
          <w:color w:val="auto"/>
        </w:rPr>
        <w:t>. During his or her Employment, the Executive shall be eligible for paid time off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Company’s PTO policy, as in effect from time to time. During his or her Employment, the Executive shall also be eligible to participate in the executive benefit plans maintained by the Company, subject in each case to the generally applicable terms and conditions of the plan in question and to the determinations of any person or committee administering such plan.</w:t>
      </w:r>
    </w:p>
    <w:p>
      <w:pPr>
        <w:spacing w:after="0" w:line="157"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3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at Will</w:t>
      </w:r>
      <w:r>
        <w:rPr>
          <w:rFonts w:ascii="Times New Roman" w:cs="Times New Roman" w:eastAsia="Times New Roman" w:hAnsi="Times New Roman"/>
          <w:sz w:val="22"/>
          <w:szCs w:val="22"/>
          <w:color w:val="auto"/>
        </w:rPr>
        <w:t>. The Executive’s Employment with the Company shall be “at will,” meaning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the Executive or the Company shall be entitled to terminate the Executive’s Employment at any time and for any reason, with or without Cause. Any contrary representations that may have been made to the Executive shall be superseded by this Agreement. This Agreement shall constitute the full and complete agreement between the Executive and the Company on the “at will” nature of the Executive’s Employment. Although Executive’s job duties, title, compensation and benefits, as well as the Company’s personnel policies and procedures, may change from time to time, the “at will” nature of the Executive’s employment may only be changed in an express written agreement signed by the Executive and a duly authorized officer of the Company (other than the Executive). The termination of the Executive’s Employment shall not limit or otherwise affect his or her obligations under Sections 6 and/or 7 below or his or her rights under Section 5 below.</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3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upon Termination</w:t>
      </w:r>
      <w:r>
        <w:rPr>
          <w:rFonts w:ascii="Times New Roman" w:cs="Times New Roman" w:eastAsia="Times New Roman" w:hAnsi="Times New Roman"/>
          <w:sz w:val="22"/>
          <w:szCs w:val="22"/>
          <w:color w:val="auto"/>
        </w:rPr>
        <w:t>. Except as expressly provided in Section 5 below, upon the termination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the Executive shall only be entitled to the compensation and benefits that the Executive has earned under this Agreement before the effective date of the termination. The payments under this Agreement shall fully discharge all responsibilities of the Company to the Executive (other than payments of accrued and vested executive benefits, if any, under the Company’s executive benefit plans).</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Benefits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3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If you are subject to an Involuntary Termination, then you will be entitled to the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in Section 5(b) or 5(c), as applicable, below. However, Section 5(b) or 5(c), as applicable, will not apply unless you (i) have returned all Company property in your possession, (ii) have resigned from all positions you hold with the Company, including (if applicable) as a member of the Board and as a member of the board of directors of any subsidiaries of the Company, and (iii) have executed a general release of all claims (with applicable carve-out for continued indemnification pursuant to law, contract or the Company’s bylaws and other customary exceptions at the discretion of the Company) that you may have against the Company or persons affiliated with the Company. You must execute and return the release on or before the date specified by the Company in the prescribed form (the “Release Deadline”). The Release Deadline will in no event be later than 50 days after your Separation. If you fail to return the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release on or before the Release Deadline, or if you revoke the release, then you will not be entitled to the benefits described in Section 5(b) or 5(c), as applicable. For avoidance of doubt, severance benefits will be provided pursuant to either, but not both of, Section 5(b) or 5(c) below. All lump sum severance payments and equity acceleration will be paid or provided within 60 days after your Separation or, if later, on the date a Change in Control occurs. Notwithstanding the foregoing, if the 60 day period described in the preceding sentence spans calendar years, then payment will in any event be made in the second calendar year.</w:t>
      </w:r>
    </w:p>
    <w:p>
      <w:pPr>
        <w:spacing w:after="0" w:line="164" w:lineRule="exact"/>
        <w:rPr>
          <w:sz w:val="20"/>
          <w:szCs w:val="20"/>
          <w:color w:val="auto"/>
        </w:rPr>
      </w:pPr>
    </w:p>
    <w:p>
      <w:pPr>
        <w:jc w:val="both"/>
        <w:ind w:firstLine="1505"/>
        <w:spacing w:after="0" w:line="246" w:lineRule="auto"/>
        <w:tabs>
          <w:tab w:leader="none" w:pos="2036" w:val="left"/>
        </w:tabs>
        <w:numPr>
          <w:ilvl w:val="0"/>
          <w:numId w:val="3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Involuntary Termination Not Involving a Change in Control</w:t>
      </w:r>
      <w:r>
        <w:rPr>
          <w:rFonts w:ascii="Times New Roman" w:cs="Times New Roman" w:eastAsia="Times New Roman" w:hAnsi="Times New Roman"/>
          <w:sz w:val="22"/>
          <w:szCs w:val="22"/>
          <w:color w:val="auto"/>
        </w:rPr>
        <w:t>. If you are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at any time other than during a Change in Control Window and you satisfy the conditions described in Section 5(a) above, then you will be entitled to the following severance benefits:</w:t>
      </w:r>
    </w:p>
    <w:p>
      <w:pPr>
        <w:spacing w:after="0" w:line="17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 a lump-sum cash severance payment equal to 0.75 times the sum of your Base Salary and</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Target Bonus;</w:t>
      </w:r>
    </w:p>
    <w:p>
      <w:pPr>
        <w:spacing w:after="0" w:line="182" w:lineRule="exact"/>
        <w:rPr>
          <w:sz w:val="20"/>
          <w:szCs w:val="20"/>
          <w:color w:val="auto"/>
        </w:rPr>
      </w:pPr>
    </w:p>
    <w:p>
      <w:pPr>
        <w:jc w:val="both"/>
        <w:ind w:left="760" w:right="760" w:firstLine="1391"/>
        <w:spacing w:after="0" w:line="244" w:lineRule="auto"/>
        <w:rPr>
          <w:sz w:val="20"/>
          <w:szCs w:val="20"/>
          <w:color w:val="auto"/>
        </w:rPr>
      </w:pPr>
      <w:r>
        <w:rPr>
          <w:rFonts w:ascii="Times New Roman" w:cs="Times New Roman" w:eastAsia="Times New Roman" w:hAnsi="Times New Roman"/>
          <w:sz w:val="22"/>
          <w:szCs w:val="22"/>
          <w:color w:val="auto"/>
        </w:rPr>
        <w:t>(ii)if the Involuntary Termination occurs after the end of a fiscal year, but prior to payment of bonuses for such fiscal year, a lump sum payment equal to any accrued and unpaid bonus for the prior fiscal year (the “Accrued Bonus”);</w:t>
      </w:r>
    </w:p>
    <w:p>
      <w:pPr>
        <w:spacing w:after="0" w:line="173" w:lineRule="exact"/>
        <w:rPr>
          <w:sz w:val="20"/>
          <w:szCs w:val="20"/>
          <w:color w:val="auto"/>
        </w:rPr>
      </w:pPr>
    </w:p>
    <w:p>
      <w:pPr>
        <w:jc w:val="both"/>
        <w:ind w:left="760" w:right="740" w:firstLine="1391"/>
        <w:spacing w:after="0" w:line="239" w:lineRule="auto"/>
        <w:rPr>
          <w:sz w:val="20"/>
          <w:szCs w:val="20"/>
          <w:color w:val="auto"/>
        </w:rPr>
      </w:pPr>
      <w:r>
        <w:rPr>
          <w:rFonts w:ascii="Times New Roman" w:cs="Times New Roman" w:eastAsia="Times New Roman" w:hAnsi="Times New Roman"/>
          <w:sz w:val="22"/>
          <w:szCs w:val="22"/>
          <w:color w:val="auto"/>
        </w:rPr>
        <w:t>(iii)if you elect to continue your health insurance coverage under the Consolidated Omnibus Budget Reconciliation Act (“COBRA”) following your Separation, then the Company will pay your monthly premium under COBRA, which is understood to potentially be higher than said premium for active employees, for the nine (9) months following your Separation; and</w:t>
      </w:r>
    </w:p>
    <w:p>
      <w:pPr>
        <w:spacing w:after="0" w:line="180" w:lineRule="exact"/>
        <w:rPr>
          <w:sz w:val="20"/>
          <w:szCs w:val="20"/>
          <w:color w:val="auto"/>
        </w:rPr>
      </w:pPr>
    </w:p>
    <w:p>
      <w:pPr>
        <w:jc w:val="both"/>
        <w:ind w:left="760" w:right="760" w:firstLine="1391"/>
        <w:spacing w:after="0" w:line="251" w:lineRule="auto"/>
        <w:rPr>
          <w:sz w:val="20"/>
          <w:szCs w:val="20"/>
          <w:color w:val="auto"/>
        </w:rPr>
      </w:pPr>
      <w:r>
        <w:rPr>
          <w:rFonts w:ascii="Times New Roman" w:cs="Times New Roman" w:eastAsia="Times New Roman" w:hAnsi="Times New Roman"/>
          <w:sz w:val="21"/>
          <w:szCs w:val="21"/>
          <w:color w:val="auto"/>
        </w:rPr>
        <w:t>(iv)each outstanding equity award that you hold as of the Involuntary Termination and that is subject to time-based vesting will accelerate and become vested and, if applicable, exercisable with respect the number of shares that would have vested if you had completed an additional nine (9) months of service with the Company. Any equity awards that are subject to unsatisfied performance conditions will not be eligible for acceleration pursuant to this clause (iv) and will be treated as described in the applicable award agreement.</w:t>
      </w:r>
    </w:p>
    <w:p>
      <w:pPr>
        <w:spacing w:after="0" w:line="164" w:lineRule="exact"/>
        <w:rPr>
          <w:sz w:val="20"/>
          <w:szCs w:val="20"/>
          <w:color w:val="auto"/>
        </w:rPr>
      </w:pPr>
    </w:p>
    <w:p>
      <w:pPr>
        <w:jc w:val="both"/>
        <w:ind w:firstLine="1505"/>
        <w:spacing w:after="0" w:line="246" w:lineRule="auto"/>
        <w:tabs>
          <w:tab w:leader="none" w:pos="2036" w:val="left"/>
        </w:tabs>
        <w:numPr>
          <w:ilvl w:val="0"/>
          <w:numId w:val="3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Involuntary Termination Involving a Change in Control</w:t>
      </w:r>
      <w:r>
        <w:rPr>
          <w:rFonts w:ascii="Times New Roman" w:cs="Times New Roman" w:eastAsia="Times New Roman" w:hAnsi="Times New Roman"/>
          <w:sz w:val="22"/>
          <w:szCs w:val="22"/>
          <w:color w:val="auto"/>
        </w:rPr>
        <w:t>. If you are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during a Change in Control Window and you satisfy the conditions described in Section 5(a) above, then you will be entitled to the following severance benefits:</w:t>
      </w:r>
    </w:p>
    <w:p>
      <w:pPr>
        <w:spacing w:after="0" w:line="17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 a lump-sum cash severance payment equal to one (1) times the sum of your Base Salary and</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Target Bonus;</w:t>
      </w:r>
    </w:p>
    <w:p>
      <w:pPr>
        <w:spacing w:after="0" w:line="18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(ii)the Accrued Bonus (if any);</w:t>
      </w:r>
    </w:p>
    <w:p>
      <w:pPr>
        <w:spacing w:after="0" w:line="206" w:lineRule="exact"/>
        <w:rPr>
          <w:sz w:val="20"/>
          <w:szCs w:val="20"/>
          <w:color w:val="auto"/>
        </w:rPr>
      </w:pPr>
    </w:p>
    <w:p>
      <w:pPr>
        <w:ind w:left="760" w:right="740" w:firstLine="1391"/>
        <w:spacing w:after="0" w:line="258" w:lineRule="auto"/>
        <w:rPr>
          <w:sz w:val="20"/>
          <w:szCs w:val="20"/>
          <w:color w:val="auto"/>
        </w:rPr>
      </w:pPr>
      <w:r>
        <w:rPr>
          <w:rFonts w:ascii="Times New Roman" w:cs="Times New Roman" w:eastAsia="Times New Roman" w:hAnsi="Times New Roman"/>
          <w:sz w:val="22"/>
          <w:szCs w:val="22"/>
          <w:color w:val="auto"/>
        </w:rPr>
        <w:t>(iii)if you elect to continue your health insurance coverage under COBRA following your Separation, then the Company will pay your monthly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85" w:lineRule="exact"/>
        <w:rPr>
          <w:sz w:val="20"/>
          <w:szCs w:val="20"/>
          <w:color w:val="auto"/>
        </w:rPr>
      </w:pPr>
    </w:p>
    <w:p>
      <w:pPr>
        <w:jc w:val="both"/>
        <w:ind w:left="760" w:right="760"/>
        <w:spacing w:after="0" w:line="258" w:lineRule="auto"/>
        <w:rPr>
          <w:sz w:val="20"/>
          <w:szCs w:val="20"/>
          <w:color w:val="auto"/>
        </w:rPr>
      </w:pPr>
      <w:r>
        <w:rPr>
          <w:rFonts w:ascii="Times New Roman" w:cs="Times New Roman" w:eastAsia="Times New Roman" w:hAnsi="Times New Roman"/>
          <w:sz w:val="22"/>
          <w:szCs w:val="22"/>
          <w:color w:val="auto"/>
        </w:rPr>
        <w:t>premium under COBRA, which is understood to potentially be higher than said premium for active employees, for the twelve (12) months following your Separation; and</w:t>
      </w:r>
    </w:p>
    <w:p>
      <w:pPr>
        <w:spacing w:after="0" w:line="158" w:lineRule="exact"/>
        <w:rPr>
          <w:sz w:val="20"/>
          <w:szCs w:val="20"/>
          <w:color w:val="auto"/>
        </w:rPr>
      </w:pPr>
    </w:p>
    <w:p>
      <w:pPr>
        <w:jc w:val="both"/>
        <w:ind w:left="760" w:right="740" w:firstLine="1391"/>
        <w:spacing w:after="0" w:line="238" w:lineRule="auto"/>
        <w:rPr>
          <w:sz w:val="20"/>
          <w:szCs w:val="20"/>
          <w:color w:val="auto"/>
        </w:rPr>
      </w:pPr>
      <w:r>
        <w:rPr>
          <w:rFonts w:ascii="Times New Roman" w:cs="Times New Roman" w:eastAsia="Times New Roman" w:hAnsi="Times New Roman"/>
          <w:sz w:val="22"/>
          <w:szCs w:val="22"/>
          <w:color w:val="auto"/>
        </w:rPr>
        <w:t>(iv)one hundred percent (100%) of the unvested portion of each outstanding equity award that you hold as of the Involuntary Termination and that is subject to time-based vesting will vest and, if applicable, become exercisable. Any equity awards that are subject to unsatisfied performance conditions will not be eligible for acceleration pursuant to this clause (iv) and will be treated as described in the applicable award agreement.</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avoidance of doubt, if you are subject to an Involuntary Termination that occurs during a Change in Control Window and such Involuntary Termination occurs prior to a Change in Control, the portion of your then-outstanding and unvested equity awards that is eligible to vest and become exercisable pursuant to clause (iv) above will remain outstanding post-termination so that any additional benefits due pursuant to clause (iv) may be provided if a Change in Control occurs during the Change in Control Window, provided that in no event will any of your stock options remain outstanding beyond the option’s maximum term to expiration. If a Change in Control does not occur during the Change in Control Window, any unvested portion of your equity awards that remained outstanding following your Involuntary Termination will immediately and automatically be forfeited on the date that such awards are no longer eligible for acceleration pursuant to clause (iv) above.</w:t>
      </w:r>
    </w:p>
    <w:p>
      <w:pPr>
        <w:spacing w:after="0" w:line="174" w:lineRule="exact"/>
        <w:rPr>
          <w:sz w:val="20"/>
          <w:szCs w:val="20"/>
          <w:color w:val="auto"/>
        </w:rPr>
      </w:pPr>
    </w:p>
    <w:p>
      <w:pPr>
        <w:ind w:left="2040" w:hanging="535"/>
        <w:spacing w:after="0"/>
        <w:tabs>
          <w:tab w:leader="none" w:pos="2040" w:val="left"/>
        </w:tabs>
        <w:numPr>
          <w:ilvl w:val="1"/>
          <w:numId w:val="3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Accrued Rights. </w:t>
      </w:r>
      <w:r>
        <w:rPr>
          <w:rFonts w:ascii="Times New Roman" w:cs="Times New Roman" w:eastAsia="Times New Roman" w:hAnsi="Times New Roman"/>
          <w:sz w:val="22"/>
          <w:szCs w:val="22"/>
          <w:color w:val="auto"/>
        </w:rPr>
        <w:t>You will be entitled to receive the following upon termination of employment for any</w:t>
      </w:r>
    </w:p>
    <w:p>
      <w:pPr>
        <w:spacing w:after="0" w:line="18" w:lineRule="exact"/>
        <w:rPr>
          <w:rFonts w:ascii="Times New Roman" w:cs="Times New Roman" w:eastAsia="Times New Roman" w:hAnsi="Times New Roman"/>
          <w:sz w:val="22"/>
          <w:szCs w:val="22"/>
          <w:b w:val="1"/>
          <w:bCs w:val="1"/>
          <w:color w:val="auto"/>
        </w:rPr>
      </w:pPr>
    </w:p>
    <w:p>
      <w:pPr>
        <w:jc w:val="both"/>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reason: (i) accrued and unpaid Base Salary through the date of termination of employment; (ii) reimbursement for any unreimbursed business expenses; and (iii) such employee benefits, if any, to which the Executive may be entitled under the applicable Company plans upon termination of employment.</w:t>
      </w:r>
    </w:p>
    <w:p>
      <w:pPr>
        <w:spacing w:after="0" w:line="173"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Documents and Company Property. </w:t>
      </w:r>
      <w:r>
        <w:rPr>
          <w:rFonts w:ascii="Times New Roman" w:cs="Times New Roman" w:eastAsia="Times New Roman" w:hAnsi="Times New Roman"/>
          <w:sz w:val="22"/>
          <w:szCs w:val="22"/>
          <w:color w:val="auto"/>
        </w:rPr>
        <w:t>The Executive is prohibited from keeping in his or her possession in any way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correspondence, documents, other information carriers, copies thereof, and other goods made available by the Company or its affiliates to him (including, but not limited to, credit cards, mobile communication devices, keys, documents, handbooks, financial data, plans, USB sticks or other information carriers, access cards and laptop computer), except to the extent that this is necessary for the performance of his or her work for the Company. In any event, the Executive is obliged to immediately hand over such documents and other goods made available to him at the end of this Agreement or upon suspension of his or her active duties for any reason other than documents relating to his own employment and compensation.</w:t>
      </w:r>
    </w:p>
    <w:p>
      <w:pPr>
        <w:spacing w:after="0" w:line="175"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Proprietary Information and Inventions Agreement. </w:t>
      </w:r>
      <w:r>
        <w:rPr>
          <w:rFonts w:ascii="Times New Roman" w:cs="Times New Roman" w:eastAsia="Times New Roman" w:hAnsi="Times New Roman"/>
          <w:sz w:val="22"/>
          <w:szCs w:val="22"/>
          <w:color w:val="auto"/>
        </w:rPr>
        <w:t>The Executive and the Company entered into that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Employee Invention Assignment and Confidentiality Agreement dated January 1, 2018 (the “PIIA”), a copy of which is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PIIA remains in full force and effect</w:t>
      </w:r>
      <w:r>
        <w:rPr>
          <w:rFonts w:ascii="Times New Roman" w:cs="Times New Roman" w:eastAsia="Times New Roman" w:hAnsi="Times New Roman"/>
          <w:sz w:val="22"/>
          <w:szCs w:val="22"/>
          <w:b w:val="1"/>
          <w:bCs w:val="1"/>
          <w:color w:val="auto"/>
        </w:rPr>
        <w:t>.</w:t>
      </w:r>
    </w:p>
    <w:p>
      <w:pPr>
        <w:spacing w:after="0" w:line="167" w:lineRule="exact"/>
        <w:rPr>
          <w:rFonts w:ascii="Times New Roman" w:cs="Times New Roman" w:eastAsia="Times New Roman" w:hAnsi="Times New Roman"/>
          <w:sz w:val="22"/>
          <w:szCs w:val="22"/>
          <w:color w:val="auto"/>
        </w:rPr>
      </w:pPr>
    </w:p>
    <w:p>
      <w:pPr>
        <w:ind w:firstLine="757"/>
        <w:spacing w:after="0" w:line="262" w:lineRule="auto"/>
        <w:tabs>
          <w:tab w:leader="none" w:pos="1018"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Reimbursement of Expenses. </w:t>
      </w:r>
      <w:r>
        <w:rPr>
          <w:rFonts w:ascii="Times New Roman" w:cs="Times New Roman" w:eastAsia="Times New Roman" w:hAnsi="Times New Roman"/>
          <w:sz w:val="22"/>
          <w:szCs w:val="22"/>
          <w:color w:val="auto"/>
        </w:rPr>
        <w:t>The Company will reimburse business expenses reasonably incurred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your duties in accordance with the Company’s standard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85"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22"/>
          <w:szCs w:val="22"/>
          <w:color w:val="auto"/>
        </w:rPr>
        <w:t>practice and expense scheme in place at the time (generally within 30 days after you have submitted appropriate documentation, which you must do within 30 days after incurring the expense) and, in any case, on or before the last day of the calendar year following the calendar year in which the relevant expense is incurred. The Company will reimburse reasonable costs of the professional use of your (mobile) telephone.</w:t>
      </w:r>
    </w:p>
    <w:p>
      <w:pPr>
        <w:spacing w:after="0" w:line="176" w:lineRule="exact"/>
        <w:rPr>
          <w:sz w:val="20"/>
          <w:szCs w:val="20"/>
          <w:color w:val="auto"/>
        </w:rPr>
      </w:pPr>
    </w:p>
    <w:p>
      <w:pPr>
        <w:ind w:left="1020" w:hanging="263"/>
        <w:spacing w:after="0"/>
        <w:tabs>
          <w:tab w:leader="none" w:pos="102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100" w:firstLine="1505"/>
        <w:spacing w:after="0" w:line="241" w:lineRule="auto"/>
        <w:tabs>
          <w:tab w:leader="none" w:pos="2036" w:val="left"/>
        </w:tabs>
        <w:numPr>
          <w:ilvl w:val="1"/>
          <w:numId w:val="3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Company’s Successors</w:t>
      </w:r>
      <w:r>
        <w:rPr>
          <w:rFonts w:ascii="Times New Roman" w:cs="Times New Roman" w:eastAsia="Times New Roman" w:hAnsi="Times New Roman"/>
          <w:sz w:val="22"/>
          <w:szCs w:val="22"/>
          <w:color w:val="auto"/>
        </w:rPr>
        <w:t>. This Agreement shall be binding upon any successor (whether direct or indirect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71" w:lineRule="exact"/>
        <w:rPr>
          <w:rFonts w:ascii="Times New Roman" w:cs="Times New Roman" w:eastAsia="Times New Roman" w:hAnsi="Times New Roman"/>
          <w:sz w:val="22"/>
          <w:szCs w:val="22"/>
          <w:b w:val="1"/>
          <w:bCs w:val="1"/>
          <w:color w:val="auto"/>
        </w:rPr>
      </w:pPr>
    </w:p>
    <w:p>
      <w:pPr>
        <w:jc w:val="both"/>
        <w:ind w:right="100" w:firstLine="1505"/>
        <w:spacing w:after="0" w:line="246" w:lineRule="auto"/>
        <w:tabs>
          <w:tab w:leader="none" w:pos="2036" w:val="left"/>
        </w:tabs>
        <w:numPr>
          <w:ilvl w:val="1"/>
          <w:numId w:val="3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Executive’s Successors</w:t>
      </w:r>
      <w:r>
        <w:rPr>
          <w:rFonts w:ascii="Times New Roman" w:cs="Times New Roman" w:eastAsia="Times New Roman" w:hAnsi="Times New Roman"/>
          <w:sz w:val="22"/>
          <w:szCs w:val="22"/>
          <w:color w:val="auto"/>
        </w:rPr>
        <w:t>. This Agreement and all rights of the Executive hereunder shall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and be enforceable by, the Executive’s personal or legal representatives, executors, administrators, successors, heirs, distributees, devisees and legatees.</w:t>
      </w:r>
    </w:p>
    <w:p>
      <w:pPr>
        <w:spacing w:after="0" w:line="167" w:lineRule="exact"/>
        <w:rPr>
          <w:sz w:val="20"/>
          <w:szCs w:val="20"/>
          <w:color w:val="auto"/>
        </w:rPr>
      </w:pPr>
    </w:p>
    <w:p>
      <w:pPr>
        <w:jc w:val="both"/>
        <w:ind w:right="100" w:firstLine="749"/>
        <w:spacing w:after="0" w:line="237"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 During your employment by the Company and at all times thereafter, regardless of the reason for termination, to the fullest extent permitted by its articles of incorporation and by applicable law, the Company shall indemnify you and hold you harmless against any cost, fee, expense, fine or penalty to which you may be subject as a result of serving as an employee or officer of the Company and provide for you to be covered by the insurance or other indemnity policy applicable to officers or directors of the Company (including any rights to advances or reimbursement of legal fees thereunder). The Company’s indemnification obligation shall survive any termination of your employment.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The following terms shall have the meaning set forth below wherever they are used in this Agreement:</w:t>
      </w:r>
    </w:p>
    <w:p>
      <w:pPr>
        <w:spacing w:after="0" w:line="206" w:lineRule="exact"/>
        <w:rPr>
          <w:sz w:val="20"/>
          <w:szCs w:val="20"/>
          <w:color w:val="auto"/>
        </w:rPr>
      </w:pPr>
    </w:p>
    <w:p>
      <w:pPr>
        <w:jc w:val="both"/>
        <w:ind w:right="100" w:firstLine="1505"/>
        <w:spacing w:after="0" w:line="241" w:lineRule="auto"/>
        <w:tabs>
          <w:tab w:leader="none" w:pos="2036" w:val="left"/>
        </w:tabs>
        <w:numPr>
          <w:ilvl w:val="0"/>
          <w:numId w:val="3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shall mean the Executive’s annual base salary, as it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adjusted from time to time. For purposes of Sections 5(b) and (c),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shall mean Executive’s annual base salary as in effect immediately prior to an Involuntary Termination, determined without regard to any reduction that constitutes grounds for a Resignation for Good Reason.</w:t>
      </w:r>
    </w:p>
    <w:p>
      <w:pPr>
        <w:spacing w:after="0" w:line="171"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210" w:lineRule="exact"/>
        <w:rPr>
          <w:rFonts w:ascii="Times New Roman" w:cs="Times New Roman" w:eastAsia="Times New Roman" w:hAnsi="Times New Roman"/>
          <w:sz w:val="22"/>
          <w:szCs w:val="22"/>
          <w:b w:val="1"/>
          <w:bCs w:val="1"/>
          <w:color w:val="auto"/>
        </w:rPr>
      </w:pPr>
    </w:p>
    <w:p>
      <w:pPr>
        <w:ind w:left="760" w:right="140" w:firstLine="1494"/>
        <w:spacing w:after="0" w:line="258" w:lineRule="auto"/>
        <w:tabs>
          <w:tab w:leader="none" w:pos="2689" w:val="left"/>
        </w:tabs>
        <w:numPr>
          <w:ilvl w:val="1"/>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failure by you to comply with the Company’s written policies or rules after being provided written notice and 30 days’ opportunity to cure;</w:t>
      </w:r>
    </w:p>
    <w:p>
      <w:pPr>
        <w:spacing w:after="0" w:line="50" w:lineRule="exact"/>
        <w:rPr>
          <w:rFonts w:ascii="Times New Roman" w:cs="Times New Roman" w:eastAsia="Times New Roman" w:hAnsi="Times New Roman"/>
          <w:sz w:val="22"/>
          <w:szCs w:val="22"/>
          <w:color w:val="auto"/>
        </w:rPr>
      </w:pPr>
    </w:p>
    <w:p>
      <w:pPr>
        <w:ind w:left="760" w:right="140" w:firstLine="1494"/>
        <w:spacing w:after="0" w:line="258" w:lineRule="auto"/>
        <w:tabs>
          <w:tab w:leader="none" w:pos="2689" w:val="left"/>
        </w:tabs>
        <w:numPr>
          <w:ilvl w:val="1"/>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conviction of, or plea of “guilty” or “no contest” to, a crime involving moral turpitude, deceit, dishonesty or fraud that has caused harm to the Company or any affiliate of the Company;</w:t>
      </w:r>
    </w:p>
    <w:p>
      <w:pPr>
        <w:spacing w:after="0" w:line="50" w:lineRule="exact"/>
        <w:rPr>
          <w:sz w:val="20"/>
          <w:szCs w:val="20"/>
          <w:color w:val="auto"/>
        </w:rPr>
      </w:pPr>
    </w:p>
    <w:p>
      <w:pPr>
        <w:ind w:left="760" w:firstLine="1576"/>
        <w:spacing w:after="0" w:line="258" w:lineRule="auto"/>
        <w:tabs>
          <w:tab w:leader="none" w:pos="3121"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willful and continued failure to substantially perform (other than by reason of Disabili your duties and responsibilities assigned or delegated after</w:t>
      </w:r>
    </w:p>
    <w:p>
      <w:pPr>
        <w:spacing w:after="0" w:line="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11" w:name="page312"/>
    <w:bookmarkEnd w:id="311"/>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receiving written notification of such failure from the Company and 30 days’ opportunity to cure;</w:t>
      </w:r>
    </w:p>
    <w:p>
      <w:pPr>
        <w:spacing w:after="0" w:line="98" w:lineRule="exact"/>
        <w:rPr>
          <w:sz w:val="20"/>
          <w:szCs w:val="20"/>
          <w:color w:val="auto"/>
        </w:rPr>
      </w:pPr>
    </w:p>
    <w:p>
      <w:pPr>
        <w:jc w:val="both"/>
        <w:ind w:left="760" w:firstLine="1494"/>
        <w:spacing w:after="0" w:line="244" w:lineRule="auto"/>
        <w:tabs>
          <w:tab w:leader="none" w:pos="2689"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intentional act of dishonesty, deceit, fraud, moral turpitude, misconduct, breach of trust or acts intentionally against the financial or business interests of the Company by you, or your use or possession of illegal drugs in the workplace;</w:t>
      </w:r>
    </w:p>
    <w:p>
      <w:pPr>
        <w:spacing w:after="0" w:line="65" w:lineRule="exact"/>
        <w:rPr>
          <w:rFonts w:ascii="Times New Roman" w:cs="Times New Roman" w:eastAsia="Times New Roman" w:hAnsi="Times New Roman"/>
          <w:sz w:val="22"/>
          <w:szCs w:val="22"/>
          <w:color w:val="auto"/>
        </w:rPr>
      </w:pPr>
    </w:p>
    <w:p>
      <w:pPr>
        <w:ind w:left="760" w:right="20" w:firstLine="1494"/>
        <w:spacing w:after="0" w:line="258" w:lineRule="auto"/>
        <w:tabs>
          <w:tab w:leader="none" w:pos="2689"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breach by you of any of your obligations under any agreement between you and the Company after being provided written notice and 30 days’ opportunity to cure; or</w:t>
      </w:r>
    </w:p>
    <w:p>
      <w:pPr>
        <w:spacing w:after="0" w:line="50" w:lineRule="exact"/>
        <w:rPr>
          <w:rFonts w:ascii="Times New Roman" w:cs="Times New Roman" w:eastAsia="Times New Roman" w:hAnsi="Times New Roman"/>
          <w:sz w:val="22"/>
          <w:szCs w:val="22"/>
          <w:color w:val="auto"/>
        </w:rPr>
      </w:pPr>
    </w:p>
    <w:p>
      <w:pPr>
        <w:ind w:left="760" w:right="60" w:firstLine="1494"/>
        <w:spacing w:after="0" w:line="258" w:lineRule="auto"/>
        <w:tabs>
          <w:tab w:leader="none" w:pos="2689"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failure to cooperate in good faith with a governmental or internal investigation of the Company or its directors, officers or employees, if the Company has requested your cooperation</w:t>
      </w:r>
      <w:r>
        <w:rPr>
          <w:rFonts w:ascii="Times New Roman" w:cs="Times New Roman" w:eastAsia="Times New Roman" w:hAnsi="Times New Roman"/>
          <w:sz w:val="22"/>
          <w:szCs w:val="22"/>
          <w:b w:val="1"/>
          <w:bCs w:val="1"/>
          <w:color w:val="auto"/>
        </w:rPr>
        <w:t>.</w:t>
      </w:r>
    </w:p>
    <w:p>
      <w:pPr>
        <w:spacing w:after="0" w:line="5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For purposes of this definition of Cause, no act, or failure to act, will be deemed “willful” or “intentional” if done or omitted to be done by the Executive in good faith with a reasonable belief that Executive’s act, or failure to act, was in the best interest of the Company.</w:t>
      </w:r>
    </w:p>
    <w:p>
      <w:pPr>
        <w:spacing w:after="0" w:line="61" w:lineRule="exact"/>
        <w:rPr>
          <w:sz w:val="20"/>
          <w:szCs w:val="20"/>
          <w:color w:val="auto"/>
        </w:rPr>
      </w:pPr>
    </w:p>
    <w:p>
      <w:pPr>
        <w:jc w:val="both"/>
        <w:ind w:firstLine="1505"/>
        <w:spacing w:after="0" w:line="233" w:lineRule="auto"/>
        <w:tabs>
          <w:tab w:leader="none" w:pos="2036" w:val="left"/>
        </w:tabs>
        <w:numPr>
          <w:ilvl w:val="0"/>
          <w:numId w:val="3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shall mean (i) any “person” (as such term is used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 (iii) the sale, transfer or other disposition of all or substantially all of the Company’s assets. In the case of any severance payment or benefit that is subject to Section 409A of the Code, a Change in Control must also constitute a “change in control event,” as defined in Treasury Regulation Section 1.409A-3(i)(5), but only to the extent necessary to avoid the imposition of penalty taxes pursuant to Code Section 409A.</w:t>
      </w:r>
    </w:p>
    <w:p>
      <w:pPr>
        <w:spacing w:after="0" w:line="184"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3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 Window</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Change in Control Window</w:t>
      </w:r>
      <w:r>
        <w:rPr>
          <w:rFonts w:ascii="Times New Roman" w:cs="Times New Roman" w:eastAsia="Times New Roman" w:hAnsi="Times New Roman"/>
          <w:sz w:val="22"/>
          <w:szCs w:val="22"/>
          <w:color w:val="auto"/>
        </w:rPr>
        <w:t>” shall mean the period beginning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three (3) months prior to a Change in Control (if any) and ending twelve months after such Change in Control. In addition, the “</w:t>
      </w:r>
      <w:r>
        <w:rPr>
          <w:rFonts w:ascii="Times New Roman" w:cs="Times New Roman" w:eastAsia="Times New Roman" w:hAnsi="Times New Roman"/>
          <w:sz w:val="22"/>
          <w:szCs w:val="22"/>
          <w:b w:val="1"/>
          <w:bCs w:val="1"/>
          <w:color w:val="auto"/>
        </w:rPr>
        <w:t>Change in Control Window</w:t>
      </w:r>
      <w:r>
        <w:rPr>
          <w:rFonts w:ascii="Times New Roman" w:cs="Times New Roman" w:eastAsia="Times New Roman" w:hAnsi="Times New Roman"/>
          <w:sz w:val="22"/>
          <w:szCs w:val="22"/>
          <w:color w:val="auto"/>
        </w:rPr>
        <w:t>” shall also include such longer period (if any) beginning on the date that a definitive agreement for a Change in Control is executed, but only if such Change in Control is consummated.</w:t>
      </w:r>
    </w:p>
    <w:p>
      <w:pPr>
        <w:spacing w:after="0" w:line="171"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3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that the Executive is unable to engage in any substantial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gainful activity as required to perform his or her material duties (with reasonable accommodation) by reason of any medically determinable physical or mental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impairment which can be expected to result in death or to last for a continuous period of not less than twelve months.</w:t>
      </w:r>
    </w:p>
    <w:p>
      <w:pPr>
        <w:spacing w:after="0" w:line="202" w:lineRule="exact"/>
        <w:rPr>
          <w:sz w:val="20"/>
          <w:szCs w:val="20"/>
          <w:color w:val="auto"/>
        </w:rPr>
      </w:pPr>
    </w:p>
    <w:p>
      <w:pPr>
        <w:jc w:val="both"/>
        <w:ind w:firstLine="1505"/>
        <w:spacing w:after="0" w:line="246" w:lineRule="auto"/>
        <w:tabs>
          <w:tab w:leader="none" w:pos="2036" w:val="left"/>
        </w:tabs>
        <w:numPr>
          <w:ilvl w:val="0"/>
          <w:numId w:val="3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shall mean either the Executive’s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Without Cause or (ii) Resignation for Good Reason. For avoidance of doubt, Executive’s Separation due to Executive’s death or Disability shall not constitute an Involuntary Termination.</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3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Resignation for Good Reason</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Resignation for Good Reason</w:t>
      </w:r>
      <w:r>
        <w:rPr>
          <w:rFonts w:ascii="Times New Roman" w:cs="Times New Roman" w:eastAsia="Times New Roman" w:hAnsi="Times New Roman"/>
          <w:sz w:val="22"/>
          <w:szCs w:val="22"/>
          <w:color w:val="auto"/>
        </w:rPr>
        <w:t>” means a Separation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of the Executive’s resignation within 12 months after one of the following conditions has come into existence without the Executive’s written consent:</w:t>
      </w:r>
    </w:p>
    <w:p>
      <w:pPr>
        <w:spacing w:after="0" w:line="171" w:lineRule="exact"/>
        <w:rPr>
          <w:rFonts w:ascii="Times New Roman" w:cs="Times New Roman" w:eastAsia="Times New Roman" w:hAnsi="Times New Roman"/>
          <w:sz w:val="22"/>
          <w:szCs w:val="22"/>
          <w:b w:val="1"/>
          <w:bCs w:val="1"/>
          <w:color w:val="auto"/>
        </w:rPr>
      </w:pPr>
    </w:p>
    <w:p>
      <w:pPr>
        <w:jc w:val="both"/>
        <w:ind w:firstLine="2254"/>
        <w:spacing w:after="0" w:line="239" w:lineRule="auto"/>
        <w:tabs>
          <w:tab w:leader="none" w:pos="2546" w:val="left"/>
        </w:tabs>
        <w:numPr>
          <w:ilvl w:val="1"/>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compensation (consisting of base salary, target bonus opportunity and target annual equity value and excluding any special, one-time, new hire, promotion or other exceptional equity awards), except for across-the-board reductions, outside of Change in Control Window, affecting the Company’s similarly situated employees generally;</w:t>
      </w:r>
    </w:p>
    <w:p>
      <w:pPr>
        <w:spacing w:after="0" w:line="180"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title, duties, authority and responsibilities within the Company;</w:t>
      </w:r>
    </w:p>
    <w:p>
      <w:pPr>
        <w:spacing w:after="0" w:line="206"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(iii)relocation of your principal workplace by more than fifty (50) miles away from the location which you were working immediately prior to the required relocation without your prior consent; or</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(iv)a material breach of the Company’s obligation under any agreement between the Company and you.</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Resignation for Good Reason shall not be deemed to have occurred unless the Executive gives the Company written notice of the condition within 60 days after the condition comes into existence and the Company fails to remedy the condition within 30 days after receiving the Executive’s written notice.</w:t>
      </w:r>
    </w:p>
    <w:p>
      <w:pPr>
        <w:spacing w:after="0" w:line="169" w:lineRule="exact"/>
        <w:rPr>
          <w:sz w:val="20"/>
          <w:szCs w:val="20"/>
          <w:color w:val="auto"/>
        </w:rPr>
      </w:pPr>
    </w:p>
    <w:p>
      <w:pPr>
        <w:ind w:right="20" w:firstLine="1505"/>
        <w:spacing w:after="0" w:line="262" w:lineRule="auto"/>
        <w:tabs>
          <w:tab w:leader="none" w:pos="2036" w:val="left"/>
        </w:tabs>
        <w:numPr>
          <w:ilvl w:val="0"/>
          <w:numId w:val="3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The term “Separation” shall mean a “separation from service,” as defined in the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409A of the Code.</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3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The term “Target Bonus” shall mean Executive’s annual target bonus opportunity,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adjusted from time to time. For purposes of Sections 5(b) and (c), “Target Bonus” shall mean Executive’s annual target bonus opportunity as in effect immediately prior to an Involuntary Termination, determined without regard to any reduction that constitutes grounds for a Resignation for Good Reason.</w:t>
      </w:r>
    </w:p>
    <w:p>
      <w:pPr>
        <w:spacing w:after="0" w:line="171" w:lineRule="exact"/>
        <w:rPr>
          <w:rFonts w:ascii="Times New Roman" w:cs="Times New Roman" w:eastAsia="Times New Roman" w:hAnsi="Times New Roman"/>
          <w:sz w:val="22"/>
          <w:szCs w:val="22"/>
          <w:b w:val="1"/>
          <w:bCs w:val="1"/>
          <w:color w:val="auto"/>
        </w:rPr>
      </w:pPr>
    </w:p>
    <w:p>
      <w:pPr>
        <w:ind w:right="20" w:firstLine="1505"/>
        <w:spacing w:after="0" w:line="262" w:lineRule="auto"/>
        <w:tabs>
          <w:tab w:leader="none" w:pos="2036"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Without Cause</w:t>
      </w:r>
      <w:r>
        <w:rPr>
          <w:rFonts w:ascii="Times New Roman" w:cs="Times New Roman" w:eastAsia="Times New Roman" w:hAnsi="Times New Roman"/>
          <w:sz w:val="22"/>
          <w:szCs w:val="22"/>
          <w:color w:val="auto"/>
        </w:rPr>
        <w:t>” The term “Termination without Cause” means a Separation as a result of a termination of the Executive’s employment by the Company without Cause and other than as a result of Disability.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2036" w:val="left"/>
        </w:tabs>
        <w:numPr>
          <w:ilvl w:val="0"/>
          <w:numId w:val="3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Notices and all other communications contemplated by this Agreement shall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have been duly given when personally delivered, when delivered via email to a Company domain email address or, following the Separation, to the Executive’s personal email address on file with Human Resources, when delivered by FedEx with delivery charges prepaid, or when mailed by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3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Modifications and Waivers</w:t>
      </w:r>
      <w:r>
        <w:rPr>
          <w:rFonts w:ascii="Times New Roman" w:cs="Times New Roman" w:eastAsia="Times New Roman" w:hAnsi="Times New Roman"/>
          <w:sz w:val="22"/>
          <w:szCs w:val="22"/>
          <w:color w:val="auto"/>
        </w:rPr>
        <w:t>. No provision of this Agreement shall be modified, waived or discharged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3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Whole Agreement</w:t>
      </w:r>
      <w:r>
        <w:rPr>
          <w:rFonts w:ascii="Times New Roman" w:cs="Times New Roman" w:eastAsia="Times New Roman" w:hAnsi="Times New Roman"/>
          <w:sz w:val="22"/>
          <w:szCs w:val="22"/>
          <w:color w:val="auto"/>
        </w:rPr>
        <w:t>. This Agreement supersedes and replaces any prior agreements, including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limitation, the Prior Agreement, representations or understandings (whether written, oral, implied or otherwise) between the Executive and the Company and constitute the complete agreement between the Executive and the Company regarding the subject matter set forth herein.</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2036" w:val="left"/>
        </w:tabs>
        <w:numPr>
          <w:ilvl w:val="0"/>
          <w:numId w:val="3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Matters</w:t>
      </w:r>
      <w:r>
        <w:rPr>
          <w:rFonts w:ascii="Times New Roman" w:cs="Times New Roman" w:eastAsia="Times New Roman" w:hAnsi="Times New Roman"/>
          <w:sz w:val="22"/>
          <w:szCs w:val="22"/>
          <w:color w:val="auto"/>
        </w:rPr>
        <w:t>. All payments made under this Agreement shall be subject to reduction to reflect taxes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charges required to be withheld by law. The Company intends that all payments and benefits provided under this Agreement or otherwise are exempt from, or comply with, with the requirements of Code Section 409A so that none of the payments or benefits will be subject to the additional tax imposed under Code Section 409A, and any ambiguities herein will be interpreted in accordance with such intent. For purposes of Code Section 409A, each payment, installment or benefit payable under this Agreement is hereby designated as a separate payment. In addition, if the Company determines that you are a “specified employee” under Code Section 409A(a)(2)(B)(i) at the time of your Separation, then (i) any severance payments or benefits, to the extent that they are subject to Code Section 409A, will not be paid or otherwise provided until the first business day following (A) expiration of the six-month period measured from your Separation or (B) the date of your death and (ii) any installments that otherwise would have been paid or provided prior to such date will be paid or provided in a lump sum when the severance payments or benefits commence. The Company shall not have a duty to design its compensation policies in a manner that minimizes your tax liabilities, and you agree not to make any claim against the Company or the Board related to tax liabilities arising from your compensation.</w:t>
      </w:r>
    </w:p>
    <w:p>
      <w:pPr>
        <w:spacing w:after="0" w:line="182"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3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280G. Parachute Payments. </w:t>
      </w:r>
      <w:r>
        <w:rPr>
          <w:rFonts w:ascii="Times New Roman" w:cs="Times New Roman" w:eastAsia="Times New Roman" w:hAnsi="Times New Roman"/>
          <w:sz w:val="22"/>
          <w:szCs w:val="22"/>
          <w:color w:val="auto"/>
        </w:rPr>
        <w:t>If any payment or benefit that you would receive in connection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in Control from the Company or otherwise (“Payment”) would (i) constitute a “parachute payment” within the meaning of Section 280G of the Code, and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85" w:lineRule="exact"/>
        <w:rPr>
          <w:sz w:val="20"/>
          <w:szCs w:val="20"/>
          <w:color w:val="auto"/>
        </w:rPr>
      </w:pPr>
    </w:p>
    <w:p>
      <w:pPr>
        <w:jc w:val="both"/>
        <w:ind w:firstLine="8"/>
        <w:spacing w:after="0" w:line="233" w:lineRule="auto"/>
        <w:tabs>
          <w:tab w:leader="none" w:pos="318"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but for this sentence, be subject to the excise tax imposed by Section 4999 of the Code (the “Excise Tax”), then such Payment shall be equal to the Reduced Amount. The “Reduced Amount”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your receipt of the greatest economic benefit notwithstanding that all or some portion of the Payment may be subject to the Excise Tax. If a reduction in payments or benefits constituting “parachute payments” is necessary so that the Payment equals the Reduced Amount, any reduction shall be applied first,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amounts that constitute deferred compensation within the meaning of Section 409A of the Code, and, in the event that the reductions pursuant to this Section 12(e) exceed payments that are subject to Section 409A of the Code, the remaining reductions shall be applied,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any other remaining payments, first with respect to amounts payable in cash before being made in respect to any payments to be provided in the form of benefits or equity award acceleration, and in the form of benefits before being made with respect to equity award acceleration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Company’s determinations hereunder shall be final, binding and conclusive on all interested parties.</w:t>
      </w:r>
    </w:p>
    <w:p>
      <w:pPr>
        <w:spacing w:after="0" w:line="178"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1"/>
          <w:numId w:val="3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Arbitration. </w:t>
      </w:r>
      <w:r>
        <w:rPr>
          <w:rFonts w:ascii="Times New Roman" w:cs="Times New Roman" w:eastAsia="Times New Roman" w:hAnsi="Times New Roman"/>
          <w:sz w:val="22"/>
          <w:szCs w:val="22"/>
          <w:color w:val="auto"/>
        </w:rPr>
        <w:t>Any controversy or claim arising out of this Agreement and any and all claims relating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employment with the Company will be settled by final and binding arbitration. The arbitration will take place in the Commonwealth of Massachusetts. The arbitration will be administered by the American Arbitration Association under its National Rules for the Resolution of Employment Disputes. Any award or finding will be confidential. You and the Company agree to provide one another with reasonable access to documents and witnesses in connection with the resolution of the dispute. You and the Company will share the costs of arbitration equally up to, for you, the filing fee to bring a civil action in the state courts of Massachusetts. Each party will be responsible for its own attorneys’ fees, and the arbitrator may not award attorneys’ fees unless a statute or contract at issue specifically authorizes such an award. This Section 12(f) does not apply to claims for workers’ compensation benefits or unemployment insurance benefits. This Section 12(f) also does not apply to claims concerning the ownership, validity, infringement, misappropriation, disclosure, misuse or enforceability of any confidential information, patent right, copyright, mask work, trademark or any other trade secret or intellectual property held or sought by either you or the Company (whether or not arising under the Proprietary Information and Inventions Agreement between you and the Company).</w:t>
      </w:r>
    </w:p>
    <w:p>
      <w:pPr>
        <w:spacing w:after="0" w:line="182"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1"/>
          <w:numId w:val="3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Law and Severability</w:t>
      </w:r>
      <w:r>
        <w:rPr>
          <w:rFonts w:ascii="Times New Roman" w:cs="Times New Roman" w:eastAsia="Times New Roman" w:hAnsi="Times New Roman"/>
          <w:sz w:val="22"/>
          <w:szCs w:val="22"/>
          <w:color w:val="auto"/>
        </w:rPr>
        <w:t>. This Agreement shall be interpreted in accordance with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Commonwealth of Massachusetts (except its provisions governing the choice of law). If any provision of this Agreement becomes or is deemed invalid, illegal or unenforceable in any applicable jurisdiction by reason of the scope, extent or duration of its coverage or any other reason,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and provisions of this Agreement shall continue in full force and effect without impairment or limitation.</w:t>
      </w:r>
    </w:p>
    <w:p>
      <w:pPr>
        <w:spacing w:after="0" w:line="202" w:lineRule="exact"/>
        <w:rPr>
          <w:sz w:val="20"/>
          <w:szCs w:val="20"/>
          <w:color w:val="auto"/>
        </w:rPr>
      </w:pPr>
    </w:p>
    <w:p>
      <w:pPr>
        <w:jc w:val="both"/>
        <w:ind w:firstLine="1505"/>
        <w:spacing w:after="0" w:line="241" w:lineRule="auto"/>
        <w:tabs>
          <w:tab w:leader="none" w:pos="2036" w:val="left"/>
        </w:tabs>
        <w:numPr>
          <w:ilvl w:val="0"/>
          <w:numId w:val="3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Assignment</w:t>
      </w:r>
      <w:r>
        <w:rPr>
          <w:rFonts w:ascii="Times New Roman" w:cs="Times New Roman" w:eastAsia="Times New Roman" w:hAnsi="Times New Roman"/>
          <w:sz w:val="22"/>
          <w:szCs w:val="22"/>
          <w:color w:val="auto"/>
        </w:rPr>
        <w:t>. This Agreement and all rights and obligations of the Executive hereunder are personal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171" w:lineRule="exact"/>
        <w:rPr>
          <w:rFonts w:ascii="Times New Roman" w:cs="Times New Roman" w:eastAsia="Times New Roman" w:hAnsi="Times New Roman"/>
          <w:sz w:val="22"/>
          <w:szCs w:val="22"/>
          <w:b w:val="1"/>
          <w:bCs w:val="1"/>
          <w:color w:val="auto"/>
        </w:rPr>
      </w:pPr>
    </w:p>
    <w:p>
      <w:pPr>
        <w:ind w:right="20" w:firstLine="1505"/>
        <w:spacing w:after="0" w:line="262" w:lineRule="auto"/>
        <w:tabs>
          <w:tab w:leader="none" w:pos="2036" w:val="left"/>
        </w:tabs>
        <w:numPr>
          <w:ilvl w:val="0"/>
          <w:numId w:val="3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two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on following page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81"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has executed this Agreement, in the case of the Company by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officer, as of the day and year first above written.</w:t>
      </w:r>
    </w:p>
    <w:p>
      <w:pPr>
        <w:spacing w:after="0" w:line="200" w:lineRule="exact"/>
        <w:rPr>
          <w:sz w:val="20"/>
          <w:szCs w:val="20"/>
          <w:color w:val="auto"/>
        </w:rPr>
      </w:pPr>
    </w:p>
    <w:p>
      <w:pPr>
        <w:spacing w:after="0" w:line="27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flywire corporation</w:t>
      </w:r>
    </w:p>
    <w:p>
      <w:pPr>
        <w:spacing w:after="0" w:line="200" w:lineRule="exact"/>
        <w:rPr>
          <w:sz w:val="20"/>
          <w:szCs w:val="20"/>
          <w:color w:val="auto"/>
        </w:rPr>
      </w:pPr>
    </w:p>
    <w:p>
      <w:pPr>
        <w:spacing w:after="0" w:line="3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Michael Massaro</w:t>
      </w:r>
    </w:p>
    <w:p>
      <w:pPr>
        <w:spacing w:after="0" w:line="200" w:lineRule="exact"/>
        <w:rPr>
          <w:sz w:val="20"/>
          <w:szCs w:val="20"/>
          <w:color w:val="auto"/>
        </w:rPr>
      </w:pPr>
    </w:p>
    <w:p>
      <w:pPr>
        <w:spacing w:after="0" w:line="24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3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Date: August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E</w:t>
      </w:r>
      <w:r>
        <w:rPr>
          <w:rFonts w:ascii="Times New Roman" w:cs="Times New Roman" w:eastAsia="Times New Roman" w:hAnsi="Times New Roman"/>
          <w:sz w:val="17"/>
          <w:szCs w:val="17"/>
          <w:b w:val="1"/>
          <w:bCs w:val="1"/>
          <w:color w:val="auto"/>
        </w:rPr>
        <w:t>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u w:val="single" w:color="auto"/>
          <w:color w:val="auto"/>
        </w:rPr>
        <w:t>/s/ David King</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David King</w:t>
      </w:r>
    </w:p>
    <w:p>
      <w:pPr>
        <w:spacing w:after="0" w:line="200" w:lineRule="exact"/>
        <w:rPr>
          <w:sz w:val="20"/>
          <w:szCs w:val="20"/>
          <w:color w:val="auto"/>
        </w:rPr>
      </w:pPr>
    </w:p>
    <w:p>
      <w:pPr>
        <w:spacing w:after="0" w:line="30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Date: August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PIIA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7" w:name="page318"/>
    <w:bookmarkEnd w:id="317"/>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w:t>
      </w:r>
      <w:r>
        <w:rPr>
          <w:rFonts w:ascii="Times New Roman" w:cs="Times New Roman" w:eastAsia="Times New Roman" w:hAnsi="Times New Roman"/>
          <w:sz w:val="22"/>
          <w:szCs w:val="22"/>
          <w:b w:val="1"/>
          <w:bCs w:val="1"/>
          <w:color w:val="auto"/>
        </w:rPr>
        <w:t>mployment</w:t>
      </w:r>
      <w:r>
        <w:rPr>
          <w:rFonts w:ascii="Times New Roman" w:cs="Times New Roman" w:eastAsia="Times New Roman" w:hAnsi="Times New Roman"/>
          <w:sz w:val="32"/>
          <w:szCs w:val="32"/>
          <w:b w:val="1"/>
          <w:bCs w:val="1"/>
          <w:color w:val="auto"/>
        </w:rPr>
        <w:t xml:space="preserve"> A</w:t>
      </w:r>
      <w:r>
        <w:rPr>
          <w:rFonts w:ascii="Times New Roman" w:cs="Times New Roman" w:eastAsia="Times New Roman" w:hAnsi="Times New Roman"/>
          <w:sz w:val="22"/>
          <w:szCs w:val="22"/>
          <w:b w:val="1"/>
          <w:bCs w:val="1"/>
          <w:color w:val="auto"/>
        </w:rPr>
        <w:t>greement</w:t>
      </w:r>
    </w:p>
    <w:p>
      <w:pPr>
        <w:spacing w:after="0" w:line="200" w:lineRule="exact"/>
        <w:rPr>
          <w:sz w:val="20"/>
          <w:szCs w:val="20"/>
          <w:color w:val="auto"/>
        </w:rPr>
      </w:pPr>
    </w:p>
    <w:p>
      <w:pPr>
        <w:spacing w:after="0" w:line="352"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23"/>
          <w:szCs w:val="23"/>
          <w:color w:val="auto"/>
        </w:rPr>
        <w:t>T</w:t>
      </w:r>
      <w:r>
        <w:rPr>
          <w:rFonts w:ascii="Times New Roman" w:cs="Times New Roman" w:eastAsia="Times New Roman" w:hAnsi="Times New Roman"/>
          <w:sz w:val="16"/>
          <w:szCs w:val="16"/>
          <w:color w:val="auto"/>
        </w:rPr>
        <w:t>his</w:t>
      </w:r>
      <w:r>
        <w:rPr>
          <w:rFonts w:ascii="Times New Roman" w:cs="Times New Roman" w:eastAsia="Times New Roman" w:hAnsi="Times New Roman"/>
          <w:sz w:val="23"/>
          <w:szCs w:val="23"/>
          <w:color w:val="auto"/>
        </w:rPr>
        <w:t xml:space="preserve"> A</w:t>
      </w:r>
      <w:r>
        <w:rPr>
          <w:rFonts w:ascii="Times New Roman" w:cs="Times New Roman" w:eastAsia="Times New Roman" w:hAnsi="Times New Roman"/>
          <w:sz w:val="16"/>
          <w:szCs w:val="16"/>
          <w:color w:val="auto"/>
        </w:rPr>
        <w:t>greement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(the “Agreement”) is entered into as of August 1, 2025 by and between Peter Butterfield (the</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 xml:space="preserve">“Executive” or “you”) and </w:t>
      </w:r>
      <w:r>
        <w:rPr>
          <w:rFonts w:ascii="Times New Roman" w:cs="Times New Roman" w:eastAsia="Times New Roman" w:hAnsi="Times New Roman"/>
          <w:sz w:val="23"/>
          <w:szCs w:val="23"/>
          <w:b w:val="1"/>
          <w:bCs w:val="1"/>
          <w:color w:val="auto"/>
        </w:rPr>
        <w:t>F</w:t>
      </w:r>
      <w:r>
        <w:rPr>
          <w:rFonts w:ascii="Times New Roman" w:cs="Times New Roman" w:eastAsia="Times New Roman" w:hAnsi="Times New Roman"/>
          <w:sz w:val="16"/>
          <w:szCs w:val="16"/>
          <w:b w:val="1"/>
          <w:bCs w:val="1"/>
          <w:color w:val="auto"/>
        </w:rPr>
        <w:t>lywire corporation</w:t>
      </w:r>
      <w:r>
        <w:rPr>
          <w:rFonts w:ascii="Times New Roman" w:cs="Times New Roman" w:eastAsia="Times New Roman" w:hAnsi="Times New Roman"/>
          <w:sz w:val="21"/>
          <w:szCs w:val="21"/>
          <w:color w:val="auto"/>
        </w:rPr>
        <w:t>, a Delaware corporation (the “Company”), and replaces and supersedes the employment agreement between the Executive and Company, dated May 14, 2021 (the “Prior Agreement”).</w:t>
      </w:r>
    </w:p>
    <w:p>
      <w:pPr>
        <w:spacing w:after="0" w:line="146" w:lineRule="exact"/>
        <w:rPr>
          <w:sz w:val="20"/>
          <w:szCs w:val="20"/>
          <w:color w:val="auto"/>
        </w:rPr>
      </w:pPr>
    </w:p>
    <w:p>
      <w:pPr>
        <w:ind w:left="1020" w:hanging="263"/>
        <w:spacing w:after="0"/>
        <w:tabs>
          <w:tab w:leader="none" w:pos="102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Duties and Scope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20" w:firstLine="1505"/>
        <w:spacing w:after="0" w:line="246" w:lineRule="auto"/>
        <w:tabs>
          <w:tab w:leader="none" w:pos="2036" w:val="left"/>
        </w:tabs>
        <w:numPr>
          <w:ilvl w:val="1"/>
          <w:numId w:val="3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For the term of his or her employment under this Agreement (the “Employment”),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agrees to employ the Executive in the position of General Counsel and Chief Compliance Officer. The Executive shall report to the President and Chief Operating Officer.</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3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Obligations to the Company</w:t>
      </w:r>
      <w:r>
        <w:rPr>
          <w:rFonts w:ascii="Times New Roman" w:cs="Times New Roman" w:eastAsia="Times New Roman" w:hAnsi="Times New Roman"/>
          <w:sz w:val="22"/>
          <w:szCs w:val="22"/>
          <w:color w:val="auto"/>
        </w:rPr>
        <w:t>. During his or her Employment, the Executive (i) shall devote his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 business efforts and time to the Company, (ii) shall not engage in any other employment, consulting or other business activity that would create a conflict of interest with the Company, (iii) shall not assist any person or entity in competing with the Company or in preparing to compete with the Company and (iv) shall materially comply with the Company’s policies and rules, as they may be in effect from time to time.</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3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Conflicting Obligations</w:t>
      </w:r>
      <w:r>
        <w:rPr>
          <w:rFonts w:ascii="Times New Roman" w:cs="Times New Roman" w:eastAsia="Times New Roman" w:hAnsi="Times New Roman"/>
          <w:sz w:val="22"/>
          <w:szCs w:val="22"/>
          <w:color w:val="auto"/>
        </w:rPr>
        <w:t>. The Executive represents and warrants to the Company that he or she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no obligations or commitments, whether contractual or otherwise, that are inconsistent with his or her obligations under this Agreement. The Executive represents and warrants that he or she will not use or disclose, in connection with his or her Employment, any trade secrets or other proprietary information or intellectual property in which the Executive or any other person has any right, title or interest and that his Employment will not infringe or violate the rights of any other person.</w:t>
      </w:r>
    </w:p>
    <w:p>
      <w:pPr>
        <w:spacing w:after="0" w:line="17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3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Certain capitalized terms are defined in Section 11.</w:t>
      </w:r>
    </w:p>
    <w:p>
      <w:pPr>
        <w:spacing w:after="0" w:line="20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and Incentive Compensation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3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The Company shall pay the Executive as compensation for his services a base salary at a gross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rate of $310,000. Such salary shall be payable in accordance with the Company’s standard payroll procedures and shall be subject to adjustment pursuant to the Company’s executive compensation policies in effect from time to time.</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3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Bonus</w:t>
      </w:r>
      <w:r>
        <w:rPr>
          <w:rFonts w:ascii="Times New Roman" w:cs="Times New Roman" w:eastAsia="Times New Roman" w:hAnsi="Times New Roman"/>
          <w:sz w:val="22"/>
          <w:szCs w:val="22"/>
          <w:color w:val="auto"/>
        </w:rPr>
        <w:t>. You will be eligible for an annual discretionary performance bonus subject to achievement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targets as approved by the Company’s Board of Directors (the “Board”) or its Compensation Committee (the “Committee”). This discretionary target bonus will be $200,000 and any such bonus will be paid in accordance with the Company’s bonus program then in effect. Performance bonus goals and attainment of such goals will be evaluated and approved by the Committee and paid on an annual basis, with such payment, to the extent earned, to be made</w:t>
      </w: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DOCPROPERTY"SWDocID" GDSVF&amp;H\11291978.3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within 2 ½ months following the close of the applicable fiscal year, but only if you are still employed by the Company as of the date of payment. The determinations of the Board or Committee with respect to your bonus will be final and binding.</w:t>
      </w:r>
    </w:p>
    <w:p>
      <w:pPr>
        <w:spacing w:after="0" w:line="154" w:lineRule="exact"/>
        <w:rPr>
          <w:sz w:val="20"/>
          <w:szCs w:val="20"/>
          <w:color w:val="auto"/>
        </w:rPr>
      </w:pPr>
    </w:p>
    <w:p>
      <w:pPr>
        <w:jc w:val="both"/>
        <w:ind w:firstLine="757"/>
        <w:spacing w:after="0" w:line="256" w:lineRule="auto"/>
        <w:tabs>
          <w:tab w:leader="none" w:pos="1018" w:val="left"/>
        </w:tabs>
        <w:numPr>
          <w:ilvl w:val="0"/>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Executive Benefits</w:t>
      </w:r>
      <w:r>
        <w:rPr>
          <w:rFonts w:ascii="Times New Roman" w:cs="Times New Roman" w:eastAsia="Times New Roman" w:hAnsi="Times New Roman"/>
          <w:sz w:val="21"/>
          <w:szCs w:val="21"/>
          <w:color w:val="auto"/>
        </w:rPr>
        <w:t>. During his or her Employment, the Executive shall be eligible for paid time off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Company’s PTO policy, as in effect from time to time. During his or her Employment, the Executive shall also be eligible to participate in the executive benefit plans maintained by the Company, subject in each case to the generally applicable terms and conditions of the plan in question and to the determinations of any person or committee administering such plan.</w:t>
      </w:r>
    </w:p>
    <w:p>
      <w:pPr>
        <w:spacing w:after="0" w:line="157"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3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at Will</w:t>
      </w:r>
      <w:r>
        <w:rPr>
          <w:rFonts w:ascii="Times New Roman" w:cs="Times New Roman" w:eastAsia="Times New Roman" w:hAnsi="Times New Roman"/>
          <w:sz w:val="22"/>
          <w:szCs w:val="22"/>
          <w:color w:val="auto"/>
        </w:rPr>
        <w:t>. The Executive’s Employment with the Company shall be “at will,” meaning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the Executive or the Company shall be entitled to terminate the Executive’s Employment at any time and for any reason, with or without Cause. Any contrary representations that may have been made to the Executive shall be superseded by this Agreement. This Agreement shall constitute the full and complete agreement between the Executive and the Company on the “at will” nature of the Executive’s Employment. Although Executive’s job duties, title, compensation and benefits, as well as the Company’s personnel policies and procedures, may change from time to time, the “at will” nature of the Executive’s employment may only be changed in an express written agreement signed by the Executive and a duly authorized officer of the Company (other than the Executive). The termination of the Executive’s Employment shall not limit or otherwise affect his or her obligations under Sections 6 and/or 7 below or his or her rights under Section 5 below.</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3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upon Termination</w:t>
      </w:r>
      <w:r>
        <w:rPr>
          <w:rFonts w:ascii="Times New Roman" w:cs="Times New Roman" w:eastAsia="Times New Roman" w:hAnsi="Times New Roman"/>
          <w:sz w:val="22"/>
          <w:szCs w:val="22"/>
          <w:color w:val="auto"/>
        </w:rPr>
        <w:t>. Except as expressly provided in Section 5 below, upon the termination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the Executive shall only be entitled to the compensation and benefits that the Executive has earned under this Agreement before the effective date of the termination. The payments under this Agreement shall fully discharge all responsibilities of the Company to the Executive (other than payments of accrued and vested executive benefits, if any, under the Company’s executive benefit plans).</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Benefits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3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If you are subject to an Involuntary Termination, then you will be entitled to the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in Section 5(b) or 5(c), as applicable, below. However, Section 5(b) or 5(c), as applicable, will not apply unless you (i) have returned all Company property in your possession, (ii) have resigned from all positions you hold with the Company, including (if applicable) as a member of the Board and as a member of the board of directors of any subsidiaries of the Company, and (iii) have executed a general release of all claims (with applicable carve-out for continued indemnification pursuant to law, contract or the Company’s bylaws and other customary exceptions at the discretion of the Company) that you may have against the Company or persons affiliated with the Company. You must execute and return the release on or before the date specified by the Company in the prescribed form (the “Release Deadline”). The Release Deadline will in no event be later than 50 days after your Separation. If you fail to return the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release on or before the Release Deadline, or if you revoke the release, then you will not be entitled to the benefits described in Section 5(b) or 5(c), as applicable. For avoidance of doubt, severance benefits will be provided pursuant to either, but not both of, Section 5(b) or 5(c) below. All lump sum severance payments and equity acceleration will be paid or provided within 60 days after your Separation or, if later, on the date a Change in Control occurs. Notwithstanding the foregoing, if the 60 day period described in the preceding sentence spans calendar years, then payment will in any event be made in the second calendar year.</w:t>
      </w:r>
    </w:p>
    <w:p>
      <w:pPr>
        <w:spacing w:after="0" w:line="164" w:lineRule="exact"/>
        <w:rPr>
          <w:sz w:val="20"/>
          <w:szCs w:val="20"/>
          <w:color w:val="auto"/>
        </w:rPr>
      </w:pPr>
    </w:p>
    <w:p>
      <w:pPr>
        <w:jc w:val="both"/>
        <w:ind w:firstLine="1505"/>
        <w:spacing w:after="0" w:line="246" w:lineRule="auto"/>
        <w:tabs>
          <w:tab w:leader="none" w:pos="2036" w:val="left"/>
        </w:tabs>
        <w:numPr>
          <w:ilvl w:val="0"/>
          <w:numId w:val="3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Involuntary Termination Not Involving a Change in Control</w:t>
      </w:r>
      <w:r>
        <w:rPr>
          <w:rFonts w:ascii="Times New Roman" w:cs="Times New Roman" w:eastAsia="Times New Roman" w:hAnsi="Times New Roman"/>
          <w:sz w:val="22"/>
          <w:szCs w:val="22"/>
          <w:color w:val="auto"/>
        </w:rPr>
        <w:t>. If you are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at any time other than during a Change in Control Window and you satisfy the conditions described in Section 5(a) above, then you will be entitled to the following severance benefits:</w:t>
      </w:r>
    </w:p>
    <w:p>
      <w:pPr>
        <w:spacing w:after="0" w:line="17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 a lump-sum cash severance payment equal to 0.75 times the sum of your Base Salary and</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Target Bonus;</w:t>
      </w:r>
    </w:p>
    <w:p>
      <w:pPr>
        <w:spacing w:after="0" w:line="182" w:lineRule="exact"/>
        <w:rPr>
          <w:sz w:val="20"/>
          <w:szCs w:val="20"/>
          <w:color w:val="auto"/>
        </w:rPr>
      </w:pPr>
    </w:p>
    <w:p>
      <w:pPr>
        <w:jc w:val="both"/>
        <w:ind w:left="760" w:right="760" w:firstLine="1391"/>
        <w:spacing w:after="0" w:line="244" w:lineRule="auto"/>
        <w:rPr>
          <w:sz w:val="20"/>
          <w:szCs w:val="20"/>
          <w:color w:val="auto"/>
        </w:rPr>
      </w:pPr>
      <w:r>
        <w:rPr>
          <w:rFonts w:ascii="Times New Roman" w:cs="Times New Roman" w:eastAsia="Times New Roman" w:hAnsi="Times New Roman"/>
          <w:sz w:val="22"/>
          <w:szCs w:val="22"/>
          <w:color w:val="auto"/>
        </w:rPr>
        <w:t>(ii)if the Involuntary Termination occurs after the end of a fiscal year, but prior to payment of bonuses for such fiscal year, a lump sum payment equal to any accrued and unpaid bonus for the prior fiscal year (the “Accrued Bonus”);</w:t>
      </w:r>
    </w:p>
    <w:p>
      <w:pPr>
        <w:spacing w:after="0" w:line="173" w:lineRule="exact"/>
        <w:rPr>
          <w:sz w:val="20"/>
          <w:szCs w:val="20"/>
          <w:color w:val="auto"/>
        </w:rPr>
      </w:pPr>
    </w:p>
    <w:p>
      <w:pPr>
        <w:jc w:val="both"/>
        <w:ind w:left="760" w:right="740" w:firstLine="1391"/>
        <w:spacing w:after="0" w:line="239" w:lineRule="auto"/>
        <w:rPr>
          <w:sz w:val="20"/>
          <w:szCs w:val="20"/>
          <w:color w:val="auto"/>
        </w:rPr>
      </w:pPr>
      <w:r>
        <w:rPr>
          <w:rFonts w:ascii="Times New Roman" w:cs="Times New Roman" w:eastAsia="Times New Roman" w:hAnsi="Times New Roman"/>
          <w:sz w:val="22"/>
          <w:szCs w:val="22"/>
          <w:color w:val="auto"/>
        </w:rPr>
        <w:t>(iii)if you elect to continue your health insurance coverage under the Consolidated Omnibus Budget Reconciliation Act (“COBRA”) following your Separation, then the Company will pay your monthly premium under COBRA, which is understood to potentially be higher than said premium for active employees, for the nine (9) months following your Separation; and</w:t>
      </w:r>
    </w:p>
    <w:p>
      <w:pPr>
        <w:spacing w:after="0" w:line="180" w:lineRule="exact"/>
        <w:rPr>
          <w:sz w:val="20"/>
          <w:szCs w:val="20"/>
          <w:color w:val="auto"/>
        </w:rPr>
      </w:pPr>
    </w:p>
    <w:p>
      <w:pPr>
        <w:jc w:val="both"/>
        <w:ind w:left="760" w:right="760" w:firstLine="1391"/>
        <w:spacing w:after="0" w:line="251" w:lineRule="auto"/>
        <w:rPr>
          <w:sz w:val="20"/>
          <w:szCs w:val="20"/>
          <w:color w:val="auto"/>
        </w:rPr>
      </w:pPr>
      <w:r>
        <w:rPr>
          <w:rFonts w:ascii="Times New Roman" w:cs="Times New Roman" w:eastAsia="Times New Roman" w:hAnsi="Times New Roman"/>
          <w:sz w:val="21"/>
          <w:szCs w:val="21"/>
          <w:color w:val="auto"/>
        </w:rPr>
        <w:t>(iv)each outstanding equity award that you hold as of the Involuntary Termination and that is subject to time-based vesting will accelerate and become vested and, if applicable, exercisable with respect the number of shares that would have vested if you had completed an additional nine (9) months of service with the Company. Any equity awards that are subject to unsatisfied performance conditions will not be eligible for acceleration pursuant to this clause (iv) and will be treated as described in the applicable award agreement.</w:t>
      </w:r>
    </w:p>
    <w:p>
      <w:pPr>
        <w:spacing w:after="0" w:line="164" w:lineRule="exact"/>
        <w:rPr>
          <w:sz w:val="20"/>
          <w:szCs w:val="20"/>
          <w:color w:val="auto"/>
        </w:rPr>
      </w:pPr>
    </w:p>
    <w:p>
      <w:pPr>
        <w:jc w:val="both"/>
        <w:ind w:firstLine="1505"/>
        <w:spacing w:after="0" w:line="246" w:lineRule="auto"/>
        <w:tabs>
          <w:tab w:leader="none" w:pos="2036" w:val="left"/>
        </w:tabs>
        <w:numPr>
          <w:ilvl w:val="0"/>
          <w:numId w:val="3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Involuntary Termination Involving a Change in Control</w:t>
      </w:r>
      <w:r>
        <w:rPr>
          <w:rFonts w:ascii="Times New Roman" w:cs="Times New Roman" w:eastAsia="Times New Roman" w:hAnsi="Times New Roman"/>
          <w:sz w:val="22"/>
          <w:szCs w:val="22"/>
          <w:color w:val="auto"/>
        </w:rPr>
        <w:t>. If you are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during a Change in Control Window and you satisfy the conditions described in Section 5(a) above, then you will be entitled to the following severance benefits:</w:t>
      </w:r>
    </w:p>
    <w:p>
      <w:pPr>
        <w:spacing w:after="0" w:line="17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 a lump-sum cash severance payment equal to one (1) times the sum of your Base Salary and</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Target Bonus;</w:t>
      </w:r>
    </w:p>
    <w:p>
      <w:pPr>
        <w:spacing w:after="0" w:line="18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(ii)the Accrued Bonus (if any);</w:t>
      </w:r>
    </w:p>
    <w:p>
      <w:pPr>
        <w:spacing w:after="0" w:line="206" w:lineRule="exact"/>
        <w:rPr>
          <w:sz w:val="20"/>
          <w:szCs w:val="20"/>
          <w:color w:val="auto"/>
        </w:rPr>
      </w:pPr>
    </w:p>
    <w:p>
      <w:pPr>
        <w:ind w:left="760" w:right="740" w:firstLine="1391"/>
        <w:spacing w:after="0" w:line="258" w:lineRule="auto"/>
        <w:rPr>
          <w:sz w:val="20"/>
          <w:szCs w:val="20"/>
          <w:color w:val="auto"/>
        </w:rPr>
      </w:pPr>
      <w:r>
        <w:rPr>
          <w:rFonts w:ascii="Times New Roman" w:cs="Times New Roman" w:eastAsia="Times New Roman" w:hAnsi="Times New Roman"/>
          <w:sz w:val="22"/>
          <w:szCs w:val="22"/>
          <w:color w:val="auto"/>
        </w:rPr>
        <w:t>(iii)if you elect to continue your health insurance coverage under COBRA following your Separation, then the Company will pay your monthly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85" w:lineRule="exact"/>
        <w:rPr>
          <w:sz w:val="20"/>
          <w:szCs w:val="20"/>
          <w:color w:val="auto"/>
        </w:rPr>
      </w:pPr>
    </w:p>
    <w:p>
      <w:pPr>
        <w:jc w:val="both"/>
        <w:ind w:left="760" w:right="760"/>
        <w:spacing w:after="0" w:line="258" w:lineRule="auto"/>
        <w:rPr>
          <w:sz w:val="20"/>
          <w:szCs w:val="20"/>
          <w:color w:val="auto"/>
        </w:rPr>
      </w:pPr>
      <w:r>
        <w:rPr>
          <w:rFonts w:ascii="Times New Roman" w:cs="Times New Roman" w:eastAsia="Times New Roman" w:hAnsi="Times New Roman"/>
          <w:sz w:val="22"/>
          <w:szCs w:val="22"/>
          <w:color w:val="auto"/>
        </w:rPr>
        <w:t>premium under COBRA, which is understood to potentially be higher than said premium for active employees, for the twelve (12) months following your Separation; and</w:t>
      </w:r>
    </w:p>
    <w:p>
      <w:pPr>
        <w:spacing w:after="0" w:line="158" w:lineRule="exact"/>
        <w:rPr>
          <w:sz w:val="20"/>
          <w:szCs w:val="20"/>
          <w:color w:val="auto"/>
        </w:rPr>
      </w:pPr>
    </w:p>
    <w:p>
      <w:pPr>
        <w:jc w:val="both"/>
        <w:ind w:left="760" w:right="740" w:firstLine="1391"/>
        <w:spacing w:after="0" w:line="238" w:lineRule="auto"/>
        <w:rPr>
          <w:sz w:val="20"/>
          <w:szCs w:val="20"/>
          <w:color w:val="auto"/>
        </w:rPr>
      </w:pPr>
      <w:r>
        <w:rPr>
          <w:rFonts w:ascii="Times New Roman" w:cs="Times New Roman" w:eastAsia="Times New Roman" w:hAnsi="Times New Roman"/>
          <w:sz w:val="22"/>
          <w:szCs w:val="22"/>
          <w:color w:val="auto"/>
        </w:rPr>
        <w:t>(iv)one hundred percent (100%) of the unvested portion of each outstanding equity award that you hold as of the Involuntary Termination and that is subject to time-based vesting will vest and, if applicable, become exercisable. Any equity awards that are subject to unsatisfied performance conditions will not be eligible for acceleration pursuant to this clause (iv) and will be treated as described in the applicable award agreement.</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avoidance of doubt, if you are subject to an Involuntary Termination that occurs during a Change in Control Window and such Involuntary Termination occurs prior to a Change in Control, the portion of your then-outstanding and unvested equity awards that is eligible to vest and become exercisable pursuant to clause (iv) above will remain outstanding post-termination so that any additional benefits due pursuant to clause (iv) may be provided if a Change in Control occurs during the Change in Control Window, provided that in no event will any of your stock options remain outstanding beyond the option’s maximum term to expiration. If a Change in Control does not occur during the Change in Control Window, any unvested portion of your equity awards that remained outstanding following your Involuntary Termination will immediately and automatically be forfeited on the date that such awards are no longer eligible for acceleration pursuant to clause (iv) above.</w:t>
      </w:r>
    </w:p>
    <w:p>
      <w:pPr>
        <w:spacing w:after="0" w:line="174" w:lineRule="exact"/>
        <w:rPr>
          <w:sz w:val="20"/>
          <w:szCs w:val="20"/>
          <w:color w:val="auto"/>
        </w:rPr>
      </w:pPr>
    </w:p>
    <w:p>
      <w:pPr>
        <w:ind w:left="2040" w:hanging="535"/>
        <w:spacing w:after="0"/>
        <w:tabs>
          <w:tab w:leader="none" w:pos="2040" w:val="left"/>
        </w:tabs>
        <w:numPr>
          <w:ilvl w:val="1"/>
          <w:numId w:val="3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Accrued Rights. </w:t>
      </w:r>
      <w:r>
        <w:rPr>
          <w:rFonts w:ascii="Times New Roman" w:cs="Times New Roman" w:eastAsia="Times New Roman" w:hAnsi="Times New Roman"/>
          <w:sz w:val="22"/>
          <w:szCs w:val="22"/>
          <w:color w:val="auto"/>
        </w:rPr>
        <w:t>You will be entitled to receive the following upon termination of employment for any</w:t>
      </w:r>
    </w:p>
    <w:p>
      <w:pPr>
        <w:spacing w:after="0" w:line="18" w:lineRule="exact"/>
        <w:rPr>
          <w:rFonts w:ascii="Times New Roman" w:cs="Times New Roman" w:eastAsia="Times New Roman" w:hAnsi="Times New Roman"/>
          <w:sz w:val="22"/>
          <w:szCs w:val="22"/>
          <w:b w:val="1"/>
          <w:bCs w:val="1"/>
          <w:color w:val="auto"/>
        </w:rPr>
      </w:pPr>
    </w:p>
    <w:p>
      <w:pPr>
        <w:jc w:val="both"/>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reason: (i) accrued and unpaid Base Salary through the date of termination of employment; (ii) reimbursement for any unreimbursed business expenses; and (iii) such employee benefits, if any, to which the Executive may be entitled under the applicable Company plans upon termination of employment.</w:t>
      </w:r>
    </w:p>
    <w:p>
      <w:pPr>
        <w:spacing w:after="0" w:line="173"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Documents and Company Property. </w:t>
      </w:r>
      <w:r>
        <w:rPr>
          <w:rFonts w:ascii="Times New Roman" w:cs="Times New Roman" w:eastAsia="Times New Roman" w:hAnsi="Times New Roman"/>
          <w:sz w:val="22"/>
          <w:szCs w:val="22"/>
          <w:color w:val="auto"/>
        </w:rPr>
        <w:t>The Executive is prohibited from keeping in his or her possession in any way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correspondence, documents, other information carriers, copies thereof, and other goods made available by the Company or its affiliates to him (including, but not limited to, credit cards, mobile communication devices, keys, documents, handbooks, financial data, plans, USB sticks or other information carriers, access cards and laptop computer), except to the extent that this is necessary for the performance of his or her work for the Company. In any event, the Executive is obliged to immediately hand over such documents and other goods made available to him at the end of this Agreement or upon suspension of his or her active duties for any reason other than documents relating to his own employment and compensation.</w:t>
      </w:r>
    </w:p>
    <w:p>
      <w:pPr>
        <w:spacing w:after="0" w:line="175"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Proprietary Information and Inventions Agreement. </w:t>
      </w:r>
      <w:r>
        <w:rPr>
          <w:rFonts w:ascii="Times New Roman" w:cs="Times New Roman" w:eastAsia="Times New Roman" w:hAnsi="Times New Roman"/>
          <w:sz w:val="22"/>
          <w:szCs w:val="22"/>
          <w:color w:val="auto"/>
        </w:rPr>
        <w:t>The Executive and the Company entered into that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Employee Invention Assignment and Confidentiality Agreement dated March 15, 2015 (the “PIIA”), a copy of which is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PIIA remains in full force and effect.</w:t>
      </w:r>
    </w:p>
    <w:p>
      <w:pPr>
        <w:spacing w:after="0" w:line="167" w:lineRule="exact"/>
        <w:rPr>
          <w:rFonts w:ascii="Times New Roman" w:cs="Times New Roman" w:eastAsia="Times New Roman" w:hAnsi="Times New Roman"/>
          <w:sz w:val="22"/>
          <w:szCs w:val="22"/>
          <w:color w:val="auto"/>
        </w:rPr>
      </w:pPr>
    </w:p>
    <w:p>
      <w:pPr>
        <w:ind w:firstLine="757"/>
        <w:spacing w:after="0" w:line="262" w:lineRule="auto"/>
        <w:tabs>
          <w:tab w:leader="none" w:pos="1018"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Reimbursement of Expenses. </w:t>
      </w:r>
      <w:r>
        <w:rPr>
          <w:rFonts w:ascii="Times New Roman" w:cs="Times New Roman" w:eastAsia="Times New Roman" w:hAnsi="Times New Roman"/>
          <w:sz w:val="22"/>
          <w:szCs w:val="22"/>
          <w:color w:val="auto"/>
        </w:rPr>
        <w:t>The Company will reimburse business expenses reasonably incurred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your duties in accordance with the Company’s standard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85"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22"/>
          <w:szCs w:val="22"/>
          <w:color w:val="auto"/>
        </w:rPr>
        <w:t>practice and expense scheme in place at the time (generally within 30 days after you have submitted appropriate documentation, which you must do within 30 days after incurring the expense) and, in any case, on or before the last day of the calendar year following the calendar year in which the relevant expense is incurred. The Company will reimburse reasonable costs of the professional use of your (mobile) telephone.</w:t>
      </w:r>
    </w:p>
    <w:p>
      <w:pPr>
        <w:spacing w:after="0" w:line="176" w:lineRule="exact"/>
        <w:rPr>
          <w:sz w:val="20"/>
          <w:szCs w:val="20"/>
          <w:color w:val="auto"/>
        </w:rPr>
      </w:pPr>
    </w:p>
    <w:p>
      <w:pPr>
        <w:ind w:left="1020" w:hanging="263"/>
        <w:spacing w:after="0"/>
        <w:tabs>
          <w:tab w:leader="none" w:pos="102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100" w:firstLine="1505"/>
        <w:spacing w:after="0" w:line="241" w:lineRule="auto"/>
        <w:tabs>
          <w:tab w:leader="none" w:pos="2036" w:val="left"/>
        </w:tabs>
        <w:numPr>
          <w:ilvl w:val="1"/>
          <w:numId w:val="3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Company’s Successors</w:t>
      </w:r>
      <w:r>
        <w:rPr>
          <w:rFonts w:ascii="Times New Roman" w:cs="Times New Roman" w:eastAsia="Times New Roman" w:hAnsi="Times New Roman"/>
          <w:sz w:val="22"/>
          <w:szCs w:val="22"/>
          <w:color w:val="auto"/>
        </w:rPr>
        <w:t>. This Agreement shall be binding upon any successor (whether direct or indirect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71" w:lineRule="exact"/>
        <w:rPr>
          <w:rFonts w:ascii="Times New Roman" w:cs="Times New Roman" w:eastAsia="Times New Roman" w:hAnsi="Times New Roman"/>
          <w:sz w:val="22"/>
          <w:szCs w:val="22"/>
          <w:b w:val="1"/>
          <w:bCs w:val="1"/>
          <w:color w:val="auto"/>
        </w:rPr>
      </w:pPr>
    </w:p>
    <w:p>
      <w:pPr>
        <w:jc w:val="both"/>
        <w:ind w:right="100" w:firstLine="1505"/>
        <w:spacing w:after="0" w:line="246" w:lineRule="auto"/>
        <w:tabs>
          <w:tab w:leader="none" w:pos="2036" w:val="left"/>
        </w:tabs>
        <w:numPr>
          <w:ilvl w:val="1"/>
          <w:numId w:val="3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Executive’s Successors</w:t>
      </w:r>
      <w:r>
        <w:rPr>
          <w:rFonts w:ascii="Times New Roman" w:cs="Times New Roman" w:eastAsia="Times New Roman" w:hAnsi="Times New Roman"/>
          <w:sz w:val="22"/>
          <w:szCs w:val="22"/>
          <w:color w:val="auto"/>
        </w:rPr>
        <w:t>. This Agreement and all rights of the Executive hereunder shall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and be enforceable by, the Executive’s personal or legal representatives, executors, administrators, successors, heirs, distributees, devisees and legatees.</w:t>
      </w:r>
    </w:p>
    <w:p>
      <w:pPr>
        <w:spacing w:after="0" w:line="167" w:lineRule="exact"/>
        <w:rPr>
          <w:sz w:val="20"/>
          <w:szCs w:val="20"/>
          <w:color w:val="auto"/>
        </w:rPr>
      </w:pPr>
    </w:p>
    <w:p>
      <w:pPr>
        <w:jc w:val="both"/>
        <w:ind w:right="100" w:firstLine="749"/>
        <w:spacing w:after="0" w:line="237"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 During your employment by the Company and at all times thereafter, regardless of the reason for termination, to the fullest extent permitted by its articles of incorporation and by applicable law, the Company shall indemnify you and hold you harmless against any cost, fee, expense, fine or penalty to which you may be subject as a result of serving as an employee or officer of the Company and provide for you to be covered by the insurance or other indemnity policy applicable to officers or directors of the Company (including any rights to advances or reimbursement of legal fees thereunder). The Company’s indemnification obligation shall survive any termination of your employment.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The following terms shall have the meaning set forth below wherever they are used in this Agreement:</w:t>
      </w:r>
    </w:p>
    <w:p>
      <w:pPr>
        <w:spacing w:after="0" w:line="206" w:lineRule="exact"/>
        <w:rPr>
          <w:sz w:val="20"/>
          <w:szCs w:val="20"/>
          <w:color w:val="auto"/>
        </w:rPr>
      </w:pPr>
    </w:p>
    <w:p>
      <w:pPr>
        <w:jc w:val="both"/>
        <w:ind w:right="100" w:firstLine="1505"/>
        <w:spacing w:after="0" w:line="241" w:lineRule="auto"/>
        <w:tabs>
          <w:tab w:leader="none" w:pos="2036" w:val="left"/>
        </w:tabs>
        <w:numPr>
          <w:ilvl w:val="0"/>
          <w:numId w:val="3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shall mean the Executive’s annual base salary, as it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adjusted from time to time. For purposes of Sections 5(b) and (c),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shall mean Executive’s annual base salary as in effect immediately prior to an Involuntary Termination, determined without regard to any reduction that constitutes grounds for a Resignation for Good Reason.</w:t>
      </w:r>
    </w:p>
    <w:p>
      <w:pPr>
        <w:spacing w:after="0" w:line="171"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210" w:lineRule="exact"/>
        <w:rPr>
          <w:rFonts w:ascii="Times New Roman" w:cs="Times New Roman" w:eastAsia="Times New Roman" w:hAnsi="Times New Roman"/>
          <w:sz w:val="22"/>
          <w:szCs w:val="22"/>
          <w:b w:val="1"/>
          <w:bCs w:val="1"/>
          <w:color w:val="auto"/>
        </w:rPr>
      </w:pPr>
    </w:p>
    <w:p>
      <w:pPr>
        <w:ind w:left="760" w:right="140" w:firstLine="1494"/>
        <w:spacing w:after="0" w:line="258" w:lineRule="auto"/>
        <w:tabs>
          <w:tab w:leader="none" w:pos="2689" w:val="left"/>
        </w:tabs>
        <w:numPr>
          <w:ilvl w:val="1"/>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failure by you to comply with the Company’s written policies or rules after being provided written notice and 30 days’ opportunity to cure;</w:t>
      </w:r>
    </w:p>
    <w:p>
      <w:pPr>
        <w:spacing w:after="0" w:line="50" w:lineRule="exact"/>
        <w:rPr>
          <w:rFonts w:ascii="Times New Roman" w:cs="Times New Roman" w:eastAsia="Times New Roman" w:hAnsi="Times New Roman"/>
          <w:sz w:val="22"/>
          <w:szCs w:val="22"/>
          <w:color w:val="auto"/>
        </w:rPr>
      </w:pPr>
    </w:p>
    <w:p>
      <w:pPr>
        <w:ind w:left="760" w:right="140" w:firstLine="1494"/>
        <w:spacing w:after="0" w:line="258" w:lineRule="auto"/>
        <w:tabs>
          <w:tab w:leader="none" w:pos="2689" w:val="left"/>
        </w:tabs>
        <w:numPr>
          <w:ilvl w:val="1"/>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conviction of, or plea of “guilty” or “no contest” to, a crime involving moral turpitude, deceit, dishonesty or fraud that has caused harm to the Company or any affiliate of the Company;</w:t>
      </w:r>
    </w:p>
    <w:p>
      <w:pPr>
        <w:spacing w:after="0" w:line="50" w:lineRule="exact"/>
        <w:rPr>
          <w:rFonts w:ascii="Times New Roman" w:cs="Times New Roman" w:eastAsia="Times New Roman" w:hAnsi="Times New Roman"/>
          <w:sz w:val="22"/>
          <w:szCs w:val="22"/>
          <w:color w:val="auto"/>
        </w:rPr>
      </w:pPr>
    </w:p>
    <w:p>
      <w:pPr>
        <w:ind w:left="760" w:firstLine="1576"/>
        <w:spacing w:after="0" w:line="258" w:lineRule="auto"/>
        <w:tabs>
          <w:tab w:leader="none" w:pos="3121" w:val="left"/>
        </w:tabs>
        <w:numPr>
          <w:ilvl w:val="2"/>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willful and continued failure to substantially perform (other than by reason of Disabili your duties and responsibilities assigned or delegated after</w:t>
      </w:r>
    </w:p>
    <w:p>
      <w:pPr>
        <w:spacing w:after="0" w:line="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22" w:name="page323"/>
    <w:bookmarkEnd w:id="322"/>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receiving written notification of such failure from the Company and 30 days’ opportunity to cure;</w:t>
      </w:r>
    </w:p>
    <w:p>
      <w:pPr>
        <w:spacing w:after="0" w:line="98" w:lineRule="exact"/>
        <w:rPr>
          <w:sz w:val="20"/>
          <w:szCs w:val="20"/>
          <w:color w:val="auto"/>
        </w:rPr>
      </w:pPr>
    </w:p>
    <w:p>
      <w:pPr>
        <w:jc w:val="both"/>
        <w:ind w:left="760" w:firstLine="1494"/>
        <w:spacing w:after="0" w:line="244" w:lineRule="auto"/>
        <w:tabs>
          <w:tab w:leader="none" w:pos="2689"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intentional act of dishonesty, deceit, fraud, moral turpitude, misconduct, breach of trust or acts intentionally against the financial or business interests of the Company by you, or your use or possession of illegal drugs in the workplace;</w:t>
      </w:r>
    </w:p>
    <w:p>
      <w:pPr>
        <w:spacing w:after="0" w:line="65" w:lineRule="exact"/>
        <w:rPr>
          <w:rFonts w:ascii="Times New Roman" w:cs="Times New Roman" w:eastAsia="Times New Roman" w:hAnsi="Times New Roman"/>
          <w:sz w:val="22"/>
          <w:szCs w:val="22"/>
          <w:color w:val="auto"/>
        </w:rPr>
      </w:pPr>
    </w:p>
    <w:p>
      <w:pPr>
        <w:ind w:left="760" w:right="20" w:firstLine="1494"/>
        <w:spacing w:after="0" w:line="258" w:lineRule="auto"/>
        <w:tabs>
          <w:tab w:leader="none" w:pos="2689"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breach by you of any of your obligations under any agreement between you and the Company after being provided written notice and 30 days’ opportunity to cure; or</w:t>
      </w:r>
    </w:p>
    <w:p>
      <w:pPr>
        <w:spacing w:after="0" w:line="50" w:lineRule="exact"/>
        <w:rPr>
          <w:rFonts w:ascii="Times New Roman" w:cs="Times New Roman" w:eastAsia="Times New Roman" w:hAnsi="Times New Roman"/>
          <w:sz w:val="22"/>
          <w:szCs w:val="22"/>
          <w:color w:val="auto"/>
        </w:rPr>
      </w:pPr>
    </w:p>
    <w:p>
      <w:pPr>
        <w:ind w:left="760" w:right="60" w:firstLine="1494"/>
        <w:spacing w:after="0" w:line="258" w:lineRule="auto"/>
        <w:tabs>
          <w:tab w:leader="none" w:pos="2689"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failure to cooperate in good faith with a governmental or internal investigation of the Company or its directors, officers or employees, if the Company has requested your cooperation</w:t>
      </w:r>
      <w:r>
        <w:rPr>
          <w:rFonts w:ascii="Times New Roman" w:cs="Times New Roman" w:eastAsia="Times New Roman" w:hAnsi="Times New Roman"/>
          <w:sz w:val="22"/>
          <w:szCs w:val="22"/>
          <w:b w:val="1"/>
          <w:bCs w:val="1"/>
          <w:color w:val="auto"/>
        </w:rPr>
        <w:t>.</w:t>
      </w:r>
    </w:p>
    <w:p>
      <w:pPr>
        <w:spacing w:after="0" w:line="5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For purposes of this definition of Cause, no act, or failure to act, will be deemed “willful” or “intentional” if done or omitted to be done by the Executive in good faith with a reasonable belief that Executive’s act, or failure to act, was in the best interest of the Company.</w:t>
      </w:r>
    </w:p>
    <w:p>
      <w:pPr>
        <w:spacing w:after="0" w:line="61" w:lineRule="exact"/>
        <w:rPr>
          <w:sz w:val="20"/>
          <w:szCs w:val="20"/>
          <w:color w:val="auto"/>
        </w:rPr>
      </w:pPr>
    </w:p>
    <w:p>
      <w:pPr>
        <w:jc w:val="both"/>
        <w:ind w:firstLine="1505"/>
        <w:spacing w:after="0" w:line="233" w:lineRule="auto"/>
        <w:tabs>
          <w:tab w:leader="none" w:pos="2036" w:val="left"/>
        </w:tabs>
        <w:numPr>
          <w:ilvl w:val="0"/>
          <w:numId w:val="3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shall mean (i) any “person” (as such term is used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 (iii) the sale, transfer or other disposition of all or substantially all of the Company’s assets. In the case of any severance payment or benefit that is subject to Section 409A of the Code, a Change in Control must also constitute a “change in control event,” as defined in Treasury Regulation Section 1.409A-3(i)(5), but only to the extent necessary to avoid the imposition of penalty taxes pursuant to Code Section 409A.</w:t>
      </w:r>
    </w:p>
    <w:p>
      <w:pPr>
        <w:spacing w:after="0" w:line="184"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3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 Window</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Change in Control Window</w:t>
      </w:r>
      <w:r>
        <w:rPr>
          <w:rFonts w:ascii="Times New Roman" w:cs="Times New Roman" w:eastAsia="Times New Roman" w:hAnsi="Times New Roman"/>
          <w:sz w:val="22"/>
          <w:szCs w:val="22"/>
          <w:color w:val="auto"/>
        </w:rPr>
        <w:t>” shall mean the period beginning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three (3) months prior to a Change in Control (if any) and ending twelve months after such Change in Control. In addition, the “</w:t>
      </w:r>
      <w:r>
        <w:rPr>
          <w:rFonts w:ascii="Times New Roman" w:cs="Times New Roman" w:eastAsia="Times New Roman" w:hAnsi="Times New Roman"/>
          <w:sz w:val="22"/>
          <w:szCs w:val="22"/>
          <w:b w:val="1"/>
          <w:bCs w:val="1"/>
          <w:color w:val="auto"/>
        </w:rPr>
        <w:t>Change in Control Window</w:t>
      </w:r>
      <w:r>
        <w:rPr>
          <w:rFonts w:ascii="Times New Roman" w:cs="Times New Roman" w:eastAsia="Times New Roman" w:hAnsi="Times New Roman"/>
          <w:sz w:val="22"/>
          <w:szCs w:val="22"/>
          <w:color w:val="auto"/>
        </w:rPr>
        <w:t>” shall also include such longer period (if any) beginning on the date that a definitive agreement for a Change in Control is executed, but only if such Change in Control is consummated.</w:t>
      </w:r>
    </w:p>
    <w:p>
      <w:pPr>
        <w:spacing w:after="0" w:line="171"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3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that the Executive is unable to engage in any substantial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gainful activity as required to perform his or her material duties (with reasonable accommodation) by reason of any medically determinable physical or mental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impairment which can be expected to result in death or to last for a continuous period of not less than twelve months.</w:t>
      </w:r>
    </w:p>
    <w:p>
      <w:pPr>
        <w:spacing w:after="0" w:line="202" w:lineRule="exact"/>
        <w:rPr>
          <w:sz w:val="20"/>
          <w:szCs w:val="20"/>
          <w:color w:val="auto"/>
        </w:rPr>
      </w:pPr>
    </w:p>
    <w:p>
      <w:pPr>
        <w:jc w:val="both"/>
        <w:ind w:firstLine="1505"/>
        <w:spacing w:after="0" w:line="246" w:lineRule="auto"/>
        <w:tabs>
          <w:tab w:leader="none" w:pos="2036" w:val="left"/>
        </w:tabs>
        <w:numPr>
          <w:ilvl w:val="0"/>
          <w:numId w:val="3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shall mean either the Executive’s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Without Cause or (ii) Resignation for Good Reason. For avoidance of doubt, Executive’s Separation due to Executive’s death or Disability shall not constitute an Involuntary Termination.</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3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Resignation for Good Reason</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Resignation for Good Reason</w:t>
      </w:r>
      <w:r>
        <w:rPr>
          <w:rFonts w:ascii="Times New Roman" w:cs="Times New Roman" w:eastAsia="Times New Roman" w:hAnsi="Times New Roman"/>
          <w:sz w:val="22"/>
          <w:szCs w:val="22"/>
          <w:color w:val="auto"/>
        </w:rPr>
        <w:t>” means a Separation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of the Executive’s resignation within 12 months after one of the following conditions has come into existence without the Executive’s written consent:</w:t>
      </w:r>
    </w:p>
    <w:p>
      <w:pPr>
        <w:spacing w:after="0" w:line="171" w:lineRule="exact"/>
        <w:rPr>
          <w:rFonts w:ascii="Times New Roman" w:cs="Times New Roman" w:eastAsia="Times New Roman" w:hAnsi="Times New Roman"/>
          <w:sz w:val="22"/>
          <w:szCs w:val="22"/>
          <w:b w:val="1"/>
          <w:bCs w:val="1"/>
          <w:color w:val="auto"/>
        </w:rPr>
      </w:pPr>
    </w:p>
    <w:p>
      <w:pPr>
        <w:jc w:val="both"/>
        <w:ind w:left="760" w:firstLine="2243"/>
        <w:spacing w:after="0" w:line="239" w:lineRule="auto"/>
        <w:tabs>
          <w:tab w:leader="none" w:pos="3575"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compensation (consisting of base salary, target bonus opportunity and target annual equity value and excluding any special, one-time, new hire, promotion or other exceptional equity awards), except for across-the-board reductions, outside of Change in Control Window, affecting the Company’s similarly situated employees generally;</w:t>
      </w:r>
    </w:p>
    <w:p>
      <w:pPr>
        <w:spacing w:after="0" w:line="180"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title, duties, authority and responsibilities within the</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82" w:lineRule="exact"/>
        <w:rPr>
          <w:rFonts w:ascii="Times New Roman" w:cs="Times New Roman" w:eastAsia="Times New Roman" w:hAnsi="Times New Roman"/>
          <w:sz w:val="22"/>
          <w:szCs w:val="22"/>
          <w:color w:val="auto"/>
        </w:rPr>
      </w:pPr>
    </w:p>
    <w:p>
      <w:pPr>
        <w:ind w:left="760" w:firstLine="2243"/>
        <w:spacing w:after="0" w:line="258" w:lineRule="auto"/>
        <w:tabs>
          <w:tab w:leader="none" w:pos="3575"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relocation of your principal workplace by more than fifty (50) miles away from the location which you were working immediately prior to the required relocation without your prior consent; or</w:t>
      </w:r>
    </w:p>
    <w:p>
      <w:pPr>
        <w:spacing w:after="0" w:line="158"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the Company’s obligation under any agreement between the</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and you.</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Resignation for Good Reason shall not be deemed to have occurred unless the Executive gives the Company written notice of the condition within 60 days after the condition comes into existence and the Company fails to remedy the condition within 30 days after receiving the Executive’s written notice.</w:t>
      </w:r>
    </w:p>
    <w:p>
      <w:pPr>
        <w:spacing w:after="0" w:line="169" w:lineRule="exact"/>
        <w:rPr>
          <w:sz w:val="20"/>
          <w:szCs w:val="20"/>
          <w:color w:val="auto"/>
        </w:rPr>
      </w:pPr>
    </w:p>
    <w:p>
      <w:pPr>
        <w:ind w:right="20" w:firstLine="1505"/>
        <w:spacing w:after="0" w:line="262" w:lineRule="auto"/>
        <w:tabs>
          <w:tab w:leader="none" w:pos="2036" w:val="left"/>
        </w:tabs>
        <w:numPr>
          <w:ilvl w:val="0"/>
          <w:numId w:val="3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The term “Separation” shall mean a “separation from service,” as defined in the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409A of the Code.</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3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The term “Target Bonus” shall mean Executive’s annual target bonus opportunity,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adjusted from time to time. For purposes of Sections 5(b) and (c), “Target Bonus” shall mean Executive’s annual target bonus opportunity as in effect immediately prior to an Involuntary Termination, determined without regard to any reduction that constitutes grounds for a Resignation for Good Reason.</w:t>
      </w:r>
    </w:p>
    <w:p>
      <w:pPr>
        <w:spacing w:after="0" w:line="171" w:lineRule="exact"/>
        <w:rPr>
          <w:rFonts w:ascii="Times New Roman" w:cs="Times New Roman" w:eastAsia="Times New Roman" w:hAnsi="Times New Roman"/>
          <w:sz w:val="22"/>
          <w:szCs w:val="22"/>
          <w:b w:val="1"/>
          <w:bCs w:val="1"/>
          <w:color w:val="auto"/>
        </w:rPr>
      </w:pPr>
    </w:p>
    <w:p>
      <w:pPr>
        <w:ind w:right="20" w:firstLine="1505"/>
        <w:spacing w:after="0" w:line="262" w:lineRule="auto"/>
        <w:tabs>
          <w:tab w:leader="none" w:pos="2036"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Without Cause</w:t>
      </w:r>
      <w:r>
        <w:rPr>
          <w:rFonts w:ascii="Times New Roman" w:cs="Times New Roman" w:eastAsia="Times New Roman" w:hAnsi="Times New Roman"/>
          <w:sz w:val="22"/>
          <w:szCs w:val="22"/>
          <w:color w:val="auto"/>
        </w:rPr>
        <w:t>” The term “Termination without Cause” means a Separation as a result of a termination of the Executive’s employment by the Company without Cause and other than as a result of Disability.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2036" w:val="left"/>
        </w:tabs>
        <w:numPr>
          <w:ilvl w:val="0"/>
          <w:numId w:val="3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Notices and all other communications contemplated by this Agreement shall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have been duly given when personally delivered, when delivered via email to a Company domain email address or, following the Separation, to the Executive’s personal email address on file with Human Resources, when delivered by FedEx with delivery charges prepaid, or when mailed by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3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Modifications and Waivers</w:t>
      </w:r>
      <w:r>
        <w:rPr>
          <w:rFonts w:ascii="Times New Roman" w:cs="Times New Roman" w:eastAsia="Times New Roman" w:hAnsi="Times New Roman"/>
          <w:sz w:val="22"/>
          <w:szCs w:val="22"/>
          <w:color w:val="auto"/>
        </w:rPr>
        <w:t>. No provision of this Agreement shall be modified, waived or discharged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3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Whole Agreement</w:t>
      </w:r>
      <w:r>
        <w:rPr>
          <w:rFonts w:ascii="Times New Roman" w:cs="Times New Roman" w:eastAsia="Times New Roman" w:hAnsi="Times New Roman"/>
          <w:sz w:val="22"/>
          <w:szCs w:val="22"/>
          <w:color w:val="auto"/>
        </w:rPr>
        <w:t>. This Agreement supersedes and replaces any prior agreements, including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limitation, the Prior Agreement, representations or understandings (whether written, oral, implied or otherwise) between the Executive and the Company and constitute the complete agreement between the Executive and the Company regarding the subject matter set forth herein.</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2036" w:val="left"/>
        </w:tabs>
        <w:numPr>
          <w:ilvl w:val="0"/>
          <w:numId w:val="3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Matters</w:t>
      </w:r>
      <w:r>
        <w:rPr>
          <w:rFonts w:ascii="Times New Roman" w:cs="Times New Roman" w:eastAsia="Times New Roman" w:hAnsi="Times New Roman"/>
          <w:sz w:val="22"/>
          <w:szCs w:val="22"/>
          <w:color w:val="auto"/>
        </w:rPr>
        <w:t>. All payments made under this Agreement shall be subject to reduction to reflect taxes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charges required to be withheld by law. The Company intends that all payments and benefits provided under this Agreement or otherwise are exempt from, or comply with, with the requirements of Code Section 409A so that none of the payments or benefits will be subject to the additional tax imposed under Code Section 409A, and any ambiguities herein will be interpreted in accordance with such intent. For purposes of Code Section 409A, each payment, installment or benefit payable under this Agreement is hereby designated as a separate payment. In addition, if the Company determines that you are a “specified employee” under Code Section 409A(a)(2)(B)(i) at the time of your Separation, then (i) any severance payments or benefits, to the extent that they are subject to Code Section 409A, will not be paid or otherwise provided until the first business day following (A) expiration of the six-month period measured from your Separation or (B) the date of your death and (ii) any installments that otherwise would have been paid or provided prior to such date will be paid or provided in a lump sum when the severance payments or benefits commence. The Company shall not have a duty to design its compensation policies in a manner that minimizes your tax liabilities, and you agree not to make any claim against the Company or the Board related to tax liabilities arising from your compensation.</w:t>
      </w:r>
    </w:p>
    <w:p>
      <w:pPr>
        <w:spacing w:after="0" w:line="182"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3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280G. Parachute Payments. </w:t>
      </w:r>
      <w:r>
        <w:rPr>
          <w:rFonts w:ascii="Times New Roman" w:cs="Times New Roman" w:eastAsia="Times New Roman" w:hAnsi="Times New Roman"/>
          <w:sz w:val="22"/>
          <w:szCs w:val="22"/>
          <w:color w:val="auto"/>
        </w:rPr>
        <w:t>If any payment or benefit that you would receive in connection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in Control from the Company or otherwise (“Payment”) would (i) constitute a “parachute payment” within the meaning of Section 280G of the Code, and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85" w:lineRule="exact"/>
        <w:rPr>
          <w:sz w:val="20"/>
          <w:szCs w:val="20"/>
          <w:color w:val="auto"/>
        </w:rPr>
      </w:pPr>
    </w:p>
    <w:p>
      <w:pPr>
        <w:jc w:val="both"/>
        <w:ind w:firstLine="8"/>
        <w:spacing w:after="0" w:line="233" w:lineRule="auto"/>
        <w:tabs>
          <w:tab w:leader="none" w:pos="318"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but for this sentence, be subject to the excise tax imposed by Section 4999 of the Code (the “Excise Tax”), then such Payment shall be equal to the Reduced Amount. The “Reduced Amount”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your receipt of the greatest economic benefit notwithstanding that all or some portion of the Payment may be subject to the Excise Tax. If a reduction in payments or benefits constituting “parachute payments” is necessary so that the Payment equals the Reduced Amount, any reduction shall be applied first,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amounts that constitute deferred compensation within the meaning of Section 409A of the Code, and, in the event that the reductions pursuant to this Section 12(e) exceed payments that are subject to Section 409A of the Code, the remaining reductions shall be applied,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any other remaining payments, first with respect to amounts payable in cash before being made in respect to any payments to be provided in the form of benefits or equity award acceleration, and in the form of benefits before being made with respect to equity award acceleration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Company’s determinations hereunder shall be final, binding and conclusive on all interested parties.</w:t>
      </w:r>
    </w:p>
    <w:p>
      <w:pPr>
        <w:spacing w:after="0" w:line="178"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1"/>
          <w:numId w:val="3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Arbitration. </w:t>
      </w:r>
      <w:r>
        <w:rPr>
          <w:rFonts w:ascii="Times New Roman" w:cs="Times New Roman" w:eastAsia="Times New Roman" w:hAnsi="Times New Roman"/>
          <w:sz w:val="22"/>
          <w:szCs w:val="22"/>
          <w:color w:val="auto"/>
        </w:rPr>
        <w:t>Any controversy or claim arising out of this Agreement and any and all claims relating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employment with the Company will be settled by final and binding arbitration. The arbitration will take place in the Commonwealth of Massachusetts. The arbitration will be administered by the American Arbitration Association under its National Rules for the Resolution of Employment Disputes. Any award or finding will be confidential. You and the Company agree to provide one another with reasonable access to documents and witnesses in connection with the resolution of the dispute. You and the Company will share the costs of arbitration equally up to, for you, the filing fee to bring a civil action in the state courts of Massachusetts. Each party will be responsible for its own attorneys’ fees, and the arbitrator may not award attorneys’ fees unless a statute or contract at issue specifically authorizes such an award. This Section 12(f) does not apply to claims for workers’ compensation benefits or unemployment insurance benefits. This Section 12(f) also does not apply to claims concerning the ownership, validity, infringement, misappropriation, disclosure, misuse or enforceability of any confidential information, patent right, copyright, mask work, trademark or any other trade secret or intellectual property held or sought by either you or the Company (whether or not arising under the Proprietary Information and Inventions Agreement between you and the Company).</w:t>
      </w:r>
    </w:p>
    <w:p>
      <w:pPr>
        <w:spacing w:after="0" w:line="182"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1"/>
          <w:numId w:val="3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Law and Severability</w:t>
      </w:r>
      <w:r>
        <w:rPr>
          <w:rFonts w:ascii="Times New Roman" w:cs="Times New Roman" w:eastAsia="Times New Roman" w:hAnsi="Times New Roman"/>
          <w:sz w:val="22"/>
          <w:szCs w:val="22"/>
          <w:color w:val="auto"/>
        </w:rPr>
        <w:t>. This Agreement shall be interpreted in accordance with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Commonwealth of Massachusetts (except its provisions governing the choice of law). If any provision of this Agreement becomes or is deemed invalid, illegal or unenforceable in any applicable jurisdiction by reason of the scope, extent or duration of its coverage or any other reason,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and provisions of this Agreement shall continue in full force and effect without impairment or limitation.</w:t>
      </w:r>
    </w:p>
    <w:p>
      <w:pPr>
        <w:spacing w:after="0" w:line="202" w:lineRule="exact"/>
        <w:rPr>
          <w:sz w:val="20"/>
          <w:szCs w:val="20"/>
          <w:color w:val="auto"/>
        </w:rPr>
      </w:pPr>
    </w:p>
    <w:p>
      <w:pPr>
        <w:jc w:val="both"/>
        <w:ind w:firstLine="1505"/>
        <w:spacing w:after="0" w:line="241" w:lineRule="auto"/>
        <w:tabs>
          <w:tab w:leader="none" w:pos="2036" w:val="left"/>
        </w:tabs>
        <w:numPr>
          <w:ilvl w:val="0"/>
          <w:numId w:val="3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Assignment</w:t>
      </w:r>
      <w:r>
        <w:rPr>
          <w:rFonts w:ascii="Times New Roman" w:cs="Times New Roman" w:eastAsia="Times New Roman" w:hAnsi="Times New Roman"/>
          <w:sz w:val="22"/>
          <w:szCs w:val="22"/>
          <w:color w:val="auto"/>
        </w:rPr>
        <w:t>. This Agreement and all rights and obligations of the Executive hereunder are personal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171" w:lineRule="exact"/>
        <w:rPr>
          <w:rFonts w:ascii="Times New Roman" w:cs="Times New Roman" w:eastAsia="Times New Roman" w:hAnsi="Times New Roman"/>
          <w:sz w:val="22"/>
          <w:szCs w:val="22"/>
          <w:b w:val="1"/>
          <w:bCs w:val="1"/>
          <w:color w:val="auto"/>
        </w:rPr>
      </w:pPr>
    </w:p>
    <w:p>
      <w:pPr>
        <w:ind w:right="20" w:firstLine="1505"/>
        <w:spacing w:after="0" w:line="262" w:lineRule="auto"/>
        <w:tabs>
          <w:tab w:leader="none" w:pos="2036" w:val="left"/>
        </w:tabs>
        <w:numPr>
          <w:ilvl w:val="0"/>
          <w:numId w:val="3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two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on following page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81"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has executed this Agreement, in the case of the Company by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officer, as of the day and year first above written.</w:t>
      </w:r>
    </w:p>
    <w:p>
      <w:pPr>
        <w:spacing w:after="0" w:line="200" w:lineRule="exact"/>
        <w:rPr>
          <w:sz w:val="20"/>
          <w:szCs w:val="20"/>
          <w:color w:val="auto"/>
        </w:rPr>
      </w:pPr>
    </w:p>
    <w:p>
      <w:pPr>
        <w:spacing w:after="0" w:line="27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flywire corporation</w:t>
      </w:r>
    </w:p>
    <w:p>
      <w:pPr>
        <w:spacing w:after="0" w:line="200" w:lineRule="exact"/>
        <w:rPr>
          <w:sz w:val="20"/>
          <w:szCs w:val="20"/>
          <w:color w:val="auto"/>
        </w:rPr>
      </w:pPr>
    </w:p>
    <w:p>
      <w:pPr>
        <w:spacing w:after="0" w:line="32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Michael Massaro</w:t>
      </w:r>
    </w:p>
    <w:p>
      <w:pPr>
        <w:spacing w:after="0" w:line="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Date: August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E</w:t>
      </w:r>
      <w:r>
        <w:rPr>
          <w:rFonts w:ascii="Times New Roman" w:cs="Times New Roman" w:eastAsia="Times New Roman" w:hAnsi="Times New Roman"/>
          <w:sz w:val="17"/>
          <w:szCs w:val="17"/>
          <w:b w:val="1"/>
          <w:bCs w:val="1"/>
          <w:color w:val="auto"/>
        </w:rPr>
        <w:t>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u w:val="single" w:color="auto"/>
          <w:color w:val="auto"/>
        </w:rPr>
        <w:t>/s/ Peter Butterfield</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Peter Butterfield</w:t>
      </w:r>
    </w:p>
    <w:p>
      <w:pPr>
        <w:spacing w:after="0" w:line="200" w:lineRule="exact"/>
        <w:rPr>
          <w:sz w:val="20"/>
          <w:szCs w:val="20"/>
          <w:color w:val="auto"/>
        </w:rPr>
      </w:pPr>
    </w:p>
    <w:p>
      <w:pPr>
        <w:spacing w:after="0" w:line="30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Date: August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PIIA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 Michael Massaro, certify that:</w:t>
      </w:r>
    </w:p>
    <w:p>
      <w:pPr>
        <w:spacing w:after="0" w:line="104" w:lineRule="exact"/>
        <w:rPr>
          <w:sz w:val="20"/>
          <w:szCs w:val="20"/>
          <w:color w:val="auto"/>
        </w:rPr>
      </w:pPr>
    </w:p>
    <w:p>
      <w:pPr>
        <w:ind w:left="400" w:hanging="392"/>
        <w:spacing w:after="0"/>
        <w:tabs>
          <w:tab w:leader="none" w:pos="4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2025 of Flywire Corporation;</w:t>
      </w:r>
    </w:p>
    <w:p>
      <w:pPr>
        <w:spacing w:after="0" w:line="103" w:lineRule="exact"/>
        <w:rPr>
          <w:rFonts w:ascii="Arial" w:cs="Arial" w:eastAsia="Arial" w:hAnsi="Arial"/>
          <w:sz w:val="18"/>
          <w:szCs w:val="18"/>
          <w:color w:val="auto"/>
        </w:rPr>
      </w:pPr>
    </w:p>
    <w:p>
      <w:pPr>
        <w:ind w:left="520" w:right="200" w:hanging="512"/>
        <w:spacing w:after="0" w:line="253" w:lineRule="auto"/>
        <w:tabs>
          <w:tab w:leader="none" w:pos="41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160" w:hanging="512"/>
        <w:spacing w:after="0" w:line="253" w:lineRule="auto"/>
        <w:tabs>
          <w:tab w:leader="none" w:pos="41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660" w:right="260" w:hanging="507"/>
        <w:spacing w:after="0" w:line="247" w:lineRule="auto"/>
        <w:tabs>
          <w:tab w:leader="none" w:pos="1551" w:val="left"/>
        </w:tabs>
        <w:numPr>
          <w:ilvl w:val="1"/>
          <w:numId w:val="3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jc w:val="both"/>
        <w:ind w:left="1660" w:right="180" w:hanging="507"/>
        <w:spacing w:after="0" w:line="275" w:lineRule="auto"/>
        <w:tabs>
          <w:tab w:leader="none" w:pos="1551" w:val="left"/>
        </w:tabs>
        <w:numPr>
          <w:ilvl w:val="1"/>
          <w:numId w:val="3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1660" w:right="280" w:hanging="507"/>
        <w:spacing w:after="0" w:line="253" w:lineRule="auto"/>
        <w:tabs>
          <w:tab w:leader="none" w:pos="1551" w:val="left"/>
        </w:tabs>
        <w:numPr>
          <w:ilvl w:val="1"/>
          <w:numId w:val="3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660" w:hanging="507"/>
        <w:spacing w:after="0" w:line="253" w:lineRule="auto"/>
        <w:tabs>
          <w:tab w:leader="none" w:pos="1551" w:val="left"/>
        </w:tabs>
        <w:numPr>
          <w:ilvl w:val="1"/>
          <w:numId w:val="3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660" w:right="120" w:hanging="507"/>
        <w:spacing w:after="0" w:line="253" w:lineRule="auto"/>
        <w:tabs>
          <w:tab w:leader="none" w:pos="1551" w:val="left"/>
        </w:tabs>
        <w:numPr>
          <w:ilvl w:val="1"/>
          <w:numId w:val="3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660" w:right="520" w:hanging="507"/>
        <w:spacing w:after="0" w:line="271" w:lineRule="auto"/>
        <w:tabs>
          <w:tab w:leader="none" w:pos="1551" w:val="left"/>
        </w:tabs>
        <w:numPr>
          <w:ilvl w:val="1"/>
          <w:numId w:val="3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6840" w:right="1240" w:hanging="6840"/>
        <w:spacing w:after="0" w:line="276" w:lineRule="auto"/>
        <w:tabs>
          <w:tab w:leader="none" w:pos="6820" w:val="left"/>
        </w:tabs>
        <w:rPr>
          <w:sz w:val="20"/>
          <w:szCs w:val="20"/>
          <w:color w:val="auto"/>
        </w:rPr>
      </w:pPr>
      <w:r>
        <w:rPr>
          <w:rFonts w:ascii="Arial" w:cs="Arial" w:eastAsia="Arial" w:hAnsi="Arial"/>
          <w:sz w:val="18"/>
          <w:szCs w:val="18"/>
          <w:color w:val="auto"/>
        </w:rPr>
        <w:t>Date: November 10, 2025</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-1905</wp:posOffset>
            </wp:positionV>
            <wp:extent cx="254635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214" w:lineRule="exact"/>
        <w:rPr>
          <w:sz w:val="20"/>
          <w:szCs w:val="20"/>
          <w:color w:val="auto"/>
        </w:rPr>
      </w:pPr>
    </w:p>
    <w:p>
      <w:pPr>
        <w:jc w:val="center"/>
        <w:ind w:left="7140"/>
        <w:spacing w:after="0"/>
        <w:rPr>
          <w:sz w:val="20"/>
          <w:szCs w:val="20"/>
          <w:color w:val="auto"/>
        </w:rPr>
      </w:pPr>
      <w:r>
        <w:rPr>
          <w:rFonts w:ascii="Arial" w:cs="Arial" w:eastAsia="Arial" w:hAnsi="Arial"/>
          <w:sz w:val="18"/>
          <w:szCs w:val="18"/>
          <w:b w:val="1"/>
          <w:bCs w:val="1"/>
          <w:color w:val="auto"/>
        </w:rPr>
        <w:t>Michael Massaro</w:t>
      </w:r>
    </w:p>
    <w:p>
      <w:pPr>
        <w:jc w:val="center"/>
        <w:ind w:left="7140"/>
        <w:spacing w:after="0" w:line="234" w:lineRule="auto"/>
        <w:rPr>
          <w:sz w:val="20"/>
          <w:szCs w:val="20"/>
          <w:color w:val="auto"/>
        </w:rPr>
      </w:pPr>
      <w:r>
        <w:rPr>
          <w:rFonts w:ascii="Arial" w:cs="Arial" w:eastAsia="Arial" w:hAnsi="Arial"/>
          <w:sz w:val="18"/>
          <w:szCs w:val="18"/>
          <w:b w:val="1"/>
          <w:bCs w:val="1"/>
          <w:color w:val="auto"/>
        </w:rPr>
        <w:t>Chief Executive Officer and Director</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 Cosmin Pitigoi, certify that:</w:t>
      </w:r>
    </w:p>
    <w:p>
      <w:pPr>
        <w:spacing w:after="0" w:line="104" w:lineRule="exact"/>
        <w:rPr>
          <w:sz w:val="20"/>
          <w:szCs w:val="20"/>
          <w:color w:val="auto"/>
        </w:rPr>
      </w:pPr>
    </w:p>
    <w:p>
      <w:pPr>
        <w:ind w:left="400" w:hanging="392"/>
        <w:spacing w:after="0"/>
        <w:tabs>
          <w:tab w:leader="none" w:pos="4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2025 of Flywire Corporation;</w:t>
      </w:r>
    </w:p>
    <w:p>
      <w:pPr>
        <w:spacing w:after="0" w:line="103" w:lineRule="exact"/>
        <w:rPr>
          <w:rFonts w:ascii="Arial" w:cs="Arial" w:eastAsia="Arial" w:hAnsi="Arial"/>
          <w:sz w:val="18"/>
          <w:szCs w:val="18"/>
          <w:color w:val="auto"/>
        </w:rPr>
      </w:pPr>
    </w:p>
    <w:p>
      <w:pPr>
        <w:ind w:left="520" w:right="200" w:hanging="512"/>
        <w:spacing w:after="0" w:line="253" w:lineRule="auto"/>
        <w:tabs>
          <w:tab w:leader="none" w:pos="41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160" w:hanging="512"/>
        <w:spacing w:after="0" w:line="253" w:lineRule="auto"/>
        <w:tabs>
          <w:tab w:leader="none" w:pos="41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660" w:right="260" w:hanging="507"/>
        <w:spacing w:after="0" w:line="247" w:lineRule="auto"/>
        <w:tabs>
          <w:tab w:leader="none" w:pos="1551" w:val="left"/>
        </w:tabs>
        <w:numPr>
          <w:ilvl w:val="1"/>
          <w:numId w:val="3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jc w:val="both"/>
        <w:ind w:left="1660" w:right="180" w:hanging="507"/>
        <w:spacing w:after="0" w:line="275" w:lineRule="auto"/>
        <w:tabs>
          <w:tab w:leader="none" w:pos="1551" w:val="left"/>
        </w:tabs>
        <w:numPr>
          <w:ilvl w:val="1"/>
          <w:numId w:val="3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1660" w:right="280" w:hanging="507"/>
        <w:spacing w:after="0" w:line="253" w:lineRule="auto"/>
        <w:tabs>
          <w:tab w:leader="none" w:pos="1551" w:val="left"/>
        </w:tabs>
        <w:numPr>
          <w:ilvl w:val="1"/>
          <w:numId w:val="3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660" w:hanging="507"/>
        <w:spacing w:after="0" w:line="253" w:lineRule="auto"/>
        <w:tabs>
          <w:tab w:leader="none" w:pos="1551" w:val="left"/>
        </w:tabs>
        <w:numPr>
          <w:ilvl w:val="1"/>
          <w:numId w:val="3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660" w:right="120" w:hanging="507"/>
        <w:spacing w:after="0" w:line="253" w:lineRule="auto"/>
        <w:tabs>
          <w:tab w:leader="none" w:pos="1551"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660" w:right="520" w:hanging="507"/>
        <w:spacing w:after="0" w:line="271" w:lineRule="auto"/>
        <w:tabs>
          <w:tab w:leader="none" w:pos="1551"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6520" w:right="1520" w:hanging="6503"/>
        <w:spacing w:after="0" w:line="276" w:lineRule="auto"/>
        <w:tabs>
          <w:tab w:leader="none" w:pos="6500" w:val="left"/>
        </w:tabs>
        <w:rPr>
          <w:sz w:val="20"/>
          <w:szCs w:val="20"/>
          <w:color w:val="auto"/>
        </w:rPr>
      </w:pPr>
      <w:r>
        <w:rPr>
          <w:rFonts w:ascii="Arial" w:cs="Arial" w:eastAsia="Arial" w:hAnsi="Arial"/>
          <w:sz w:val="18"/>
          <w:szCs w:val="18"/>
          <w:color w:val="auto"/>
        </w:rPr>
        <w:t>Date: November 10, 2025</w:t>
      </w:r>
      <w:r>
        <w:rPr>
          <w:sz w:val="20"/>
          <w:szCs w:val="20"/>
          <w:color w:val="auto"/>
        </w:rPr>
        <w:tab/>
      </w:r>
      <w:r>
        <w:rPr>
          <w:rFonts w:ascii="Arial" w:cs="Arial" w:eastAsia="Arial" w:hAnsi="Arial"/>
          <w:sz w:val="18"/>
          <w:szCs w:val="18"/>
          <w:color w:val="auto"/>
        </w:rPr>
        <w:t>/s/ Cosmin Pitigoi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-1905</wp:posOffset>
            </wp:positionV>
            <wp:extent cx="276034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14" w:lineRule="exact"/>
        <w:rPr>
          <w:sz w:val="20"/>
          <w:szCs w:val="20"/>
          <w:color w:val="auto"/>
        </w:rPr>
      </w:pPr>
    </w:p>
    <w:p>
      <w:pPr>
        <w:jc w:val="center"/>
        <w:ind w:left="6800"/>
        <w:spacing w:after="0"/>
        <w:rPr>
          <w:sz w:val="20"/>
          <w:szCs w:val="20"/>
          <w:color w:val="auto"/>
        </w:rPr>
      </w:pPr>
      <w:r>
        <w:rPr>
          <w:rFonts w:ascii="Arial" w:cs="Arial" w:eastAsia="Arial" w:hAnsi="Arial"/>
          <w:sz w:val="18"/>
          <w:szCs w:val="18"/>
          <w:b w:val="1"/>
          <w:bCs w:val="1"/>
          <w:color w:val="auto"/>
        </w:rPr>
        <w:t>Cosmin Pitigoi</w:t>
      </w:r>
    </w:p>
    <w:p>
      <w:pPr>
        <w:jc w:val="center"/>
        <w:ind w:left="680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1287780</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6"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September 30, 2025 as filed with the Securities and Exchange Commission on the date hereof (the “Report”), I certify, pursuant to 18 U.S.C. § 1350, as adopted pursuant to § 906 of the Sarbanes-Oxley Act of 2002, that:</w:t>
      </w:r>
    </w:p>
    <w:p>
      <w:pPr>
        <w:spacing w:after="0" w:line="61" w:lineRule="exact"/>
        <w:rPr>
          <w:sz w:val="20"/>
          <w:szCs w:val="20"/>
          <w:color w:val="auto"/>
        </w:rPr>
      </w:pPr>
    </w:p>
    <w:p>
      <w:pPr>
        <w:ind w:left="1560" w:hanging="407"/>
        <w:spacing w:after="0"/>
        <w:tabs>
          <w:tab w:leader="none" w:pos="15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71" w:lineRule="auto"/>
        <w:tabs>
          <w:tab w:leader="none" w:pos="155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p>
      <w:pPr>
        <w:ind w:left="6380" w:right="1440" w:hanging="6368"/>
        <w:spacing w:after="0" w:line="276" w:lineRule="auto"/>
        <w:tabs>
          <w:tab w:leader="none" w:pos="6360" w:val="left"/>
        </w:tabs>
        <w:rPr>
          <w:sz w:val="20"/>
          <w:szCs w:val="20"/>
          <w:color w:val="auto"/>
        </w:rPr>
      </w:pPr>
      <w:r>
        <w:rPr>
          <w:rFonts w:ascii="Arial" w:cs="Arial" w:eastAsia="Arial" w:hAnsi="Arial"/>
          <w:sz w:val="18"/>
          <w:szCs w:val="18"/>
          <w:color w:val="auto"/>
        </w:rPr>
        <w:t>Date: November 10, 2025</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-1905</wp:posOffset>
            </wp:positionV>
            <wp:extent cx="284607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4"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Michael Massaro</w:t>
      </w:r>
    </w:p>
    <w:p>
      <w:pPr>
        <w:jc w:val="center"/>
        <w:ind w:left="6680"/>
        <w:spacing w:after="0" w:line="234" w:lineRule="auto"/>
        <w:rPr>
          <w:sz w:val="20"/>
          <w:szCs w:val="20"/>
          <w:color w:val="auto"/>
        </w:rPr>
      </w:pPr>
      <w:r>
        <w:rPr>
          <w:rFonts w:ascii="Arial" w:cs="Arial" w:eastAsia="Arial" w:hAnsi="Arial"/>
          <w:sz w:val="18"/>
          <w:szCs w:val="18"/>
          <w:b w:val="1"/>
          <w:bCs w:val="1"/>
          <w:color w:val="auto"/>
        </w:rPr>
        <w:t>Chief Executive Officer and Director</w:t>
      </w:r>
    </w:p>
    <w:p>
      <w:pPr>
        <w:spacing w:after="0" w:line="1"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6"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September 30, 2025 as filed with the Securities and Exchange Commission on the date hereof (the “Report”), I certify, pursuant to 18 U.S.C. § 1350, as adopted pursuant to § 906 of the Sarbanes-Oxley Act of 2002, that:</w:t>
      </w:r>
    </w:p>
    <w:p>
      <w:pPr>
        <w:spacing w:after="0" w:line="61" w:lineRule="exact"/>
        <w:rPr>
          <w:sz w:val="20"/>
          <w:szCs w:val="20"/>
          <w:color w:val="auto"/>
        </w:rPr>
      </w:pPr>
    </w:p>
    <w:p>
      <w:pPr>
        <w:ind w:left="1560" w:hanging="407"/>
        <w:spacing w:after="0"/>
        <w:tabs>
          <w:tab w:leader="none" w:pos="15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71" w:lineRule="auto"/>
        <w:tabs>
          <w:tab w:leader="none" w:pos="155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p>
      <w:pPr>
        <w:ind w:left="6380" w:right="1540" w:hanging="6368"/>
        <w:spacing w:after="0" w:line="276" w:lineRule="auto"/>
        <w:tabs>
          <w:tab w:leader="none" w:pos="6360" w:val="left"/>
        </w:tabs>
        <w:rPr>
          <w:sz w:val="20"/>
          <w:szCs w:val="20"/>
          <w:color w:val="auto"/>
        </w:rPr>
      </w:pPr>
      <w:r>
        <w:rPr>
          <w:rFonts w:ascii="Arial" w:cs="Arial" w:eastAsia="Arial" w:hAnsi="Arial"/>
          <w:sz w:val="18"/>
          <w:szCs w:val="18"/>
          <w:color w:val="auto"/>
        </w:rPr>
        <w:t>Date: November 10, 2025</w:t>
      </w:r>
      <w:r>
        <w:rPr>
          <w:sz w:val="20"/>
          <w:szCs w:val="20"/>
          <w:color w:val="auto"/>
        </w:rPr>
        <w:tab/>
      </w:r>
      <w:r>
        <w:rPr>
          <w:rFonts w:ascii="Arial" w:cs="Arial" w:eastAsia="Arial" w:hAnsi="Arial"/>
          <w:sz w:val="18"/>
          <w:szCs w:val="18"/>
          <w:color w:val="auto"/>
        </w:rPr>
        <w:t>/s/ Cosmin Pitigoi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-1905</wp:posOffset>
            </wp:positionV>
            <wp:extent cx="284607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4"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Cosmin Pitigoi</w:t>
      </w:r>
    </w:p>
    <w:p>
      <w:pPr>
        <w:jc w:val="center"/>
        <w:ind w:left="668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32" w:name="page333"/>
    <w:bookmarkEnd w:id="3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B26E78"/>
    <w:multiLevelType w:val="hybridMultilevel"/>
    <w:lvl w:ilvl="0">
      <w:lvlJc w:val="left"/>
      <w:lvlText w:val="☒"/>
      <w:numFmt w:val="bullet"/>
      <w:start w:val="1"/>
    </w:lvl>
  </w:abstractNum>
  <w:abstractNum w:abstractNumId="1">
    <w:nsid w:val="21FAA2FA"/>
    <w:multiLevelType w:val="hybridMultilevel"/>
    <w:lvl w:ilvl="0">
      <w:lvlJc w:val="left"/>
      <w:lvlText w:val="☐"/>
      <w:numFmt w:val="bullet"/>
      <w:start w:val="1"/>
    </w:lvl>
  </w:abstractNum>
  <w:abstractNum w:abstractNumId="2">
    <w:nsid w:val="5451CF49"/>
    <w:multiLevelType w:val="hybridMultilevel"/>
    <w:lvl w:ilvl="0">
      <w:lvlJc w:val="left"/>
      <w:lvlText w:val="•"/>
      <w:numFmt w:val="bullet"/>
      <w:start w:val="1"/>
    </w:lvl>
  </w:abstractNum>
  <w:abstractNum w:abstractNumId="3">
    <w:nsid w:val="6181EF69"/>
    <w:multiLevelType w:val="hybridMultilevel"/>
    <w:lvl w:ilvl="0">
      <w:lvlJc w:val="left"/>
      <w:lvlText w:val="•"/>
      <w:numFmt w:val="bullet"/>
      <w:start w:val="1"/>
    </w:lvl>
  </w:abstractNum>
  <w:abstractNum w:abstractNumId="4">
    <w:nsid w:val="3E6400E6"/>
    <w:multiLevelType w:val="hybridMultilevel"/>
    <w:lvl w:ilvl="0">
      <w:lvlJc w:val="left"/>
      <w:lvlText w:val="(%1)"/>
      <w:numFmt w:val="lowerLetter"/>
      <w:start w:val="1"/>
    </w:lvl>
  </w:abstractNum>
  <w:abstractNum w:abstractNumId="5">
    <w:nsid w:val="14217E23"/>
    <w:multiLevelType w:val="hybridMultilevel"/>
    <w:lvl w:ilvl="0">
      <w:lvlJc w:val="left"/>
      <w:lvlText w:val="(%1)"/>
      <w:numFmt w:val="lowerLetter"/>
      <w:start w:val="1"/>
    </w:lvl>
  </w:abstractNum>
  <w:abstractNum w:abstractNumId="6">
    <w:nsid w:val="710757D0"/>
    <w:multiLevelType w:val="hybridMultilevel"/>
    <w:lvl w:ilvl="0">
      <w:lvlJc w:val="left"/>
      <w:lvlText w:val="(%1)"/>
      <w:numFmt w:val="lowerLetter"/>
      <w:start w:val="1"/>
    </w:lvl>
  </w:abstractNum>
  <w:abstractNum w:abstractNumId="7">
    <w:nsid w:val="5015CD1A"/>
    <w:multiLevelType w:val="hybridMultilevel"/>
    <w:lvl w:ilvl="0">
      <w:lvlJc w:val="left"/>
      <w:lvlText w:val="(%1)"/>
      <w:numFmt w:val="lowerLetter"/>
      <w:start w:val="1"/>
    </w:lvl>
  </w:abstractNum>
  <w:abstractNum w:abstractNumId="8">
    <w:nsid w:val="424479DA"/>
    <w:multiLevelType w:val="hybridMultilevel"/>
    <w:lvl w:ilvl="0">
      <w:lvlJc w:val="left"/>
      <w:lvlText w:val="(%1)"/>
      <w:numFmt w:val="lowerLetter"/>
      <w:start w:val="1"/>
    </w:lvl>
  </w:abstractNum>
  <w:abstractNum w:abstractNumId="9">
    <w:nsid w:val="1A9A9E69"/>
    <w:multiLevelType w:val="hybridMultilevel"/>
    <w:lvl w:ilvl="0">
      <w:lvlJc w:val="left"/>
      <w:lvlText w:val="•"/>
      <w:numFmt w:val="bullet"/>
      <w:start w:val="1"/>
    </w:lvl>
  </w:abstractNum>
  <w:abstractNum w:abstractNumId="10">
    <w:nsid w:val="475E256A"/>
    <w:multiLevelType w:val="hybridMultilevel"/>
    <w:lvl w:ilvl="0">
      <w:lvlJc w:val="left"/>
      <w:lvlText w:val="•"/>
      <w:numFmt w:val="bullet"/>
      <w:start w:val="1"/>
    </w:lvl>
  </w:abstractNum>
  <w:abstractNum w:abstractNumId="11">
    <w:nsid w:val="368DB37E"/>
    <w:multiLevelType w:val="hybridMultilevel"/>
    <w:lvl w:ilvl="0">
      <w:lvlJc w:val="left"/>
      <w:lvlText w:val="$"/>
      <w:numFmt w:val="bullet"/>
      <w:start w:val="1"/>
    </w:lvl>
  </w:abstractNum>
  <w:abstractNum w:abstractNumId="12">
    <w:nsid w:val="6A3B714C"/>
    <w:multiLevelType w:val="hybridMultilevel"/>
    <w:lvl w:ilvl="0">
      <w:lvlJc w:val="left"/>
      <w:lvlText w:val="$"/>
      <w:numFmt w:val="bullet"/>
      <w:start w:val="1"/>
    </w:lvl>
  </w:abstractNum>
  <w:abstractNum w:abstractNumId="13">
    <w:nsid w:val="327B517E"/>
    <w:multiLevelType w:val="hybridMultilevel"/>
    <w:lvl w:ilvl="0">
      <w:lvlJc w:val="left"/>
      <w:lvlText w:val="(%1)"/>
      <w:numFmt w:val="lowerLetter"/>
      <w:start w:val="1"/>
    </w:lvl>
  </w:abstractNum>
  <w:abstractNum w:abstractNumId="14">
    <w:nsid w:val="1F461B51"/>
    <w:multiLevelType w:val="hybridMultilevel"/>
    <w:lvl w:ilvl="0">
      <w:lvlJc w:val="left"/>
      <w:lvlText w:val="(%1)"/>
      <w:numFmt w:val="lowerLetter"/>
      <w:start w:val="1"/>
    </w:lvl>
  </w:abstractNum>
  <w:abstractNum w:abstractNumId="15">
    <w:nsid w:val="29BACF25"/>
    <w:multiLevelType w:val="hybridMultilevel"/>
    <w:lvl w:ilvl="0">
      <w:lvlJc w:val="left"/>
      <w:lvlText w:val="•"/>
      <w:numFmt w:val="bullet"/>
      <w:start w:val="1"/>
    </w:lvl>
  </w:abstractNum>
  <w:abstractNum w:abstractNumId="16">
    <w:nsid w:val="5D5BABB3"/>
    <w:multiLevelType w:val="hybridMultilevel"/>
    <w:lvl w:ilvl="0">
      <w:lvlJc w:val="left"/>
      <w:lvlText w:val="•"/>
      <w:numFmt w:val="bullet"/>
      <w:start w:val="1"/>
    </w:lvl>
  </w:abstractNum>
  <w:abstractNum w:abstractNumId="17">
    <w:nsid w:val="51BF6B48"/>
    <w:multiLevelType w:val="hybridMultilevel"/>
    <w:lvl w:ilvl="0">
      <w:lvlJc w:val="left"/>
      <w:lvlText w:val="•"/>
      <w:numFmt w:val="bullet"/>
      <w:start w:val="1"/>
    </w:lvl>
  </w:abstractNum>
  <w:abstractNum w:abstractNumId="18">
    <w:nsid w:val="7E0F6384"/>
    <w:multiLevelType w:val="hybridMultilevel"/>
    <w:lvl w:ilvl="0">
      <w:lvlJc w:val="left"/>
      <w:lvlText w:val="•"/>
      <w:numFmt w:val="bullet"/>
      <w:start w:val="1"/>
    </w:lvl>
  </w:abstractNum>
  <w:abstractNum w:abstractNumId="19">
    <w:nsid w:val="2B4B8B53"/>
    <w:multiLevelType w:val="hybridMultilevel"/>
    <w:lvl w:ilvl="0">
      <w:lvlJc w:val="left"/>
      <w:lvlText w:val="•"/>
      <w:numFmt w:val="bullet"/>
      <w:start w:val="1"/>
    </w:lvl>
  </w:abstractNum>
  <w:abstractNum w:abstractNumId="20">
    <w:nsid w:val="72E3413A"/>
    <w:multiLevelType w:val="hybridMultilevel"/>
    <w:lvl w:ilvl="0">
      <w:lvlJc w:val="left"/>
      <w:lvlText w:val="•"/>
      <w:numFmt w:val="bullet"/>
      <w:start w:val="1"/>
    </w:lvl>
  </w:abstractNum>
  <w:abstractNum w:abstractNumId="21">
    <w:nsid w:val="116AE494"/>
    <w:multiLevelType w:val="hybridMultilevel"/>
    <w:lvl w:ilvl="0">
      <w:lvlJc w:val="left"/>
      <w:lvlText w:val="•"/>
      <w:numFmt w:val="bullet"/>
      <w:start w:val="1"/>
    </w:lvl>
  </w:abstractNum>
  <w:abstractNum w:abstractNumId="22">
    <w:nsid w:val="3494B2FB"/>
    <w:multiLevelType w:val="hybridMultilevel"/>
    <w:lvl w:ilvl="0">
      <w:lvlJc w:val="left"/>
      <w:lvlText w:val="*"/>
      <w:numFmt w:val="bullet"/>
      <w:start w:val="1"/>
    </w:lvl>
  </w:abstractNum>
  <w:abstractNum w:abstractNumId="23">
    <w:nsid w:val="B13A31"/>
    <w:multiLevelType w:val="hybridMultilevel"/>
    <w:lvl w:ilvl="0">
      <w:lvlJc w:val="left"/>
      <w:lvlText w:val="*"/>
      <w:numFmt w:val="bullet"/>
      <w:start w:val="1"/>
    </w:lvl>
  </w:abstractNum>
  <w:abstractNum w:abstractNumId="24">
    <w:nsid w:val="64429599"/>
    <w:multiLevelType w:val="hybridMultilevel"/>
    <w:lvl w:ilvl="0">
      <w:lvlJc w:val="left"/>
      <w:lvlText w:val="*"/>
      <w:numFmt w:val="bullet"/>
      <w:start w:val="1"/>
    </w:lvl>
  </w:abstractNum>
  <w:abstractNum w:abstractNumId="25">
    <w:nsid w:val="631F1690"/>
    <w:multiLevelType w:val="hybridMultilevel"/>
    <w:lvl w:ilvl="0">
      <w:lvlJc w:val="left"/>
      <w:lvlText w:val="*"/>
      <w:numFmt w:val="bullet"/>
      <w:start w:val="1"/>
    </w:lvl>
  </w:abstractNum>
  <w:abstractNum w:abstractNumId="26">
    <w:nsid w:val="25973E32"/>
    <w:multiLevelType w:val="hybridMultilevel"/>
    <w:lvl w:ilvl="0">
      <w:lvlJc w:val="left"/>
      <w:lvlText w:val="*"/>
      <w:numFmt w:val="bullet"/>
      <w:start w:val="1"/>
    </w:lvl>
  </w:abstractNum>
  <w:abstractNum w:abstractNumId="27">
    <w:nsid w:val="EAD6F57"/>
    <w:multiLevelType w:val="hybridMultilevel"/>
    <w:lvl w:ilvl="0">
      <w:lvlJc w:val="left"/>
      <w:lvlText w:val="*"/>
      <w:numFmt w:val="bullet"/>
      <w:start w:val="1"/>
    </w:lvl>
  </w:abstractNum>
  <w:abstractNum w:abstractNumId="28">
    <w:nsid w:val="6EC9D844"/>
    <w:multiLevelType w:val="hybridMultilevel"/>
    <w:lvl w:ilvl="0">
      <w:lvlJc w:val="left"/>
      <w:lvlText w:val="*"/>
      <w:numFmt w:val="bullet"/>
      <w:start w:val="1"/>
    </w:lvl>
  </w:abstractNum>
  <w:abstractNum w:abstractNumId="29">
    <w:nsid w:val="5C49EAEE"/>
    <w:multiLevelType w:val="hybridMultilevel"/>
    <w:lvl w:ilvl="0">
      <w:lvlJc w:val="left"/>
      <w:lvlText w:val="•"/>
      <w:numFmt w:val="bullet"/>
      <w:start w:val="1"/>
    </w:lvl>
  </w:abstractNum>
  <w:abstractNum w:abstractNumId="30">
    <w:nsid w:val="64AF49B"/>
    <w:multiLevelType w:val="hybridMultilevel"/>
    <w:lvl w:ilvl="0">
      <w:lvlJc w:val="left"/>
      <w:lvlText w:val="•"/>
      <w:numFmt w:val="bullet"/>
      <w:start w:val="1"/>
    </w:lvl>
  </w:abstractNum>
  <w:abstractNum w:abstractNumId="31">
    <w:nsid w:val="397C46BC"/>
    <w:multiLevelType w:val="hybridMultilevel"/>
    <w:lvl w:ilvl="0">
      <w:lvlJc w:val="left"/>
      <w:lvlText w:val="•"/>
      <w:numFmt w:val="bullet"/>
      <w:start w:val="1"/>
    </w:lvl>
  </w:abstractNum>
  <w:abstractNum w:abstractNumId="32">
    <w:nsid w:val="7E448DE9"/>
    <w:multiLevelType w:val="hybridMultilevel"/>
    <w:lvl w:ilvl="0">
      <w:lvlJc w:val="left"/>
      <w:lvlText w:val="•"/>
      <w:numFmt w:val="bullet"/>
      <w:start w:val="1"/>
    </w:lvl>
  </w:abstractNum>
  <w:abstractNum w:abstractNumId="33">
    <w:nsid w:val="5A9CC3E5"/>
    <w:multiLevelType w:val="hybridMultilevel"/>
    <w:lvl w:ilvl="0">
      <w:lvlJc w:val="left"/>
      <w:lvlText w:val="•"/>
      <w:numFmt w:val="bullet"/>
      <w:start w:val="1"/>
    </w:lvl>
  </w:abstractNum>
  <w:abstractNum w:abstractNumId="34">
    <w:nsid w:val="1AFE3625"/>
    <w:multiLevelType w:val="hybridMultilevel"/>
    <w:lvl w:ilvl="0">
      <w:lvlJc w:val="left"/>
      <w:lvlText w:val="•"/>
      <w:numFmt w:val="bullet"/>
      <w:start w:val="1"/>
    </w:lvl>
  </w:abstractNum>
  <w:abstractNum w:abstractNumId="35">
    <w:nsid w:val="3CA88ECF"/>
    <w:multiLevelType w:val="hybridMultilevel"/>
    <w:lvl w:ilvl="0">
      <w:lvlJc w:val="left"/>
      <w:lvlText w:val="•"/>
      <w:numFmt w:val="bullet"/>
      <w:start w:val="1"/>
    </w:lvl>
  </w:abstractNum>
  <w:abstractNum w:abstractNumId="36">
    <w:nsid w:val="6EBE4208"/>
    <w:multiLevelType w:val="hybridMultilevel"/>
    <w:lvl w:ilvl="0">
      <w:lvlJc w:val="left"/>
      <w:lvlText w:val="•"/>
      <w:numFmt w:val="bullet"/>
      <w:start w:val="1"/>
    </w:lvl>
  </w:abstractNum>
  <w:abstractNum w:abstractNumId="37">
    <w:nsid w:val="C058DF5"/>
    <w:multiLevelType w:val="hybridMultilevel"/>
    <w:lvl w:ilvl="0">
      <w:lvlJc w:val="left"/>
      <w:lvlText w:val="•"/>
      <w:numFmt w:val="bullet"/>
      <w:start w:val="1"/>
    </w:lvl>
  </w:abstractNum>
  <w:abstractNum w:abstractNumId="38">
    <w:nsid w:val="CBE5BE9"/>
    <w:multiLevelType w:val="hybridMultilevel"/>
    <w:lvl w:ilvl="0">
      <w:lvlJc w:val="left"/>
      <w:lvlText w:val="•"/>
      <w:numFmt w:val="bullet"/>
      <w:start w:val="1"/>
    </w:lvl>
  </w:abstractNum>
  <w:abstractNum w:abstractNumId="39">
    <w:nsid w:val="3102BBE2"/>
    <w:multiLevelType w:val="hybridMultilevel"/>
    <w:lvl w:ilvl="0">
      <w:lvlJc w:val="left"/>
      <w:lvlText w:val="•"/>
      <w:numFmt w:val="bullet"/>
      <w:start w:val="1"/>
    </w:lvl>
  </w:abstractNum>
  <w:abstractNum w:abstractNumId="40">
    <w:nsid w:val="26A02C5E"/>
    <w:multiLevelType w:val="hybridMultilevel"/>
    <w:lvl w:ilvl="0">
      <w:lvlJc w:val="left"/>
      <w:lvlText w:val="•"/>
      <w:numFmt w:val="bullet"/>
      <w:start w:val="1"/>
    </w:lvl>
  </w:abstractNum>
  <w:abstractNum w:abstractNumId="41">
    <w:nsid w:val="541C8153"/>
    <w:multiLevelType w:val="hybridMultilevel"/>
    <w:lvl w:ilvl="0">
      <w:lvlJc w:val="left"/>
      <w:lvlText w:val="•"/>
      <w:numFmt w:val="bullet"/>
      <w:start w:val="1"/>
    </w:lvl>
  </w:abstractNum>
  <w:abstractNum w:abstractNumId="42">
    <w:nsid w:val="67906F60"/>
    <w:multiLevelType w:val="hybridMultilevel"/>
    <w:lvl w:ilvl="0">
      <w:lvlJc w:val="left"/>
      <w:lvlText w:val="•"/>
      <w:numFmt w:val="bullet"/>
      <w:start w:val="1"/>
    </w:lvl>
  </w:abstractNum>
  <w:abstractNum w:abstractNumId="43">
    <w:nsid w:val="10DB9DAA"/>
    <w:multiLevelType w:val="hybridMultilevel"/>
    <w:lvl w:ilvl="0">
      <w:lvlJc w:val="left"/>
      <w:lvlText w:val="•"/>
      <w:numFmt w:val="bullet"/>
      <w:start w:val="1"/>
    </w:lvl>
  </w:abstractNum>
  <w:abstractNum w:abstractNumId="44">
    <w:nsid w:val="697D2D2"/>
    <w:multiLevelType w:val="hybridMultilevel"/>
    <w:lvl w:ilvl="0">
      <w:lvlJc w:val="left"/>
      <w:lvlText w:val="•"/>
      <w:numFmt w:val="bullet"/>
      <w:start w:val="1"/>
    </w:lvl>
  </w:abstractNum>
  <w:abstractNum w:abstractNumId="45">
    <w:nsid w:val="6D68AB2"/>
    <w:multiLevelType w:val="hybridMultilevel"/>
    <w:lvl w:ilvl="0">
      <w:lvlJc w:val="left"/>
      <w:lvlText w:val="•"/>
      <w:numFmt w:val="bullet"/>
      <w:start w:val="1"/>
    </w:lvl>
  </w:abstractNum>
  <w:abstractNum w:abstractNumId="46">
    <w:nsid w:val="3A966CD0"/>
    <w:multiLevelType w:val="hybridMultilevel"/>
    <w:lvl w:ilvl="0">
      <w:lvlJc w:val="left"/>
      <w:lvlText w:val="•"/>
      <w:numFmt w:val="bullet"/>
      <w:start w:val="1"/>
    </w:lvl>
  </w:abstractNum>
  <w:abstractNum w:abstractNumId="47">
    <w:nsid w:val="63F37E85"/>
    <w:multiLevelType w:val="hybridMultilevel"/>
    <w:lvl w:ilvl="0">
      <w:lvlJc w:val="left"/>
      <w:lvlText w:val="•"/>
      <w:numFmt w:val="bullet"/>
      <w:start w:val="1"/>
    </w:lvl>
  </w:abstractNum>
  <w:abstractNum w:abstractNumId="48">
    <w:nsid w:val="5895F5FA"/>
    <w:multiLevelType w:val="hybridMultilevel"/>
    <w:lvl w:ilvl="0">
      <w:lvlJc w:val="left"/>
      <w:lvlText w:val="•"/>
      <w:numFmt w:val="bullet"/>
      <w:start w:val="1"/>
    </w:lvl>
  </w:abstractNum>
  <w:abstractNum w:abstractNumId="49">
    <w:nsid w:val="38A5D054"/>
    <w:multiLevelType w:val="hybridMultilevel"/>
    <w:lvl w:ilvl="0">
      <w:lvlJc w:val="left"/>
      <w:lvlText w:val="•"/>
      <w:numFmt w:val="bullet"/>
      <w:start w:val="1"/>
    </w:lvl>
  </w:abstractNum>
  <w:abstractNum w:abstractNumId="50">
    <w:nsid w:val="F3F09D8"/>
    <w:multiLevelType w:val="hybridMultilevel"/>
    <w:lvl w:ilvl="0">
      <w:lvlJc w:val="left"/>
      <w:lvlText w:val="•"/>
      <w:numFmt w:val="bullet"/>
      <w:start w:val="1"/>
    </w:lvl>
  </w:abstractNum>
  <w:abstractNum w:abstractNumId="51">
    <w:nsid w:val="4B793735"/>
    <w:multiLevelType w:val="hybridMultilevel"/>
    <w:lvl w:ilvl="0">
      <w:lvlJc w:val="left"/>
      <w:lvlText w:val="•"/>
      <w:numFmt w:val="bullet"/>
      <w:start w:val="1"/>
    </w:lvl>
  </w:abstractNum>
  <w:abstractNum w:abstractNumId="52">
    <w:nsid w:val="4A10B4E8"/>
    <w:multiLevelType w:val="hybridMultilevel"/>
    <w:lvl w:ilvl="0">
      <w:lvlJc w:val="left"/>
      <w:lvlText w:val="•"/>
      <w:numFmt w:val="bullet"/>
      <w:start w:val="1"/>
    </w:lvl>
  </w:abstractNum>
  <w:abstractNum w:abstractNumId="53">
    <w:nsid w:val="43D3BCD4"/>
    <w:multiLevelType w:val="hybridMultilevel"/>
    <w:lvl w:ilvl="0">
      <w:lvlJc w:val="left"/>
      <w:lvlText w:val="•"/>
      <w:numFmt w:val="bullet"/>
      <w:start w:val="1"/>
    </w:lvl>
  </w:abstractNum>
  <w:abstractNum w:abstractNumId="54">
    <w:nsid w:val="4C2A7166"/>
    <w:multiLevelType w:val="hybridMultilevel"/>
    <w:lvl w:ilvl="0">
      <w:lvlJc w:val="left"/>
      <w:lvlText w:val="(%1)"/>
      <w:numFmt w:val="lowerLetter"/>
      <w:start w:val="1"/>
    </w:lvl>
  </w:abstractNum>
  <w:abstractNum w:abstractNumId="55">
    <w:nsid w:val="2E534A82"/>
    <w:multiLevelType w:val="hybridMultilevel"/>
    <w:lvl w:ilvl="0">
      <w:lvlJc w:val="left"/>
      <w:lvlText w:val="*"/>
      <w:numFmt w:val="bullet"/>
      <w:start w:val="1"/>
    </w:lvl>
    <w:lvl w:ilvl="1">
      <w:lvlJc w:val="left"/>
      <w:lvlText w:val="%2"/>
      <w:numFmt w:val="decimal"/>
      <w:start w:val="104"/>
    </w:lvl>
  </w:abstractNum>
  <w:abstractNum w:abstractNumId="56">
    <w:nsid w:val="26F2D364"/>
    <w:multiLevelType w:val="hybridMultilevel"/>
    <w:lvl w:ilvl="0">
      <w:lvlJc w:val="left"/>
      <w:lvlText w:val="(%1)"/>
      <w:numFmt w:val="lowerLetter"/>
      <w:start w:val="1"/>
    </w:lvl>
  </w:abstractNum>
  <w:abstractNum w:abstractNumId="57">
    <w:nsid w:val="71C1AF98"/>
    <w:multiLevelType w:val="hybridMultilevel"/>
    <w:lvl w:ilvl="0">
      <w:lvlJc w:val="left"/>
      <w:lvlText w:val="(%1)"/>
      <w:numFmt w:val="lowerLetter"/>
      <w:start w:val="2"/>
    </w:lvl>
  </w:abstractNum>
  <w:abstractNum w:abstractNumId="58">
    <w:nsid w:val="3D00B9D9"/>
    <w:multiLevelType w:val="hybridMultilevel"/>
    <w:lvl w:ilvl="0">
      <w:lvlJc w:val="left"/>
      <w:lvlText w:val="(%1)"/>
      <w:numFmt w:val="lowerLetter"/>
      <w:start w:val="1"/>
    </w:lvl>
  </w:abstractNum>
  <w:abstractNum w:abstractNumId="59">
    <w:nsid w:val="15BCABA8"/>
    <w:multiLevelType w:val="hybridMultilevel"/>
    <w:lvl w:ilvl="0">
      <w:lvlJc w:val="left"/>
      <w:lvlText w:val="(%1)"/>
      <w:numFmt w:val="lowerLetter"/>
      <w:start w:val="1"/>
    </w:lvl>
  </w:abstractNum>
  <w:abstractNum w:abstractNumId="60">
    <w:nsid w:val="4E0B9A87"/>
    <w:multiLevelType w:val="hybridMultilevel"/>
    <w:lvl w:ilvl="0">
      <w:lvlJc w:val="left"/>
      <w:lvlText w:val="(%1)"/>
      <w:numFmt w:val="lowerLetter"/>
      <w:start w:val="7"/>
    </w:lvl>
  </w:abstractNum>
  <w:abstractNum w:abstractNumId="61">
    <w:nsid w:val="434BAE75"/>
    <w:multiLevelType w:val="hybridMultilevel"/>
    <w:lvl w:ilvl="0">
      <w:lvlJc w:val="left"/>
      <w:lvlText w:val="(%1)"/>
      <w:numFmt w:val="lowerLetter"/>
      <w:start w:val="13"/>
    </w:lvl>
  </w:abstractNum>
  <w:abstractNum w:abstractNumId="62">
    <w:nsid w:val="4F38F265"/>
    <w:multiLevelType w:val="hybridMultilevel"/>
    <w:lvl w:ilvl="0">
      <w:lvlJc w:val="left"/>
      <w:lvlText w:val="\emdash "/>
      <w:numFmt w:val="bullet"/>
      <w:start w:val="1"/>
    </w:lvl>
  </w:abstractNum>
  <w:abstractNum w:abstractNumId="63">
    <w:nsid w:val="4C502870"/>
    <w:multiLevelType w:val="hybridMultilevel"/>
    <w:lvl w:ilvl="0">
      <w:lvlJc w:val="left"/>
      <w:lvlText w:val="(%1)"/>
      <w:numFmt w:val="lowerLetter"/>
      <w:start w:val="2"/>
    </w:lvl>
  </w:abstractNum>
  <w:abstractNum w:abstractNumId="64">
    <w:nsid w:val="1DE8725A"/>
    <w:multiLevelType w:val="hybridMultilevel"/>
    <w:lvl w:ilvl="0">
      <w:lvlJc w:val="left"/>
      <w:lvlText w:val="(%1)"/>
      <w:numFmt w:val="lowerLetter"/>
      <w:start w:val="3"/>
    </w:lvl>
  </w:abstractNum>
  <w:abstractNum w:abstractNumId="65">
    <w:nsid w:val="6A37288A"/>
    <w:multiLevelType w:val="hybridMultilevel"/>
    <w:lvl w:ilvl="0">
      <w:lvlJc w:val="left"/>
      <w:lvlText w:val="(%1)"/>
      <w:numFmt w:val="lowerLetter"/>
      <w:start w:val="2"/>
    </w:lvl>
  </w:abstractNum>
  <w:abstractNum w:abstractNumId="66">
    <w:nsid w:val="8F8B73F"/>
    <w:multiLevelType w:val="hybridMultilevel"/>
    <w:lvl w:ilvl="0">
      <w:lvlJc w:val="left"/>
      <w:lvlText w:val="(%1)"/>
      <w:numFmt w:val="decimal"/>
      <w:start w:val="5"/>
    </w:lvl>
  </w:abstractNum>
  <w:abstractNum w:abstractNumId="67">
    <w:nsid w:val="CA6B462"/>
    <w:multiLevelType w:val="hybridMultilevel"/>
    <w:lvl w:ilvl="0">
      <w:lvlJc w:val="left"/>
      <w:lvlText w:val="(%1)"/>
      <w:numFmt w:val="lowerRoman"/>
      <w:start w:val="10"/>
    </w:lvl>
  </w:abstractNum>
  <w:abstractNum w:abstractNumId="68">
    <w:nsid w:val="763CB680"/>
    <w:multiLevelType w:val="hybridMultilevel"/>
    <w:lvl w:ilvl="0">
      <w:lvlJc w:val="left"/>
      <w:lvlText w:val="(%1)"/>
      <w:numFmt w:val="lowerLetter"/>
      <w:start w:val="2"/>
    </w:lvl>
  </w:abstractNum>
  <w:abstractNum w:abstractNumId="69">
    <w:nsid w:val="15B71329"/>
    <w:multiLevelType w:val="hybridMultilevel"/>
    <w:lvl w:ilvl="0">
      <w:lvlJc w:val="left"/>
      <w:lvlText w:val="(%1)"/>
      <w:numFmt w:val="lowerLetter"/>
      <w:start w:val="1"/>
    </w:lvl>
  </w:abstractNum>
  <w:abstractNum w:abstractNumId="70">
    <w:nsid w:val="3DA97044"/>
    <w:multiLevelType w:val="hybridMultilevel"/>
    <w:lvl w:ilvl="0">
      <w:lvlJc w:val="left"/>
      <w:lvlText w:val="(%1)"/>
      <w:numFmt w:val="lowerLetter"/>
      <w:start w:val="1"/>
    </w:lvl>
    <w:lvl w:ilvl="1">
      <w:lvlJc w:val="left"/>
      <w:lvlText w:val="(%2)"/>
      <w:numFmt w:val="lowerLetter"/>
      <w:start w:val="2"/>
    </w:lvl>
  </w:abstractNum>
  <w:abstractNum w:abstractNumId="71">
    <w:nsid w:val="1CDCE2DE"/>
    <w:multiLevelType w:val="hybridMultilevel"/>
    <w:lvl w:ilvl="0">
      <w:lvlJc w:val="left"/>
      <w:lvlText w:val="(%1)"/>
      <w:numFmt w:val="lowerLetter"/>
      <w:start w:val="1"/>
    </w:lvl>
  </w:abstractNum>
  <w:abstractNum w:abstractNumId="72">
    <w:nsid w:val="69D3947C"/>
    <w:multiLevelType w:val="hybridMultilevel"/>
    <w:lvl w:ilvl="0">
      <w:lvlJc w:val="left"/>
      <w:lvlText w:val="(%1)"/>
      <w:numFmt w:val="lowerLetter"/>
      <w:start w:val="2"/>
    </w:lvl>
  </w:abstractNum>
  <w:abstractNum w:abstractNumId="73">
    <w:nsid w:val="2539DFA5"/>
    <w:multiLevelType w:val="hybridMultilevel"/>
    <w:lvl w:ilvl="0">
      <w:lvlJc w:val="left"/>
      <w:lvlText w:val="(%1)"/>
      <w:numFmt w:val="lowerLetter"/>
      <w:start w:val="1"/>
    </w:lvl>
  </w:abstractNum>
  <w:abstractNum w:abstractNumId="74">
    <w:nsid w:val="2DB88089"/>
    <w:multiLevelType w:val="hybridMultilevel"/>
    <w:lvl w:ilvl="0">
      <w:lvlJc w:val="left"/>
      <w:lvlText w:val="(%1)"/>
      <w:numFmt w:val="lowerLetter"/>
      <w:start w:val="4"/>
    </w:lvl>
  </w:abstractNum>
  <w:abstractNum w:abstractNumId="75">
    <w:nsid w:val="706B674E"/>
    <w:multiLevelType w:val="hybridMultilevel"/>
    <w:lvl w:ilvl="0">
      <w:lvlJc w:val="left"/>
      <w:lvlText w:val="(%1)"/>
      <w:numFmt w:val="lowerRoman"/>
      <w:start w:val="2"/>
    </w:lvl>
  </w:abstractNum>
  <w:abstractNum w:abstractNumId="76">
    <w:nsid w:val="2C106A57"/>
    <w:multiLevelType w:val="hybridMultilevel"/>
    <w:lvl w:ilvl="0">
      <w:lvlJc w:val="left"/>
      <w:lvlText w:val="(%1)"/>
      <w:numFmt w:val="lowerLetter"/>
      <w:start w:val="1"/>
    </w:lvl>
  </w:abstractNum>
  <w:abstractNum w:abstractNumId="77">
    <w:nsid w:val="684EED59"/>
    <w:multiLevelType w:val="hybridMultilevel"/>
    <w:lvl w:ilvl="0">
      <w:lvlJc w:val="left"/>
      <w:lvlText w:val="(%1)"/>
      <w:numFmt w:val="lowerLetter"/>
      <w:start w:val="1"/>
    </w:lvl>
    <w:lvl w:ilvl="1">
      <w:lvlJc w:val="left"/>
      <w:lvlText w:val="(%2)"/>
      <w:numFmt w:val="lowerRoman"/>
      <w:start w:val="1"/>
    </w:lvl>
  </w:abstractNum>
  <w:abstractNum w:abstractNumId="78">
    <w:nsid w:val="545EE5D3"/>
    <w:multiLevelType w:val="hybridMultilevel"/>
    <w:lvl w:ilvl="0">
      <w:lvlJc w:val="left"/>
      <w:lvlText w:val="(%1)"/>
      <w:numFmt w:val="lowerRoman"/>
      <w:start w:val="10"/>
    </w:lvl>
  </w:abstractNum>
  <w:abstractNum w:abstractNumId="79">
    <w:nsid w:val="4A66051"/>
    <w:multiLevelType w:val="hybridMultilevel"/>
    <w:lvl w:ilvl="0">
      <w:lvlJc w:val="left"/>
      <w:lvlText w:val="(%1)"/>
      <w:numFmt w:val="lowerLetter"/>
      <w:start w:val="3"/>
    </w:lvl>
  </w:abstractNum>
  <w:abstractNum w:abstractNumId="80">
    <w:nsid w:val="20F4BDAD"/>
    <w:multiLevelType w:val="hybridMultilevel"/>
    <w:lvl w:ilvl="0">
      <w:lvlJc w:val="left"/>
      <w:lvlText w:val="(%1)"/>
      <w:numFmt w:val="lowerLetter"/>
      <w:start w:val="5"/>
    </w:lvl>
  </w:abstractNum>
  <w:abstractNum w:abstractNumId="81">
    <w:nsid w:val="639DEFAC"/>
    <w:multiLevelType w:val="hybridMultilevel"/>
    <w:lvl w:ilvl="0">
      <w:lvlJc w:val="left"/>
      <w:lvlText w:val="(%1)"/>
      <w:numFmt w:val="lowerLetter"/>
      <w:start w:val="1"/>
    </w:lvl>
  </w:abstractNum>
  <w:abstractNum w:abstractNumId="82">
    <w:nsid w:val="501F9786"/>
    <w:multiLevelType w:val="hybridMultilevel"/>
    <w:lvl w:ilvl="0">
      <w:lvlJc w:val="left"/>
      <w:lvlText w:val="(%1)"/>
      <w:numFmt w:val="lowerLetter"/>
      <w:start w:val="11"/>
    </w:lvl>
  </w:abstractNum>
  <w:abstractNum w:abstractNumId="83">
    <w:nsid w:val="6B057295"/>
    <w:multiLevelType w:val="hybridMultilevel"/>
    <w:lvl w:ilvl="0">
      <w:lvlJc w:val="left"/>
      <w:lvlText w:val="(%1)"/>
      <w:numFmt w:val="lowerLetter"/>
      <w:start w:val="2"/>
    </w:lvl>
  </w:abstractNum>
  <w:abstractNum w:abstractNumId="84">
    <w:nsid w:val="2771AC80"/>
    <w:multiLevelType w:val="hybridMultilevel"/>
    <w:lvl w:ilvl="0">
      <w:lvlJc w:val="left"/>
      <w:lvlText w:val="(%1)"/>
      <w:numFmt w:val="lowerLetter"/>
      <w:start w:val="2"/>
    </w:lvl>
  </w:abstractNum>
  <w:abstractNum w:abstractNumId="85">
    <w:nsid w:val="1C4A08EC"/>
    <w:multiLevelType w:val="hybridMultilevel"/>
    <w:lvl w:ilvl="0">
      <w:lvlJc w:val="left"/>
      <w:lvlText w:val="(%1)"/>
      <w:numFmt w:val="lowerRoman"/>
      <w:start w:val="3"/>
    </w:lvl>
  </w:abstractNum>
  <w:abstractNum w:abstractNumId="86">
    <w:nsid w:val="1958BD17"/>
    <w:multiLevelType w:val="hybridMultilevel"/>
    <w:lvl w:ilvl="0">
      <w:lvlJc w:val="left"/>
      <w:lvlText w:val="(%1)"/>
      <w:numFmt w:val="lowerLetter"/>
      <w:start w:val="1"/>
    </w:lvl>
  </w:abstractNum>
  <w:abstractNum w:abstractNumId="87">
    <w:nsid w:val="4E647FE4"/>
    <w:multiLevelType w:val="hybridMultilevel"/>
    <w:lvl w:ilvl="0">
      <w:lvlJc w:val="left"/>
      <w:lvlText w:val="(%1)"/>
      <w:numFmt w:val="lowerLetter"/>
      <w:start w:val="1"/>
    </w:lvl>
  </w:abstractNum>
  <w:abstractNum w:abstractNumId="88">
    <w:nsid w:val="E0BB885"/>
    <w:multiLevelType w:val="hybridMultilevel"/>
    <w:lvl w:ilvl="0">
      <w:lvlJc w:val="left"/>
      <w:lvlText w:val="(%1)"/>
      <w:numFmt w:val="lowerLetter"/>
      <w:start w:val="2"/>
    </w:lvl>
  </w:abstractNum>
  <w:abstractNum w:abstractNumId="89">
    <w:nsid w:val="565976F1"/>
    <w:multiLevelType w:val="hybridMultilevel"/>
    <w:lvl w:ilvl="0">
      <w:lvlJc w:val="left"/>
      <w:lvlText w:val="(%1)"/>
      <w:numFmt w:val="lowerLetter"/>
      <w:start w:val="1"/>
    </w:lvl>
  </w:abstractNum>
  <w:abstractNum w:abstractNumId="90">
    <w:nsid w:val="64212B8C"/>
    <w:multiLevelType w:val="hybridMultilevel"/>
    <w:lvl w:ilvl="0">
      <w:lvlJc w:val="left"/>
      <w:lvlText w:val="(%1)"/>
      <w:numFmt w:val="lowerLetter"/>
      <w:start w:val="1"/>
    </w:lvl>
  </w:abstractNum>
  <w:abstractNum w:abstractNumId="91">
    <w:nsid w:val="5C17530C"/>
    <w:multiLevelType w:val="hybridMultilevel"/>
    <w:lvl w:ilvl="0">
      <w:lvlJc w:val="left"/>
      <w:lvlText w:val="(%1)"/>
      <w:numFmt w:val="lowerLetter"/>
      <w:start w:val="1"/>
    </w:lvl>
  </w:abstractNum>
  <w:abstractNum w:abstractNumId="92">
    <w:nsid w:val="19A52566"/>
    <w:multiLevelType w:val="hybridMultilevel"/>
    <w:lvl w:ilvl="0">
      <w:lvlJc w:val="left"/>
      <w:lvlText w:val="(%1)"/>
      <w:numFmt w:val="lowerLetter"/>
      <w:start w:val="1"/>
    </w:lvl>
  </w:abstractNum>
  <w:abstractNum w:abstractNumId="93">
    <w:nsid w:val="335A1DF1"/>
    <w:multiLevelType w:val="hybridMultilevel"/>
    <w:lvl w:ilvl="0">
      <w:lvlJc w:val="left"/>
      <w:lvlText w:val="(%1)"/>
      <w:numFmt w:val="lowerRoman"/>
      <w:start w:val="2"/>
    </w:lvl>
  </w:abstractNum>
  <w:abstractNum w:abstractNumId="94">
    <w:nsid w:val="28677B7C"/>
    <w:multiLevelType w:val="hybridMultilevel"/>
    <w:lvl w:ilvl="0">
      <w:lvlJc w:val="left"/>
      <w:lvlText w:val="(%1)"/>
      <w:numFmt w:val="lowerRoman"/>
      <w:start w:val="4"/>
    </w:lvl>
  </w:abstractNum>
  <w:abstractNum w:abstractNumId="95">
    <w:nsid w:val="378D97C0"/>
    <w:multiLevelType w:val="hybridMultilevel"/>
    <w:lvl w:ilvl="0">
      <w:lvlJc w:val="left"/>
      <w:lvlText w:val="(%1)"/>
      <w:numFmt w:val="lowerLetter"/>
      <w:start w:val="1"/>
    </w:lvl>
  </w:abstractNum>
  <w:abstractNum w:abstractNumId="96">
    <w:nsid w:val="1D91467C"/>
    <w:multiLevelType w:val="hybridMultilevel"/>
    <w:lvl w:ilvl="0">
      <w:lvlJc w:val="left"/>
      <w:lvlText w:val="%1"/>
      <w:numFmt w:val="lowerLetter"/>
      <w:start w:val="1"/>
    </w:lvl>
    <w:lvl w:ilvl="1">
      <w:lvlJc w:val="left"/>
      <w:lvlText w:val="(%2)"/>
      <w:numFmt w:val="lowerLetter"/>
      <w:start w:val="4"/>
    </w:lvl>
  </w:abstractNum>
  <w:abstractNum w:abstractNumId="97">
    <w:nsid w:val="316032BB"/>
    <w:multiLevelType w:val="hybridMultilevel"/>
    <w:lvl w:ilvl="0">
      <w:lvlJc w:val="left"/>
      <w:lvlText w:val="(%1)"/>
      <w:numFmt w:val="lowerLetter"/>
      <w:start w:val="25"/>
    </w:lvl>
    <w:lvl w:ilvl="1">
      <w:lvlJc w:val="left"/>
      <w:lvlText w:val="(%2)"/>
      <w:numFmt w:val="lowerLetter"/>
      <w:start w:val="6"/>
    </w:lvl>
  </w:abstractNum>
  <w:abstractNum w:abstractNumId="98">
    <w:nsid w:val="44344C22"/>
    <w:multiLevelType w:val="hybridMultilevel"/>
    <w:lvl w:ilvl="0">
      <w:lvlJc w:val="left"/>
      <w:lvlText w:val="(%1)"/>
      <w:numFmt w:val="lowerLetter"/>
      <w:start w:val="1"/>
    </w:lvl>
  </w:abstractNum>
  <w:abstractNum w:abstractNumId="99">
    <w:nsid w:val="13CDFCFC"/>
    <w:multiLevelType w:val="hybridMultilevel"/>
    <w:lvl w:ilvl="0">
      <w:lvlJc w:val="left"/>
      <w:lvlText w:val="%1"/>
      <w:numFmt w:val="upperLetter"/>
      <w:start w:val="1"/>
    </w:lvl>
    <w:lvl w:ilvl="1">
      <w:lvlJc w:val="left"/>
      <w:lvlText w:val="(%2)"/>
      <w:numFmt w:val="lowerLetter"/>
      <w:start w:val="3"/>
    </w:lvl>
  </w:abstractNum>
  <w:abstractNum w:abstractNumId="100">
    <w:nsid w:val="471745E4"/>
    <w:multiLevelType w:val="hybridMultilevel"/>
    <w:lvl w:ilvl="0">
      <w:lvlJc w:val="left"/>
      <w:lvlText w:val="(%1)"/>
      <w:numFmt w:val="upperLetter"/>
      <w:start w:val="2"/>
    </w:lvl>
    <w:lvl w:ilvl="1">
      <w:lvlJc w:val="left"/>
      <w:lvlText w:val="(%2)"/>
      <w:numFmt w:val="lowerLetter"/>
      <w:start w:val="4"/>
    </w:lvl>
  </w:abstractNum>
  <w:abstractNum w:abstractNumId="101">
    <w:nsid w:val="1DDBC66"/>
    <w:multiLevelType w:val="hybridMultilevel"/>
    <w:lvl w:ilvl="0">
      <w:lvlJc w:val="left"/>
      <w:lvlText w:val="(%1)"/>
      <w:numFmt w:val="lowerLetter"/>
      <w:start w:val="6"/>
    </w:lvl>
  </w:abstractNum>
  <w:abstractNum w:abstractNumId="102">
    <w:nsid w:val="30AADFDA"/>
    <w:multiLevelType w:val="hybridMultilevel"/>
    <w:lvl w:ilvl="0">
      <w:lvlJc w:val="left"/>
      <w:lvlText w:val="(%1)"/>
      <w:numFmt w:val="lowerLetter"/>
      <w:start w:val="7"/>
    </w:lvl>
  </w:abstractNum>
  <w:abstractNum w:abstractNumId="103">
    <w:nsid w:val="30EADA61"/>
    <w:multiLevelType w:val="hybridMultilevel"/>
    <w:lvl w:ilvl="0">
      <w:lvlJc w:val="left"/>
      <w:lvlText w:val="%1"/>
      <w:numFmt w:val="lowerRoman"/>
      <w:start w:val="1"/>
    </w:lvl>
    <w:lvl w:ilvl="1">
      <w:lvlJc w:val="left"/>
      <w:lvlText w:val="(%2)"/>
      <w:numFmt w:val="lowerLetter"/>
      <w:start w:val="11"/>
    </w:lvl>
  </w:abstractNum>
  <w:abstractNum w:abstractNumId="104">
    <w:nsid w:val="27179C0B"/>
    <w:multiLevelType w:val="hybridMultilevel"/>
    <w:lvl w:ilvl="0">
      <w:lvlJc w:val="left"/>
      <w:lvlText w:val="(%1)"/>
      <w:numFmt w:val="lowerRoman"/>
      <w:start w:val="4"/>
    </w:lvl>
    <w:lvl w:ilvl="1">
      <w:lvlJc w:val="left"/>
      <w:lvlText w:val="(%2)"/>
      <w:numFmt w:val="lowerLetter"/>
      <w:start w:val="12"/>
    </w:lvl>
  </w:abstractNum>
  <w:abstractNum w:abstractNumId="105">
    <w:nsid w:val="5E636063"/>
    <w:multiLevelType w:val="hybridMultilevel"/>
    <w:lvl w:ilvl="0">
      <w:lvlJc w:val="left"/>
      <w:lvlText w:val="(%1)"/>
      <w:numFmt w:val="lowerLetter"/>
      <w:start w:val="1"/>
    </w:lvl>
  </w:abstractNum>
  <w:abstractNum w:abstractNumId="106">
    <w:nsid w:val="215641AF"/>
    <w:multiLevelType w:val="hybridMultilevel"/>
    <w:lvl w:ilvl="0">
      <w:lvlJc w:val="left"/>
      <w:lvlText w:val="(%1)"/>
      <w:numFmt w:val="lowerLetter"/>
      <w:start w:val="1"/>
    </w:lvl>
    <w:lvl w:ilvl="1">
      <w:lvlJc w:val="left"/>
      <w:lvlText w:val="(%2)"/>
      <w:numFmt w:val="lowerRoman"/>
      <w:start w:val="1"/>
    </w:lvl>
  </w:abstractNum>
  <w:abstractNum w:abstractNumId="107">
    <w:nsid w:val="53280662"/>
    <w:multiLevelType w:val="hybridMultilevel"/>
    <w:lvl w:ilvl="0">
      <w:lvlJc w:val="left"/>
      <w:lvlText w:val="(%1)"/>
      <w:numFmt w:val="lowerLetter"/>
      <w:start w:val="4"/>
    </w:lvl>
  </w:abstractNum>
  <w:abstractNum w:abstractNumId="108">
    <w:nsid w:val="46B24DBC"/>
    <w:multiLevelType w:val="hybridMultilevel"/>
    <w:lvl w:ilvl="0">
      <w:lvlJc w:val="left"/>
      <w:lvlText w:val="(%1)"/>
      <w:numFmt w:val="lowerLetter"/>
      <w:start w:val="1"/>
    </w:lvl>
  </w:abstractNum>
  <w:abstractNum w:abstractNumId="109">
    <w:nsid w:val="75B52783"/>
    <w:multiLevelType w:val="hybridMultilevel"/>
    <w:lvl w:ilvl="0">
      <w:lvlJc w:val="left"/>
      <w:lvlText w:val="(%1)"/>
      <w:numFmt w:val="lowerLetter"/>
      <w:start w:val="1"/>
    </w:lvl>
  </w:abstractNum>
  <w:abstractNum w:abstractNumId="110">
    <w:nsid w:val="57CE66B4"/>
    <w:multiLevelType w:val="hybridMultilevel"/>
    <w:lvl w:ilvl="0">
      <w:lvlJc w:val="left"/>
      <w:lvlText w:val="(%1)"/>
      <w:numFmt w:val="lowerLetter"/>
      <w:start w:val="3"/>
    </w:lvl>
  </w:abstractNum>
  <w:abstractNum w:abstractNumId="111">
    <w:nsid w:val="67A70B69"/>
    <w:multiLevelType w:val="hybridMultilevel"/>
    <w:lvl w:ilvl="0">
      <w:lvlJc w:val="left"/>
      <w:lvlText w:val="(%1)"/>
      <w:numFmt w:val="lowerLetter"/>
      <w:start w:val="5"/>
    </w:lvl>
  </w:abstractNum>
  <w:abstractNum w:abstractNumId="112">
    <w:nsid w:val="5953172F"/>
    <w:multiLevelType w:val="hybridMultilevel"/>
    <w:lvl w:ilvl="0">
      <w:lvlJc w:val="left"/>
      <w:lvlText w:val="(%1)"/>
      <w:numFmt w:val="lowerLetter"/>
      <w:start w:val="1"/>
    </w:lvl>
  </w:abstractNum>
  <w:abstractNum w:abstractNumId="113">
    <w:nsid w:val="27EDFE3A"/>
    <w:multiLevelType w:val="hybridMultilevel"/>
    <w:lvl w:ilvl="0">
      <w:lvlJc w:val="left"/>
      <w:lvlText w:val="(%1)"/>
      <w:numFmt w:val="lowerLetter"/>
      <w:start w:val="1"/>
    </w:lvl>
  </w:abstractNum>
  <w:abstractNum w:abstractNumId="114">
    <w:nsid w:val="52AC7DFF"/>
    <w:multiLevelType w:val="hybridMultilevel"/>
    <w:lvl w:ilvl="0">
      <w:lvlJc w:val="left"/>
      <w:lvlText w:val="(%1)"/>
      <w:numFmt w:val="lowerLetter"/>
      <w:start w:val="1"/>
    </w:lvl>
  </w:abstractNum>
  <w:abstractNum w:abstractNumId="115">
    <w:nsid w:val="C4C3AF"/>
    <w:multiLevelType w:val="hybridMultilevel"/>
    <w:lvl w:ilvl="0">
      <w:lvlJc w:val="left"/>
      <w:lvlText w:val="%1"/>
      <w:numFmt w:val="lowerLetter"/>
      <w:start w:val="1"/>
    </w:lvl>
    <w:lvl w:ilvl="1">
      <w:lvlJc w:val="left"/>
      <w:lvlText w:val="(%2)"/>
      <w:numFmt w:val="lowerLetter"/>
      <w:start w:val="3"/>
    </w:lvl>
  </w:abstractNum>
  <w:abstractNum w:abstractNumId="116">
    <w:nsid w:val="44380727"/>
    <w:multiLevelType w:val="hybridMultilevel"/>
    <w:lvl w:ilvl="0">
      <w:lvlJc w:val="left"/>
      <w:lvlText w:val="(%1)"/>
      <w:numFmt w:val="lowerLetter"/>
      <w:start w:val="9"/>
    </w:lvl>
    <w:lvl w:ilvl="1">
      <w:lvlJc w:val="left"/>
      <w:lvlText w:val="%2"/>
      <w:numFmt w:val="lowerLetter"/>
      <w:start w:val="1"/>
    </w:lvl>
  </w:abstractNum>
  <w:abstractNum w:abstractNumId="117">
    <w:nsid w:val="6C053B16"/>
    <w:multiLevelType w:val="hybridMultilevel"/>
    <w:lvl w:ilvl="0">
      <w:lvlJc w:val="left"/>
      <w:lvlText w:val="(%1)"/>
      <w:numFmt w:val="lowerLetter"/>
      <w:start w:val="5"/>
    </w:lvl>
  </w:abstractNum>
  <w:abstractNum w:abstractNumId="118">
    <w:nsid w:val="4F294393"/>
    <w:multiLevelType w:val="hybridMultilevel"/>
    <w:lvl w:ilvl="0">
      <w:lvlJc w:val="left"/>
      <w:lvlText w:val="(%1)"/>
      <w:numFmt w:val="lowerLetter"/>
      <w:start w:val="1"/>
    </w:lvl>
    <w:lvl w:ilvl="1">
      <w:lvlJc w:val="left"/>
      <w:lvlText w:val="(%2)"/>
      <w:numFmt w:val="lowerRoman"/>
      <w:start w:val="1"/>
    </w:lvl>
  </w:abstractNum>
  <w:abstractNum w:abstractNumId="119">
    <w:nsid w:val="5243BFAC"/>
    <w:multiLevelType w:val="hybridMultilevel"/>
    <w:lvl w:ilvl="0">
      <w:lvlJc w:val="left"/>
      <w:lvlText w:val="%1"/>
      <w:numFmt w:val="lowerLetter"/>
      <w:start w:val="1"/>
    </w:lvl>
    <w:lvl w:ilvl="1">
      <w:lvlJc w:val="left"/>
      <w:lvlText w:val="(%2)"/>
      <w:numFmt w:val="lowerLetter"/>
      <w:start w:val="2"/>
    </w:lvl>
  </w:abstractNum>
  <w:abstractNum w:abstractNumId="120">
    <w:nsid w:val="425EB207"/>
    <w:multiLevelType w:val="hybridMultilevel"/>
    <w:lvl w:ilvl="0">
      <w:lvlJc w:val="left"/>
      <w:lvlText w:val="(%1)"/>
      <w:numFmt w:val="lowerLetter"/>
      <w:start w:val="9"/>
    </w:lvl>
    <w:lvl w:ilvl="1">
      <w:lvlJc w:val="left"/>
      <w:lvlText w:val="%2"/>
      <w:numFmt w:val="lowerLetter"/>
      <w:start w:val="1"/>
    </w:lvl>
  </w:abstractNum>
  <w:abstractNum w:abstractNumId="121">
    <w:nsid w:val="334A6F1F"/>
    <w:multiLevelType w:val="hybridMultilevel"/>
    <w:lvl w:ilvl="0">
      <w:lvlJc w:val="left"/>
      <w:lvlText w:val="(%1)"/>
      <w:numFmt w:val="lowerLetter"/>
      <w:start w:val="1"/>
    </w:lvl>
    <w:lvl w:ilvl="1">
      <w:lvlJc w:val="left"/>
      <w:lvlText w:val="(%2)"/>
      <w:numFmt w:val="lowerRoman"/>
      <w:start w:val="1"/>
    </w:lvl>
  </w:abstractNum>
  <w:abstractNum w:abstractNumId="122">
    <w:nsid w:val="2E5B12B8"/>
    <w:multiLevelType w:val="hybridMultilevel"/>
    <w:lvl w:ilvl="0">
      <w:lvlJc w:val="left"/>
      <w:lvlText w:val="(%1)"/>
      <w:numFmt w:val="lowerLetter"/>
      <w:start w:val="2"/>
    </w:lvl>
  </w:abstractNum>
  <w:abstractNum w:abstractNumId="123">
    <w:nsid w:val="5C03D76D"/>
    <w:multiLevelType w:val="hybridMultilevel"/>
    <w:lvl w:ilvl="0">
      <w:lvlJc w:val="left"/>
      <w:lvlText w:val="(%1)"/>
      <w:numFmt w:val="lowerRoman"/>
      <w:start w:val="1"/>
    </w:lvl>
  </w:abstractNum>
  <w:abstractNum w:abstractNumId="124">
    <w:nsid w:val="66A48D11"/>
    <w:multiLevelType w:val="hybridMultilevel"/>
    <w:lvl w:ilvl="0">
      <w:lvlJc w:val="left"/>
      <w:lvlText w:val="(%1)"/>
      <w:numFmt w:val="lowerLetter"/>
      <w:start w:val="1"/>
    </w:lvl>
  </w:abstractNum>
  <w:abstractNum w:abstractNumId="125">
    <w:nsid w:val="56C28E34"/>
    <w:multiLevelType w:val="hybridMultilevel"/>
    <w:lvl w:ilvl="0">
      <w:lvlJc w:val="left"/>
      <w:lvlText w:val="%1"/>
      <w:numFmt w:val="decimal"/>
      <w:start w:val="1"/>
    </w:lvl>
    <w:lvl w:ilvl="1">
      <w:lvlJc w:val="left"/>
      <w:lvlText w:val="(%2)"/>
      <w:numFmt w:val="lowerLetter"/>
      <w:start w:val="5"/>
    </w:lvl>
    <w:lvl w:ilvl="2">
      <w:lvlJc w:val="left"/>
      <w:lvlText w:val="%3"/>
      <w:numFmt w:val="upperLetter"/>
      <w:start w:val="1"/>
    </w:lvl>
    <w:lvl w:ilvl="3">
      <w:lvlJc w:val="left"/>
      <w:lvlText w:val="%4"/>
      <w:numFmt w:val="lowerRoman"/>
      <w:start w:val="1"/>
    </w:lvl>
  </w:abstractNum>
  <w:abstractNum w:abstractNumId="126">
    <w:nsid w:val="13916F2D"/>
    <w:multiLevelType w:val="hybridMultilevel"/>
    <w:lvl w:ilvl="0">
      <w:lvlJc w:val="left"/>
      <w:lvlText w:val="(%1)"/>
      <w:numFmt w:val="decimal"/>
      <w:start w:val="10"/>
    </w:lvl>
    <w:lvl w:ilvl="1">
      <w:lvlJc w:val="left"/>
      <w:lvlText w:val="(%2)"/>
      <w:numFmt w:val="lowerLetter"/>
      <w:start w:val="6"/>
    </w:lvl>
    <w:lvl w:ilvl="2">
      <w:lvlJc w:val="left"/>
      <w:lvlText w:val="(%3)"/>
      <w:numFmt w:val="upperLetter"/>
    </w:lvl>
    <w:lvl w:ilvl="3">
      <w:lvlJc w:val="left"/>
      <w:lvlText w:val="(%4)"/>
      <w:numFmt w:val="lowerRoman"/>
      <w:start w:val="1"/>
    </w:lvl>
  </w:abstractNum>
  <w:abstractNum w:abstractNumId="127">
    <w:nsid w:val="435D38D"/>
    <w:multiLevelType w:val="hybridMultilevel"/>
    <w:lvl w:ilvl="0">
      <w:lvlJc w:val="left"/>
      <w:lvlText w:val="%1"/>
      <w:numFmt w:val="upperLetter"/>
      <w:start w:val="1"/>
    </w:lvl>
    <w:lvl w:ilvl="1">
      <w:lvlJc w:val="left"/>
      <w:lvlText w:val="(%2)"/>
      <w:numFmt w:val="decimal"/>
      <w:start w:val="1"/>
    </w:lvl>
  </w:abstractNum>
  <w:abstractNum w:abstractNumId="128">
    <w:nsid w:val="822C0EF"/>
    <w:multiLevelType w:val="hybridMultilevel"/>
    <w:lvl w:ilvl="0">
      <w:lvlJc w:val="left"/>
      <w:lvlText w:val="(%1)"/>
      <w:numFmt w:val="upperLetter"/>
      <w:start w:val="2"/>
    </w:lvl>
    <w:lvl w:ilvl="1">
      <w:lvlJc w:val="left"/>
      <w:lvlText w:val="(%2)"/>
      <w:numFmt w:val="decimal"/>
      <w:start w:val="4"/>
    </w:lvl>
  </w:abstractNum>
  <w:abstractNum w:abstractNumId="129">
    <w:nsid w:val="57C5BB4F"/>
    <w:multiLevelType w:val="hybridMultilevel"/>
    <w:lvl w:ilvl="0">
      <w:lvlJc w:val="left"/>
      <w:lvlText w:val="%1"/>
      <w:numFmt w:val="lowerRoman"/>
      <w:start w:val="1"/>
    </w:lvl>
    <w:lvl w:ilvl="1">
      <w:lvlJc w:val="left"/>
      <w:lvlText w:val="(%2)"/>
      <w:numFmt w:val="upperLetter"/>
      <w:start w:val="4"/>
    </w:lvl>
  </w:abstractNum>
  <w:abstractNum w:abstractNumId="130">
    <w:nsid w:val="1803D089"/>
    <w:multiLevelType w:val="hybridMultilevel"/>
    <w:lvl w:ilvl="0">
      <w:lvlJc w:val="left"/>
      <w:lvlText w:val="(%1)"/>
      <w:numFmt w:val="lowerRoman"/>
      <w:start w:val="1"/>
    </w:lvl>
    <w:lvl w:ilvl="1">
      <w:lvlJc w:val="left"/>
      <w:lvlText w:val="%2"/>
      <w:numFmt w:val="upperLetter"/>
      <w:start w:val="1"/>
    </w:lvl>
  </w:abstractNum>
  <w:abstractNum w:abstractNumId="131">
    <w:nsid w:val="4F3A06D4"/>
    <w:multiLevelType w:val="hybridMultilevel"/>
    <w:lvl w:ilvl="0">
      <w:lvlJc w:val="left"/>
      <w:lvlText w:val="(%1)"/>
      <w:numFmt w:val="lowerLetter"/>
      <w:start w:val="7"/>
    </w:lvl>
  </w:abstractNum>
  <w:abstractNum w:abstractNumId="132">
    <w:nsid w:val="59A377B6"/>
    <w:multiLevelType w:val="hybridMultilevel"/>
    <w:lvl w:ilvl="0">
      <w:lvlJc w:val="left"/>
      <w:lvlText w:val="(%1)"/>
      <w:numFmt w:val="lowerLetter"/>
      <w:start w:val="1"/>
    </w:lvl>
  </w:abstractNum>
  <w:abstractNum w:abstractNumId="133">
    <w:nsid w:val="48AEB063"/>
    <w:multiLevelType w:val="hybridMultilevel"/>
    <w:lvl w:ilvl="0">
      <w:lvlJc w:val="left"/>
      <w:lvlText w:val="(%1)"/>
      <w:numFmt w:val="lowerLetter"/>
      <w:start w:val="3"/>
    </w:lvl>
  </w:abstractNum>
  <w:abstractNum w:abstractNumId="134">
    <w:nsid w:val="24E135"/>
    <w:multiLevelType w:val="hybridMultilevel"/>
    <w:lvl w:ilvl="0">
      <w:lvlJc w:val="left"/>
      <w:lvlText w:val="%1"/>
      <w:numFmt w:val="lowerRoman"/>
      <w:start w:val="1"/>
    </w:lvl>
    <w:lvl w:ilvl="1">
      <w:lvlJc w:val="left"/>
      <w:lvlText w:val="(%2)"/>
      <w:numFmt w:val="lowerLetter"/>
      <w:start w:val="1"/>
    </w:lvl>
  </w:abstractNum>
  <w:abstractNum w:abstractNumId="135">
    <w:nsid w:val="BB13C1"/>
    <w:multiLevelType w:val="hybridMultilevel"/>
    <w:lvl w:ilvl="0">
      <w:lvlJc w:val="left"/>
      <w:lvlText w:val="(%1)"/>
      <w:numFmt w:val="lowerRoman"/>
      <w:start w:val="4"/>
    </w:lvl>
    <w:lvl w:ilvl="1">
      <w:lvlJc w:val="left"/>
      <w:lvlText w:val="%2"/>
      <w:numFmt w:val="lowerLetter"/>
      <w:start w:val="1"/>
    </w:lvl>
  </w:abstractNum>
  <w:abstractNum w:abstractNumId="136">
    <w:nsid w:val="271210C7"/>
    <w:multiLevelType w:val="hybridMultilevel"/>
    <w:lvl w:ilvl="0">
      <w:lvlJc w:val="left"/>
      <w:lvlText w:val="(%1)"/>
      <w:numFmt w:val="lowerLetter"/>
      <w:start w:val="1"/>
    </w:lvl>
    <w:lvl w:ilvl="1">
      <w:lvlJc w:val="left"/>
      <w:lvlText w:val="(%2)"/>
      <w:numFmt w:val="lowerLetter"/>
      <w:start w:val="9"/>
    </w:lvl>
  </w:abstractNum>
  <w:abstractNum w:abstractNumId="137">
    <w:nsid w:val="217B22E4"/>
    <w:multiLevelType w:val="hybridMultilevel"/>
    <w:lvl w:ilvl="0">
      <w:lvlJc w:val="left"/>
      <w:lvlText w:val="(%1)"/>
      <w:numFmt w:val="lowerLetter"/>
      <w:start w:val="2"/>
    </w:lvl>
    <w:lvl w:ilvl="1">
      <w:lvlJc w:val="left"/>
      <w:lvlText w:val="%2"/>
      <w:numFmt w:val="lowerLetter"/>
      <w:start w:val="1"/>
    </w:lvl>
  </w:abstractNum>
  <w:abstractNum w:abstractNumId="138">
    <w:nsid w:val="53E31A24"/>
    <w:multiLevelType w:val="hybridMultilevel"/>
    <w:lvl w:ilvl="0">
      <w:lvlJc w:val="left"/>
      <w:lvlText w:val="(%1)"/>
      <w:numFmt w:val="lowerRoman"/>
      <w:start w:val="2"/>
    </w:lvl>
  </w:abstractNum>
  <w:abstractNum w:abstractNumId="139">
    <w:nsid w:val="6DC45E83"/>
    <w:multiLevelType w:val="hybridMultilevel"/>
    <w:lvl w:ilvl="0">
      <w:lvlJc w:val="left"/>
      <w:lvlText w:val="(%1)"/>
      <w:numFmt w:val="lowerLetter"/>
      <w:start w:val="4"/>
    </w:lvl>
  </w:abstractNum>
  <w:abstractNum w:abstractNumId="140">
    <w:nsid w:val="17304A67"/>
    <w:multiLevelType w:val="hybridMultilevel"/>
    <w:lvl w:ilvl="0">
      <w:lvlJc w:val="left"/>
      <w:lvlText w:val="(%1)"/>
      <w:numFmt w:val="lowerLetter"/>
      <w:start w:val="1"/>
    </w:lvl>
    <w:lvl w:ilvl="1">
      <w:lvlJc w:val="left"/>
      <w:lvlText w:val="(%2)"/>
      <w:numFmt w:val="lowerLetter"/>
      <w:start w:val="9"/>
    </w:lvl>
  </w:abstractNum>
  <w:abstractNum w:abstractNumId="141">
    <w:nsid w:val="2BB180D8"/>
    <w:multiLevelType w:val="hybridMultilevel"/>
    <w:lvl w:ilvl="0">
      <w:lvlJc w:val="left"/>
      <w:lvlText w:val="%1"/>
      <w:numFmt w:val="lowerLetter"/>
      <w:start w:val="1"/>
    </w:lvl>
    <w:lvl w:ilvl="1">
      <w:lvlJc w:val="left"/>
      <w:lvlText w:val="(%2)"/>
      <w:numFmt w:val="lowerRoman"/>
      <w:start w:val="2"/>
    </w:lvl>
  </w:abstractNum>
  <w:abstractNum w:abstractNumId="142">
    <w:nsid w:val="556B69ED"/>
    <w:multiLevelType w:val="hybridMultilevel"/>
    <w:lvl w:ilvl="0">
      <w:lvlJc w:val="left"/>
      <w:lvlText w:val="(%1)"/>
      <w:numFmt w:val="lowerLetter"/>
      <w:start w:val="2"/>
    </w:lvl>
    <w:lvl w:ilvl="1">
      <w:lvlJc w:val="left"/>
      <w:lvlText w:val="(%2)"/>
      <w:numFmt w:val="lowerRoman"/>
      <w:start w:val="1"/>
    </w:lvl>
  </w:abstractNum>
  <w:abstractNum w:abstractNumId="143">
    <w:nsid w:val="70836196"/>
    <w:multiLevelType w:val="hybridMultilevel"/>
    <w:lvl w:ilvl="0">
      <w:lvlJc w:val="left"/>
      <w:lvlText w:val="(%1)"/>
      <w:numFmt w:val="lowerRoman"/>
      <w:start w:val="3"/>
    </w:lvl>
  </w:abstractNum>
  <w:abstractNum w:abstractNumId="144">
    <w:nsid w:val="539F7F12"/>
    <w:multiLevelType w:val="hybridMultilevel"/>
    <w:lvl w:ilvl="0">
      <w:lvlJc w:val="left"/>
      <w:lvlText w:val="(%1)"/>
      <w:numFmt w:val="lowerLetter"/>
      <w:start w:val="1"/>
    </w:lvl>
  </w:abstractNum>
  <w:abstractNum w:abstractNumId="145">
    <w:nsid w:val="2817E7EC"/>
    <w:multiLevelType w:val="hybridMultilevel"/>
    <w:lvl w:ilvl="0">
      <w:lvlJc w:val="left"/>
      <w:lvlText w:val="(%1)"/>
      <w:numFmt w:val="lowerLetter"/>
      <w:start w:val="3"/>
    </w:lvl>
  </w:abstractNum>
  <w:abstractNum w:abstractNumId="146">
    <w:nsid w:val="71482545"/>
    <w:multiLevelType w:val="hybridMultilevel"/>
    <w:lvl w:ilvl="0">
      <w:lvlJc w:val="left"/>
      <w:lvlText w:val="(%1)"/>
      <w:numFmt w:val="lowerLetter"/>
      <w:start w:val="1"/>
    </w:lvl>
  </w:abstractNum>
  <w:abstractNum w:abstractNumId="147">
    <w:nsid w:val="17D78639"/>
    <w:multiLevelType w:val="hybridMultilevel"/>
    <w:lvl w:ilvl="0">
      <w:lvlJc w:val="left"/>
      <w:lvlText w:val="(%1)"/>
      <w:numFmt w:val="lowerLetter"/>
      <w:start w:val="3"/>
    </w:lvl>
  </w:abstractNum>
  <w:abstractNum w:abstractNumId="148">
    <w:nsid w:val="141D2302"/>
    <w:multiLevelType w:val="hybridMultilevel"/>
    <w:lvl w:ilvl="0">
      <w:lvlJc w:val="left"/>
      <w:lvlText w:val="(%1)"/>
      <w:numFmt w:val="lowerLetter"/>
      <w:start w:val="6"/>
    </w:lvl>
  </w:abstractNum>
  <w:abstractNum w:abstractNumId="149">
    <w:nsid w:val="407168D8"/>
    <w:multiLevelType w:val="hybridMultilevel"/>
    <w:lvl w:ilvl="0">
      <w:lvlJc w:val="left"/>
      <w:lvlText w:val="(%1)"/>
      <w:numFmt w:val="lowerLetter"/>
      <w:start w:val="1"/>
    </w:lvl>
  </w:abstractNum>
  <w:abstractNum w:abstractNumId="150">
    <w:nsid w:val="6A1B45E5"/>
    <w:multiLevelType w:val="hybridMultilevel"/>
    <w:lvl w:ilvl="0">
      <w:lvlJc w:val="left"/>
      <w:lvlText w:val="%1"/>
      <w:numFmt w:val="lowerLetter"/>
      <w:start w:val="1"/>
    </w:lvl>
    <w:lvl w:ilvl="1">
      <w:lvlJc w:val="left"/>
      <w:lvlText w:val="(%2)"/>
      <w:numFmt w:val="lowerLetter"/>
      <w:start w:val="1"/>
    </w:lvl>
  </w:abstractNum>
  <w:abstractNum w:abstractNumId="151">
    <w:nsid w:val="567BD50A"/>
    <w:multiLevelType w:val="hybridMultilevel"/>
    <w:lvl w:ilvl="0">
      <w:lvlJc w:val="left"/>
      <w:lvlText w:val="(%1)"/>
      <w:numFmt w:val="lowerLetter"/>
      <w:start w:val="35"/>
    </w:lvl>
    <w:lvl w:ilvl="1">
      <w:lvlJc w:val="left"/>
      <w:lvlText w:val="(%2)"/>
      <w:numFmt w:val="lowerLetter"/>
      <w:start w:val="2"/>
    </w:lvl>
  </w:abstractNum>
  <w:abstractNum w:abstractNumId="152">
    <w:nsid w:val="73BBD7F8"/>
    <w:multiLevelType w:val="hybridMultilevel"/>
    <w:lvl w:ilvl="0">
      <w:lvlJc w:val="left"/>
      <w:lvlText w:val="(%1)"/>
      <w:numFmt w:val="lowerLetter"/>
      <w:start w:val="1"/>
    </w:lvl>
  </w:abstractNum>
  <w:abstractNum w:abstractNumId="153">
    <w:nsid w:val="1876589D"/>
    <w:multiLevelType w:val="hybridMultilevel"/>
    <w:lvl w:ilvl="0">
      <w:lvlJc w:val="left"/>
      <w:lvlText w:val="(%1)"/>
      <w:numFmt w:val="lowerLetter"/>
      <w:start w:val="1"/>
    </w:lvl>
  </w:abstractNum>
  <w:abstractNum w:abstractNumId="154">
    <w:nsid w:val="327FAC77"/>
    <w:multiLevelType w:val="hybridMultilevel"/>
    <w:lvl w:ilvl="0">
      <w:lvlJc w:val="left"/>
      <w:lvlText w:val="(%1)"/>
      <w:numFmt w:val="lowerLetter"/>
      <w:start w:val="1"/>
    </w:lvl>
  </w:abstractNum>
  <w:abstractNum w:abstractNumId="155">
    <w:nsid w:val="5A606509"/>
    <w:multiLevelType w:val="hybridMultilevel"/>
    <w:lvl w:ilvl="0">
      <w:lvlJc w:val="left"/>
      <w:lvlText w:val="(%1)"/>
      <w:numFmt w:val="lowerLetter"/>
      <w:start w:val="1"/>
    </w:lvl>
  </w:abstractNum>
  <w:abstractNum w:abstractNumId="156">
    <w:nsid w:val="6F38E6D1"/>
    <w:multiLevelType w:val="hybridMultilevel"/>
    <w:lvl w:ilvl="0">
      <w:lvlJc w:val="left"/>
      <w:lvlText w:val="(%1)"/>
      <w:numFmt w:val="lowerRoman"/>
      <w:start w:val="3"/>
    </w:lvl>
  </w:abstractNum>
  <w:abstractNum w:abstractNumId="157">
    <w:nsid w:val="46111BA5"/>
    <w:multiLevelType w:val="hybridMultilevel"/>
    <w:lvl w:ilvl="0">
      <w:lvlJc w:val="left"/>
      <w:lvlText w:val="(%1)"/>
      <w:numFmt w:val="lowerLetter"/>
      <w:start w:val="1"/>
    </w:lvl>
  </w:abstractNum>
  <w:abstractNum w:abstractNumId="158">
    <w:nsid w:val="5E963896"/>
    <w:multiLevelType w:val="hybridMultilevel"/>
    <w:lvl w:ilvl="0">
      <w:lvlJc w:val="left"/>
      <w:lvlText w:val="(%1)"/>
      <w:numFmt w:val="lowerLetter"/>
      <w:start w:val="1"/>
    </w:lvl>
  </w:abstractNum>
  <w:abstractNum w:abstractNumId="159">
    <w:nsid w:val="775BA7C1"/>
    <w:multiLevelType w:val="hybridMultilevel"/>
    <w:lvl w:ilvl="0">
      <w:lvlJc w:val="left"/>
      <w:lvlText w:val="(%1)"/>
      <w:numFmt w:val="lowerLetter"/>
      <w:start w:val="1"/>
    </w:lvl>
  </w:abstractNum>
  <w:abstractNum w:abstractNumId="160">
    <w:nsid w:val="1DD6D6F4"/>
    <w:multiLevelType w:val="hybridMultilevel"/>
    <w:lvl w:ilvl="0">
      <w:lvlJc w:val="left"/>
      <w:lvlText w:val="(%1)"/>
      <w:numFmt w:val="lowerLetter"/>
      <w:start w:val="1"/>
    </w:lvl>
  </w:abstractNum>
  <w:abstractNum w:abstractNumId="161">
    <w:nsid w:val="769A091F"/>
    <w:multiLevelType w:val="hybridMultilevel"/>
    <w:lvl w:ilvl="0">
      <w:lvlJc w:val="left"/>
      <w:lvlText w:val="(%1)"/>
      <w:numFmt w:val="lowerLetter"/>
      <w:start w:val="2"/>
    </w:lvl>
  </w:abstractNum>
  <w:abstractNum w:abstractNumId="162">
    <w:nsid w:val="4695AE95"/>
    <w:multiLevelType w:val="hybridMultilevel"/>
    <w:lvl w:ilvl="0">
      <w:lvlJc w:val="left"/>
      <w:lvlText w:val="(%1)"/>
      <w:numFmt w:val="lowerLetter"/>
      <w:start w:val="1"/>
    </w:lvl>
  </w:abstractNum>
  <w:abstractNum w:abstractNumId="163">
    <w:nsid w:val="777A4EAA"/>
    <w:multiLevelType w:val="hybridMultilevel"/>
    <w:lvl w:ilvl="0">
      <w:lvlJc w:val="left"/>
      <w:lvlText w:val="(%1)"/>
      <w:numFmt w:val="lowerLetter"/>
      <w:start w:val="3"/>
    </w:lvl>
  </w:abstractNum>
  <w:abstractNum w:abstractNumId="164">
    <w:nsid w:val="3F48B982"/>
    <w:multiLevelType w:val="hybridMultilevel"/>
    <w:lvl w:ilvl="0">
      <w:lvlJc w:val="left"/>
      <w:lvlText w:val="%1"/>
      <w:numFmt w:val="lowerLetter"/>
      <w:start w:val="1"/>
    </w:lvl>
    <w:lvl w:ilvl="1">
      <w:lvlJc w:val="left"/>
      <w:lvlText w:val="(%2)"/>
      <w:numFmt w:val="lowerLetter"/>
      <w:start w:val="1"/>
    </w:lvl>
  </w:abstractNum>
  <w:abstractNum w:abstractNumId="165">
    <w:nsid w:val="46BA8FCA"/>
    <w:multiLevelType w:val="hybridMultilevel"/>
    <w:lvl w:ilvl="0">
      <w:lvlJc w:val="left"/>
      <w:lvlText w:val="(%1)"/>
      <w:numFmt w:val="lowerLetter"/>
      <w:start w:val="9"/>
    </w:lvl>
    <w:lvl w:ilvl="1">
      <w:lvlJc w:val="left"/>
      <w:lvlText w:val="(%2)"/>
      <w:numFmt w:val="lowerLetter"/>
      <w:start w:val="2"/>
    </w:lvl>
  </w:abstractNum>
  <w:abstractNum w:abstractNumId="166">
    <w:nsid w:val="7835626C"/>
    <w:multiLevelType w:val="hybridMultilevel"/>
    <w:lvl w:ilvl="0">
      <w:lvlJc w:val="left"/>
      <w:lvlText w:val="%1"/>
      <w:numFmt w:val="lowerLetter"/>
      <w:start w:val="1"/>
    </w:lvl>
    <w:lvl w:ilvl="1">
      <w:lvlJc w:val="left"/>
      <w:lvlText w:val="(%2)"/>
      <w:numFmt w:val="lowerLetter"/>
      <w:start w:val="3"/>
    </w:lvl>
  </w:abstractNum>
  <w:abstractNum w:abstractNumId="167">
    <w:nsid w:val="665ACA49"/>
    <w:multiLevelType w:val="hybridMultilevel"/>
    <w:lvl w:ilvl="0">
      <w:lvlJc w:val="left"/>
      <w:lvlText w:val="(%1)"/>
      <w:numFmt w:val="lowerLetter"/>
      <w:start w:val="35"/>
    </w:lvl>
    <w:lvl w:ilvl="1">
      <w:lvlJc w:val="left"/>
      <w:lvlText w:val="%2"/>
      <w:numFmt w:val="lowerLetter"/>
      <w:start w:val="1"/>
    </w:lvl>
  </w:abstractNum>
  <w:abstractNum w:abstractNumId="168">
    <w:nsid w:val="6835B2AE"/>
    <w:multiLevelType w:val="hybridMultilevel"/>
    <w:lvl w:ilvl="0">
      <w:lvlJc w:val="left"/>
      <w:lvlText w:val="(%1)"/>
      <w:numFmt w:val="lowerLetter"/>
      <w:start w:val="8"/>
    </w:lvl>
    <w:lvl w:ilvl="1">
      <w:lvlJc w:val="left"/>
      <w:lvlText w:val="(%2)"/>
      <w:numFmt w:val="lowerRoman"/>
      <w:start w:val="1"/>
    </w:lvl>
  </w:abstractNum>
  <w:abstractNum w:abstractNumId="169">
    <w:nsid w:val="4C187C90"/>
    <w:multiLevelType w:val="hybridMultilevel"/>
    <w:lvl w:ilvl="0">
      <w:lvlJc w:val="left"/>
      <w:lvlText w:val="(%1)"/>
      <w:numFmt w:val="lowerLetter"/>
      <w:start w:val="18"/>
    </w:lvl>
  </w:abstractNum>
  <w:abstractNum w:abstractNumId="170">
    <w:nsid w:val="541F28CD"/>
    <w:multiLevelType w:val="hybridMultilevel"/>
    <w:lvl w:ilvl="0">
      <w:lvlJc w:val="left"/>
      <w:lvlText w:val="(%1)"/>
      <w:numFmt w:val="lowerLetter"/>
      <w:start w:val="1"/>
    </w:lvl>
  </w:abstractNum>
  <w:abstractNum w:abstractNumId="171">
    <w:nsid w:val="7F65FD16"/>
    <w:multiLevelType w:val="hybridMultilevel"/>
    <w:lvl w:ilvl="0">
      <w:lvlJc w:val="left"/>
      <w:lvlText w:val="(%1)"/>
      <w:numFmt w:val="lowerLetter"/>
      <w:start w:val="1"/>
    </w:lvl>
  </w:abstractNum>
  <w:abstractNum w:abstractNumId="172">
    <w:nsid w:val="77C9FD68"/>
    <w:multiLevelType w:val="hybridMultilevel"/>
    <w:lvl w:ilvl="0">
      <w:lvlJc w:val="left"/>
      <w:lvlText w:val="(%1)"/>
      <w:numFmt w:val="lowerLetter"/>
      <w:start w:val="2"/>
    </w:lvl>
  </w:abstractNum>
  <w:abstractNum w:abstractNumId="173">
    <w:nsid w:val="298A92BA"/>
    <w:multiLevelType w:val="hybridMultilevel"/>
    <w:lvl w:ilvl="0">
      <w:lvlJc w:val="left"/>
      <w:lvlText w:val="(%1)"/>
      <w:numFmt w:val="lowerLetter"/>
      <w:start w:val="1"/>
    </w:lvl>
  </w:abstractNum>
  <w:abstractNum w:abstractNumId="174">
    <w:nsid w:val="6FE95EAC"/>
    <w:multiLevelType w:val="hybridMultilevel"/>
    <w:lvl w:ilvl="0">
      <w:lvlJc w:val="left"/>
      <w:lvlText w:val="(%1)"/>
      <w:numFmt w:val="lowerLetter"/>
      <w:start w:val="1"/>
    </w:lvl>
  </w:abstractNum>
  <w:abstractNum w:abstractNumId="175">
    <w:nsid w:val="4B697C7A"/>
    <w:multiLevelType w:val="hybridMultilevel"/>
    <w:lvl w:ilvl="0">
      <w:lvlJc w:val="left"/>
      <w:lvlText w:val="(%1)"/>
      <w:numFmt w:val="lowerLetter"/>
      <w:start w:val="1"/>
    </w:lvl>
  </w:abstractNum>
  <w:abstractNum w:abstractNumId="176">
    <w:nsid w:val="51A27AA6"/>
    <w:multiLevelType w:val="hybridMultilevel"/>
    <w:lvl w:ilvl="0">
      <w:lvlJc w:val="left"/>
      <w:lvlText w:val="(%1)"/>
      <w:numFmt w:val="lowerLetter"/>
      <w:start w:val="1"/>
    </w:lvl>
  </w:abstractNum>
  <w:abstractNum w:abstractNumId="177">
    <w:nsid w:val="613183F2"/>
    <w:multiLevelType w:val="hybridMultilevel"/>
    <w:lvl w:ilvl="0">
      <w:lvlJc w:val="left"/>
      <w:lvlText w:val="(%1)"/>
      <w:numFmt w:val="lowerLetter"/>
      <w:start w:val="3"/>
    </w:lvl>
  </w:abstractNum>
  <w:abstractNum w:abstractNumId="178">
    <w:nsid w:val="634102B4"/>
    <w:multiLevelType w:val="hybridMultilevel"/>
    <w:lvl w:ilvl="0">
      <w:lvlJc w:val="left"/>
      <w:lvlText w:val="(%1)"/>
      <w:numFmt w:val="lowerLetter"/>
      <w:start w:val="3"/>
    </w:lvl>
  </w:abstractNum>
  <w:abstractNum w:abstractNumId="179">
    <w:nsid w:val="65BF9DA8"/>
    <w:multiLevelType w:val="hybridMultilevel"/>
    <w:lvl w:ilvl="0">
      <w:lvlJc w:val="left"/>
      <w:lvlText w:val="(%1)"/>
      <w:numFmt w:val="lowerLetter"/>
      <w:start w:val="1"/>
    </w:lvl>
  </w:abstractNum>
  <w:abstractNum w:abstractNumId="180">
    <w:nsid w:val="21A2ECCA"/>
    <w:multiLevelType w:val="hybridMultilevel"/>
    <w:lvl w:ilvl="0">
      <w:lvlJc w:val="left"/>
      <w:lvlText w:val="(%1)"/>
      <w:numFmt w:val="lowerLetter"/>
      <w:start w:val="5"/>
    </w:lvl>
  </w:abstractNum>
  <w:abstractNum w:abstractNumId="181">
    <w:nsid w:val="4D5C4899"/>
    <w:multiLevelType w:val="hybridMultilevel"/>
    <w:lvl w:ilvl="0">
      <w:lvlJc w:val="left"/>
      <w:lvlText w:val="(%1)"/>
      <w:numFmt w:val="lowerLetter"/>
      <w:start w:val="11"/>
    </w:lvl>
  </w:abstractNum>
  <w:abstractNum w:abstractNumId="182">
    <w:nsid w:val="3C3B72B2"/>
    <w:multiLevelType w:val="hybridMultilevel"/>
    <w:lvl w:ilvl="0">
      <w:lvlJc w:val="left"/>
      <w:lvlText w:val="(%1)"/>
      <w:numFmt w:val="lowerLetter"/>
      <w:start w:val="20"/>
    </w:lvl>
  </w:abstractNum>
  <w:abstractNum w:abstractNumId="183">
    <w:nsid w:val="155EC4C2"/>
    <w:multiLevelType w:val="hybridMultilevel"/>
    <w:lvl w:ilvl="0">
      <w:lvlJc w:val="left"/>
      <w:lvlText w:val="(%1)"/>
      <w:numFmt w:val="lowerLetter"/>
      <w:start w:val="21"/>
    </w:lvl>
  </w:abstractNum>
  <w:abstractNum w:abstractNumId="184">
    <w:nsid w:val="65D2A137"/>
    <w:multiLevelType w:val="hybridMultilevel"/>
    <w:lvl w:ilvl="0">
      <w:lvlJc w:val="left"/>
      <w:lvlText w:val="(%1)"/>
      <w:numFmt w:val="lowerLetter"/>
      <w:start w:val="1"/>
    </w:lvl>
  </w:abstractNum>
  <w:abstractNum w:abstractNumId="185">
    <w:nsid w:val="6EBB1F2A"/>
    <w:multiLevelType w:val="hybridMultilevel"/>
    <w:lvl w:ilvl="0">
      <w:lvlJc w:val="left"/>
      <w:lvlText w:val="(%1)"/>
      <w:numFmt w:val="lowerLetter"/>
      <w:start w:val="7"/>
    </w:lvl>
  </w:abstractNum>
  <w:abstractNum w:abstractNumId="186">
    <w:nsid w:val="6FBF29CB"/>
    <w:multiLevelType w:val="hybridMultilevel"/>
    <w:lvl w:ilvl="0">
      <w:lvlJc w:val="left"/>
      <w:lvlText w:val="(%1)"/>
      <w:numFmt w:val="lowerLetter"/>
      <w:start w:val="1"/>
    </w:lvl>
  </w:abstractNum>
  <w:abstractNum w:abstractNumId="187">
    <w:nsid w:val="550B8808"/>
    <w:multiLevelType w:val="hybridMultilevel"/>
    <w:lvl w:ilvl="0">
      <w:lvlJc w:val="left"/>
      <w:lvlText w:val="(%1)"/>
      <w:numFmt w:val="lowerLetter"/>
      <w:start w:val="35"/>
    </w:lvl>
    <w:lvl w:ilvl="1">
      <w:lvlJc w:val="left"/>
      <w:lvlText w:val="(%2)"/>
      <w:numFmt w:val="lowerLetter"/>
      <w:start w:val="2"/>
    </w:lvl>
  </w:abstractNum>
  <w:abstractNum w:abstractNumId="188">
    <w:nsid w:val="34CC3ACF"/>
    <w:multiLevelType w:val="hybridMultilevel"/>
    <w:lvl w:ilvl="0">
      <w:lvlJc w:val="left"/>
      <w:lvlText w:val="(%1)"/>
      <w:numFmt w:val="lowerLetter"/>
      <w:start w:val="1"/>
    </w:lvl>
  </w:abstractNum>
  <w:abstractNum w:abstractNumId="189">
    <w:nsid w:val="4E556261"/>
    <w:multiLevelType w:val="hybridMultilevel"/>
    <w:lvl w:ilvl="0">
      <w:lvlJc w:val="left"/>
      <w:lvlText w:val="(%1)"/>
      <w:numFmt w:val="lowerLetter"/>
      <w:start w:val="4"/>
    </w:lvl>
  </w:abstractNum>
  <w:abstractNum w:abstractNumId="190">
    <w:nsid w:val="4C672FC9"/>
    <w:multiLevelType w:val="hybridMultilevel"/>
    <w:lvl w:ilvl="0">
      <w:lvlJc w:val="left"/>
      <w:lvlText w:val="(%1)"/>
      <w:numFmt w:val="lowerLetter"/>
      <w:start w:val="8"/>
    </w:lvl>
  </w:abstractNum>
  <w:abstractNum w:abstractNumId="191">
    <w:nsid w:val="52A311C3"/>
    <w:multiLevelType w:val="hybridMultilevel"/>
    <w:lvl w:ilvl="0">
      <w:lvlJc w:val="left"/>
      <w:lvlText w:val="(%1)"/>
      <w:numFmt w:val="lowerLetter"/>
      <w:start w:val="18"/>
    </w:lvl>
  </w:abstractNum>
  <w:abstractNum w:abstractNumId="192">
    <w:nsid w:val="44EF6B80"/>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193">
    <w:nsid w:val="12FCDE5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194">
    <w:nsid w:val="4A1D606E"/>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6"/>
    </w:lvl>
  </w:abstractNum>
  <w:abstractNum w:abstractNumId="195">
    <w:nsid w:val="4382503"/>
    <w:multiLevelType w:val="hybridMultilevel"/>
    <w:lvl w:ilvl="0">
      <w:lvlJc w:val="left"/>
      <w:lvlText w:val="(%1)"/>
      <w:numFmt w:val="lowerRoman"/>
      <w:start w:val="9"/>
    </w:lvl>
  </w:abstractNum>
  <w:abstractNum w:abstractNumId="196">
    <w:nsid w:val="59B76E28"/>
    <w:multiLevelType w:val="hybridMultilevel"/>
    <w:lvl w:ilvl="0">
      <w:lvlJc w:val="left"/>
      <w:lvlText w:val="(%1)"/>
      <w:numFmt w:val="lowerRoman"/>
      <w:start w:val="10"/>
    </w:lvl>
  </w:abstractNum>
  <w:abstractNum w:abstractNumId="197">
    <w:nsid w:val="4252C2DA"/>
    <w:multiLevelType w:val="hybridMultilevel"/>
    <w:lvl w:ilvl="0">
      <w:lvlJc w:val="left"/>
      <w:lvlText w:val="(%1)"/>
      <w:numFmt w:val="lowerRoman"/>
      <w:start w:val="11"/>
    </w:lvl>
  </w:abstractNum>
  <w:abstractNum w:abstractNumId="198">
    <w:nsid w:val="6A92EF4C"/>
    <w:multiLevelType w:val="hybridMultilevel"/>
    <w:lvl w:ilvl="0">
      <w:lvlJc w:val="left"/>
      <w:lvlText w:val="(%1)"/>
      <w:numFmt w:val="lowerLetter"/>
      <w:start w:val="2"/>
    </w:lvl>
  </w:abstractNum>
  <w:abstractNum w:abstractNumId="199">
    <w:nsid w:val="41ED20D7"/>
    <w:multiLevelType w:val="hybridMultilevel"/>
    <w:lvl w:ilvl="0">
      <w:lvlJc w:val="left"/>
      <w:lvlText w:val="(%1)"/>
      <w:numFmt w:val="lowerLetter"/>
      <w:start w:val="1"/>
    </w:lvl>
    <w:lvl w:ilvl="1">
      <w:lvlJc w:val="left"/>
      <w:lvlText w:val="(%2)"/>
      <w:numFmt w:val="lowerLetter"/>
      <w:start w:val="9"/>
    </w:lvl>
  </w:abstractNum>
  <w:abstractNum w:abstractNumId="200">
    <w:nsid w:val="E6B3F6A"/>
    <w:multiLevelType w:val="hybridMultilevel"/>
    <w:lvl w:ilvl="0">
      <w:lvlJc w:val="left"/>
      <w:lvlText w:val="(%1)"/>
      <w:numFmt w:val="lowerRoman"/>
      <w:start w:val="2"/>
    </w:lvl>
  </w:abstractNum>
  <w:abstractNum w:abstractNumId="201">
    <w:nsid w:val="3EB21819"/>
    <w:multiLevelType w:val="hybridMultilevel"/>
    <w:lvl w:ilvl="0">
      <w:lvlJc w:val="left"/>
      <w:lvlText w:val="%1"/>
      <w:numFmt w:val="upperLetter"/>
      <w:start w:val="1"/>
    </w:lvl>
    <w:lvl w:ilvl="1">
      <w:lvlJc w:val="left"/>
      <w:lvlText w:val="(%2)"/>
      <w:numFmt w:val="lowerRoman"/>
      <w:start w:val="4"/>
    </w:lvl>
  </w:abstractNum>
  <w:abstractNum w:abstractNumId="202">
    <w:nsid w:val="41531DED"/>
    <w:multiLevelType w:val="hybridMultilevel"/>
    <w:lvl w:ilvl="0">
      <w:lvlJc w:val="left"/>
      <w:lvlText w:val="(%1)"/>
      <w:numFmt w:val="upperLetter"/>
      <w:start w:val="3"/>
    </w:lvl>
    <w:lvl w:ilvl="1">
      <w:lvlJc w:val="left"/>
      <w:lvlText w:val="(%2)"/>
      <w:numFmt w:val="lowerRoman"/>
      <w:start w:val="5"/>
    </w:lvl>
  </w:abstractNum>
  <w:abstractNum w:abstractNumId="203">
    <w:nsid w:val="6353CD2"/>
    <w:multiLevelType w:val="hybridMultilevel"/>
    <w:lvl w:ilvl="0">
      <w:lvlJc w:val="left"/>
      <w:lvlText w:val="(%1)"/>
      <w:numFmt w:val="lowerRoman"/>
      <w:start w:val="9"/>
    </w:lvl>
  </w:abstractNum>
  <w:abstractNum w:abstractNumId="204">
    <w:nsid w:val="683CAAD3"/>
    <w:multiLevelType w:val="hybridMultilevel"/>
    <w:lvl w:ilvl="0">
      <w:lvlJc w:val="left"/>
      <w:lvlText w:val="(%1)"/>
      <w:numFmt w:val="lowerLetter"/>
      <w:start w:val="2"/>
    </w:lvl>
  </w:abstractNum>
  <w:abstractNum w:abstractNumId="205">
    <w:nsid w:val="313C7C99"/>
    <w:multiLevelType w:val="hybridMultilevel"/>
    <w:lvl w:ilvl="0">
      <w:lvlJc w:val="left"/>
      <w:lvlText w:val="(%1)"/>
      <w:numFmt w:val="lowerRoman"/>
      <w:start w:val="2"/>
    </w:lvl>
  </w:abstractNum>
  <w:abstractNum w:abstractNumId="206">
    <w:nsid w:val="519EB94C"/>
    <w:multiLevelType w:val="hybridMultilevel"/>
    <w:lvl w:ilvl="0">
      <w:lvlJc w:val="left"/>
      <w:lvlText w:val="(%1)"/>
      <w:numFmt w:val="lowerRoman"/>
      <w:start w:val="4"/>
    </w:lvl>
  </w:abstractNum>
  <w:abstractNum w:abstractNumId="207">
    <w:nsid w:val="39DF2579"/>
    <w:multiLevelType w:val="hybridMultilevel"/>
    <w:lvl w:ilvl="0">
      <w:lvlJc w:val="left"/>
      <w:lvlText w:val="(%1)"/>
      <w:numFmt w:val="lowerLetter"/>
      <w:start w:val="4"/>
    </w:lvl>
  </w:abstractNum>
  <w:abstractNum w:abstractNumId="208">
    <w:nsid w:val="126E008B"/>
    <w:multiLevelType w:val="hybridMultilevel"/>
    <w:lvl w:ilvl="0">
      <w:lvlJc w:val="left"/>
      <w:lvlText w:val="(%1)"/>
      <w:numFmt w:val="lowerRoman"/>
      <w:start w:val="4"/>
    </w:lvl>
  </w:abstractNum>
  <w:abstractNum w:abstractNumId="209">
    <w:nsid w:val="34DFBC00"/>
    <w:multiLevelType w:val="hybridMultilevel"/>
    <w:lvl w:ilvl="0">
      <w:lvlJc w:val="left"/>
      <w:lvlText w:val="%1"/>
      <w:numFmt w:val="lowerLetter"/>
      <w:start w:val="1"/>
    </w:lvl>
    <w:lvl w:ilvl="1">
      <w:lvlJc w:val="left"/>
      <w:lvlText w:val="(%2)"/>
      <w:numFmt w:val="lowerLetter"/>
      <w:start w:val="1"/>
    </w:lvl>
  </w:abstractNum>
  <w:abstractNum w:abstractNumId="210">
    <w:nsid w:val="1F9EC322"/>
    <w:multiLevelType w:val="hybridMultilevel"/>
    <w:lvl w:ilvl="0">
      <w:lvlJc w:val="left"/>
      <w:lvlText w:val="(%1)"/>
      <w:numFmt w:val="lowerLetter"/>
      <w:start w:val="35"/>
    </w:lvl>
    <w:lvl w:ilvl="1">
      <w:lvlJc w:val="left"/>
      <w:lvlText w:val="(%2)"/>
      <w:numFmt w:val="lowerLetter"/>
      <w:start w:val="2"/>
    </w:lvl>
  </w:abstractNum>
  <w:abstractNum w:abstractNumId="211">
    <w:nsid w:val="3410ED56"/>
    <w:multiLevelType w:val="hybridMultilevel"/>
    <w:lvl w:ilvl="0">
      <w:lvlJc w:val="left"/>
      <w:lvlText w:val="(%1)"/>
      <w:numFmt w:val="lowerLetter"/>
      <w:start w:val="1"/>
    </w:lvl>
  </w:abstractNum>
  <w:abstractNum w:abstractNumId="212">
    <w:nsid w:val="23C049A"/>
    <w:multiLevelType w:val="hybridMultilevel"/>
    <w:lvl w:ilvl="0">
      <w:lvlJc w:val="left"/>
      <w:lvlText w:val="%1"/>
      <w:numFmt w:val="lowerRoman"/>
      <w:start w:val="1"/>
    </w:lvl>
    <w:lvl w:ilvl="1">
      <w:lvlJc w:val="left"/>
      <w:lvlText w:val="(%2)"/>
      <w:numFmt w:val="lowerLetter"/>
      <w:start w:val="1"/>
    </w:lvl>
  </w:abstractNum>
  <w:abstractNum w:abstractNumId="213">
    <w:nsid w:val="5BDA35D4"/>
    <w:multiLevelType w:val="hybridMultilevel"/>
    <w:lvl w:ilvl="0">
      <w:lvlJc w:val="left"/>
      <w:lvlText w:val="(%1)"/>
      <w:numFmt w:val="lowerRoman"/>
      <w:start w:val="3"/>
    </w:lvl>
    <w:lvl w:ilvl="1">
      <w:lvlJc w:val="left"/>
      <w:lvlText w:val="%2"/>
      <w:numFmt w:val="lowerLetter"/>
      <w:start w:val="1"/>
    </w:lvl>
  </w:abstractNum>
  <w:abstractNum w:abstractNumId="214">
    <w:nsid w:val="496FB218"/>
    <w:multiLevelType w:val="hybridMultilevel"/>
    <w:lvl w:ilvl="0">
      <w:lvlJc w:val="left"/>
      <w:lvlText w:val="(%1)"/>
      <w:numFmt w:val="lowerRoman"/>
      <w:start w:val="6"/>
    </w:lvl>
    <w:lvl w:ilvl="1">
      <w:lvlJc w:val="left"/>
      <w:lvlText w:val="%2"/>
      <w:numFmt w:val="lowerLetter"/>
      <w:start w:val="1"/>
    </w:lvl>
  </w:abstractNum>
  <w:abstractNum w:abstractNumId="215">
    <w:nsid w:val="680EA5D1"/>
    <w:multiLevelType w:val="hybridMultilevel"/>
    <w:lvl w:ilvl="0">
      <w:lvlJc w:val="left"/>
      <w:lvlText w:val="(%1)"/>
      <w:numFmt w:val="lowerLetter"/>
      <w:start w:val="2"/>
    </w:lvl>
  </w:abstractNum>
  <w:abstractNum w:abstractNumId="216">
    <w:nsid w:val="4A9554FE"/>
    <w:multiLevelType w:val="hybridMultilevel"/>
    <w:lvl w:ilvl="0">
      <w:lvlJc w:val="left"/>
      <w:lvlText w:val="(%1)"/>
      <w:numFmt w:val="lowerLetter"/>
      <w:start w:val="1"/>
    </w:lvl>
  </w:abstractNum>
  <w:abstractNum w:abstractNumId="217">
    <w:nsid w:val="392EDBE4"/>
    <w:multiLevelType w:val="hybridMultilevel"/>
    <w:lvl w:ilvl="0">
      <w:lvlJc w:val="left"/>
      <w:lvlText w:val="%1"/>
      <w:numFmt w:val="lowerRoman"/>
      <w:start w:val="1"/>
    </w:lvl>
    <w:lvl w:ilvl="1">
      <w:lvlJc w:val="left"/>
      <w:lvlText w:val="(%2)"/>
      <w:numFmt w:val="lowerLetter"/>
      <w:start w:val="6"/>
    </w:lvl>
  </w:abstractNum>
  <w:abstractNum w:abstractNumId="218">
    <w:nsid w:val="3D1A2DD9"/>
    <w:multiLevelType w:val="hybridMultilevel"/>
    <w:lvl w:ilvl="0">
      <w:lvlJc w:val="left"/>
      <w:lvlText w:val="(%1)"/>
      <w:numFmt w:val="lowerRoman"/>
      <w:start w:val="4"/>
    </w:lvl>
    <w:lvl w:ilvl="1">
      <w:lvlJc w:val="left"/>
      <w:lvlText w:val="(%2)"/>
      <w:numFmt w:val="lowerLetter"/>
      <w:start w:val="8"/>
    </w:lvl>
  </w:abstractNum>
  <w:abstractNum w:abstractNumId="219">
    <w:nsid w:val="7F618FCD"/>
    <w:multiLevelType w:val="hybridMultilevel"/>
    <w:lvl w:ilvl="0">
      <w:lvlJc w:val="left"/>
      <w:lvlText w:val="(%1)"/>
      <w:numFmt w:val="decimal"/>
      <w:start w:val="30"/>
    </w:lvl>
    <w:lvl w:ilvl="1">
      <w:lvlJc w:val="left"/>
      <w:lvlText w:val="(%2)"/>
      <w:numFmt w:val="lowerLetter"/>
      <w:start w:val="12"/>
    </w:lvl>
  </w:abstractNum>
  <w:abstractNum w:abstractNumId="220">
    <w:nsid w:val="7843E45"/>
    <w:multiLevelType w:val="hybridMultilevel"/>
    <w:lvl w:ilvl="0">
      <w:lvlJc w:val="left"/>
      <w:lvlText w:val="(%1)"/>
      <w:numFmt w:val="lowerRoman"/>
      <w:start w:val="1"/>
    </w:lvl>
  </w:abstractNum>
  <w:abstractNum w:abstractNumId="221">
    <w:nsid w:val="9815DA3"/>
    <w:multiLevelType w:val="hybridMultilevel"/>
    <w:lvl w:ilvl="0">
      <w:lvlJc w:val="left"/>
      <w:lvlText w:val="(%1)"/>
      <w:numFmt w:val="lowerRoman"/>
      <w:start w:val="4"/>
    </w:lvl>
  </w:abstractNum>
  <w:abstractNum w:abstractNumId="222">
    <w:nsid w:val="5204A191"/>
    <w:multiLevelType w:val="hybridMultilevel"/>
    <w:lvl w:ilvl="0">
      <w:lvlJc w:val="left"/>
      <w:lvlText w:val="(%1)"/>
      <w:numFmt w:val="lowerLetter"/>
      <w:start w:val="1"/>
    </w:lvl>
  </w:abstractNum>
  <w:abstractNum w:abstractNumId="223">
    <w:nsid w:val="4C73A9C6"/>
    <w:multiLevelType w:val="hybridMultilevel"/>
    <w:lvl w:ilvl="0">
      <w:lvlJc w:val="left"/>
      <w:lvlText w:val="(%1)"/>
      <w:numFmt w:val="lowerLetter"/>
      <w:start w:val="1"/>
    </w:lvl>
    <w:lvl w:ilvl="1">
      <w:lvlJc w:val="left"/>
      <w:lvlText w:val="(%2)"/>
      <w:numFmt w:val="lowerRoman"/>
      <w:start w:val="1"/>
    </w:lvl>
  </w:abstractNum>
  <w:abstractNum w:abstractNumId="224">
    <w:nsid w:val="1C7E3C01"/>
    <w:multiLevelType w:val="hybridMultilevel"/>
    <w:lvl w:ilvl="0">
      <w:lvlJc w:val="left"/>
      <w:lvlText w:val="%1"/>
      <w:numFmt w:val="lowerLetter"/>
      <w:start w:val="1"/>
    </w:lvl>
    <w:lvl w:ilvl="1">
      <w:lvlJc w:val="left"/>
      <w:lvlText w:val="(%2)"/>
      <w:numFmt w:val="lowerRoman"/>
      <w:start w:val="3"/>
    </w:lvl>
  </w:abstractNum>
  <w:abstractNum w:abstractNumId="225">
    <w:nsid w:val="1C2201FF"/>
    <w:multiLevelType w:val="hybridMultilevel"/>
    <w:lvl w:ilvl="0">
      <w:lvlJc w:val="left"/>
      <w:lvlText w:val="(%1)"/>
      <w:numFmt w:val="lowerLetter"/>
      <w:start w:val="2"/>
    </w:lvl>
    <w:lvl w:ilvl="1">
      <w:lvlJc w:val="left"/>
      <w:lvlText w:val="%2"/>
      <w:numFmt w:val="lowerRoman"/>
      <w:start w:val="1"/>
    </w:lvl>
  </w:abstractNum>
  <w:abstractNum w:abstractNumId="226">
    <w:nsid w:val="50ABCEC9"/>
    <w:multiLevelType w:val="hybridMultilevel"/>
    <w:lvl w:ilvl="0">
      <w:lvlJc w:val="left"/>
      <w:lvlText w:val="(%1)"/>
      <w:numFmt w:val="lowerLetter"/>
      <w:start w:val="1"/>
    </w:lvl>
  </w:abstractNum>
  <w:abstractNum w:abstractNumId="227">
    <w:nsid w:val="7635AA2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28">
    <w:nsid w:val="5E74C4D9"/>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229">
    <w:nsid w:val="3B3EBE15"/>
    <w:multiLevelType w:val="hybridMultilevel"/>
    <w:lvl w:ilvl="0">
      <w:lvlJc w:val="left"/>
      <w:lvlText w:val="(%1)"/>
      <w:numFmt w:val="lowerLetter"/>
      <w:start w:val="3"/>
    </w:lvl>
  </w:abstractNum>
  <w:abstractNum w:abstractNumId="230">
    <w:nsid w:val="3822CB01"/>
    <w:multiLevelType w:val="hybridMultilevel"/>
    <w:lvl w:ilvl="0">
      <w:lvlJc w:val="left"/>
      <w:lvlText w:val="(%1)"/>
      <w:numFmt w:val="upperLetter"/>
      <w:start w:val="3"/>
    </w:lvl>
    <w:lvl w:ilvl="1">
      <w:lvlJc w:val="left"/>
      <w:lvlText w:val="(%2)"/>
      <w:numFmt w:val="lowerLetter"/>
      <w:start w:val="4"/>
    </w:lvl>
    <w:lvl w:ilvl="2">
      <w:lvlJc w:val="left"/>
      <w:lvlText w:val="(%3)"/>
      <w:numFmt w:val="lowerLetter"/>
      <w:start w:val="35"/>
    </w:lvl>
  </w:abstractNum>
  <w:abstractNum w:abstractNumId="231">
    <w:nsid w:val="6CE00443"/>
    <w:multiLevelType w:val="hybridMultilevel"/>
    <w:lvl w:ilvl="0">
      <w:lvlJc w:val="left"/>
      <w:lvlText w:val="(%1)"/>
      <w:numFmt w:val="lowerLetter"/>
      <w:start w:val="6"/>
    </w:lvl>
  </w:abstractNum>
  <w:abstractNum w:abstractNumId="232">
    <w:nsid w:val="79F0D62F"/>
    <w:multiLevelType w:val="hybridMultilevel"/>
    <w:lvl w:ilvl="0">
      <w:lvlJc w:val="left"/>
      <w:lvlText w:val="(%1)"/>
      <w:numFmt w:val="lowerLetter"/>
      <w:start w:val="1"/>
    </w:lvl>
    <w:lvl w:ilvl="1">
      <w:lvlJc w:val="left"/>
      <w:lvlText w:val="(%2)"/>
      <w:numFmt w:val="lowerRoman"/>
      <w:start w:val="1"/>
    </w:lvl>
  </w:abstractNum>
  <w:abstractNum w:abstractNumId="233">
    <w:nsid w:val="7975E8EE"/>
    <w:multiLevelType w:val="hybridMultilevel"/>
    <w:lvl w:ilvl="0">
      <w:lvlJc w:val="left"/>
      <w:lvlText w:val="(%1)"/>
      <w:numFmt w:val="lowerRoman"/>
      <w:start w:val="2"/>
    </w:lvl>
  </w:abstractNum>
  <w:abstractNum w:abstractNumId="234">
    <w:nsid w:val="73154115"/>
    <w:multiLevelType w:val="hybridMultilevel"/>
    <w:lvl w:ilvl="0">
      <w:lvlJc w:val="left"/>
      <w:lvlText w:val="(%1)"/>
      <w:numFmt w:val="lowerRoman"/>
      <w:start w:val="3"/>
    </w:lvl>
  </w:abstractNum>
  <w:abstractNum w:abstractNumId="235">
    <w:nsid w:val="622D8102"/>
    <w:multiLevelType w:val="hybridMultilevel"/>
    <w:lvl w:ilvl="0">
      <w:lvlJc w:val="left"/>
      <w:lvlText w:val="%1"/>
      <w:numFmt w:val="lowerLetter"/>
      <w:start w:val="1"/>
    </w:lvl>
    <w:lvl w:ilvl="1">
      <w:lvlJc w:val="left"/>
      <w:lvlText w:val="(%2)"/>
      <w:numFmt w:val="lowerLetter"/>
      <w:start w:val="2"/>
    </w:lvl>
  </w:abstractNum>
  <w:abstractNum w:abstractNumId="236">
    <w:nsid w:val="2AB26587"/>
    <w:multiLevelType w:val="hybridMultilevel"/>
    <w:lvl w:ilvl="0">
      <w:lvlJc w:val="left"/>
      <w:lvlText w:val="(%1)"/>
      <w:numFmt w:val="lowerLetter"/>
      <w:start w:val="35"/>
    </w:lvl>
    <w:lvl w:ilvl="1">
      <w:lvlJc w:val="left"/>
      <w:lvlText w:val="(%2)"/>
      <w:numFmt w:val="lowerLetter"/>
      <w:start w:val="3"/>
    </w:lvl>
  </w:abstractNum>
  <w:abstractNum w:abstractNumId="237">
    <w:nsid w:val="44B3FA61"/>
    <w:multiLevelType w:val="hybridMultilevel"/>
    <w:lvl w:ilvl="0">
      <w:lvlJc w:val="left"/>
      <w:lvlText w:val="(%1)"/>
      <w:numFmt w:val="lowerLetter"/>
      <w:start w:val="1"/>
    </w:lvl>
  </w:abstractNum>
  <w:abstractNum w:abstractNumId="238">
    <w:nsid w:val="1C0CA67C"/>
    <w:multiLevelType w:val="hybridMultilevel"/>
    <w:lvl w:ilvl="0">
      <w:lvlJc w:val="left"/>
      <w:lvlText w:val="(%1)"/>
      <w:numFmt w:val="lowerRoman"/>
      <w:start w:val="6"/>
    </w:lvl>
    <w:lvl w:ilvl="1">
      <w:lvlJc w:val="left"/>
      <w:lvlText w:val="(%2)"/>
      <w:numFmt w:val="lowerLetter"/>
      <w:start w:val="3"/>
    </w:lvl>
  </w:abstractNum>
  <w:abstractNum w:abstractNumId="239">
    <w:nsid w:val="3D206613"/>
    <w:multiLevelType w:val="hybridMultilevel"/>
    <w:lvl w:ilvl="0">
      <w:lvlJc w:val="left"/>
      <w:lvlText w:val="(%1)"/>
      <w:numFmt w:val="lowerLetter"/>
      <w:start w:val="4"/>
    </w:lvl>
  </w:abstractNum>
  <w:abstractNum w:abstractNumId="240">
    <w:nsid w:val="7993B662"/>
    <w:multiLevelType w:val="hybridMultilevel"/>
    <w:lvl w:ilvl="0">
      <w:lvlJc w:val="left"/>
      <w:lvlText w:val="(%1)"/>
      <w:numFmt w:val="lowerLetter"/>
      <w:start w:val="1"/>
    </w:lvl>
  </w:abstractNum>
  <w:abstractNum w:abstractNumId="241">
    <w:nsid w:val="3BAB699E"/>
    <w:multiLevelType w:val="hybridMultilevel"/>
    <w:lvl w:ilvl="0">
      <w:lvlJc w:val="left"/>
      <w:lvlText w:val="%1"/>
      <w:numFmt w:val="lowerLetter"/>
      <w:start w:val="1"/>
    </w:lvl>
    <w:lvl w:ilvl="1">
      <w:lvlJc w:val="left"/>
      <w:lvlText w:val="(%2)"/>
      <w:numFmt w:val="lowerLetter"/>
      <w:start w:val="2"/>
    </w:lvl>
  </w:abstractNum>
  <w:abstractNum w:abstractNumId="242">
    <w:nsid w:val="71315369"/>
    <w:multiLevelType w:val="hybridMultilevel"/>
    <w:lvl w:ilvl="0">
      <w:lvlJc w:val="left"/>
      <w:lvlText w:val="(%1)"/>
      <w:numFmt w:val="lowerLetter"/>
      <w:start w:val="35"/>
    </w:lvl>
    <w:lvl w:ilvl="1">
      <w:lvlJc w:val="left"/>
      <w:lvlText w:val="%2"/>
      <w:numFmt w:val="lowerLetter"/>
      <w:start w:val="1"/>
    </w:lvl>
  </w:abstractNum>
  <w:abstractNum w:abstractNumId="243">
    <w:nsid w:val="7BCFBAFC"/>
    <w:multiLevelType w:val="hybridMultilevel"/>
    <w:lvl w:ilvl="0">
      <w:lvlJc w:val="left"/>
      <w:lvlText w:val="(%1)"/>
      <w:numFmt w:val="lowerLetter"/>
      <w:start w:val="3"/>
    </w:lvl>
  </w:abstractNum>
  <w:abstractNum w:abstractNumId="244">
    <w:nsid w:val="17859F72"/>
    <w:multiLevelType w:val="hybridMultilevel"/>
    <w:lvl w:ilvl="0">
      <w:lvlJc w:val="left"/>
      <w:lvlText w:val="%1"/>
      <w:numFmt w:val="lowerLetter"/>
      <w:start w:val="1"/>
    </w:lvl>
    <w:lvl w:ilvl="1">
      <w:lvlJc w:val="left"/>
      <w:lvlText w:val="(%2)"/>
      <w:numFmt w:val="lowerLetter"/>
      <w:start w:val="1"/>
    </w:lvl>
  </w:abstractNum>
  <w:abstractNum w:abstractNumId="245">
    <w:nsid w:val="3AA10581"/>
    <w:multiLevelType w:val="hybridMultilevel"/>
    <w:lvl w:ilvl="0">
      <w:lvlJc w:val="left"/>
      <w:lvlText w:val="(%1)"/>
      <w:numFmt w:val="lowerLetter"/>
      <w:start w:val="35"/>
    </w:lvl>
    <w:lvl w:ilvl="1">
      <w:lvlJc w:val="left"/>
      <w:lvlText w:val="%2"/>
      <w:numFmt w:val="lowerLetter"/>
      <w:start w:val="1"/>
    </w:lvl>
  </w:abstractNum>
  <w:abstractNum w:abstractNumId="246">
    <w:nsid w:val="63DE60C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47">
    <w:nsid w:val="621AF471"/>
    <w:multiLevelType w:val="hybridMultilevel"/>
    <w:lvl w:ilvl="0">
      <w:lvlJc w:val="left"/>
      <w:lvlText w:val="%1"/>
      <w:numFmt w:val="lowerLetter"/>
      <w:start w:val="1"/>
    </w:lvl>
    <w:lvl w:ilvl="1">
      <w:lvlJc w:val="left"/>
      <w:lvlText w:val="(%2)"/>
      <w:numFmt w:val="lowerLetter"/>
      <w:start w:val="22"/>
    </w:lvl>
  </w:abstractNum>
  <w:abstractNum w:abstractNumId="248">
    <w:nsid w:val="73CFE165"/>
    <w:multiLevelType w:val="hybridMultilevel"/>
    <w:lvl w:ilvl="0">
      <w:lvlJc w:val="left"/>
      <w:lvlText w:val="(%1)"/>
      <w:numFmt w:val="lowerLetter"/>
      <w:start w:val="3"/>
    </w:lvl>
    <w:lvl w:ilvl="1">
      <w:lvlJc w:val="left"/>
      <w:lvlText w:val="%2"/>
      <w:numFmt w:val="lowerLetter"/>
      <w:start w:val="1"/>
    </w:lvl>
  </w:abstractNum>
  <w:abstractNum w:abstractNumId="249">
    <w:nsid w:val="20F88EA6"/>
    <w:multiLevelType w:val="hybridMultilevel"/>
    <w:lvl w:ilvl="0">
      <w:lvlJc w:val="left"/>
      <w:lvlText w:val="(%1)"/>
      <w:numFmt w:val="lowerLetter"/>
      <w:start w:val="4"/>
    </w:lvl>
  </w:abstractNum>
  <w:abstractNum w:abstractNumId="250">
    <w:nsid w:val="617C843E"/>
    <w:multiLevelType w:val="hybridMultilevel"/>
    <w:lvl w:ilvl="0">
      <w:lvlJc w:val="left"/>
      <w:lvlText w:val="(%1)"/>
      <w:numFmt w:val="lowerLetter"/>
      <w:start w:val="1"/>
    </w:lvl>
  </w:abstractNum>
  <w:abstractNum w:abstractNumId="251">
    <w:nsid w:val="7B541FAB"/>
    <w:multiLevelType w:val="hybridMultilevel"/>
    <w:lvl w:ilvl="0">
      <w:lvlJc w:val="left"/>
      <w:lvlText w:val="(%1)"/>
      <w:numFmt w:val="lowerLetter"/>
      <w:start w:val="1"/>
    </w:lvl>
  </w:abstractNum>
  <w:abstractNum w:abstractNumId="252">
    <w:nsid w:val="2A79EC49"/>
    <w:multiLevelType w:val="hybridMultilevel"/>
    <w:lvl w:ilvl="0">
      <w:lvlJc w:val="left"/>
      <w:lvlText w:val="(%1)"/>
      <w:numFmt w:val="lowerLetter"/>
      <w:start w:val="9"/>
    </w:lvl>
  </w:abstractNum>
  <w:abstractNum w:abstractNumId="253">
    <w:nsid w:val="338125CF"/>
    <w:multiLevelType w:val="hybridMultilevel"/>
    <w:lvl w:ilvl="0">
      <w:lvlJc w:val="left"/>
      <w:lvlText w:val="(%1)"/>
      <w:numFmt w:val="lowerLetter"/>
      <w:start w:val="13"/>
    </w:lvl>
  </w:abstractNum>
  <w:abstractNum w:abstractNumId="254">
    <w:nsid w:val="47C7C971"/>
    <w:multiLevelType w:val="hybridMultilevel"/>
    <w:lvl w:ilvl="0">
      <w:lvlJc w:val="left"/>
      <w:lvlText w:val="(%1)"/>
      <w:numFmt w:val="lowerLetter"/>
      <w:start w:val="1"/>
    </w:lvl>
  </w:abstractNum>
  <w:abstractNum w:abstractNumId="255">
    <w:nsid w:val="46F8284B"/>
    <w:multiLevelType w:val="hybridMultilevel"/>
    <w:lvl w:ilvl="0">
      <w:lvlJc w:val="left"/>
      <w:lvlText w:val="(%1)"/>
      <w:numFmt w:val="lowerRoman"/>
      <w:start w:val="1"/>
    </w:lvl>
  </w:abstractNum>
  <w:abstractNum w:abstractNumId="256">
    <w:nsid w:val="4FA327CE"/>
    <w:multiLevelType w:val="hybridMultilevel"/>
    <w:lvl w:ilvl="0">
      <w:lvlJc w:val="left"/>
      <w:lvlText w:val="(%1)"/>
      <w:numFmt w:val="lowerRoman"/>
      <w:start w:val="2"/>
    </w:lvl>
  </w:abstractNum>
  <w:abstractNum w:abstractNumId="257">
    <w:nsid w:val="1873983A"/>
    <w:multiLevelType w:val="hybridMultilevel"/>
    <w:lvl w:ilvl="0">
      <w:lvlJc w:val="left"/>
      <w:lvlText w:val="%1"/>
      <w:numFmt w:val="upperLetter"/>
      <w:start w:val="35"/>
    </w:lvl>
    <w:lvl w:ilvl="1">
      <w:lvlJc w:val="left"/>
      <w:lvlText w:val="(%2)"/>
      <w:numFmt w:val="lowerLetter"/>
      <w:start w:val="1"/>
    </w:lvl>
  </w:abstractNum>
  <w:abstractNum w:abstractNumId="258">
    <w:nsid w:val="3D2DD275"/>
    <w:multiLevelType w:val="hybridMultilevel"/>
    <w:lvl w:ilvl="0">
      <w:lvlJc w:val="left"/>
      <w:lvlText w:val="%1"/>
      <w:numFmt w:val="lowerLetter"/>
      <w:start w:val="1"/>
    </w:lvl>
    <w:lvl w:ilvl="1">
      <w:lvlJc w:val="left"/>
      <w:lvlText w:val="(%2)"/>
      <w:numFmt w:val="lowerLetter"/>
      <w:start w:val="1"/>
    </w:lvl>
  </w:abstractNum>
  <w:abstractNum w:abstractNumId="259">
    <w:nsid w:val="2E17ECA7"/>
    <w:multiLevelType w:val="hybridMultilevel"/>
    <w:lvl w:ilvl="0">
      <w:lvlJc w:val="left"/>
      <w:lvlText w:val="(%1)"/>
      <w:numFmt w:val="lowerLetter"/>
      <w:start w:val="35"/>
    </w:lvl>
    <w:lvl w:ilvl="1">
      <w:lvlJc w:val="left"/>
      <w:lvlText w:val="%2"/>
      <w:numFmt w:val="lowerLetter"/>
      <w:start w:val="1"/>
    </w:lvl>
  </w:abstractNum>
  <w:abstractNum w:abstractNumId="260">
    <w:nsid w:val="53B2564F"/>
    <w:multiLevelType w:val="hybridMultilevel"/>
    <w:lvl w:ilvl="0">
      <w:lvlJc w:val="left"/>
      <w:lvlText w:val="(%1)"/>
      <w:numFmt w:val="lowerLetter"/>
      <w:start w:val="1"/>
    </w:lvl>
  </w:abstractNum>
  <w:abstractNum w:abstractNumId="261">
    <w:nsid w:val="75509D76"/>
    <w:multiLevelType w:val="hybridMultilevel"/>
    <w:lvl w:ilvl="0">
      <w:lvlJc w:val="left"/>
      <w:lvlText w:val="%1."/>
      <w:numFmt w:val="decimal"/>
      <w:start w:val="1"/>
    </w:lvl>
    <w:lvl w:ilvl="1">
      <w:lvlJc w:val="left"/>
      <w:lvlText w:val="(%2)"/>
      <w:numFmt w:val="lowerLetter"/>
      <w:start w:val="1"/>
    </w:lvl>
  </w:abstractNum>
  <w:abstractNum w:abstractNumId="262">
    <w:nsid w:val="1AF7F0EA"/>
    <w:multiLevelType w:val="hybridMultilevel"/>
    <w:lvl w:ilvl="0">
      <w:lvlJc w:val="left"/>
      <w:lvlText w:val="%1."/>
      <w:numFmt w:val="decimal"/>
      <w:start w:val="3"/>
    </w:lvl>
    <w:lvl w:ilvl="1">
      <w:lvlJc w:val="left"/>
      <w:lvlText w:val="(%2)"/>
      <w:numFmt w:val="lowerLetter"/>
      <w:start w:val="1"/>
    </w:lvl>
  </w:abstractNum>
  <w:abstractNum w:abstractNumId="263">
    <w:nsid w:val="4DA32C7E"/>
    <w:multiLevelType w:val="hybridMultilevel"/>
    <w:lvl w:ilvl="0">
      <w:lvlJc w:val="left"/>
      <w:lvlText w:val="(%1)"/>
      <w:numFmt w:val="lowerLetter"/>
      <w:start w:val="2"/>
    </w:lvl>
  </w:abstractNum>
  <w:abstractNum w:abstractNumId="264">
    <w:nsid w:val="6EC68664"/>
    <w:multiLevelType w:val="hybridMultilevel"/>
    <w:lvl w:ilvl="0">
      <w:lvlJc w:val="left"/>
      <w:lvlText w:val="(%1)"/>
      <w:numFmt w:val="lowerLetter"/>
      <w:start w:val="3"/>
    </w:lvl>
  </w:abstractNum>
  <w:abstractNum w:abstractNumId="265">
    <w:nsid w:val="E0D31FF"/>
    <w:multiLevelType w:val="hybridMultilevel"/>
    <w:lvl w:ilvl="0">
      <w:lvlJc w:val="left"/>
      <w:lvlText w:val="%1"/>
      <w:numFmt w:val="decimal"/>
      <w:start w:val="1"/>
    </w:lvl>
    <w:lvl w:ilvl="1">
      <w:lvlJc w:val="left"/>
      <w:lvlText w:val="(%2)"/>
      <w:numFmt w:val="lowerLetter"/>
      <w:start w:val="4"/>
    </w:lvl>
  </w:abstractNum>
  <w:abstractNum w:abstractNumId="266">
    <w:nsid w:val="2FD0AD81"/>
    <w:multiLevelType w:val="hybridMultilevel"/>
    <w:lvl w:ilvl="0">
      <w:lvlJc w:val="left"/>
      <w:lvlText w:val="%1."/>
      <w:numFmt w:val="decimal"/>
      <w:start w:val="6"/>
    </w:lvl>
    <w:lvl w:ilvl="1">
      <w:lvlJc w:val="left"/>
      <w:lvlText w:val="%2"/>
      <w:numFmt w:val="lowerLetter"/>
      <w:start w:val="1"/>
    </w:lvl>
  </w:abstractNum>
  <w:abstractNum w:abstractNumId="267">
    <w:nsid w:val="1978EBEB"/>
    <w:multiLevelType w:val="hybridMultilevel"/>
    <w:lvl w:ilvl="0">
      <w:lvlJc w:val="left"/>
      <w:lvlText w:val="%1."/>
      <w:numFmt w:val="decimal"/>
      <w:start w:val="8"/>
    </w:lvl>
    <w:lvl w:ilvl="1">
      <w:lvlJc w:val="left"/>
      <w:lvlText w:val="(%2)"/>
      <w:numFmt w:val="lowerLetter"/>
      <w:start w:val="1"/>
    </w:lvl>
  </w:abstractNum>
  <w:abstractNum w:abstractNumId="268">
    <w:nsid w:val="52C12C61"/>
    <w:multiLevelType w:val="hybridMultilevel"/>
    <w:lvl w:ilvl="0">
      <w:lvlJc w:val="left"/>
      <w:lvlText w:val="(%1)"/>
      <w:numFmt w:val="lowerLetter"/>
      <w:start w:val="1"/>
    </w:lvl>
  </w:abstractNum>
  <w:abstractNum w:abstractNumId="269">
    <w:nsid w:val="4BDD53FD"/>
    <w:multiLevelType w:val="hybridMultilevel"/>
    <w:lvl w:ilvl="0">
      <w:lvlJc w:val="left"/>
      <w:lvlText w:val="(%1)"/>
      <w:numFmt w:val="lowerRoman"/>
      <w:start w:val="1"/>
    </w:lvl>
  </w:abstractNum>
  <w:abstractNum w:abstractNumId="270">
    <w:nsid w:val="569951FE"/>
    <w:multiLevelType w:val="hybridMultilevel"/>
    <w:lvl w:ilvl="0">
      <w:lvlJc w:val="left"/>
      <w:lvlText w:val="(%1)"/>
      <w:numFmt w:val="lowerRoman"/>
      <w:start w:val="2"/>
    </w:lvl>
    <w:lvl w:ilvl="1">
      <w:lvlJc w:val="left"/>
      <w:lvlText w:val="(%2)"/>
      <w:numFmt w:val="lowerRoman"/>
      <w:start w:val="3"/>
    </w:lvl>
  </w:abstractNum>
  <w:abstractNum w:abstractNumId="271">
    <w:nsid w:val="4C54E2C3"/>
    <w:multiLevelType w:val="hybridMultilevel"/>
    <w:lvl w:ilvl="0">
      <w:lvlJc w:val="left"/>
      <w:lvlText w:val="(%1)"/>
      <w:numFmt w:val="lowerRoman"/>
      <w:start w:val="4"/>
    </w:lvl>
  </w:abstractNum>
  <w:abstractNum w:abstractNumId="272">
    <w:nsid w:val="788BD9B"/>
    <w:multiLevelType w:val="hybridMultilevel"/>
    <w:lvl w:ilvl="0">
      <w:lvlJc w:val="left"/>
      <w:lvlText w:val="(%1)"/>
      <w:numFmt w:val="lowerLetter"/>
      <w:start w:val="3"/>
    </w:lvl>
  </w:abstractNum>
  <w:abstractNum w:abstractNumId="273">
    <w:nsid w:val="47CAA567"/>
    <w:multiLevelType w:val="hybridMultilevel"/>
    <w:lvl w:ilvl="0">
      <w:lvlJc w:val="left"/>
      <w:lvlText w:val="1"/>
      <w:numFmt w:val="bullet"/>
      <w:start w:val="1"/>
    </w:lvl>
  </w:abstractNum>
  <w:abstractNum w:abstractNumId="274">
    <w:nsid w:val="48249DBF"/>
    <w:multiLevelType w:val="hybridMultilevel"/>
    <w:lvl w:ilvl="0">
      <w:lvlJc w:val="left"/>
      <w:lvlText w:val="(%1)"/>
      <w:numFmt w:val="lowerLetter"/>
      <w:start w:val="5"/>
    </w:lvl>
    <w:lvl w:ilvl="1">
      <w:lvlJc w:val="left"/>
      <w:lvlText w:val="(%2)"/>
      <w:numFmt w:val="lowerLetter"/>
      <w:start w:val="9"/>
    </w:lvl>
  </w:abstractNum>
  <w:abstractNum w:abstractNumId="275">
    <w:nsid w:val="1F0E5D0D"/>
    <w:multiLevelType w:val="hybridMultilevel"/>
    <w:lvl w:ilvl="0">
      <w:lvlJc w:val="left"/>
      <w:lvlText w:val="(%1)"/>
      <w:numFmt w:val="lowerLetter"/>
      <w:start w:val="9"/>
    </w:lvl>
  </w:abstractNum>
  <w:abstractNum w:abstractNumId="276">
    <w:nsid w:val="26BAAE9"/>
    <w:multiLevelType w:val="hybridMultilevel"/>
    <w:lvl w:ilvl="0">
      <w:lvlJc w:val="left"/>
      <w:lvlText w:val="(%1)"/>
      <w:numFmt w:val="lowerLetter"/>
      <w:start w:val="11"/>
    </w:lvl>
  </w:abstractNum>
  <w:abstractNum w:abstractNumId="277">
    <w:nsid w:val="2C02FE8C"/>
    <w:multiLevelType w:val="hybridMultilevel"/>
    <w:lvl w:ilvl="0">
      <w:lvlJc w:val="left"/>
      <w:lvlText w:val="(%1)"/>
      <w:numFmt w:val="lowerLetter"/>
      <w:start w:val="1"/>
    </w:lvl>
  </w:abstractNum>
  <w:abstractNum w:abstractNumId="278">
    <w:nsid w:val="129517E"/>
    <w:multiLevelType w:val="hybridMultilevel"/>
    <w:lvl w:ilvl="0">
      <w:lvlJc w:val="left"/>
      <w:lvlText w:val="(%1)"/>
      <w:numFmt w:val="lowerLetter"/>
      <w:start w:val="5"/>
    </w:lvl>
  </w:abstractNum>
  <w:abstractNum w:abstractNumId="279">
    <w:nsid w:val="763B8C4E"/>
    <w:multiLevelType w:val="hybridMultilevel"/>
    <w:lvl w:ilvl="0">
      <w:lvlJc w:val="left"/>
      <w:lvlText w:val="(%1)"/>
      <w:numFmt w:val="lowerLetter"/>
      <w:start w:val="8"/>
    </w:lvl>
  </w:abstractNum>
  <w:abstractNum w:abstractNumId="280">
    <w:nsid w:val="4CFB8D32"/>
    <w:multiLevelType w:val="hybridMultilevel"/>
    <w:lvl w:ilvl="0">
      <w:lvlJc w:val="left"/>
      <w:lvlText w:val="%1."/>
      <w:numFmt w:val="decimal"/>
      <w:start w:val="1"/>
    </w:lvl>
    <w:lvl w:ilvl="1">
      <w:lvlJc w:val="left"/>
      <w:lvlText w:val="(%2)"/>
      <w:numFmt w:val="lowerLetter"/>
      <w:start w:val="1"/>
    </w:lvl>
  </w:abstractNum>
  <w:abstractNum w:abstractNumId="281">
    <w:nsid w:val="62A5D5BD"/>
    <w:multiLevelType w:val="hybridMultilevel"/>
    <w:lvl w:ilvl="0">
      <w:lvlJc w:val="left"/>
      <w:lvlText w:val="%1."/>
      <w:numFmt w:val="decimal"/>
      <w:start w:val="3"/>
    </w:lvl>
    <w:lvl w:ilvl="1">
      <w:lvlJc w:val="left"/>
      <w:lvlText w:val="(%2)"/>
      <w:numFmt w:val="lowerLetter"/>
      <w:start w:val="1"/>
    </w:lvl>
  </w:abstractNum>
  <w:abstractNum w:abstractNumId="282">
    <w:nsid w:val="718FABF9"/>
    <w:multiLevelType w:val="hybridMultilevel"/>
    <w:lvl w:ilvl="0">
      <w:lvlJc w:val="left"/>
      <w:lvlText w:val="(%1)"/>
      <w:numFmt w:val="lowerLetter"/>
      <w:start w:val="2"/>
    </w:lvl>
  </w:abstractNum>
  <w:abstractNum w:abstractNumId="283">
    <w:nsid w:val="7775797C"/>
    <w:multiLevelType w:val="hybridMultilevel"/>
    <w:lvl w:ilvl="0">
      <w:lvlJc w:val="left"/>
      <w:lvlText w:val="(%1)"/>
      <w:numFmt w:val="lowerLetter"/>
      <w:start w:val="3"/>
    </w:lvl>
  </w:abstractNum>
  <w:abstractNum w:abstractNumId="284">
    <w:nsid w:val="1626FB8C"/>
    <w:multiLevelType w:val="hybridMultilevel"/>
    <w:lvl w:ilvl="0">
      <w:lvlJc w:val="left"/>
      <w:lvlText w:val="(%1)"/>
      <w:numFmt w:val="lowerRoman"/>
      <w:start w:val="1"/>
    </w:lvl>
  </w:abstractNum>
  <w:abstractNum w:abstractNumId="285">
    <w:nsid w:val="3957756A"/>
    <w:multiLevelType w:val="hybridMultilevel"/>
    <w:lvl w:ilvl="0">
      <w:lvlJc w:val="left"/>
      <w:lvlText w:val="%1"/>
      <w:numFmt w:val="decimal"/>
      <w:start w:val="1"/>
    </w:lvl>
    <w:lvl w:ilvl="1">
      <w:lvlJc w:val="left"/>
      <w:lvlText w:val="(%2)"/>
      <w:numFmt w:val="lowerLetter"/>
      <w:start w:val="4"/>
    </w:lvl>
  </w:abstractNum>
  <w:abstractNum w:abstractNumId="286">
    <w:nsid w:val="3E6DA1C7"/>
    <w:multiLevelType w:val="hybridMultilevel"/>
    <w:lvl w:ilvl="0">
      <w:lvlJc w:val="left"/>
      <w:lvlText w:val="%1."/>
      <w:numFmt w:val="decimal"/>
      <w:start w:val="6"/>
    </w:lvl>
    <w:lvl w:ilvl="1">
      <w:lvlJc w:val="left"/>
      <w:lvlText w:val="%2"/>
      <w:numFmt w:val="lowerLetter"/>
      <w:start w:val="1"/>
    </w:lvl>
  </w:abstractNum>
  <w:abstractNum w:abstractNumId="287">
    <w:nsid w:val="65CA235B"/>
    <w:multiLevelType w:val="hybridMultilevel"/>
    <w:lvl w:ilvl="0">
      <w:lvlJc w:val="left"/>
      <w:lvlText w:val="%1."/>
      <w:numFmt w:val="decimal"/>
      <w:start w:val="9"/>
    </w:lvl>
    <w:lvl w:ilvl="1">
      <w:lvlJc w:val="left"/>
      <w:lvlText w:val="(%2)"/>
      <w:numFmt w:val="lowerLetter"/>
      <w:start w:val="1"/>
    </w:lvl>
  </w:abstractNum>
  <w:abstractNum w:abstractNumId="288">
    <w:nsid w:val="51CB0DA4"/>
    <w:multiLevelType w:val="hybridMultilevel"/>
    <w:lvl w:ilvl="0">
      <w:lvlJc w:val="left"/>
      <w:lvlText w:val="(%1)"/>
      <w:numFmt w:val="lowerLetter"/>
      <w:start w:val="1"/>
    </w:lvl>
    <w:lvl w:ilvl="1">
      <w:lvlJc w:val="left"/>
      <w:lvlText w:val="(%2)"/>
      <w:numFmt w:val="lowerRoman"/>
      <w:start w:val="1"/>
    </w:lvl>
  </w:abstractNum>
  <w:abstractNum w:abstractNumId="289">
    <w:nsid w:val="7B9B743C"/>
    <w:multiLevelType w:val="hybridMultilevel"/>
    <w:lvl w:ilvl="0">
      <w:lvlJc w:val="left"/>
      <w:lvlText w:val="(%1)"/>
      <w:numFmt w:val="lowerRoman"/>
      <w:start w:val="3"/>
    </w:lvl>
  </w:abstractNum>
  <w:abstractNum w:abstractNumId="290">
    <w:nsid w:val="13E21002"/>
    <w:multiLevelType w:val="hybridMultilevel"/>
    <w:lvl w:ilvl="0">
      <w:lvlJc w:val="left"/>
      <w:lvlText w:val="(%1)"/>
      <w:numFmt w:val="lowerRoman"/>
      <w:start w:val="4"/>
    </w:lvl>
  </w:abstractNum>
  <w:abstractNum w:abstractNumId="291">
    <w:nsid w:val="257D63F4"/>
    <w:multiLevelType w:val="hybridMultilevel"/>
    <w:lvl w:ilvl="0">
      <w:lvlJc w:val="left"/>
      <w:lvlText w:val="(%1)"/>
      <w:numFmt w:val="lowerLetter"/>
      <w:start w:val="3"/>
    </w:lvl>
  </w:abstractNum>
  <w:abstractNum w:abstractNumId="292">
    <w:nsid w:val="70EC11B2"/>
    <w:multiLevelType w:val="hybridMultilevel"/>
    <w:lvl w:ilvl="0">
      <w:lvlJc w:val="left"/>
      <w:lvlText w:val="(%1)"/>
      <w:numFmt w:val="lowerLetter"/>
      <w:start w:val="7"/>
    </w:lvl>
    <w:lvl w:ilvl="1">
      <w:lvlJc w:val="left"/>
      <w:lvlText w:val="(%2)"/>
      <w:numFmt w:val="lowerRoman"/>
      <w:start w:val="1"/>
    </w:lvl>
  </w:abstractNum>
  <w:abstractNum w:abstractNumId="293">
    <w:nsid w:val="2EDA00ED"/>
    <w:multiLevelType w:val="hybridMultilevel"/>
    <w:lvl w:ilvl="0">
      <w:lvlJc w:val="left"/>
      <w:lvlText w:val="(%1)"/>
      <w:numFmt w:val="lowerLetter"/>
      <w:start w:val="9"/>
    </w:lvl>
  </w:abstractNum>
  <w:abstractNum w:abstractNumId="294">
    <w:nsid w:val="73209072"/>
    <w:multiLevelType w:val="hybridMultilevel"/>
    <w:lvl w:ilvl="0">
      <w:lvlJc w:val="left"/>
      <w:lvlText w:val="(%1)"/>
      <w:numFmt w:val="lowerLetter"/>
      <w:start w:val="1"/>
    </w:lvl>
  </w:abstractNum>
  <w:abstractNum w:abstractNumId="295">
    <w:nsid w:val="5FB29816"/>
    <w:multiLevelType w:val="hybridMultilevel"/>
    <w:lvl w:ilvl="0">
      <w:lvlJc w:val="left"/>
      <w:lvlText w:val="(%1)"/>
      <w:numFmt w:val="lowerLetter"/>
      <w:start w:val="2"/>
    </w:lvl>
  </w:abstractNum>
  <w:abstractNum w:abstractNumId="296">
    <w:nsid w:val="3CE732EC"/>
    <w:multiLevelType w:val="hybridMultilevel"/>
    <w:lvl w:ilvl="0">
      <w:lvlJc w:val="left"/>
      <w:lvlText w:val="(%1)"/>
      <w:numFmt w:val="lowerLetter"/>
      <w:start w:val="6"/>
    </w:lvl>
  </w:abstractNum>
  <w:abstractNum w:abstractNumId="297">
    <w:nsid w:val="22F13DF3"/>
    <w:multiLevelType w:val="hybridMultilevel"/>
    <w:lvl w:ilvl="0">
      <w:lvlJc w:val="left"/>
      <w:lvlText w:val="(%1)"/>
      <w:numFmt w:val="lowerLetter"/>
      <w:start w:val="8"/>
    </w:lvl>
  </w:abstractNum>
  <w:abstractNum w:abstractNumId="298">
    <w:nsid w:val="792B8401"/>
    <w:multiLevelType w:val="hybridMultilevel"/>
    <w:lvl w:ilvl="0">
      <w:lvlJc w:val="left"/>
      <w:lvlText w:val="%1."/>
      <w:numFmt w:val="decimal"/>
      <w:start w:val="1"/>
    </w:lvl>
    <w:lvl w:ilvl="1">
      <w:lvlJc w:val="left"/>
      <w:lvlText w:val="(%2)"/>
      <w:numFmt w:val="lowerLetter"/>
      <w:start w:val="1"/>
    </w:lvl>
  </w:abstractNum>
  <w:abstractNum w:abstractNumId="299">
    <w:nsid w:val="FA85F4D"/>
    <w:multiLevelType w:val="hybridMultilevel"/>
    <w:lvl w:ilvl="0">
      <w:lvlJc w:val="left"/>
      <w:lvlText w:val="%1."/>
      <w:numFmt w:val="decimal"/>
      <w:start w:val="3"/>
    </w:lvl>
    <w:lvl w:ilvl="1">
      <w:lvlJc w:val="left"/>
      <w:lvlText w:val="(%2)"/>
      <w:numFmt w:val="lowerLetter"/>
      <w:start w:val="1"/>
    </w:lvl>
  </w:abstractNum>
  <w:abstractNum w:abstractNumId="300">
    <w:nsid w:val="6ECE91F0"/>
    <w:multiLevelType w:val="hybridMultilevel"/>
    <w:lvl w:ilvl="0">
      <w:lvlJc w:val="left"/>
      <w:lvlText w:val="(%1)"/>
      <w:numFmt w:val="lowerLetter"/>
      <w:start w:val="2"/>
    </w:lvl>
  </w:abstractNum>
  <w:abstractNum w:abstractNumId="301">
    <w:nsid w:val="4FC4D600"/>
    <w:multiLevelType w:val="hybridMultilevel"/>
    <w:lvl w:ilvl="0">
      <w:lvlJc w:val="left"/>
      <w:lvlText w:val="(%1)"/>
      <w:numFmt w:val="lowerLetter"/>
      <w:start w:val="3"/>
    </w:lvl>
  </w:abstractNum>
  <w:abstractNum w:abstractNumId="302">
    <w:nsid w:val="5BFD4210"/>
    <w:multiLevelType w:val="hybridMultilevel"/>
    <w:lvl w:ilvl="0">
      <w:lvlJc w:val="left"/>
      <w:lvlText w:val="(%1)"/>
      <w:numFmt w:val="lowerRoman"/>
      <w:start w:val="1"/>
    </w:lvl>
  </w:abstractNum>
  <w:abstractNum w:abstractNumId="303">
    <w:nsid w:val="76574F8B"/>
    <w:multiLevelType w:val="hybridMultilevel"/>
    <w:lvl w:ilvl="0">
      <w:lvlJc w:val="left"/>
      <w:lvlText w:val="%1"/>
      <w:numFmt w:val="decimal"/>
      <w:start w:val="1"/>
    </w:lvl>
    <w:lvl w:ilvl="1">
      <w:lvlJc w:val="left"/>
      <w:lvlText w:val="(%2)"/>
      <w:numFmt w:val="lowerLetter"/>
      <w:start w:val="4"/>
    </w:lvl>
  </w:abstractNum>
  <w:abstractNum w:abstractNumId="304">
    <w:nsid w:val="178F7B67"/>
    <w:multiLevelType w:val="hybridMultilevel"/>
    <w:lvl w:ilvl="0">
      <w:lvlJc w:val="left"/>
      <w:lvlText w:val="%1."/>
      <w:numFmt w:val="decimal"/>
      <w:start w:val="6"/>
    </w:lvl>
    <w:lvl w:ilvl="1">
      <w:lvlJc w:val="left"/>
      <w:lvlText w:val="%2"/>
      <w:numFmt w:val="lowerLetter"/>
      <w:start w:val="1"/>
    </w:lvl>
  </w:abstractNum>
  <w:abstractNum w:abstractNumId="305">
    <w:nsid w:val="2421DFCF"/>
    <w:multiLevelType w:val="hybridMultilevel"/>
    <w:lvl w:ilvl="0">
      <w:lvlJc w:val="left"/>
      <w:lvlText w:val="%1."/>
      <w:numFmt w:val="decimal"/>
      <w:start w:val="9"/>
    </w:lvl>
    <w:lvl w:ilvl="1">
      <w:lvlJc w:val="left"/>
      <w:lvlText w:val="(%2)"/>
      <w:numFmt w:val="lowerLetter"/>
      <w:start w:val="1"/>
    </w:lvl>
  </w:abstractNum>
  <w:abstractNum w:abstractNumId="306">
    <w:nsid w:val="1565AC9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307">
    <w:nsid w:val="19FB2650"/>
    <w:multiLevelType w:val="hybridMultilevel"/>
    <w:lvl w:ilvl="0">
      <w:lvlJc w:val="left"/>
      <w:lvlText w:val="(%1)"/>
      <w:numFmt w:val="lowerRoman"/>
      <w:start w:val="4"/>
    </w:lvl>
  </w:abstractNum>
  <w:abstractNum w:abstractNumId="308">
    <w:nsid w:val="5024DE5B"/>
    <w:multiLevelType w:val="hybridMultilevel"/>
    <w:lvl w:ilvl="0">
      <w:lvlJc w:val="left"/>
      <w:lvlText w:val="(%1)"/>
      <w:numFmt w:val="lowerRoman"/>
      <w:start w:val="6"/>
    </w:lvl>
  </w:abstractNum>
  <w:abstractNum w:abstractNumId="309">
    <w:nsid w:val="168EFE17"/>
    <w:multiLevelType w:val="hybridMultilevel"/>
    <w:lvl w:ilvl="0">
      <w:lvlJc w:val="left"/>
      <w:lvlText w:val="(%1)"/>
      <w:numFmt w:val="lowerLetter"/>
      <w:start w:val="3"/>
    </w:lvl>
  </w:abstractNum>
  <w:abstractNum w:abstractNumId="310">
    <w:nsid w:val="1036B29F"/>
    <w:multiLevelType w:val="hybridMultilevel"/>
    <w:lvl w:ilvl="0">
      <w:lvlJc w:val="left"/>
      <w:lvlText w:val="(%1)"/>
      <w:numFmt w:val="lowerRoman"/>
      <w:start w:val="1"/>
    </w:lvl>
  </w:abstractNum>
  <w:abstractNum w:abstractNumId="311">
    <w:nsid w:val="1D206B8E"/>
    <w:multiLevelType w:val="hybridMultilevel"/>
    <w:lvl w:ilvl="0">
      <w:lvlJc w:val="left"/>
      <w:lvlText w:val="(%1)"/>
      <w:numFmt w:val="lowerLetter"/>
      <w:start w:val="9"/>
    </w:lvl>
  </w:abstractNum>
  <w:abstractNum w:abstractNumId="312">
    <w:nsid w:val="7934D3D4"/>
    <w:multiLevelType w:val="hybridMultilevel"/>
    <w:lvl w:ilvl="0">
      <w:lvlJc w:val="left"/>
      <w:lvlText w:val="(%1)"/>
      <w:numFmt w:val="lowerLetter"/>
      <w:start w:val="1"/>
    </w:lvl>
  </w:abstractNum>
  <w:abstractNum w:abstractNumId="313">
    <w:nsid w:val="1C65E98"/>
    <w:multiLevelType w:val="hybridMultilevel"/>
    <w:lvl w:ilvl="0">
      <w:lvlJc w:val="left"/>
      <w:lvlText w:val="(%1)"/>
      <w:numFmt w:val="lowerLetter"/>
      <w:start w:val="3"/>
    </w:lvl>
  </w:abstractNum>
  <w:abstractNum w:abstractNumId="314">
    <w:nsid w:val="1495E50A"/>
    <w:multiLevelType w:val="hybridMultilevel"/>
    <w:lvl w:ilvl="0">
      <w:lvlJc w:val="left"/>
      <w:lvlText w:val="(%1)"/>
      <w:numFmt w:val="lowerLetter"/>
      <w:start w:val="6"/>
    </w:lvl>
  </w:abstractNum>
  <w:abstractNum w:abstractNumId="315">
    <w:nsid w:val="F5BCF61"/>
    <w:multiLevelType w:val="hybridMultilevel"/>
    <w:lvl w:ilvl="0">
      <w:lvlJc w:val="left"/>
      <w:lvlText w:val="%1."/>
      <w:numFmt w:val="decimal"/>
      <w:start w:val="1"/>
    </w:lvl>
    <w:lvl w:ilvl="1">
      <w:lvlJc w:val="left"/>
      <w:lvlText w:val="(%2)"/>
      <w:numFmt w:val="lowerLetter"/>
      <w:start w:val="1"/>
    </w:lvl>
  </w:abstractNum>
  <w:abstractNum w:abstractNumId="316">
    <w:nsid w:val="3B1DD403"/>
    <w:multiLevelType w:val="hybridMultilevel"/>
    <w:lvl w:ilvl="0">
      <w:lvlJc w:val="left"/>
      <w:lvlText w:val="%1."/>
      <w:numFmt w:val="decimal"/>
      <w:start w:val="3"/>
    </w:lvl>
    <w:lvl w:ilvl="1">
      <w:lvlJc w:val="left"/>
      <w:lvlText w:val="(%2)"/>
      <w:numFmt w:val="lowerLetter"/>
      <w:start w:val="1"/>
    </w:lvl>
  </w:abstractNum>
  <w:abstractNum w:abstractNumId="317">
    <w:nsid w:val="530386D1"/>
    <w:multiLevelType w:val="hybridMultilevel"/>
    <w:lvl w:ilvl="0">
      <w:lvlJc w:val="left"/>
      <w:lvlText w:val="(%1)"/>
      <w:numFmt w:val="lowerLetter"/>
      <w:start w:val="2"/>
    </w:lvl>
  </w:abstractNum>
  <w:abstractNum w:abstractNumId="318">
    <w:nsid w:val="7525F2BC"/>
    <w:multiLevelType w:val="hybridMultilevel"/>
    <w:lvl w:ilvl="0">
      <w:lvlJc w:val="left"/>
      <w:lvlText w:val="(%1)"/>
      <w:numFmt w:val="lowerLetter"/>
      <w:start w:val="3"/>
    </w:lvl>
  </w:abstractNum>
  <w:abstractNum w:abstractNumId="319">
    <w:nsid w:val="CE8E1A7"/>
    <w:multiLevelType w:val="hybridMultilevel"/>
    <w:lvl w:ilvl="0">
      <w:lvlJc w:val="left"/>
      <w:lvlText w:val="%1"/>
      <w:numFmt w:val="decimal"/>
      <w:start w:val="1"/>
    </w:lvl>
    <w:lvl w:ilvl="1">
      <w:lvlJc w:val="left"/>
      <w:lvlText w:val="(%2)"/>
      <w:numFmt w:val="lowerLetter"/>
      <w:start w:val="4"/>
    </w:lvl>
  </w:abstractNum>
  <w:abstractNum w:abstractNumId="320">
    <w:nsid w:val="4E9EFB0D"/>
    <w:multiLevelType w:val="hybridMultilevel"/>
    <w:lvl w:ilvl="0">
      <w:lvlJc w:val="left"/>
      <w:lvlText w:val="%1."/>
      <w:numFmt w:val="decimal"/>
      <w:start w:val="6"/>
    </w:lvl>
    <w:lvl w:ilvl="1">
      <w:lvlJc w:val="left"/>
      <w:lvlText w:val="%2"/>
      <w:numFmt w:val="lowerLetter"/>
      <w:start w:val="1"/>
    </w:lvl>
  </w:abstractNum>
  <w:abstractNum w:abstractNumId="321">
    <w:nsid w:val="90802BE"/>
    <w:multiLevelType w:val="hybridMultilevel"/>
    <w:lvl w:ilvl="0">
      <w:lvlJc w:val="left"/>
      <w:lvlText w:val="%1."/>
      <w:numFmt w:val="decimal"/>
      <w:start w:val="9"/>
    </w:lvl>
    <w:lvl w:ilvl="1">
      <w:lvlJc w:val="left"/>
      <w:lvlText w:val="(%2)"/>
      <w:numFmt w:val="lowerLetter"/>
      <w:start w:val="1"/>
    </w:lvl>
  </w:abstractNum>
  <w:abstractNum w:abstractNumId="322">
    <w:nsid w:val="3266459B"/>
    <w:multiLevelType w:val="hybridMultilevel"/>
    <w:lvl w:ilvl="0">
      <w:lvlJc w:val="left"/>
      <w:lvlText w:val="(%1)"/>
      <w:numFmt w:val="lowerLetter"/>
      <w:start w:val="1"/>
    </w:lvl>
    <w:lvl w:ilvl="1">
      <w:lvlJc w:val="left"/>
      <w:lvlText w:val="(%2)"/>
      <w:numFmt w:val="lowerRoman"/>
      <w:start w:val="1"/>
    </w:lvl>
  </w:abstractNum>
  <w:abstractNum w:abstractNumId="323">
    <w:nsid w:val="3F8B0CBF"/>
    <w:multiLevelType w:val="hybridMultilevel"/>
    <w:lvl w:ilvl="0">
      <w:lvlJc w:val="left"/>
      <w:lvlText w:val="(%1)"/>
      <w:numFmt w:val="lowerRoman"/>
      <w:start w:val="3"/>
    </w:lvl>
  </w:abstractNum>
  <w:abstractNum w:abstractNumId="324">
    <w:nsid w:val="37E203AB"/>
    <w:multiLevelType w:val="hybridMultilevel"/>
    <w:lvl w:ilvl="0">
      <w:lvlJc w:val="left"/>
      <w:lvlText w:val="(%1)"/>
      <w:numFmt w:val="lowerRoman"/>
      <w:start w:val="4"/>
    </w:lvl>
  </w:abstractNum>
  <w:abstractNum w:abstractNumId="325">
    <w:nsid w:val="2586D60E"/>
    <w:multiLevelType w:val="hybridMultilevel"/>
    <w:lvl w:ilvl="0">
      <w:lvlJc w:val="left"/>
      <w:lvlText w:val="(%1)"/>
      <w:numFmt w:val="lowerLetter"/>
      <w:start w:val="3"/>
    </w:lvl>
  </w:abstractNum>
  <w:abstractNum w:abstractNumId="326">
    <w:nsid w:val="1F3DA4D5"/>
    <w:multiLevelType w:val="hybridMultilevel"/>
    <w:lvl w:ilvl="0">
      <w:lvlJc w:val="left"/>
      <w:lvlText w:val="(%1)"/>
      <w:numFmt w:val="lowerLetter"/>
      <w:start w:val="7"/>
    </w:lvl>
    <w:lvl w:ilvl="1">
      <w:lvlJc w:val="left"/>
      <w:lvlText w:val="(%2)"/>
      <w:numFmt w:val="lowerRoman"/>
      <w:start w:val="1"/>
    </w:lvl>
  </w:abstractNum>
  <w:abstractNum w:abstractNumId="327">
    <w:nsid w:val="74C93698"/>
    <w:multiLevelType w:val="hybridMultilevel"/>
    <w:lvl w:ilvl="0">
      <w:lvlJc w:val="left"/>
      <w:lvlText w:val="(%1)"/>
      <w:numFmt w:val="lowerLetter"/>
      <w:start w:val="9"/>
    </w:lvl>
  </w:abstractNum>
  <w:abstractNum w:abstractNumId="328">
    <w:nsid w:val="48781401"/>
    <w:multiLevelType w:val="hybridMultilevel"/>
    <w:lvl w:ilvl="0">
      <w:lvlJc w:val="left"/>
      <w:lvlText w:val="(%1)"/>
      <w:numFmt w:val="lowerLetter"/>
      <w:start w:val="1"/>
    </w:lvl>
  </w:abstractNum>
  <w:abstractNum w:abstractNumId="329">
    <w:nsid w:val="186928D6"/>
    <w:multiLevelType w:val="hybridMultilevel"/>
    <w:lvl w:ilvl="0">
      <w:lvlJc w:val="left"/>
      <w:lvlText w:val="(%1)"/>
      <w:numFmt w:val="lowerLetter"/>
      <w:start w:val="35"/>
    </w:lvl>
    <w:lvl w:ilvl="1">
      <w:lvlJc w:val="left"/>
      <w:lvlText w:val="(%2)"/>
      <w:numFmt w:val="lowerLetter"/>
      <w:start w:val="6"/>
    </w:lvl>
  </w:abstractNum>
  <w:abstractNum w:abstractNumId="330">
    <w:nsid w:val="47195E5"/>
    <w:multiLevelType w:val="hybridMultilevel"/>
    <w:lvl w:ilvl="0">
      <w:lvlJc w:val="left"/>
      <w:lvlText w:val="(%1)"/>
      <w:numFmt w:val="lowerLetter"/>
      <w:start w:val="8"/>
    </w:lvl>
  </w:abstractNum>
  <w:abstractNum w:abstractNumId="331">
    <w:nsid w:val="3746A5F2"/>
    <w:multiLevelType w:val="hybridMultilevel"/>
    <w:lvl w:ilvl="0">
      <w:lvlJc w:val="left"/>
      <w:lvlText w:val="%1."/>
      <w:numFmt w:val="decimal"/>
      <w:start w:val="1"/>
    </w:lvl>
    <w:lvl w:ilvl="1">
      <w:lvlJc w:val="left"/>
      <w:lvlText w:val="(%2)"/>
      <w:numFmt w:val="lowerLetter"/>
      <w:start w:val="1"/>
    </w:lvl>
  </w:abstractNum>
  <w:abstractNum w:abstractNumId="332">
    <w:nsid w:val="682DFED6"/>
    <w:multiLevelType w:val="hybridMultilevel"/>
    <w:lvl w:ilvl="0">
      <w:lvlJc w:val="left"/>
      <w:lvlText w:val="%1."/>
      <w:numFmt w:val="decimal"/>
      <w:start w:val="3"/>
    </w:lvl>
    <w:lvl w:ilvl="1">
      <w:lvlJc w:val="left"/>
      <w:lvlText w:val="(%2)"/>
      <w:numFmt w:val="lowerLetter"/>
      <w:start w:val="1"/>
    </w:lvl>
  </w:abstractNum>
  <w:abstractNum w:abstractNumId="333">
    <w:nsid w:val="606ED7F6"/>
    <w:multiLevelType w:val="hybridMultilevel"/>
    <w:lvl w:ilvl="0">
      <w:lvlJc w:val="left"/>
      <w:lvlText w:val="(%1)"/>
      <w:numFmt w:val="lowerLetter"/>
      <w:start w:val="2"/>
    </w:lvl>
  </w:abstractNum>
  <w:abstractNum w:abstractNumId="334">
    <w:nsid w:val="2D9DF57D"/>
    <w:multiLevelType w:val="hybridMultilevel"/>
    <w:lvl w:ilvl="0">
      <w:lvlJc w:val="left"/>
      <w:lvlText w:val="(%1)"/>
      <w:numFmt w:val="lowerLetter"/>
      <w:start w:val="3"/>
    </w:lvl>
  </w:abstractNum>
  <w:abstractNum w:abstractNumId="335">
    <w:nsid w:val="7FBD7A3E"/>
    <w:multiLevelType w:val="hybridMultilevel"/>
    <w:lvl w:ilvl="0">
      <w:lvlJc w:val="left"/>
      <w:lvlText w:val="%1"/>
      <w:numFmt w:val="decimal"/>
      <w:start w:val="1"/>
    </w:lvl>
    <w:lvl w:ilvl="1">
      <w:lvlJc w:val="left"/>
      <w:lvlText w:val="(%2)"/>
      <w:numFmt w:val="lowerLetter"/>
      <w:start w:val="4"/>
    </w:lvl>
  </w:abstractNum>
  <w:abstractNum w:abstractNumId="336">
    <w:nsid w:val="490B7C5"/>
    <w:multiLevelType w:val="hybridMultilevel"/>
    <w:lvl w:ilvl="0">
      <w:lvlJc w:val="left"/>
      <w:lvlText w:val="%1."/>
      <w:numFmt w:val="decimal"/>
      <w:start w:val="6"/>
    </w:lvl>
    <w:lvl w:ilvl="1">
      <w:lvlJc w:val="left"/>
      <w:lvlText w:val="%2"/>
      <w:numFmt w:val="lowerLetter"/>
      <w:start w:val="1"/>
    </w:lvl>
  </w:abstractNum>
  <w:abstractNum w:abstractNumId="337">
    <w:nsid w:val="4303A216"/>
    <w:multiLevelType w:val="hybridMultilevel"/>
    <w:lvl w:ilvl="0">
      <w:lvlJc w:val="left"/>
      <w:lvlText w:val="%1."/>
      <w:numFmt w:val="decimal"/>
      <w:start w:val="9"/>
    </w:lvl>
    <w:lvl w:ilvl="1">
      <w:lvlJc w:val="left"/>
      <w:lvlText w:val="(%2)"/>
      <w:numFmt w:val="lowerLetter"/>
      <w:start w:val="1"/>
    </w:lvl>
  </w:abstractNum>
  <w:abstractNum w:abstractNumId="338">
    <w:nsid w:val="19B8A08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339">
    <w:nsid w:val="54B59621"/>
    <w:multiLevelType w:val="hybridMultilevel"/>
    <w:lvl w:ilvl="0">
      <w:lvlJc w:val="left"/>
      <w:lvlText w:val="(%1)"/>
      <w:numFmt w:val="lowerRoman"/>
      <w:start w:val="4"/>
    </w:lvl>
  </w:abstractNum>
  <w:abstractNum w:abstractNumId="340">
    <w:nsid w:val="5992A02E"/>
    <w:multiLevelType w:val="hybridMultilevel"/>
    <w:lvl w:ilvl="0">
      <w:lvlJc w:val="left"/>
      <w:lvlText w:val="(%1)"/>
      <w:numFmt w:val="lowerLetter"/>
      <w:start w:val="3"/>
    </w:lvl>
  </w:abstractNum>
  <w:abstractNum w:abstractNumId="341">
    <w:nsid w:val="29EF532D"/>
    <w:multiLevelType w:val="hybridMultilevel"/>
    <w:lvl w:ilvl="0">
      <w:lvlJc w:val="left"/>
      <w:lvlText w:val="(%1)"/>
      <w:numFmt w:val="lowerLetter"/>
      <w:start w:val="7"/>
    </w:lvl>
    <w:lvl w:ilvl="1">
      <w:lvlJc w:val="left"/>
      <w:lvlText w:val="(%2)"/>
      <w:numFmt w:val="lowerRoman"/>
      <w:start w:val="1"/>
    </w:lvl>
  </w:abstractNum>
  <w:abstractNum w:abstractNumId="342">
    <w:nsid w:val="71D601AF"/>
    <w:multiLevelType w:val="hybridMultilevel"/>
    <w:lvl w:ilvl="0">
      <w:lvlJc w:val="left"/>
      <w:lvlText w:val="(%1)"/>
      <w:numFmt w:val="lowerLetter"/>
      <w:start w:val="9"/>
    </w:lvl>
  </w:abstractNum>
  <w:abstractNum w:abstractNumId="343">
    <w:nsid w:val="52C77402"/>
    <w:multiLevelType w:val="hybridMultilevel"/>
    <w:lvl w:ilvl="0">
      <w:lvlJc w:val="left"/>
      <w:lvlText w:val="(%1)"/>
      <w:numFmt w:val="lowerLetter"/>
      <w:start w:val="1"/>
    </w:lvl>
  </w:abstractNum>
  <w:abstractNum w:abstractNumId="344">
    <w:nsid w:val="2BB5B1C6"/>
    <w:multiLevelType w:val="hybridMultilevel"/>
    <w:lvl w:ilvl="0">
      <w:lvlJc w:val="left"/>
      <w:lvlText w:val="(%1)"/>
      <w:numFmt w:val="lowerLetter"/>
      <w:start w:val="35"/>
    </w:lvl>
    <w:lvl w:ilvl="1">
      <w:lvlJc w:val="left"/>
      <w:lvlText w:val="(%2)"/>
      <w:numFmt w:val="lowerLetter"/>
      <w:start w:val="6"/>
    </w:lvl>
  </w:abstractNum>
  <w:abstractNum w:abstractNumId="345">
    <w:nsid w:val="66BE6B9"/>
    <w:multiLevelType w:val="hybridMultilevel"/>
    <w:lvl w:ilvl="0">
      <w:lvlJc w:val="left"/>
      <w:lvlText w:val="(%1)"/>
      <w:numFmt w:val="lowerLetter"/>
      <w:start w:val="8"/>
    </w:lvl>
  </w:abstractNum>
  <w:abstractNum w:abstractNumId="346">
    <w:nsid w:val="62234363"/>
    <w:multiLevelType w:val="hybridMultilevel"/>
    <w:lvl w:ilvl="0">
      <w:lvlJc w:val="left"/>
      <w:lvlText w:val="%1."/>
      <w:numFmt w:val="decimal"/>
      <w:start w:val="1"/>
    </w:lvl>
    <w:lvl w:ilvl="1">
      <w:lvlJc w:val="left"/>
      <w:lvlText w:val="(%2)"/>
      <w:numFmt w:val="lowerLetter"/>
      <w:start w:val="1"/>
    </w:lvl>
  </w:abstractNum>
  <w:abstractNum w:abstractNumId="347">
    <w:nsid w:val="66D385C9"/>
    <w:multiLevelType w:val="hybridMultilevel"/>
    <w:lvl w:ilvl="0">
      <w:lvlJc w:val="left"/>
      <w:lvlText w:val="%1."/>
      <w:numFmt w:val="decimal"/>
      <w:start w:val="1"/>
    </w:lvl>
    <w:lvl w:ilvl="1">
      <w:lvlJc w:val="left"/>
      <w:lvlText w:val="(%2)"/>
      <w:numFmt w:val="lowerLetter"/>
      <w:start w:val="1"/>
    </w:lvl>
  </w:abstractNum>
  <w:abstractNum w:abstractNumId="348">
    <w:nsid w:val="596F6D8A"/>
    <w:multiLevelType w:val="hybridMultilevel"/>
    <w:lvl w:ilvl="0">
      <w:lvlJc w:val="left"/>
      <w:lvlText w:val="(%1)"/>
      <w:numFmt w:val="decimal"/>
      <w:start w:val="1"/>
    </w:lvl>
  </w:abstractNum>
  <w:abstractNum w:abstractNumId="349">
    <w:nsid w:val="5749361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2025-11-10T15:49:21Z</dcterms:created>
  <dcterms:modified xsi:type="dcterms:W3CDTF">2025-11-10T15:49:21Z</dcterms:modified>
</cp:coreProperties>
</file>