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705485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113030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73"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80645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9"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5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quarterly period ended March 31, 2024</w:t>
      </w:r>
    </w:p>
    <w:p>
      <w:pPr>
        <w:spacing w:after="0" w:line="29"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0" w:lineRule="exact"/>
        <w:rPr>
          <w:sz w:val="24"/>
          <w:szCs w:val="24"/>
          <w:color w:val="auto"/>
        </w:rPr>
      </w:pPr>
    </w:p>
    <w:p>
      <w:pPr>
        <w:ind w:left="360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3759835</wp:posOffset>
            </wp:positionH>
            <wp:positionV relativeFrom="paragraph">
              <wp:posOffset>-10795</wp:posOffset>
            </wp:positionV>
            <wp:extent cx="456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6565" cy="8255"/>
                    </a:xfrm>
                    <a:prstGeom prst="rect">
                      <a:avLst/>
                    </a:prstGeom>
                    <a:noFill/>
                  </pic:spPr>
                </pic:pic>
              </a:graphicData>
            </a:graphic>
          </wp:anchor>
        </w:drawing>
      </w:r>
    </w:p>
    <w:p>
      <w:pPr>
        <w:spacing w:after="0" w:line="1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001-40430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123190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0" w:lineRule="exact"/>
        <w:rPr>
          <w:sz w:val="24"/>
          <w:szCs w:val="24"/>
          <w:color w:val="auto"/>
        </w:rPr>
      </w:pPr>
    </w:p>
    <w:p>
      <w:pPr>
        <w:jc w:val="center"/>
        <w:ind w:right="120"/>
        <w:spacing w:after="0"/>
        <w:rPr>
          <w:sz w:val="20"/>
          <w:szCs w:val="20"/>
          <w:color w:val="auto"/>
        </w:rPr>
      </w:pPr>
      <w:r>
        <w:rPr>
          <w:rFonts w:ascii="Arial" w:cs="Arial" w:eastAsia="Arial" w:hAnsi="Arial"/>
          <w:sz w:val="41"/>
          <w:szCs w:val="41"/>
          <w:b w:val="1"/>
          <w:bCs w:val="1"/>
          <w:color w:val="auto"/>
        </w:rPr>
        <w:t>FLYWIRE CORPORATION</w:t>
      </w:r>
    </w:p>
    <w:p>
      <w:pPr>
        <w:spacing w:after="0" w:line="4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113030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87"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4480" w:type="dxa"/>
            <w:vAlign w:val="bottom"/>
            <w:gridSpan w:val="3"/>
          </w:tcPr>
          <w:p>
            <w:pPr>
              <w:jc w:val="center"/>
              <w:ind w:left="1042"/>
              <w:spacing w:after="0"/>
              <w:rPr>
                <w:sz w:val="20"/>
                <w:szCs w:val="20"/>
                <w:color w:val="auto"/>
              </w:rPr>
            </w:pPr>
            <w:r>
              <w:rPr>
                <w:rFonts w:ascii="Arial" w:cs="Arial" w:eastAsia="Arial" w:hAnsi="Arial"/>
                <w:sz w:val="16"/>
                <w:szCs w:val="16"/>
                <w:b w:val="1"/>
                <w:bCs w:val="1"/>
                <w:color w:val="auto"/>
              </w:rPr>
              <w:t>Delaware</w:t>
            </w:r>
          </w:p>
        </w:tc>
        <w:tc>
          <w:tcPr>
            <w:tcW w:w="2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0" w:type="dxa"/>
            <w:vAlign w:val="bottom"/>
          </w:tcPr>
          <w:p>
            <w:pPr>
              <w:jc w:val="right"/>
              <w:ind w:right="2284"/>
              <w:spacing w:after="0"/>
              <w:rPr>
                <w:sz w:val="20"/>
                <w:szCs w:val="20"/>
                <w:color w:val="auto"/>
              </w:rPr>
            </w:pPr>
            <w:r>
              <w:rPr>
                <w:rFonts w:ascii="Arial" w:cs="Arial" w:eastAsia="Arial" w:hAnsi="Arial"/>
                <w:sz w:val="16"/>
                <w:szCs w:val="16"/>
                <w:b w:val="1"/>
                <w:bCs w:val="1"/>
                <w:color w:val="auto"/>
              </w:rPr>
              <w:t>27-0690799</w:t>
            </w:r>
          </w:p>
        </w:tc>
        <w:tc>
          <w:tcPr>
            <w:tcW w:w="0" w:type="dxa"/>
            <w:vAlign w:val="bottom"/>
          </w:tcPr>
          <w:p>
            <w:pPr>
              <w:spacing w:after="0"/>
              <w:rPr>
                <w:sz w:val="1"/>
                <w:szCs w:val="1"/>
                <w:color w:val="auto"/>
              </w:rPr>
            </w:pPr>
          </w:p>
        </w:tc>
      </w:tr>
      <w:tr>
        <w:trPr>
          <w:trHeight w:val="162"/>
        </w:trPr>
        <w:tc>
          <w:tcPr>
            <w:tcW w:w="4480" w:type="dxa"/>
            <w:vAlign w:val="bottom"/>
            <w:gridSpan w:val="3"/>
          </w:tcPr>
          <w:p>
            <w:pPr>
              <w:jc w:val="center"/>
              <w:ind w:left="1042"/>
              <w:spacing w:after="0"/>
              <w:rPr>
                <w:sz w:val="20"/>
                <w:szCs w:val="20"/>
                <w:color w:val="auto"/>
              </w:rPr>
            </w:pPr>
            <w:r>
              <w:rPr>
                <w:rFonts w:ascii="Arial" w:cs="Arial" w:eastAsia="Arial" w:hAnsi="Arial"/>
                <w:sz w:val="14"/>
                <w:szCs w:val="14"/>
                <w:b w:val="1"/>
                <w:bCs w:val="1"/>
                <w:color w:val="auto"/>
              </w:rPr>
              <w:t>(State or other jurisdiction of</w:t>
            </w:r>
          </w:p>
        </w:tc>
        <w:tc>
          <w:tcPr>
            <w:tcW w:w="2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0" w:type="dxa"/>
            <w:vAlign w:val="bottom"/>
          </w:tcPr>
          <w:p>
            <w:pPr>
              <w:jc w:val="center"/>
              <w:ind w:right="2104"/>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4480" w:type="dxa"/>
            <w:vAlign w:val="bottom"/>
            <w:gridSpan w:val="3"/>
          </w:tcPr>
          <w:p>
            <w:pPr>
              <w:jc w:val="center"/>
              <w:ind w:left="1042"/>
              <w:spacing w:after="0"/>
              <w:rPr>
                <w:sz w:val="20"/>
                <w:szCs w:val="20"/>
                <w:color w:val="auto"/>
              </w:rPr>
            </w:pPr>
            <w:r>
              <w:rPr>
                <w:rFonts w:ascii="Arial" w:cs="Arial" w:eastAsia="Arial" w:hAnsi="Arial"/>
                <w:sz w:val="14"/>
                <w:szCs w:val="14"/>
                <w:b w:val="1"/>
                <w:bCs w:val="1"/>
                <w:color w:val="auto"/>
              </w:rPr>
              <w:t>incorporation or organization)</w:t>
            </w:r>
          </w:p>
        </w:tc>
        <w:tc>
          <w:tcPr>
            <w:tcW w:w="2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tcPr>
          <w:p>
            <w:pPr>
              <w:jc w:val="center"/>
              <w:ind w:right="2104"/>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406"/>
        </w:trPr>
        <w:tc>
          <w:tcPr>
            <w:tcW w:w="4480" w:type="dxa"/>
            <w:vAlign w:val="bottom"/>
            <w:gridSpan w:val="3"/>
          </w:tcPr>
          <w:p>
            <w:pPr>
              <w:jc w:val="center"/>
              <w:ind w:left="1042"/>
              <w:spacing w:after="0"/>
              <w:rPr>
                <w:sz w:val="20"/>
                <w:szCs w:val="20"/>
                <w:color w:val="auto"/>
              </w:rPr>
            </w:pPr>
            <w:r>
              <w:rPr>
                <w:rFonts w:ascii="Arial" w:cs="Arial" w:eastAsia="Arial" w:hAnsi="Arial"/>
                <w:sz w:val="16"/>
                <w:szCs w:val="16"/>
                <w:b w:val="1"/>
                <w:bCs w:val="1"/>
                <w:color w:val="auto"/>
              </w:rPr>
              <w:t>141 Tremont St #10</w:t>
            </w: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80" w:type="dxa"/>
            <w:vAlign w:val="bottom"/>
            <w:gridSpan w:val="3"/>
          </w:tcPr>
          <w:p>
            <w:pPr>
              <w:jc w:val="center"/>
              <w:ind w:left="1042"/>
              <w:spacing w:after="0"/>
              <w:rPr>
                <w:sz w:val="20"/>
                <w:szCs w:val="20"/>
                <w:color w:val="auto"/>
              </w:rPr>
            </w:pPr>
            <w:r>
              <w:rPr>
                <w:rFonts w:ascii="Arial" w:cs="Arial" w:eastAsia="Arial" w:hAnsi="Arial"/>
                <w:sz w:val="16"/>
                <w:szCs w:val="16"/>
                <w:b w:val="1"/>
                <w:bCs w:val="1"/>
                <w:color w:val="auto"/>
                <w:w w:val="98"/>
              </w:rPr>
              <w:t>Boston, MA</w:t>
            </w:r>
          </w:p>
        </w:tc>
        <w:tc>
          <w:tcPr>
            <w:tcW w:w="2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0" w:type="dxa"/>
            <w:vAlign w:val="bottom"/>
          </w:tcPr>
          <w:p>
            <w:pPr>
              <w:jc w:val="right"/>
              <w:ind w:right="2484"/>
              <w:spacing w:after="0"/>
              <w:rPr>
                <w:sz w:val="20"/>
                <w:szCs w:val="20"/>
                <w:color w:val="auto"/>
              </w:rPr>
            </w:pPr>
            <w:r>
              <w:rPr>
                <w:rFonts w:ascii="Arial" w:cs="Arial" w:eastAsia="Arial" w:hAnsi="Arial"/>
                <w:sz w:val="16"/>
                <w:szCs w:val="16"/>
                <w:b w:val="1"/>
                <w:bCs w:val="1"/>
                <w:color w:val="auto"/>
              </w:rPr>
              <w:t>02111</w:t>
            </w:r>
          </w:p>
        </w:tc>
        <w:tc>
          <w:tcPr>
            <w:tcW w:w="0" w:type="dxa"/>
            <w:vAlign w:val="bottom"/>
          </w:tcPr>
          <w:p>
            <w:pPr>
              <w:spacing w:after="0"/>
              <w:rPr>
                <w:sz w:val="1"/>
                <w:szCs w:val="1"/>
                <w:color w:val="auto"/>
              </w:rPr>
            </w:pPr>
          </w:p>
        </w:tc>
      </w:tr>
      <w:tr>
        <w:trPr>
          <w:trHeight w:val="196"/>
        </w:trPr>
        <w:tc>
          <w:tcPr>
            <w:tcW w:w="4480" w:type="dxa"/>
            <w:vAlign w:val="bottom"/>
            <w:gridSpan w:val="3"/>
          </w:tcPr>
          <w:p>
            <w:pPr>
              <w:jc w:val="center"/>
              <w:ind w:left="1042"/>
              <w:spacing w:after="0"/>
              <w:rPr>
                <w:sz w:val="20"/>
                <w:szCs w:val="20"/>
                <w:color w:val="auto"/>
              </w:rPr>
            </w:pPr>
            <w:r>
              <w:rPr>
                <w:rFonts w:ascii="Arial" w:cs="Arial" w:eastAsia="Arial" w:hAnsi="Arial"/>
                <w:sz w:val="14"/>
                <w:szCs w:val="14"/>
                <w:b w:val="1"/>
                <w:bCs w:val="1"/>
                <w:color w:val="auto"/>
              </w:rPr>
              <w:t>(Address of principal executive offices)</w:t>
            </w:r>
          </w:p>
        </w:tc>
        <w:tc>
          <w:tcPr>
            <w:tcW w:w="2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tcPr>
          <w:p>
            <w:pPr>
              <w:jc w:val="center"/>
              <w:ind w:right="2084"/>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305"/>
        </w:trPr>
        <w:tc>
          <w:tcPr>
            <w:tcW w:w="11200" w:type="dxa"/>
            <w:vAlign w:val="bottom"/>
            <w:gridSpan w:val="8"/>
          </w:tcPr>
          <w:p>
            <w:pPr>
              <w:jc w:val="center"/>
              <w:spacing w:after="0"/>
              <w:rPr>
                <w:sz w:val="20"/>
                <w:szCs w:val="20"/>
                <w:color w:val="auto"/>
              </w:rPr>
            </w:pPr>
            <w:r>
              <w:rPr>
                <w:rFonts w:ascii="Arial" w:cs="Arial" w:eastAsia="Arial" w:hAnsi="Arial"/>
                <w:sz w:val="16"/>
                <w:szCs w:val="16"/>
                <w:b w:val="1"/>
                <w:bCs w:val="1"/>
                <w:color w:val="auto"/>
              </w:rPr>
              <w:t>Registrant’s telephone number, including area code: (617) 329-4524</w:t>
            </w: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800" w:type="dxa"/>
            <w:vAlign w:val="bottom"/>
            <w:gridSpan w:val="7"/>
          </w:tcPr>
          <w:p>
            <w:pPr>
              <w:jc w:val="center"/>
              <w:ind w:left="3282"/>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2"/>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0" w:type="dxa"/>
            <w:vAlign w:val="bottom"/>
            <w:vMerge w:val="restart"/>
          </w:tcPr>
          <w:p>
            <w:pPr>
              <w:spacing w:after="0"/>
              <w:rPr>
                <w:sz w:val="24"/>
                <w:szCs w:val="24"/>
                <w:color w:val="auto"/>
              </w:rPr>
            </w:pPr>
          </w:p>
        </w:tc>
        <w:tc>
          <w:tcPr>
            <w:tcW w:w="600" w:type="dxa"/>
            <w:vAlign w:val="bottom"/>
            <w:vMerge w:val="restart"/>
          </w:tcPr>
          <w:p>
            <w:pPr>
              <w:spacing w:after="0"/>
              <w:rPr>
                <w:sz w:val="24"/>
                <w:szCs w:val="24"/>
                <w:color w:val="auto"/>
              </w:rPr>
            </w:pPr>
          </w:p>
        </w:tc>
        <w:tc>
          <w:tcPr>
            <w:tcW w:w="3320" w:type="dxa"/>
            <w:vAlign w:val="bottom"/>
            <w:gridSpan w:val="4"/>
          </w:tcPr>
          <w:p>
            <w:pPr>
              <w:ind w:left="920"/>
              <w:spacing w:after="0"/>
              <w:rPr>
                <w:sz w:val="20"/>
                <w:szCs w:val="20"/>
                <w:color w:val="auto"/>
              </w:rPr>
            </w:pPr>
            <w:r>
              <w:rPr>
                <w:rFonts w:ascii="Arial" w:cs="Arial" w:eastAsia="Arial" w:hAnsi="Arial"/>
                <w:sz w:val="14"/>
                <w:szCs w:val="14"/>
                <w:b w:val="1"/>
                <w:bCs w:val="1"/>
                <w:color w:val="auto"/>
              </w:rPr>
              <w:t>Trading</w:t>
            </w:r>
          </w:p>
        </w:tc>
        <w:tc>
          <w:tcPr>
            <w:tcW w:w="3400" w:type="dxa"/>
            <w:vAlign w:val="bottom"/>
          </w:tcPr>
          <w:p>
            <w:pPr>
              <w:jc w:val="center"/>
              <w:ind w:right="104"/>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78"/>
        </w:trPr>
        <w:tc>
          <w:tcPr>
            <w:tcW w:w="37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300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Symbol(s)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377"/>
        </w:trPr>
        <w:tc>
          <w:tcPr>
            <w:tcW w:w="4480" w:type="dxa"/>
            <w:vAlign w:val="bottom"/>
            <w:gridSpan w:val="3"/>
          </w:tcPr>
          <w:p>
            <w:pPr>
              <w:ind w:left="140"/>
              <w:spacing w:after="0"/>
              <w:rPr>
                <w:sz w:val="20"/>
                <w:szCs w:val="20"/>
                <w:color w:val="auto"/>
              </w:rPr>
            </w:pPr>
            <w:r>
              <w:rPr>
                <w:rFonts w:ascii="Arial" w:cs="Arial" w:eastAsia="Arial" w:hAnsi="Arial"/>
                <w:sz w:val="16"/>
                <w:szCs w:val="16"/>
                <w:b w:val="1"/>
                <w:bCs w:val="1"/>
                <w:color w:val="auto"/>
              </w:rPr>
              <w:t>Voting common stock, $0.0001 par value per</w:t>
            </w:r>
          </w:p>
        </w:tc>
        <w:tc>
          <w:tcPr>
            <w:tcW w:w="3320" w:type="dxa"/>
            <w:vAlign w:val="bottom"/>
            <w:gridSpan w:val="4"/>
          </w:tcPr>
          <w:p>
            <w:pPr>
              <w:ind w:left="900"/>
              <w:spacing w:after="0"/>
              <w:rPr>
                <w:sz w:val="20"/>
                <w:szCs w:val="20"/>
                <w:color w:val="auto"/>
              </w:rPr>
            </w:pPr>
            <w:r>
              <w:rPr>
                <w:rFonts w:ascii="Arial" w:cs="Arial" w:eastAsia="Arial" w:hAnsi="Arial"/>
                <w:sz w:val="16"/>
                <w:szCs w:val="16"/>
                <w:b w:val="1"/>
                <w:bCs w:val="1"/>
                <w:color w:val="auto"/>
              </w:rPr>
              <w:t>FLYW</w:t>
            </w:r>
          </w:p>
        </w:tc>
        <w:tc>
          <w:tcPr>
            <w:tcW w:w="3400" w:type="dxa"/>
            <w:vAlign w:val="bottom"/>
          </w:tcPr>
          <w:p>
            <w:pPr>
              <w:ind w:left="380"/>
              <w:spacing w:after="0"/>
              <w:rPr>
                <w:sz w:val="20"/>
                <w:szCs w:val="20"/>
                <w:color w:val="auto"/>
              </w:rPr>
            </w:pPr>
            <w:r>
              <w:rPr>
                <w:rFonts w:ascii="Arial" w:cs="Arial" w:eastAsia="Arial" w:hAnsi="Arial"/>
                <w:sz w:val="16"/>
                <w:szCs w:val="16"/>
                <w:b w:val="1"/>
                <w:bCs w:val="1"/>
                <w:color w:val="auto"/>
              </w:rPr>
              <w:t>The Nasdaq Stock Market LLC</w:t>
            </w:r>
          </w:p>
        </w:tc>
        <w:tc>
          <w:tcPr>
            <w:tcW w:w="0" w:type="dxa"/>
            <w:vAlign w:val="bottom"/>
          </w:tcPr>
          <w:p>
            <w:pPr>
              <w:spacing w:after="0"/>
              <w:rPr>
                <w:sz w:val="1"/>
                <w:szCs w:val="1"/>
                <w:color w:val="auto"/>
              </w:rPr>
            </w:pPr>
          </w:p>
        </w:tc>
      </w:tr>
      <w:tr>
        <w:trPr>
          <w:trHeight w:val="222"/>
        </w:trPr>
        <w:tc>
          <w:tcPr>
            <w:tcW w:w="448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rPr>
              <w:t>share</w:t>
            </w:r>
          </w:p>
        </w:tc>
        <w:tc>
          <w:tcPr>
            <w:tcW w:w="2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0" w:type="dxa"/>
            <w:vAlign w:val="bottom"/>
          </w:tcPr>
          <w:p>
            <w:pPr>
              <w:ind w:left="380"/>
              <w:spacing w:after="0"/>
              <w:rPr>
                <w:sz w:val="20"/>
                <w:szCs w:val="20"/>
                <w:color w:val="auto"/>
              </w:rPr>
            </w:pPr>
            <w:r>
              <w:rPr>
                <w:rFonts w:ascii="Arial" w:cs="Arial" w:eastAsia="Arial" w:hAnsi="Arial"/>
                <w:sz w:val="16"/>
                <w:szCs w:val="16"/>
                <w:b w:val="1"/>
                <w:bCs w:val="1"/>
                <w:color w:val="auto"/>
              </w:rPr>
              <w:t>(Nasdaq Global Select Market)</w:t>
            </w:r>
          </w:p>
        </w:tc>
        <w:tc>
          <w:tcPr>
            <w:tcW w:w="0" w:type="dxa"/>
            <w:vAlign w:val="bottom"/>
          </w:tcPr>
          <w:p>
            <w:pPr>
              <w:spacing w:after="0"/>
              <w:rPr>
                <w:sz w:val="1"/>
                <w:szCs w:val="1"/>
                <w:color w:val="auto"/>
              </w:rPr>
            </w:pPr>
          </w:p>
        </w:tc>
      </w:tr>
    </w:tbl>
    <w:p>
      <w:pPr>
        <w:spacing w:after="0" w:line="61" w:lineRule="exact"/>
        <w:rPr>
          <w:sz w:val="24"/>
          <w:szCs w:val="24"/>
          <w:color w:val="auto"/>
        </w:rPr>
      </w:pPr>
    </w:p>
    <w:p>
      <w:pPr>
        <w:ind w:right="140" w:firstLine="509"/>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60" w:firstLine="509"/>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firstLine="509"/>
        <w:spacing w:after="0" w:line="26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18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22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1820" w:type="dxa"/>
            <w:vAlign w:val="bottom"/>
          </w:tcPr>
          <w:p>
            <w:pPr>
              <w:spacing w:after="0"/>
              <w:rPr>
                <w:sz w:val="20"/>
                <w:szCs w:val="20"/>
                <w:color w:val="auto"/>
              </w:rPr>
            </w:pPr>
            <w:r>
              <w:rPr>
                <w:rFonts w:ascii="Arial" w:cs="Arial" w:eastAsia="Arial" w:hAnsi="Arial"/>
                <w:sz w:val="16"/>
                <w:szCs w:val="16"/>
                <w:color w:val="auto"/>
              </w:rPr>
              <w:t>Non-accelerated filer</w:t>
            </w:r>
          </w:p>
        </w:tc>
        <w:tc>
          <w:tcPr>
            <w:tcW w:w="36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220"/>
              <w:spacing w:after="0"/>
              <w:rPr>
                <w:sz w:val="20"/>
                <w:szCs w:val="20"/>
                <w:color w:val="auto"/>
              </w:rPr>
            </w:pPr>
            <w:r>
              <w:rPr>
                <w:rFonts w:ascii="Arial" w:cs="Arial" w:eastAsia="Arial" w:hAnsi="Arial"/>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5320" w:type="dxa"/>
            <w:vAlign w:val="bottom"/>
          </w:tcPr>
          <w:p>
            <w:pPr>
              <w:ind w:left="3220"/>
              <w:spacing w:after="0"/>
              <w:rPr>
                <w:sz w:val="20"/>
                <w:szCs w:val="20"/>
                <w:color w:val="auto"/>
              </w:rPr>
            </w:pPr>
            <w:r>
              <w:rPr>
                <w:rFonts w:ascii="Arial" w:cs="Arial" w:eastAsia="Arial" w:hAnsi="Arial"/>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jc w:val="both"/>
        <w:ind w:right="160" w:firstLine="50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20"/>
        <w:spacing w:after="0" w:line="184" w:lineRule="exact"/>
        <w:tabs>
          <w:tab w:leader="none" w:pos="93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5" w:lineRule="exact"/>
        <w:rPr>
          <w:sz w:val="24"/>
          <w:szCs w:val="24"/>
          <w:color w:val="auto"/>
        </w:rPr>
      </w:pPr>
    </w:p>
    <w:p>
      <w:pPr>
        <w:ind w:right="20" w:firstLine="509"/>
        <w:spacing w:after="0" w:line="285" w:lineRule="auto"/>
        <w:rPr>
          <w:sz w:val="20"/>
          <w:szCs w:val="20"/>
          <w:color w:val="auto"/>
        </w:rPr>
      </w:pPr>
      <w:r>
        <w:rPr>
          <w:rFonts w:ascii="Arial" w:cs="Arial" w:eastAsia="Arial" w:hAnsi="Arial"/>
          <w:sz w:val="16"/>
          <w:szCs w:val="16"/>
          <w:color w:val="auto"/>
        </w:rPr>
        <w:t>As of May 3, 2024, the registrant had 122,327,674 shares of voting common stock, $0.0001 par value per share, outstanding and 1,873,320 shares of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00" w:type="dxa"/>
            <w:vAlign w:val="bottom"/>
            <w:gridSpan w:val="11"/>
          </w:tcPr>
          <w:p>
            <w:pPr>
              <w:ind w:left="3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80" w:type="dxa"/>
            <w:vAlign w:val="bottom"/>
            <w:gridSpan w:val="32"/>
            <w:vMerge w:val="restart"/>
          </w:tcPr>
          <w:p>
            <w:pPr>
              <w:spacing w:after="0"/>
              <w:rPr>
                <w:sz w:val="20"/>
                <w:szCs w:val="20"/>
                <w:color w:val="auto"/>
              </w:rPr>
            </w:pPr>
            <w:r>
              <w:rPr>
                <w:rFonts w:ascii="Arial" w:cs="Arial" w:eastAsia="Arial" w:hAnsi="Arial"/>
                <w:sz w:val="18"/>
                <w:szCs w:val="18"/>
                <w:color w:val="0000FF"/>
              </w:rPr>
              <w:t>Special Note Regarding Forward-Looking Statements</w:t>
            </w: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80" w:type="dxa"/>
            <w:vAlign w:val="bottom"/>
            <w:gridSpan w:val="32"/>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1160" w:type="dxa"/>
            <w:vAlign w:val="bottom"/>
            <w:gridSpan w:val="6"/>
          </w:tcPr>
          <w:p>
            <w:pPr>
              <w:spacing w:after="0"/>
              <w:rPr>
                <w:sz w:val="20"/>
                <w:szCs w:val="20"/>
                <w:color w:val="auto"/>
              </w:rPr>
            </w:pPr>
            <w:r>
              <w:rPr>
                <w:rFonts w:ascii="Arial" w:cs="Arial" w:eastAsia="Arial" w:hAnsi="Arial"/>
                <w:sz w:val="18"/>
                <w:szCs w:val="18"/>
                <w:b w:val="1"/>
                <w:bCs w:val="1"/>
                <w:color w:val="0000FF"/>
              </w:rPr>
              <w:t>PART I</w:t>
            </w:r>
            <w:r>
              <w:rPr>
                <w:rFonts w:ascii="Arial" w:cs="Arial" w:eastAsia="Arial" w:hAnsi="Arial"/>
                <w:sz w:val="18"/>
                <w:szCs w:val="18"/>
                <w:b w:val="1"/>
                <w:bCs w:val="1"/>
                <w:color w:val="000000"/>
              </w:rPr>
              <w:t>.</w:t>
            </w:r>
          </w:p>
        </w:tc>
        <w:tc>
          <w:tcPr>
            <w:tcW w:w="9280" w:type="dxa"/>
            <w:vAlign w:val="bottom"/>
            <w:gridSpan w:val="32"/>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0000FF"/>
                <w:w w:val="87"/>
              </w:rPr>
              <w:t>Item 1.</w:t>
            </w:r>
          </w:p>
        </w:tc>
        <w:tc>
          <w:tcPr>
            <w:tcW w:w="80" w:type="dxa"/>
            <w:vAlign w:val="bottom"/>
          </w:tcPr>
          <w:p>
            <w:pPr>
              <w:spacing w:after="0"/>
              <w:rPr>
                <w:sz w:val="17"/>
                <w:szCs w:val="17"/>
                <w:color w:val="auto"/>
              </w:rPr>
            </w:pPr>
          </w:p>
        </w:tc>
        <w:tc>
          <w:tcPr>
            <w:tcW w:w="560" w:type="dxa"/>
            <w:vAlign w:val="bottom"/>
            <w:gridSpan w:val="4"/>
          </w:tcPr>
          <w:p>
            <w:pPr>
              <w:spacing w:after="0"/>
              <w:rPr>
                <w:sz w:val="17"/>
                <w:szCs w:val="17"/>
                <w:color w:val="auto"/>
              </w:rPr>
            </w:pPr>
          </w:p>
        </w:tc>
        <w:tc>
          <w:tcPr>
            <w:tcW w:w="9280" w:type="dxa"/>
            <w:vAlign w:val="bottom"/>
            <w:gridSpan w:val="32"/>
          </w:tcPr>
          <w:p>
            <w:pPr>
              <w:spacing w:after="0" w:line="195" w:lineRule="exact"/>
              <w:rPr>
                <w:sz w:val="20"/>
                <w:szCs w:val="20"/>
                <w:color w:val="auto"/>
              </w:rPr>
            </w:pPr>
            <w:r>
              <w:rPr>
                <w:rFonts w:ascii="Arial" w:cs="Arial" w:eastAsia="Arial" w:hAnsi="Arial"/>
                <w:sz w:val="18"/>
                <w:szCs w:val="18"/>
                <w:color w:val="0000FF"/>
              </w:rPr>
              <w:t>Financial Statements (Unaudited)</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80" w:type="dxa"/>
            <w:vAlign w:val="bottom"/>
            <w:gridSpan w:val="32"/>
          </w:tcPr>
          <w:p>
            <w:pPr>
              <w:spacing w:after="0" w:line="195" w:lineRule="exact"/>
              <w:rPr>
                <w:sz w:val="20"/>
                <w:szCs w:val="20"/>
                <w:color w:val="auto"/>
              </w:rPr>
            </w:pPr>
            <w:r>
              <w:rPr>
                <w:rFonts w:ascii="Arial" w:cs="Arial" w:eastAsia="Arial" w:hAnsi="Arial"/>
                <w:sz w:val="18"/>
                <w:szCs w:val="18"/>
                <w:color w:val="0000FF"/>
              </w:rPr>
              <w:t>Condensed Consolidated Balance Sheets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80" w:type="dxa"/>
            <w:vAlign w:val="bottom"/>
            <w:gridSpan w:val="32"/>
          </w:tcPr>
          <w:p>
            <w:pPr>
              <w:spacing w:after="0" w:line="195" w:lineRule="exact"/>
              <w:rPr>
                <w:sz w:val="20"/>
                <w:szCs w:val="20"/>
                <w:color w:val="auto"/>
              </w:rPr>
            </w:pPr>
            <w:r>
              <w:rPr>
                <w:rFonts w:ascii="Arial" w:cs="Arial" w:eastAsia="Arial" w:hAnsi="Arial"/>
                <w:sz w:val="18"/>
                <w:szCs w:val="18"/>
                <w:color w:val="0000FF"/>
              </w:rPr>
              <w:t>Condensed Consolidated Statements of Operations and Comprehensive Loss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80" w:type="dxa"/>
            <w:vAlign w:val="bottom"/>
            <w:gridSpan w:val="32"/>
          </w:tcPr>
          <w:p>
            <w:pPr>
              <w:spacing w:after="0" w:line="195" w:lineRule="exact"/>
              <w:rPr>
                <w:sz w:val="20"/>
                <w:szCs w:val="20"/>
                <w:color w:val="auto"/>
              </w:rPr>
            </w:pPr>
            <w:r>
              <w:rPr>
                <w:rFonts w:ascii="Arial" w:cs="Arial" w:eastAsia="Arial" w:hAnsi="Arial"/>
                <w:sz w:val="18"/>
                <w:szCs w:val="18"/>
                <w:color w:val="0000FF"/>
              </w:rPr>
              <w:t>Condensed Consolidated Statements of Stockholders’ Equity</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80" w:type="dxa"/>
            <w:vAlign w:val="bottom"/>
            <w:gridSpan w:val="32"/>
          </w:tcPr>
          <w:p>
            <w:pPr>
              <w:spacing w:after="0" w:line="195" w:lineRule="exact"/>
              <w:rPr>
                <w:sz w:val="20"/>
                <w:szCs w:val="20"/>
                <w:color w:val="auto"/>
              </w:rPr>
            </w:pPr>
            <w:r>
              <w:rPr>
                <w:rFonts w:ascii="Arial" w:cs="Arial" w:eastAsia="Arial" w:hAnsi="Arial"/>
                <w:sz w:val="18"/>
                <w:szCs w:val="18"/>
                <w:color w:val="0000FF"/>
              </w:rPr>
              <w:t>Condensed Consolidated Statements of Cash Flows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80" w:type="dxa"/>
            <w:vAlign w:val="bottom"/>
            <w:gridSpan w:val="32"/>
          </w:tcPr>
          <w:p>
            <w:pPr>
              <w:spacing w:after="0" w:line="195" w:lineRule="exact"/>
              <w:rPr>
                <w:sz w:val="20"/>
                <w:szCs w:val="20"/>
                <w:color w:val="auto"/>
              </w:rPr>
            </w:pPr>
            <w:r>
              <w:rPr>
                <w:rFonts w:ascii="Arial" w:cs="Arial" w:eastAsia="Arial" w:hAnsi="Arial"/>
                <w:sz w:val="18"/>
                <w:szCs w:val="18"/>
                <w:color w:val="0000FF"/>
              </w:rPr>
              <w:t>Notes to Condensed Consolidated Financial Statements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20" w:type="dxa"/>
            <w:vAlign w:val="bottom"/>
            <w:gridSpan w:val="30"/>
          </w:tcPr>
          <w:p>
            <w:pPr>
              <w:spacing w:after="0" w:line="195" w:lineRule="exact"/>
              <w:rPr>
                <w:sz w:val="20"/>
                <w:szCs w:val="20"/>
                <w:color w:val="auto"/>
              </w:rPr>
            </w:pPr>
            <w:r>
              <w:rPr>
                <w:rFonts w:ascii="Arial" w:cs="Arial" w:eastAsia="Arial" w:hAnsi="Arial"/>
                <w:sz w:val="18"/>
                <w:szCs w:val="18"/>
                <w:color w:val="0000FF"/>
              </w:rPr>
              <w:t>Note 1. Business Overview and Summary of Significant Accounting Policies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60" w:type="dxa"/>
            <w:vAlign w:val="bottom"/>
            <w:tcBorders>
              <w:top w:val="single" w:sz="8" w:color="0000FF"/>
              <w:bottom w:val="single" w:sz="8" w:color="0000FF"/>
            </w:tcBorders>
            <w:gridSpan w:val="16"/>
          </w:tcPr>
          <w:p>
            <w:pPr>
              <w:spacing w:after="0" w:line="195" w:lineRule="exact"/>
              <w:rPr>
                <w:sz w:val="20"/>
                <w:szCs w:val="20"/>
                <w:color w:val="auto"/>
              </w:rPr>
            </w:pPr>
            <w:r>
              <w:rPr>
                <w:rFonts w:ascii="Arial" w:cs="Arial" w:eastAsia="Arial" w:hAnsi="Arial"/>
                <w:sz w:val="18"/>
                <w:szCs w:val="18"/>
                <w:color w:val="0000FF"/>
                <w:w w:val="97"/>
              </w:rPr>
              <w:t>Note 2. Revenue and Recognition</w:t>
            </w:r>
          </w:p>
        </w:tc>
        <w:tc>
          <w:tcPr>
            <w:tcW w:w="3300" w:type="dxa"/>
            <w:vAlign w:val="bottom"/>
            <w:tcBorders>
              <w:top w:val="single" w:sz="8" w:color="0000FF"/>
            </w:tcBorders>
            <w:gridSpan w:val="12"/>
          </w:tcPr>
          <w:p>
            <w:pPr>
              <w:spacing w:after="0"/>
              <w:rPr>
                <w:sz w:val="17"/>
                <w:szCs w:val="17"/>
                <w:color w:val="auto"/>
              </w:rPr>
            </w:pPr>
          </w:p>
        </w:tc>
        <w:tc>
          <w:tcPr>
            <w:tcW w:w="2860" w:type="dxa"/>
            <w:vAlign w:val="bottom"/>
            <w:gridSpan w:val="2"/>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20" w:type="dxa"/>
            <w:vAlign w:val="bottom"/>
            <w:gridSpan w:val="30"/>
          </w:tcPr>
          <w:p>
            <w:pPr>
              <w:spacing w:after="0" w:line="195" w:lineRule="exact"/>
              <w:rPr>
                <w:sz w:val="20"/>
                <w:szCs w:val="20"/>
                <w:color w:val="auto"/>
              </w:rPr>
            </w:pPr>
            <w:r>
              <w:rPr>
                <w:rFonts w:ascii="Arial" w:cs="Arial" w:eastAsia="Arial" w:hAnsi="Arial"/>
                <w:sz w:val="18"/>
                <w:szCs w:val="18"/>
                <w:color w:val="0000FF"/>
              </w:rPr>
              <w:t>Note 3. Fair Value Measurements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Borders>
              <w:top w:val="single" w:sz="8" w:color="0000FF"/>
              <w:bottom w:val="single" w:sz="8" w:color="0000FF"/>
            </w:tcBorders>
            <w:gridSpan w:val="12"/>
          </w:tcPr>
          <w:p>
            <w:pPr>
              <w:spacing w:after="0" w:line="195" w:lineRule="exact"/>
              <w:rPr>
                <w:sz w:val="20"/>
                <w:szCs w:val="20"/>
                <w:color w:val="auto"/>
              </w:rPr>
            </w:pPr>
            <w:r>
              <w:rPr>
                <w:rFonts w:ascii="Arial" w:cs="Arial" w:eastAsia="Arial" w:hAnsi="Arial"/>
                <w:sz w:val="18"/>
                <w:szCs w:val="18"/>
                <w:color w:val="0000FF"/>
                <w:w w:val="97"/>
              </w:rPr>
              <w:t>Note 4. Derivative Instruments</w:t>
            </w:r>
          </w:p>
        </w:tc>
        <w:tc>
          <w:tcPr>
            <w:tcW w:w="40" w:type="dxa"/>
            <w:vAlign w:val="bottom"/>
            <w:tcBorders>
              <w:top w:val="single" w:sz="8" w:color="0000FF"/>
              <w:bottom w:val="single" w:sz="8" w:color="0000EE"/>
            </w:tcBorders>
          </w:tcPr>
          <w:p>
            <w:pPr>
              <w:spacing w:after="0"/>
              <w:rPr>
                <w:sz w:val="17"/>
                <w:szCs w:val="17"/>
                <w:color w:val="auto"/>
              </w:rPr>
            </w:pPr>
          </w:p>
        </w:tc>
        <w:tc>
          <w:tcPr>
            <w:tcW w:w="200" w:type="dxa"/>
            <w:vAlign w:val="bottom"/>
            <w:tcBorders>
              <w:top w:val="single" w:sz="8" w:color="0000FF"/>
            </w:tcBorders>
            <w:gridSpan w:val="2"/>
          </w:tcPr>
          <w:p>
            <w:pPr>
              <w:spacing w:after="0"/>
              <w:rPr>
                <w:sz w:val="17"/>
                <w:szCs w:val="17"/>
                <w:color w:val="auto"/>
              </w:rPr>
            </w:pPr>
          </w:p>
        </w:tc>
        <w:tc>
          <w:tcPr>
            <w:tcW w:w="6200" w:type="dxa"/>
            <w:vAlign w:val="bottom"/>
            <w:gridSpan w:val="15"/>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60" w:type="dxa"/>
            <w:vAlign w:val="bottom"/>
            <w:tcBorders>
              <w:bottom w:val="single" w:sz="8" w:color="0000FF"/>
            </w:tcBorders>
            <w:gridSpan w:val="26"/>
          </w:tcPr>
          <w:p>
            <w:pPr>
              <w:spacing w:after="0" w:line="195" w:lineRule="exact"/>
              <w:rPr>
                <w:sz w:val="20"/>
                <w:szCs w:val="20"/>
                <w:color w:val="auto"/>
              </w:rPr>
            </w:pPr>
            <w:r>
              <w:rPr>
                <w:rFonts w:ascii="Arial" w:cs="Arial" w:eastAsia="Arial" w:hAnsi="Arial"/>
                <w:sz w:val="18"/>
                <w:szCs w:val="18"/>
                <w:color w:val="0000FF"/>
                <w:w w:val="97"/>
              </w:rPr>
              <w:t>Note 5. Accrued Expenses and Other Current Liabilities</w:t>
            </w:r>
          </w:p>
        </w:tc>
        <w:tc>
          <w:tcPr>
            <w:tcW w:w="4460" w:type="dxa"/>
            <w:vAlign w:val="bottom"/>
            <w:gridSpan w:val="4"/>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20" w:type="dxa"/>
            <w:vAlign w:val="bottom"/>
            <w:tcBorders>
              <w:bottom w:val="single" w:sz="8" w:color="0000EE"/>
            </w:tcBorders>
            <w:gridSpan w:val="19"/>
          </w:tcPr>
          <w:p>
            <w:pPr>
              <w:spacing w:after="0" w:line="195" w:lineRule="exact"/>
              <w:rPr>
                <w:sz w:val="20"/>
                <w:szCs w:val="20"/>
                <w:color w:val="auto"/>
              </w:rPr>
            </w:pPr>
            <w:r>
              <w:rPr>
                <w:rFonts w:ascii="Arial" w:cs="Arial" w:eastAsia="Arial" w:hAnsi="Arial"/>
                <w:sz w:val="18"/>
                <w:szCs w:val="18"/>
                <w:color w:val="0000FF"/>
                <w:w w:val="99"/>
              </w:rPr>
              <w:t>Note 6. Property and Equipment, net</w:t>
            </w:r>
          </w:p>
        </w:tc>
        <w:tc>
          <w:tcPr>
            <w:tcW w:w="5900" w:type="dxa"/>
            <w:vAlign w:val="bottom"/>
            <w:gridSpan w:val="11"/>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20" w:type="dxa"/>
            <w:vAlign w:val="bottom"/>
            <w:gridSpan w:val="30"/>
          </w:tcPr>
          <w:p>
            <w:pPr>
              <w:spacing w:after="0" w:line="195" w:lineRule="exact"/>
              <w:rPr>
                <w:sz w:val="20"/>
                <w:szCs w:val="20"/>
                <w:color w:val="auto"/>
              </w:rPr>
            </w:pPr>
            <w:r>
              <w:rPr>
                <w:rFonts w:ascii="Arial" w:cs="Arial" w:eastAsia="Arial" w:hAnsi="Arial"/>
                <w:sz w:val="18"/>
                <w:szCs w:val="18"/>
                <w:color w:val="0000FF"/>
              </w:rPr>
              <w:t>Note 7. Business Combinations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gridSpan w:val="3"/>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20" w:type="dxa"/>
            <w:vAlign w:val="bottom"/>
            <w:gridSpan w:val="30"/>
          </w:tcPr>
          <w:p>
            <w:pPr>
              <w:spacing w:after="0" w:line="195" w:lineRule="exact"/>
              <w:rPr>
                <w:sz w:val="20"/>
                <w:szCs w:val="20"/>
                <w:color w:val="auto"/>
              </w:rPr>
            </w:pPr>
            <w:r>
              <w:rPr>
                <w:rFonts w:ascii="Arial" w:cs="Arial" w:eastAsia="Arial" w:hAnsi="Arial"/>
                <w:sz w:val="18"/>
                <w:szCs w:val="18"/>
                <w:color w:val="0000FF"/>
              </w:rPr>
              <w:t>Note 8. Goodwill and Acquired Intangible Assets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Borders>
              <w:top w:val="single" w:sz="8" w:color="0000FF"/>
            </w:tcBorders>
            <w:gridSpan w:val="23"/>
          </w:tcPr>
          <w:p>
            <w:pPr>
              <w:spacing w:after="0" w:line="195" w:lineRule="exact"/>
              <w:rPr>
                <w:sz w:val="20"/>
                <w:szCs w:val="20"/>
                <w:color w:val="auto"/>
              </w:rPr>
            </w:pPr>
            <w:r>
              <w:rPr>
                <w:rFonts w:ascii="Arial" w:cs="Arial" w:eastAsia="Arial" w:hAnsi="Arial"/>
                <w:sz w:val="18"/>
                <w:szCs w:val="18"/>
                <w:color w:val="0000FF"/>
              </w:rPr>
              <w:t>Note 9. Debt</w:t>
            </w:r>
          </w:p>
        </w:tc>
        <w:tc>
          <w:tcPr>
            <w:tcW w:w="5020" w:type="dxa"/>
            <w:vAlign w:val="bottom"/>
            <w:gridSpan w:val="7"/>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0" w:type="dxa"/>
            <w:vAlign w:val="bottom"/>
            <w:tcBorders>
              <w:bottom w:val="single" w:sz="8" w:color="0000EE"/>
            </w:tcBorders>
            <w:gridSpan w:val="12"/>
          </w:tcPr>
          <w:p>
            <w:pPr>
              <w:spacing w:after="0" w:line="195" w:lineRule="exact"/>
              <w:rPr>
                <w:sz w:val="20"/>
                <w:szCs w:val="20"/>
                <w:color w:val="auto"/>
              </w:rPr>
            </w:pPr>
            <w:r>
              <w:rPr>
                <w:rFonts w:ascii="Arial" w:cs="Arial" w:eastAsia="Arial" w:hAnsi="Arial"/>
                <w:sz w:val="18"/>
                <w:szCs w:val="18"/>
                <w:color w:val="0000FF"/>
              </w:rPr>
              <w:t>Note 10. Stockholders’ Equity</w:t>
            </w:r>
          </w:p>
        </w:tc>
        <w:tc>
          <w:tcPr>
            <w:tcW w:w="6460" w:type="dxa"/>
            <w:vAlign w:val="bottom"/>
            <w:gridSpan w:val="19"/>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00" w:type="dxa"/>
            <w:vAlign w:val="bottom"/>
            <w:tcBorders>
              <w:bottom w:val="single" w:sz="8" w:color="0000FF"/>
            </w:tcBorders>
            <w:gridSpan w:val="18"/>
          </w:tcPr>
          <w:p>
            <w:pPr>
              <w:spacing w:after="0" w:line="195" w:lineRule="exact"/>
              <w:rPr>
                <w:sz w:val="20"/>
                <w:szCs w:val="20"/>
                <w:color w:val="auto"/>
              </w:rPr>
            </w:pPr>
            <w:r>
              <w:rPr>
                <w:rFonts w:ascii="Arial" w:cs="Arial" w:eastAsia="Arial" w:hAnsi="Arial"/>
                <w:sz w:val="18"/>
                <w:szCs w:val="18"/>
                <w:color w:val="0000FF"/>
                <w:w w:val="97"/>
              </w:rPr>
              <w:t>Note 11. Stock-Based Compensation</w:t>
            </w:r>
          </w:p>
        </w:tc>
        <w:tc>
          <w:tcPr>
            <w:tcW w:w="5920" w:type="dxa"/>
            <w:vAlign w:val="bottom"/>
            <w:gridSpan w:val="12"/>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tcBorders>
              <w:bottom w:val="single" w:sz="8" w:color="0000FF"/>
            </w:tcBorders>
            <w:gridSpan w:val="10"/>
          </w:tcPr>
          <w:p>
            <w:pPr>
              <w:spacing w:after="0" w:line="195" w:lineRule="exact"/>
              <w:rPr>
                <w:sz w:val="20"/>
                <w:szCs w:val="20"/>
                <w:color w:val="auto"/>
              </w:rPr>
            </w:pPr>
            <w:r>
              <w:rPr>
                <w:rFonts w:ascii="Arial" w:cs="Arial" w:eastAsia="Arial" w:hAnsi="Arial"/>
                <w:sz w:val="18"/>
                <w:szCs w:val="18"/>
                <w:color w:val="0000FF"/>
                <w:w w:val="97"/>
              </w:rPr>
              <w:t>Note 12. Net Loss per Share</w:t>
            </w:r>
          </w:p>
        </w:tc>
        <w:tc>
          <w:tcPr>
            <w:tcW w:w="6580" w:type="dxa"/>
            <w:vAlign w:val="bottom"/>
            <w:gridSpan w:val="20"/>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20" w:type="dxa"/>
            <w:vAlign w:val="bottom"/>
            <w:gridSpan w:val="30"/>
          </w:tcPr>
          <w:p>
            <w:pPr>
              <w:spacing w:after="0" w:line="195" w:lineRule="exact"/>
              <w:rPr>
                <w:sz w:val="20"/>
                <w:szCs w:val="20"/>
                <w:color w:val="auto"/>
              </w:rPr>
            </w:pPr>
            <w:r>
              <w:rPr>
                <w:rFonts w:ascii="Arial" w:cs="Arial" w:eastAsia="Arial" w:hAnsi="Arial"/>
                <w:sz w:val="18"/>
                <w:szCs w:val="18"/>
                <w:color w:val="0000FF"/>
              </w:rPr>
              <w:t>Note 13. Income Taxes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40" w:type="dxa"/>
            <w:vAlign w:val="bottom"/>
            <w:tcBorders>
              <w:bottom w:val="single" w:sz="8" w:color="0000FF"/>
            </w:tcBorders>
            <w:gridSpan w:val="20"/>
          </w:tcPr>
          <w:p>
            <w:pPr>
              <w:spacing w:after="0" w:line="195" w:lineRule="exact"/>
              <w:rPr>
                <w:sz w:val="20"/>
                <w:szCs w:val="20"/>
                <w:color w:val="auto"/>
              </w:rPr>
            </w:pPr>
            <w:r>
              <w:rPr>
                <w:rFonts w:ascii="Arial" w:cs="Arial" w:eastAsia="Arial" w:hAnsi="Arial"/>
                <w:sz w:val="18"/>
                <w:szCs w:val="18"/>
                <w:color w:val="0000FF"/>
                <w:w w:val="98"/>
              </w:rPr>
              <w:t>Note 14. Commitments and Contingencies</w:t>
            </w:r>
          </w:p>
        </w:tc>
        <w:tc>
          <w:tcPr>
            <w:tcW w:w="20" w:type="dxa"/>
            <w:vAlign w:val="bottom"/>
            <w:tcBorders>
              <w:bottom w:val="single" w:sz="8" w:color="0000EE"/>
            </w:tcBorders>
          </w:tcPr>
          <w:p>
            <w:pPr>
              <w:spacing w:after="0"/>
              <w:rPr>
                <w:sz w:val="17"/>
                <w:szCs w:val="17"/>
                <w:color w:val="auto"/>
              </w:rPr>
            </w:pPr>
          </w:p>
        </w:tc>
        <w:tc>
          <w:tcPr>
            <w:tcW w:w="5460" w:type="dxa"/>
            <w:vAlign w:val="bottom"/>
            <w:gridSpan w:val="9"/>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0000FF"/>
                <w:w w:val="87"/>
              </w:rPr>
              <w:t>Item 2.</w:t>
            </w:r>
          </w:p>
        </w:tc>
        <w:tc>
          <w:tcPr>
            <w:tcW w:w="640" w:type="dxa"/>
            <w:vAlign w:val="bottom"/>
            <w:gridSpan w:val="5"/>
          </w:tcPr>
          <w:p>
            <w:pPr>
              <w:spacing w:after="0"/>
              <w:rPr>
                <w:sz w:val="17"/>
                <w:szCs w:val="17"/>
                <w:color w:val="auto"/>
              </w:rPr>
            </w:pPr>
          </w:p>
        </w:tc>
        <w:tc>
          <w:tcPr>
            <w:tcW w:w="9280" w:type="dxa"/>
            <w:vAlign w:val="bottom"/>
            <w:gridSpan w:val="32"/>
          </w:tcPr>
          <w:p>
            <w:pPr>
              <w:spacing w:after="0" w:line="195"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160" w:type="dxa"/>
            <w:vAlign w:val="bottom"/>
            <w:gridSpan w:val="1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tcBorders>
              <w:left w:val="single" w:sz="8" w:color="0000FF"/>
            </w:tcBorders>
            <w:gridSpan w:val="3"/>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0000FF"/>
                <w:w w:val="87"/>
              </w:rPr>
              <w:t>Item 3.</w:t>
            </w:r>
          </w:p>
        </w:tc>
        <w:tc>
          <w:tcPr>
            <w:tcW w:w="640" w:type="dxa"/>
            <w:vAlign w:val="bottom"/>
            <w:gridSpan w:val="5"/>
          </w:tcPr>
          <w:p>
            <w:pPr>
              <w:spacing w:after="0"/>
              <w:rPr>
                <w:sz w:val="17"/>
                <w:szCs w:val="17"/>
                <w:color w:val="auto"/>
              </w:rPr>
            </w:pPr>
          </w:p>
        </w:tc>
        <w:tc>
          <w:tcPr>
            <w:tcW w:w="9280" w:type="dxa"/>
            <w:vAlign w:val="bottom"/>
            <w:gridSpan w:val="32"/>
          </w:tcPr>
          <w:p>
            <w:pPr>
              <w:spacing w:after="0" w:line="195" w:lineRule="exact"/>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160" w:type="dxa"/>
            <w:vAlign w:val="bottom"/>
            <w:gridSpan w:val="17"/>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0000FF"/>
                <w:w w:val="87"/>
              </w:rPr>
              <w:t>Item 4.</w:t>
            </w:r>
          </w:p>
        </w:tc>
        <w:tc>
          <w:tcPr>
            <w:tcW w:w="640" w:type="dxa"/>
            <w:vAlign w:val="bottom"/>
            <w:gridSpan w:val="5"/>
          </w:tcPr>
          <w:p>
            <w:pPr>
              <w:spacing w:after="0"/>
              <w:rPr>
                <w:sz w:val="17"/>
                <w:szCs w:val="17"/>
                <w:color w:val="auto"/>
              </w:rPr>
            </w:pPr>
          </w:p>
        </w:tc>
        <w:tc>
          <w:tcPr>
            <w:tcW w:w="9280" w:type="dxa"/>
            <w:vAlign w:val="bottom"/>
            <w:gridSpan w:val="32"/>
          </w:tcPr>
          <w:p>
            <w:pPr>
              <w:spacing w:after="0" w:line="195" w:lineRule="exact"/>
              <w:rPr>
                <w:sz w:val="20"/>
                <w:szCs w:val="20"/>
                <w:color w:val="auto"/>
              </w:rPr>
            </w:pPr>
            <w:r>
              <w:rPr>
                <w:rFonts w:ascii="Arial" w:cs="Arial" w:eastAsia="Arial" w:hAnsi="Arial"/>
                <w:sz w:val="18"/>
                <w:szCs w:val="18"/>
                <w:color w:val="0000FF"/>
              </w:rPr>
              <w:t>Controls and Procedures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2300" w:type="dxa"/>
            <w:vAlign w:val="bottom"/>
            <w:gridSpan w:val="18"/>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1160" w:type="dxa"/>
            <w:vAlign w:val="bottom"/>
            <w:gridSpan w:val="6"/>
          </w:tcPr>
          <w:p>
            <w:pPr>
              <w:spacing w:after="0"/>
              <w:rPr>
                <w:sz w:val="20"/>
                <w:szCs w:val="20"/>
                <w:color w:val="auto"/>
              </w:rPr>
            </w:pPr>
            <w:r>
              <w:rPr>
                <w:rFonts w:ascii="Arial" w:cs="Arial" w:eastAsia="Arial" w:hAnsi="Arial"/>
                <w:sz w:val="18"/>
                <w:szCs w:val="18"/>
                <w:color w:val="0000FF"/>
              </w:rPr>
              <w:t>PART II.</w:t>
            </w:r>
          </w:p>
        </w:tc>
        <w:tc>
          <w:tcPr>
            <w:tcW w:w="9280" w:type="dxa"/>
            <w:vAlign w:val="bottom"/>
            <w:gridSpan w:val="32"/>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18"/>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0000FF"/>
                <w:w w:val="87"/>
              </w:rPr>
              <w:t>Item 1.</w:t>
            </w:r>
          </w:p>
        </w:tc>
        <w:tc>
          <w:tcPr>
            <w:tcW w:w="140" w:type="dxa"/>
            <w:vAlign w:val="bottom"/>
            <w:gridSpan w:val="2"/>
          </w:tcPr>
          <w:p>
            <w:pPr>
              <w:spacing w:after="0"/>
              <w:rPr>
                <w:sz w:val="17"/>
                <w:szCs w:val="17"/>
                <w:color w:val="auto"/>
              </w:rPr>
            </w:pPr>
          </w:p>
        </w:tc>
        <w:tc>
          <w:tcPr>
            <w:tcW w:w="500" w:type="dxa"/>
            <w:vAlign w:val="bottom"/>
            <w:gridSpan w:val="3"/>
          </w:tcPr>
          <w:p>
            <w:pPr>
              <w:spacing w:after="0"/>
              <w:rPr>
                <w:sz w:val="17"/>
                <w:szCs w:val="17"/>
                <w:color w:val="auto"/>
              </w:rPr>
            </w:pPr>
          </w:p>
        </w:tc>
        <w:tc>
          <w:tcPr>
            <w:tcW w:w="9280" w:type="dxa"/>
            <w:vAlign w:val="bottom"/>
            <w:gridSpan w:val="32"/>
          </w:tcPr>
          <w:p>
            <w:pPr>
              <w:spacing w:after="0" w:line="195" w:lineRule="exact"/>
              <w:rPr>
                <w:sz w:val="20"/>
                <w:szCs w:val="20"/>
                <w:color w:val="auto"/>
              </w:rPr>
            </w:pPr>
            <w:r>
              <w:rPr>
                <w:rFonts w:ascii="Arial" w:cs="Arial" w:eastAsia="Arial" w:hAnsi="Arial"/>
                <w:sz w:val="18"/>
                <w:szCs w:val="18"/>
                <w:color w:val="0000FF"/>
              </w:rPr>
              <w:t>Legal Proceedings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EE"/>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18"/>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4"/>
          </w:tcPr>
          <w:p>
            <w:pPr>
              <w:spacing w:after="0" w:line="195" w:lineRule="exact"/>
              <w:rPr>
                <w:sz w:val="20"/>
                <w:szCs w:val="20"/>
                <w:color w:val="auto"/>
              </w:rPr>
            </w:pPr>
            <w:r>
              <w:rPr>
                <w:rFonts w:ascii="Arial" w:cs="Arial" w:eastAsia="Arial" w:hAnsi="Arial"/>
                <w:sz w:val="18"/>
                <w:szCs w:val="18"/>
                <w:color w:val="0000FF"/>
                <w:w w:val="98"/>
              </w:rPr>
              <w:t>Item 1A.</w:t>
            </w:r>
          </w:p>
        </w:tc>
        <w:tc>
          <w:tcPr>
            <w:tcW w:w="480" w:type="dxa"/>
            <w:vAlign w:val="bottom"/>
            <w:gridSpan w:val="2"/>
          </w:tcPr>
          <w:p>
            <w:pPr>
              <w:spacing w:after="0"/>
              <w:rPr>
                <w:sz w:val="17"/>
                <w:szCs w:val="17"/>
                <w:color w:val="auto"/>
              </w:rPr>
            </w:pPr>
          </w:p>
        </w:tc>
        <w:tc>
          <w:tcPr>
            <w:tcW w:w="9280" w:type="dxa"/>
            <w:vAlign w:val="bottom"/>
            <w:gridSpan w:val="32"/>
          </w:tcPr>
          <w:p>
            <w:pPr>
              <w:spacing w:after="0" w:line="195" w:lineRule="exact"/>
              <w:rPr>
                <w:sz w:val="20"/>
                <w:szCs w:val="20"/>
                <w:color w:val="auto"/>
              </w:rPr>
            </w:pPr>
            <w:r>
              <w:rPr>
                <w:rFonts w:ascii="Arial" w:cs="Arial" w:eastAsia="Arial" w:hAnsi="Arial"/>
                <w:sz w:val="18"/>
                <w:szCs w:val="18"/>
                <w:color w:val="0000FF"/>
              </w:rPr>
              <w:t>Risk Factors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18"/>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0000FF"/>
                <w:w w:val="87"/>
              </w:rPr>
              <w:t>Item 2.</w:t>
            </w:r>
          </w:p>
        </w:tc>
        <w:tc>
          <w:tcPr>
            <w:tcW w:w="160" w:type="dxa"/>
            <w:vAlign w:val="bottom"/>
            <w:gridSpan w:val="3"/>
          </w:tcPr>
          <w:p>
            <w:pPr>
              <w:spacing w:after="0"/>
              <w:rPr>
                <w:sz w:val="17"/>
                <w:szCs w:val="17"/>
                <w:color w:val="auto"/>
              </w:rPr>
            </w:pPr>
          </w:p>
        </w:tc>
        <w:tc>
          <w:tcPr>
            <w:tcW w:w="480" w:type="dxa"/>
            <w:vAlign w:val="bottom"/>
            <w:gridSpan w:val="2"/>
          </w:tcPr>
          <w:p>
            <w:pPr>
              <w:spacing w:after="0"/>
              <w:rPr>
                <w:sz w:val="17"/>
                <w:szCs w:val="17"/>
                <w:color w:val="auto"/>
              </w:rPr>
            </w:pPr>
          </w:p>
        </w:tc>
        <w:tc>
          <w:tcPr>
            <w:tcW w:w="9280" w:type="dxa"/>
            <w:vAlign w:val="bottom"/>
            <w:gridSpan w:val="32"/>
          </w:tcPr>
          <w:p>
            <w:pPr>
              <w:spacing w:after="0" w:line="195" w:lineRule="exact"/>
              <w:rPr>
                <w:sz w:val="20"/>
                <w:szCs w:val="20"/>
                <w:color w:val="auto"/>
              </w:rPr>
            </w:pPr>
            <w:r>
              <w:rPr>
                <w:rFonts w:ascii="Arial" w:cs="Arial" w:eastAsia="Arial" w:hAnsi="Arial"/>
                <w:sz w:val="18"/>
                <w:szCs w:val="18"/>
                <w:color w:val="0000FF"/>
              </w:rPr>
              <w:t>Unregistered Sales of Equity Securities and Use of Proceeds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EE"/>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300" w:type="dxa"/>
            <w:vAlign w:val="bottom"/>
            <w:gridSpan w:val="18"/>
            <w:shd w:val="clear" w:color="auto" w:fill="0000FF"/>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0000FF"/>
                <w:w w:val="87"/>
              </w:rPr>
              <w:t>Item 3.</w:t>
            </w:r>
          </w:p>
        </w:tc>
        <w:tc>
          <w:tcPr>
            <w:tcW w:w="640" w:type="dxa"/>
            <w:vAlign w:val="bottom"/>
            <w:gridSpan w:val="5"/>
          </w:tcPr>
          <w:p>
            <w:pPr>
              <w:spacing w:after="0"/>
              <w:rPr>
                <w:sz w:val="17"/>
                <w:szCs w:val="17"/>
                <w:color w:val="auto"/>
              </w:rPr>
            </w:pPr>
          </w:p>
        </w:tc>
        <w:tc>
          <w:tcPr>
            <w:tcW w:w="9280" w:type="dxa"/>
            <w:vAlign w:val="bottom"/>
            <w:gridSpan w:val="32"/>
          </w:tcPr>
          <w:p>
            <w:pPr>
              <w:spacing w:after="0" w:line="195" w:lineRule="exact"/>
              <w:rPr>
                <w:sz w:val="20"/>
                <w:szCs w:val="20"/>
                <w:color w:val="auto"/>
              </w:rPr>
            </w:pPr>
            <w:r>
              <w:rPr>
                <w:rFonts w:ascii="Arial" w:cs="Arial" w:eastAsia="Arial" w:hAnsi="Arial"/>
                <w:sz w:val="18"/>
                <w:szCs w:val="18"/>
                <w:color w:val="0000FF"/>
              </w:rPr>
              <w:t>Defaults Upon Senior Securities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EE"/>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760" w:type="dxa"/>
            <w:vAlign w:val="bottom"/>
            <w:gridSpan w:val="2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0000FF"/>
                <w:w w:val="87"/>
              </w:rPr>
              <w:t>Item 4.</w:t>
            </w:r>
          </w:p>
        </w:tc>
        <w:tc>
          <w:tcPr>
            <w:tcW w:w="640" w:type="dxa"/>
            <w:vAlign w:val="bottom"/>
            <w:gridSpan w:val="5"/>
          </w:tcPr>
          <w:p>
            <w:pPr>
              <w:spacing w:after="0"/>
              <w:rPr>
                <w:sz w:val="17"/>
                <w:szCs w:val="17"/>
                <w:color w:val="auto"/>
              </w:rPr>
            </w:pPr>
          </w:p>
        </w:tc>
        <w:tc>
          <w:tcPr>
            <w:tcW w:w="9280" w:type="dxa"/>
            <w:vAlign w:val="bottom"/>
            <w:gridSpan w:val="32"/>
          </w:tcPr>
          <w:p>
            <w:pPr>
              <w:spacing w:after="0" w:line="195" w:lineRule="exact"/>
              <w:rPr>
                <w:sz w:val="20"/>
                <w:szCs w:val="20"/>
                <w:color w:val="auto"/>
              </w:rPr>
            </w:pPr>
            <w:r>
              <w:rPr>
                <w:rFonts w:ascii="Arial" w:cs="Arial" w:eastAsia="Arial" w:hAnsi="Arial"/>
                <w:sz w:val="18"/>
                <w:szCs w:val="18"/>
                <w:color w:val="0000FF"/>
              </w:rPr>
              <w:t>Mine Safety Disclosures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EE"/>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7380" w:type="dxa"/>
            <w:vAlign w:val="bottom"/>
            <w:gridSpan w:val="25"/>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0000FF"/>
                <w:w w:val="87"/>
              </w:rPr>
              <w:t>Item 5.</w:t>
            </w:r>
          </w:p>
        </w:tc>
        <w:tc>
          <w:tcPr>
            <w:tcW w:w="640" w:type="dxa"/>
            <w:vAlign w:val="bottom"/>
            <w:gridSpan w:val="5"/>
          </w:tcPr>
          <w:p>
            <w:pPr>
              <w:spacing w:after="0"/>
              <w:rPr>
                <w:sz w:val="17"/>
                <w:szCs w:val="17"/>
                <w:color w:val="auto"/>
              </w:rPr>
            </w:pPr>
          </w:p>
        </w:tc>
        <w:tc>
          <w:tcPr>
            <w:tcW w:w="9280" w:type="dxa"/>
            <w:vAlign w:val="bottom"/>
            <w:gridSpan w:val="32"/>
          </w:tcPr>
          <w:p>
            <w:pPr>
              <w:spacing w:after="0" w:line="195" w:lineRule="exact"/>
              <w:rPr>
                <w:sz w:val="20"/>
                <w:szCs w:val="20"/>
                <w:color w:val="auto"/>
              </w:rPr>
            </w:pPr>
            <w:r>
              <w:rPr>
                <w:rFonts w:ascii="Arial" w:cs="Arial" w:eastAsia="Arial" w:hAnsi="Arial"/>
                <w:sz w:val="18"/>
                <w:szCs w:val="18"/>
                <w:color w:val="0000FF"/>
              </w:rPr>
              <w:t>Other Information</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900" w:type="dxa"/>
            <w:vAlign w:val="bottom"/>
            <w:gridSpan w:val="27"/>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0000FF"/>
                <w:w w:val="87"/>
              </w:rPr>
              <w:t>Item 6</w:t>
            </w:r>
            <w:r>
              <w:rPr>
                <w:rFonts w:ascii="Arial" w:cs="Arial" w:eastAsia="Arial" w:hAnsi="Arial"/>
                <w:sz w:val="18"/>
                <w:szCs w:val="18"/>
                <w:color w:val="000000"/>
                <w:w w:val="87"/>
              </w:rPr>
              <w:t>.</w:t>
            </w:r>
          </w:p>
        </w:tc>
        <w:tc>
          <w:tcPr>
            <w:tcW w:w="640" w:type="dxa"/>
            <w:vAlign w:val="bottom"/>
            <w:gridSpan w:val="5"/>
          </w:tcPr>
          <w:p>
            <w:pPr>
              <w:spacing w:after="0"/>
              <w:rPr>
                <w:sz w:val="17"/>
                <w:szCs w:val="17"/>
                <w:color w:val="auto"/>
              </w:rPr>
            </w:pPr>
          </w:p>
        </w:tc>
        <w:tc>
          <w:tcPr>
            <w:tcW w:w="9280" w:type="dxa"/>
            <w:vAlign w:val="bottom"/>
            <w:gridSpan w:val="32"/>
          </w:tcPr>
          <w:p>
            <w:pPr>
              <w:spacing w:after="0" w:line="195" w:lineRule="exact"/>
              <w:rPr>
                <w:sz w:val="20"/>
                <w:szCs w:val="20"/>
                <w:color w:val="auto"/>
              </w:rPr>
            </w:pPr>
            <w:r>
              <w:rPr>
                <w:rFonts w:ascii="Arial" w:cs="Arial" w:eastAsia="Arial" w:hAnsi="Arial"/>
                <w:sz w:val="18"/>
                <w:szCs w:val="18"/>
                <w:color w:val="0000FF"/>
              </w:rPr>
              <w:t>Exhibits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6"/>
          </w:tcPr>
          <w:p>
            <w:pPr>
              <w:spacing w:after="0" w:line="195" w:lineRule="exact"/>
              <w:rPr>
                <w:sz w:val="20"/>
                <w:szCs w:val="20"/>
                <w:color w:val="auto"/>
              </w:rPr>
            </w:pPr>
            <w:r>
              <w:rPr>
                <w:rFonts w:ascii="Arial" w:cs="Arial" w:eastAsia="Arial" w:hAnsi="Arial"/>
                <w:sz w:val="18"/>
                <w:szCs w:val="18"/>
                <w:color w:val="0000FF"/>
              </w:rPr>
              <w:t>Signatures</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0"/>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This Quarterly Report on Form 10-Q,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“could,” “would,” “project,” “target,” “plan,” “expect,” or the negative of these terms or other similar expressions. These forward-looking statements include, but are not limited to, statements concerning the following:</w:t>
      </w:r>
    </w:p>
    <w:p>
      <w:pPr>
        <w:spacing w:after="0" w:line="144" w:lineRule="exact"/>
        <w:rPr>
          <w:sz w:val="20"/>
          <w:szCs w:val="20"/>
          <w:color w:val="auto"/>
        </w:rPr>
      </w:pPr>
    </w:p>
    <w:p>
      <w:pPr>
        <w:ind w:left="1020" w:right="360" w:hanging="504"/>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w:t>
      </w:r>
    </w:p>
    <w:p>
      <w:pPr>
        <w:spacing w:after="0" w:line="12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plan and our ability to effectively manage our growth;</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cross-border expansion plans and ability to expand internationally;</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and ability to access, our cash and cash equivalents to meet our liquidity needs;</w:t>
      </w:r>
    </w:p>
    <w:p>
      <w:pPr>
        <w:spacing w:after="0" w:line="115" w:lineRule="exact"/>
        <w:rPr>
          <w:rFonts w:ascii="Times New Roman" w:cs="Times New Roman" w:eastAsia="Times New Roman" w:hAnsi="Times New Roman"/>
          <w:sz w:val="18"/>
          <w:szCs w:val="18"/>
          <w:color w:val="auto"/>
        </w:rPr>
      </w:pPr>
    </w:p>
    <w:p>
      <w:pPr>
        <w:ind w:left="1020" w:hanging="504"/>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economic, foreign currency exchange rate, inflation, banking, legal, social and health risks and public health measures that may affect our business or the global economy;</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beliefs and objectives for future operations;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and protect our brand;</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and grow the payment volume that we process;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further attract, retain, and expand our client base;</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new solutions and services and bring them to market in a timely manner;</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concerning relationships with third parties, including financial institutions and strategic partners;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future acquisitions or investments in complementary companies, products, services, or technologies;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enter new client verticals and sub-verticals, including our relatively new business-to-business (B2B) sector;</w:t>
      </w:r>
    </w:p>
    <w:p>
      <w:pPr>
        <w:spacing w:after="0" w:line="183" w:lineRule="exact"/>
        <w:rPr>
          <w:rFonts w:ascii="Times New Roman" w:cs="Times New Roman" w:eastAsia="Times New Roman" w:hAnsi="Times New Roman"/>
          <w:sz w:val="18"/>
          <w:szCs w:val="18"/>
          <w:color w:val="auto"/>
        </w:rPr>
      </w:pPr>
    </w:p>
    <w:p>
      <w:pPr>
        <w:ind w:left="1020" w:right="640" w:hanging="504"/>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anticipated technology needs and developments and our ability to address those needs and developments with our solutions;</w:t>
      </w:r>
    </w:p>
    <w:p>
      <w:pPr>
        <w:spacing w:after="0" w:line="12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litigation and legal and regulatory matters;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our ability to meet existing performance obligations and maintain the operability of our solutions;</w:t>
      </w:r>
    </w:p>
    <w:p>
      <w:pPr>
        <w:spacing w:after="0" w:line="183" w:lineRule="exact"/>
        <w:rPr>
          <w:rFonts w:ascii="Times New Roman" w:cs="Times New Roman" w:eastAsia="Times New Roman" w:hAnsi="Times New Roman"/>
          <w:sz w:val="18"/>
          <w:szCs w:val="18"/>
          <w:color w:val="auto"/>
        </w:rPr>
      </w:pPr>
    </w:p>
    <w:p>
      <w:pPr>
        <w:jc w:val="both"/>
        <w:ind w:left="1020" w:right="80" w:hanging="504"/>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effects of existing and developing laws and regulations, including with respect to payments and other financial services, economic and trade sanctions, anti-money laundering (AML) and countering the financing of terrorism (CFT), taxation, privacy and data protection;</w:t>
      </w:r>
    </w:p>
    <w:p>
      <w:pPr>
        <w:spacing w:after="0" w:line="14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economic and industry trends, projected growth, or trend analysis;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8"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99" w:lineRule="exact"/>
        <w:rPr>
          <w:sz w:val="20"/>
          <w:szCs w:val="20"/>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global events and geopolitical conflict, including without limitation the continuing hostilities in Ukraine and Gaza;</w:t>
      </w:r>
    </w:p>
    <w:p>
      <w:pPr>
        <w:spacing w:after="0" w:line="115" w:lineRule="exact"/>
        <w:rPr>
          <w:rFonts w:ascii="Times New Roman" w:cs="Times New Roman" w:eastAsia="Times New Roman" w:hAnsi="Times New Roman"/>
          <w:sz w:val="18"/>
          <w:szCs w:val="18"/>
          <w:color w:val="auto"/>
        </w:rPr>
      </w:pPr>
    </w:p>
    <w:p>
      <w:pPr>
        <w:ind w:left="1020" w:right="320" w:hanging="504"/>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adapt to changes in U.S. federal income or other tax laws or the interpretation of tax laws, including the Inflation Reduction Act of 2022;</w:t>
      </w:r>
    </w:p>
    <w:p>
      <w:pPr>
        <w:spacing w:after="0" w:line="11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qualified employees;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protect, and enhance our intellectual property;</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the security and availability of our solutions;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increased expenses associated with being a public company; and</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future market price of our common stock.</w:t>
      </w:r>
    </w:p>
    <w:p>
      <w:pPr>
        <w:spacing w:after="0" w:line="183"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Quarterly Report on Form 10-Q. Other sections of this Quarterly Report on Form 10-Q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4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5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39"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Unless otherwise noted or unless the context provides otherwise, all references in this Quarterly Report on Form 10-Q to our “common stock” refer to our voting common stock.</w:t>
      </w:r>
    </w:p>
    <w:p>
      <w:pPr>
        <w:spacing w:after="0" w:line="112"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Investors, the media, and others should note that we intend to announce material information to the public through filings with the Securities and Exchange Commission (SEC), the investor relations page on our website (https://ir.flywire.com), blog posts on our website (www.flywire.com), press releases, public conference calls, webcasts, and social media channels, including our X (formerly known as Twitter) feed (@flywire) and LinkedIn page (https://www.linkedin.com/company/flywire).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contents of the websites provided above are not incorporated into this filing or in any other report or document we file with the SEC. These website addresses are intended to be inactive textual references only.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color w:val="auto"/>
        </w:rPr>
        <w:t>(Unaudited) (Amounts in thousands, except par value per share and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619,014</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654,608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80"/>
              <w:spacing w:after="0"/>
              <w:rPr>
                <w:sz w:val="20"/>
                <w:szCs w:val="20"/>
                <w:color w:val="auto"/>
              </w:rPr>
            </w:pPr>
            <w:r>
              <w:rPr>
                <w:rFonts w:ascii="Arial" w:cs="Arial" w:eastAsia="Arial" w:hAnsi="Arial"/>
                <w:sz w:val="17"/>
                <w:szCs w:val="17"/>
                <w:color w:val="auto"/>
              </w:rPr>
              <w:t>Accounts receivable, net of allowance of $498 and $507, respectively</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19,688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18,215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7"/>
                <w:szCs w:val="17"/>
                <w:color w:val="auto"/>
              </w:rPr>
              <w:t>Unbilled receivables, net of allowance of $18 and $27, respectively</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7,995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10,689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80"/>
              <w:spacing w:after="0"/>
              <w:rPr>
                <w:sz w:val="20"/>
                <w:szCs w:val="20"/>
                <w:color w:val="auto"/>
              </w:rPr>
            </w:pPr>
            <w:r>
              <w:rPr>
                <w:rFonts w:ascii="Arial" w:cs="Arial" w:eastAsia="Arial" w:hAnsi="Arial"/>
                <w:sz w:val="17"/>
                <w:szCs w:val="17"/>
                <w:color w:val="auto"/>
              </w:rPr>
              <w:t>Funds receivable from payment partners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76,231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113,945</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16,222</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18,227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520"/>
              <w:spacing w:after="0"/>
              <w:rPr>
                <w:sz w:val="20"/>
                <w:szCs w:val="20"/>
                <w:color w:val="auto"/>
              </w:rPr>
            </w:pPr>
            <w:r>
              <w:rPr>
                <w:rFonts w:ascii="Arial" w:cs="Arial" w:eastAsia="Arial" w:hAnsi="Arial"/>
                <w:sz w:val="17"/>
                <w:szCs w:val="17"/>
                <w:color w:val="auto"/>
              </w:rPr>
              <w:t>Total current assets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739,150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815,684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Property and equipment, net</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15,588</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15,134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103,421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108,178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7"/>
                <w:szCs w:val="17"/>
                <w:color w:val="auto"/>
              </w:rPr>
              <w:t>Goodwill</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119,720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121,646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20,836</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19,089</w:t>
            </w:r>
          </w:p>
        </w:tc>
        <w:tc>
          <w:tcPr>
            <w:tcW w:w="100" w:type="dxa"/>
            <w:vAlign w:val="bottom"/>
          </w:tcPr>
          <w:p>
            <w:pPr>
              <w:spacing w:after="0"/>
              <w:rPr>
                <w:sz w:val="18"/>
                <w:szCs w:val="18"/>
                <w:color w:val="auto"/>
              </w:rPr>
            </w:pPr>
          </w:p>
        </w:tc>
      </w:tr>
      <w:tr>
        <w:trPr>
          <w:trHeight w:val="249"/>
        </w:trPr>
        <w:tc>
          <w:tcPr>
            <w:tcW w:w="77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998,715</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1,079,731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7"/>
                <w:szCs w:val="17"/>
                <w:color w:val="auto"/>
              </w:rPr>
              <w:t>Current liabilities: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80"/>
              <w:spacing w:after="0"/>
              <w:rPr>
                <w:sz w:val="20"/>
                <w:szCs w:val="20"/>
                <w:color w:val="auto"/>
              </w:rPr>
            </w:pPr>
            <w:r>
              <w:rPr>
                <w:rFonts w:ascii="Arial" w:cs="Arial" w:eastAsia="Arial" w:hAnsi="Arial"/>
                <w:sz w:val="17"/>
                <w:szCs w:val="17"/>
                <w:color w:val="auto"/>
              </w:rPr>
              <w:t>Accounts payable</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15,385</w:t>
            </w: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12,587</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Arial" w:cs="Arial" w:eastAsia="Arial" w:hAnsi="Arial"/>
                <w:sz w:val="17"/>
                <w:szCs w:val="17"/>
                <w:color w:val="auto"/>
              </w:rPr>
              <w:t>Funds payable to clients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124,111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210,922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80"/>
              <w:spacing w:after="0"/>
              <w:rPr>
                <w:sz w:val="20"/>
                <w:szCs w:val="20"/>
                <w:color w:val="auto"/>
              </w:rPr>
            </w:pPr>
            <w:r>
              <w:rPr>
                <w:rFonts w:ascii="Arial" w:cs="Arial" w:eastAsia="Arial" w:hAnsi="Arial"/>
                <w:sz w:val="17"/>
                <w:szCs w:val="17"/>
                <w:color w:val="auto"/>
              </w:rPr>
              <w:t>Accrued expenses and other current liabilities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37,385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43,315</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7"/>
                <w:szCs w:val="17"/>
                <w:color w:val="auto"/>
              </w:rPr>
              <w:t>Deferred revenue</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5,619</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6,968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520"/>
              <w:spacing w:after="0"/>
              <w:rPr>
                <w:sz w:val="20"/>
                <w:szCs w:val="20"/>
                <w:color w:val="auto"/>
              </w:rPr>
            </w:pPr>
            <w:r>
              <w:rPr>
                <w:rFonts w:ascii="Arial" w:cs="Arial" w:eastAsia="Arial" w:hAnsi="Arial"/>
                <w:sz w:val="17"/>
                <w:szCs w:val="17"/>
                <w:color w:val="auto"/>
              </w:rPr>
              <w:t>Total current liabilities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182,500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273,792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7"/>
                <w:szCs w:val="17"/>
                <w:color w:val="auto"/>
              </w:rPr>
              <w:t>Deferred tax liabilities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14,587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15,391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7"/>
                <w:szCs w:val="17"/>
                <w:color w:val="auto"/>
              </w:rPr>
              <w:t>Other liabilities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4,643</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4,431</w:t>
            </w:r>
          </w:p>
        </w:tc>
        <w:tc>
          <w:tcPr>
            <w:tcW w:w="100" w:type="dxa"/>
            <w:vAlign w:val="bottom"/>
          </w:tcPr>
          <w:p>
            <w:pPr>
              <w:spacing w:after="0"/>
              <w:rPr>
                <w:sz w:val="18"/>
                <w:szCs w:val="18"/>
                <w:color w:val="auto"/>
              </w:rPr>
            </w:pPr>
          </w:p>
        </w:tc>
      </w:tr>
      <w:tr>
        <w:trPr>
          <w:trHeight w:val="209"/>
        </w:trPr>
        <w:tc>
          <w:tcPr>
            <w:tcW w:w="77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201,730</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293,614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0"/>
              <w:spacing w:after="0"/>
              <w:rPr>
                <w:sz w:val="20"/>
                <w:szCs w:val="20"/>
                <w:color w:val="auto"/>
              </w:rPr>
            </w:pPr>
            <w:r>
              <w:rPr>
                <w:rFonts w:ascii="Arial" w:cs="Arial" w:eastAsia="Arial" w:hAnsi="Arial"/>
                <w:sz w:val="17"/>
                <w:szCs w:val="17"/>
                <w:color w:val="auto"/>
              </w:rPr>
              <w:t>Commitments and contingencies (Note 14)</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7"/>
                <w:szCs w:val="17"/>
                <w:color w:val="auto"/>
              </w:rPr>
              <w:t>Stockholders’ equity:</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80"/>
        </w:trPr>
        <w:tc>
          <w:tcPr>
            <w:tcW w:w="7740" w:type="dxa"/>
            <w:vAlign w:val="bottom"/>
          </w:tcPr>
          <w:p>
            <w:pPr>
              <w:ind w:left="280"/>
              <w:spacing w:after="0" w:line="180" w:lineRule="exact"/>
              <w:rPr>
                <w:sz w:val="20"/>
                <w:szCs w:val="20"/>
                <w:color w:val="auto"/>
              </w:rPr>
            </w:pPr>
            <w:r>
              <w:rPr>
                <w:rFonts w:ascii="Arial" w:cs="Arial" w:eastAsia="Arial" w:hAnsi="Arial"/>
                <w:sz w:val="17"/>
                <w:szCs w:val="17"/>
                <w:color w:val="auto"/>
              </w:rPr>
              <w:t>Preferred stock, $0.0001 par value; 10,000,000 shares authorized as</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740" w:type="dxa"/>
            <w:vAlign w:val="bottom"/>
          </w:tcPr>
          <w:p>
            <w:pPr>
              <w:ind w:left="420"/>
              <w:spacing w:after="0" w:line="189" w:lineRule="exact"/>
              <w:rPr>
                <w:sz w:val="20"/>
                <w:szCs w:val="20"/>
                <w:color w:val="auto"/>
              </w:rPr>
            </w:pPr>
            <w:r>
              <w:rPr>
                <w:rFonts w:ascii="Arial" w:cs="Arial" w:eastAsia="Arial" w:hAnsi="Arial"/>
                <w:sz w:val="17"/>
                <w:szCs w:val="17"/>
                <w:color w:val="auto"/>
              </w:rPr>
              <w:t>of March 31, 2024 and December 31, 2023; and no shares issued</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4"/>
        </w:trPr>
        <w:tc>
          <w:tcPr>
            <w:tcW w:w="7740" w:type="dxa"/>
            <w:vAlign w:val="bottom"/>
          </w:tcPr>
          <w:p>
            <w:pPr>
              <w:ind w:left="420"/>
              <w:spacing w:after="0"/>
              <w:rPr>
                <w:sz w:val="20"/>
                <w:szCs w:val="20"/>
                <w:color w:val="auto"/>
              </w:rPr>
            </w:pPr>
            <w:r>
              <w:rPr>
                <w:rFonts w:ascii="Arial" w:cs="Arial" w:eastAsia="Arial" w:hAnsi="Arial"/>
                <w:sz w:val="17"/>
                <w:szCs w:val="17"/>
                <w:color w:val="auto"/>
              </w:rPr>
              <w:t>and outstanding as of March 31, 2024 and December 31, 2023</w:t>
            </w:r>
          </w:p>
        </w:tc>
        <w:tc>
          <w:tcPr>
            <w:tcW w:w="2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180"/>
        </w:trPr>
        <w:tc>
          <w:tcPr>
            <w:tcW w:w="7740" w:type="dxa"/>
            <w:vAlign w:val="bottom"/>
            <w:shd w:val="clear" w:color="auto" w:fill="CFF0FC"/>
          </w:tcPr>
          <w:p>
            <w:pPr>
              <w:ind w:left="280"/>
              <w:spacing w:after="0" w:line="180" w:lineRule="exact"/>
              <w:rPr>
                <w:sz w:val="20"/>
                <w:szCs w:val="20"/>
                <w:color w:val="auto"/>
              </w:rPr>
            </w:pPr>
            <w:r>
              <w:rPr>
                <w:rFonts w:ascii="Arial" w:cs="Arial" w:eastAsia="Arial" w:hAnsi="Arial"/>
                <w:sz w:val="17"/>
                <w:szCs w:val="17"/>
                <w:color w:val="auto"/>
              </w:rPr>
              <w:t>Voting common stock, $0.0001 par value; 2,000,000,000 shares</w:t>
            </w: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40" w:type="dxa"/>
            <w:vAlign w:val="bottom"/>
            <w:shd w:val="clear" w:color="auto" w:fill="CFF0FC"/>
          </w:tcPr>
          <w:p>
            <w:pPr>
              <w:ind w:left="420"/>
              <w:spacing w:after="0" w:line="189" w:lineRule="exact"/>
              <w:rPr>
                <w:sz w:val="20"/>
                <w:szCs w:val="20"/>
                <w:color w:val="auto"/>
              </w:rPr>
            </w:pPr>
            <w:r>
              <w:rPr>
                <w:rFonts w:ascii="Arial" w:cs="Arial" w:eastAsia="Arial" w:hAnsi="Arial"/>
                <w:sz w:val="17"/>
                <w:szCs w:val="17"/>
                <w:color w:val="auto"/>
              </w:rPr>
              <w:t>authorized as of March 31, 2024 and December 31, 2023; 124,555,591</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40" w:type="dxa"/>
            <w:vAlign w:val="bottom"/>
            <w:shd w:val="clear" w:color="auto" w:fill="CFF0FC"/>
          </w:tcPr>
          <w:p>
            <w:pPr>
              <w:ind w:left="420"/>
              <w:spacing w:after="0" w:line="189" w:lineRule="exact"/>
              <w:rPr>
                <w:sz w:val="20"/>
                <w:szCs w:val="20"/>
                <w:color w:val="auto"/>
              </w:rPr>
            </w:pPr>
            <w:r>
              <w:rPr>
                <w:rFonts w:ascii="Arial" w:cs="Arial" w:eastAsia="Arial" w:hAnsi="Arial"/>
                <w:sz w:val="17"/>
                <w:szCs w:val="17"/>
                <w:color w:val="auto"/>
              </w:rPr>
              <w:t>shares issued and 122,255,050 shares outstanding as of March 31, 2024;</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40" w:type="dxa"/>
            <w:vAlign w:val="bottom"/>
            <w:shd w:val="clear" w:color="auto" w:fill="CFF0FC"/>
          </w:tcPr>
          <w:p>
            <w:pPr>
              <w:ind w:left="420"/>
              <w:spacing w:after="0" w:line="189" w:lineRule="exact"/>
              <w:rPr>
                <w:sz w:val="20"/>
                <w:szCs w:val="20"/>
                <w:color w:val="auto"/>
              </w:rPr>
            </w:pPr>
            <w:r>
              <w:rPr>
                <w:rFonts w:ascii="Arial" w:cs="Arial" w:eastAsia="Arial" w:hAnsi="Arial"/>
                <w:sz w:val="17"/>
                <w:szCs w:val="17"/>
                <w:color w:val="auto"/>
              </w:rPr>
              <w:t>123,010,207 shares issued and 120,695,162 shares outstanding as</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4"/>
        </w:trPr>
        <w:tc>
          <w:tcPr>
            <w:tcW w:w="7740" w:type="dxa"/>
            <w:vAlign w:val="bottom"/>
            <w:shd w:val="clear" w:color="auto" w:fill="CFF0FC"/>
          </w:tcPr>
          <w:p>
            <w:pPr>
              <w:ind w:left="420"/>
              <w:spacing w:after="0"/>
              <w:rPr>
                <w:sz w:val="20"/>
                <w:szCs w:val="20"/>
                <w:color w:val="auto"/>
              </w:rPr>
            </w:pPr>
            <w:r>
              <w:rPr>
                <w:rFonts w:ascii="Arial" w:cs="Arial" w:eastAsia="Arial" w:hAnsi="Arial"/>
                <w:sz w:val="17"/>
                <w:szCs w:val="17"/>
                <w:color w:val="auto"/>
              </w:rPr>
              <w:t>of December 31, 2023</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FF0FC"/>
          </w:tcPr>
          <w:p>
            <w:pPr>
              <w:spacing w:after="0"/>
              <w:rPr>
                <w:sz w:val="19"/>
                <w:szCs w:val="19"/>
                <w:color w:val="auto"/>
              </w:rPr>
            </w:pPr>
          </w:p>
        </w:tc>
      </w:tr>
      <w:tr>
        <w:trPr>
          <w:trHeight w:val="180"/>
        </w:trPr>
        <w:tc>
          <w:tcPr>
            <w:tcW w:w="7740" w:type="dxa"/>
            <w:vAlign w:val="bottom"/>
          </w:tcPr>
          <w:p>
            <w:pPr>
              <w:ind w:left="280"/>
              <w:spacing w:after="0" w:line="180" w:lineRule="exact"/>
              <w:rPr>
                <w:sz w:val="20"/>
                <w:szCs w:val="20"/>
                <w:color w:val="auto"/>
              </w:rPr>
            </w:pPr>
            <w:r>
              <w:rPr>
                <w:rFonts w:ascii="Arial" w:cs="Arial" w:eastAsia="Arial" w:hAnsi="Arial"/>
                <w:sz w:val="17"/>
                <w:szCs w:val="17"/>
                <w:color w:val="auto"/>
              </w:rPr>
              <w:t>Non-voting common stock, $0.0001 par value; 10,000,000 shares</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740" w:type="dxa"/>
            <w:vAlign w:val="bottom"/>
          </w:tcPr>
          <w:p>
            <w:pPr>
              <w:ind w:left="420"/>
              <w:spacing w:after="0" w:line="189" w:lineRule="exact"/>
              <w:rPr>
                <w:sz w:val="20"/>
                <w:szCs w:val="20"/>
                <w:color w:val="auto"/>
              </w:rPr>
            </w:pPr>
            <w:r>
              <w:rPr>
                <w:rFonts w:ascii="Arial" w:cs="Arial" w:eastAsia="Arial" w:hAnsi="Arial"/>
                <w:sz w:val="17"/>
                <w:szCs w:val="17"/>
                <w:color w:val="auto"/>
              </w:rPr>
              <w:t>authorized as of March 31, 2024 and December 31, 2023; 1,873,320 shares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4"/>
        </w:trPr>
        <w:tc>
          <w:tcPr>
            <w:tcW w:w="7740" w:type="dxa"/>
            <w:vAlign w:val="bottom"/>
          </w:tcPr>
          <w:p>
            <w:pPr>
              <w:ind w:left="420"/>
              <w:spacing w:after="0"/>
              <w:rPr>
                <w:sz w:val="20"/>
                <w:szCs w:val="20"/>
                <w:color w:val="auto"/>
              </w:rPr>
            </w:pPr>
            <w:r>
              <w:rPr>
                <w:rFonts w:ascii="Arial" w:cs="Arial" w:eastAsia="Arial" w:hAnsi="Arial"/>
                <w:sz w:val="17"/>
                <w:szCs w:val="17"/>
                <w:color w:val="auto"/>
              </w:rPr>
              <w:t>issued and outstanding as of March 31, 2024 and December 31, 2023</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r>
      <w:tr>
        <w:trPr>
          <w:trHeight w:val="180"/>
        </w:trPr>
        <w:tc>
          <w:tcPr>
            <w:tcW w:w="7740" w:type="dxa"/>
            <w:vAlign w:val="bottom"/>
            <w:shd w:val="clear" w:color="auto" w:fill="CFF0FC"/>
          </w:tcPr>
          <w:p>
            <w:pPr>
              <w:ind w:left="280"/>
              <w:spacing w:after="0" w:line="180" w:lineRule="exact"/>
              <w:rPr>
                <w:sz w:val="20"/>
                <w:szCs w:val="20"/>
                <w:color w:val="auto"/>
              </w:rPr>
            </w:pPr>
            <w:r>
              <w:rPr>
                <w:rFonts w:ascii="Arial" w:cs="Arial" w:eastAsia="Arial" w:hAnsi="Arial"/>
                <w:sz w:val="17"/>
                <w:szCs w:val="17"/>
                <w:color w:val="auto"/>
              </w:rPr>
              <w:t>Treasury voting common stock, 2,300,541 and 2,315,045 shares as of</w:t>
            </w: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4"/>
        </w:trPr>
        <w:tc>
          <w:tcPr>
            <w:tcW w:w="7740" w:type="dxa"/>
            <w:vAlign w:val="bottom"/>
            <w:shd w:val="clear" w:color="auto" w:fill="CFF0FC"/>
          </w:tcPr>
          <w:p>
            <w:pPr>
              <w:ind w:left="420"/>
              <w:spacing w:after="0"/>
              <w:rPr>
                <w:sz w:val="20"/>
                <w:szCs w:val="20"/>
                <w:color w:val="auto"/>
              </w:rPr>
            </w:pPr>
            <w:r>
              <w:rPr>
                <w:rFonts w:ascii="Arial" w:cs="Arial" w:eastAsia="Arial" w:hAnsi="Arial"/>
                <w:sz w:val="17"/>
                <w:szCs w:val="17"/>
                <w:color w:val="auto"/>
              </w:rPr>
              <w:t>March 31, 2024 and December 31, 2023, respectively, held at cost</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(742 )</w:t>
            </w: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(747 )</w:t>
            </w:r>
          </w:p>
        </w:tc>
      </w:tr>
      <w:tr>
        <w:trPr>
          <w:trHeight w:val="216"/>
        </w:trPr>
        <w:tc>
          <w:tcPr>
            <w:tcW w:w="7740" w:type="dxa"/>
            <w:vAlign w:val="bottom"/>
          </w:tcPr>
          <w:p>
            <w:pPr>
              <w:ind w:left="400"/>
              <w:spacing w:after="0"/>
              <w:rPr>
                <w:sz w:val="20"/>
                <w:szCs w:val="20"/>
                <w:color w:val="auto"/>
              </w:rPr>
            </w:pPr>
            <w:r>
              <w:rPr>
                <w:rFonts w:ascii="Arial" w:cs="Arial" w:eastAsia="Arial" w:hAnsi="Arial"/>
                <w:sz w:val="17"/>
                <w:szCs w:val="17"/>
                <w:color w:val="auto"/>
              </w:rPr>
              <w:t>Additional paid-in capital</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977,743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959,302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400"/>
              <w:spacing w:after="0"/>
              <w:rPr>
                <w:sz w:val="20"/>
                <w:szCs w:val="20"/>
                <w:color w:val="auto"/>
              </w:rPr>
            </w:pPr>
            <w:r>
              <w:rPr>
                <w:rFonts w:ascii="Arial" w:cs="Arial" w:eastAsia="Arial" w:hAnsi="Arial"/>
                <w:sz w:val="17"/>
                <w:szCs w:val="17"/>
                <w:color w:val="auto"/>
              </w:rPr>
              <w:t>Accumulated other comprehensive (loss) income</w:t>
            </w: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(41 )</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400"/>
              <w:spacing w:after="0"/>
              <w:rPr>
                <w:sz w:val="20"/>
                <w:szCs w:val="20"/>
                <w:color w:val="auto"/>
              </w:rPr>
            </w:pPr>
            <w:r>
              <w:rPr>
                <w:rFonts w:ascii="Arial" w:cs="Arial" w:eastAsia="Arial" w:hAnsi="Arial"/>
                <w:sz w:val="17"/>
                <w:szCs w:val="17"/>
                <w:color w:val="auto"/>
              </w:rPr>
              <w:t>Accumulated deficit</w:t>
            </w:r>
          </w:p>
        </w:tc>
        <w:tc>
          <w:tcPr>
            <w:tcW w:w="2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(179,987 )</w:t>
            </w: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7"/>
                <w:szCs w:val="17"/>
                <w:color w:val="auto"/>
              </w:rPr>
              <w:t>(173,770 )</w:t>
            </w:r>
          </w:p>
        </w:tc>
      </w:tr>
      <w:tr>
        <w:trPr>
          <w:trHeight w:val="209"/>
        </w:trPr>
        <w:tc>
          <w:tcPr>
            <w:tcW w:w="77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7"/>
                <w:szCs w:val="17"/>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796,985</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786,117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520"/>
              <w:spacing w:after="0"/>
              <w:rPr>
                <w:sz w:val="20"/>
                <w:szCs w:val="20"/>
                <w:color w:val="auto"/>
              </w:rPr>
            </w:pPr>
            <w:r>
              <w:rPr>
                <w:rFonts w:ascii="Arial" w:cs="Arial" w:eastAsia="Arial" w:hAnsi="Arial"/>
                <w:sz w:val="17"/>
                <w:szCs w:val="17"/>
                <w:color w:val="auto"/>
              </w:rPr>
              <w:t>Total liabilities and stockholders’ equity</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998,715</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1,079,731</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-4888230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-4888230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-4049395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-4032250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-4049395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-4032250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-3201670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-3201670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-2636520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-2636520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-170815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40"/>
        <w:spacing w:after="0"/>
        <w:rPr>
          <w:sz w:val="20"/>
          <w:szCs w:val="20"/>
          <w:color w:val="auto"/>
        </w:rPr>
      </w:pPr>
      <w:r>
        <w:rPr>
          <w:rFonts w:ascii="Arial" w:cs="Arial" w:eastAsia="Arial" w:hAnsi="Arial"/>
          <w:sz w:val="18"/>
          <w:szCs w:val="18"/>
          <w:color w:val="auto"/>
        </w:rPr>
        <w:t>(Unaudited) (Amounts 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9"/>
        </w:trPr>
        <w:tc>
          <w:tcPr>
            <w:tcW w:w="77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114,103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Costs and operating expenses: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Payment processing services costs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41,650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Technology and development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16,737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Selling and marketing</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30,083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31,596</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Total costs and operating expenses</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120,066</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100,925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(5,963 )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(6,568 )</w:t>
            </w: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(142 )</w:t>
            </w:r>
          </w:p>
        </w:tc>
        <w:tc>
          <w:tcPr>
            <w:tcW w:w="3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(Loss) gain from remeasurement of foreign currency</w:t>
            </w:r>
          </w:p>
        </w:tc>
        <w:tc>
          <w:tcPr>
            <w:tcW w:w="32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(4,376 )</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2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(4,602 )</w:t>
            </w:r>
          </w:p>
        </w:tc>
        <w:tc>
          <w:tcPr>
            <w:tcW w:w="3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(3,266 )</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(6,217 )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(3,683 )</w:t>
            </w:r>
          </w:p>
        </w:tc>
        <w:tc>
          <w:tcPr>
            <w:tcW w:w="0" w:type="dxa"/>
            <w:vAlign w:val="bottom"/>
          </w:tcPr>
          <w:p>
            <w:pPr>
              <w:spacing w:after="0"/>
              <w:rPr>
                <w:sz w:val="1"/>
                <w:szCs w:val="1"/>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(1,361 )</w:t>
            </w: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(367 )</w:t>
            </w:r>
          </w:p>
        </w:tc>
        <w:tc>
          <w:tcPr>
            <w:tcW w:w="0" w:type="dxa"/>
            <w:vAlign w:val="bottom"/>
          </w:tcPr>
          <w:p>
            <w:pPr>
              <w:spacing w:after="0"/>
              <w:rPr>
                <w:sz w:val="1"/>
                <w:szCs w:val="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(7,578 )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(4,050 )</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 - basic and diluted</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(6,217 )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(3,683 )</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40" w:type="dxa"/>
            <w:vAlign w:val="bottom"/>
          </w:tcPr>
          <w:p>
            <w:pPr>
              <w:ind w:left="20"/>
              <w:spacing w:after="0" w:line="177" w:lineRule="exact"/>
              <w:rPr>
                <w:sz w:val="20"/>
                <w:szCs w:val="20"/>
                <w:color w:val="auto"/>
              </w:rPr>
            </w:pPr>
            <w:r>
              <w:rPr>
                <w:rFonts w:ascii="Arial" w:cs="Arial" w:eastAsia="Arial" w:hAnsi="Arial"/>
                <w:sz w:val="18"/>
                <w:szCs w:val="18"/>
                <w:color w:val="auto"/>
              </w:rPr>
              <w:t>Net loss per share attributable to common stockholders - basic and</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(0.05 )</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(0.03 )</w:t>
            </w:r>
          </w:p>
        </w:tc>
        <w:tc>
          <w:tcPr>
            <w:tcW w:w="0" w:type="dxa"/>
            <w:vAlign w:val="bottom"/>
          </w:tcPr>
          <w:p>
            <w:pPr>
              <w:spacing w:after="0"/>
              <w:rPr>
                <w:sz w:val="1"/>
                <w:szCs w:val="1"/>
                <w:color w:val="auto"/>
              </w:rPr>
            </w:pPr>
          </w:p>
        </w:tc>
      </w:tr>
      <w:tr>
        <w:trPr>
          <w:trHeight w:val="194"/>
        </w:trPr>
        <w:tc>
          <w:tcPr>
            <w:tcW w:w="7740" w:type="dxa"/>
            <w:vAlign w:val="bottom"/>
          </w:tcPr>
          <w:p>
            <w:pPr>
              <w:ind w:left="180"/>
              <w:spacing w:after="0" w:line="195" w:lineRule="exact"/>
              <w:rPr>
                <w:sz w:val="20"/>
                <w:szCs w:val="20"/>
                <w:color w:val="auto"/>
              </w:rPr>
            </w:pPr>
            <w:r>
              <w:rPr>
                <w:rFonts w:ascii="Arial" w:cs="Arial" w:eastAsia="Arial" w:hAnsi="Arial"/>
                <w:sz w:val="18"/>
                <w:szCs w:val="18"/>
                <w:color w:val="auto"/>
              </w:rPr>
              <w:t>diluted</w:t>
            </w:r>
          </w:p>
        </w:tc>
        <w:tc>
          <w:tcPr>
            <w:tcW w:w="32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common shares outstanding - basic and diluted</w:t>
            </w: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123,143,343</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109,787,528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-2294255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-2294255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-1395095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-1395095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-1095375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-795655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-795655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-470535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-453390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7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40"/>
        <w:spacing w:after="0"/>
        <w:rPr>
          <w:sz w:val="20"/>
          <w:szCs w:val="20"/>
          <w:color w:val="auto"/>
        </w:rPr>
      </w:pPr>
      <w:r>
        <w:rPr>
          <w:rFonts w:ascii="Arial" w:cs="Arial" w:eastAsia="Arial" w:hAnsi="Arial"/>
          <w:sz w:val="18"/>
          <w:szCs w:val="18"/>
          <w:color w:val="auto"/>
        </w:rPr>
        <w:t>(Unaudited) (Amounts in thousands, except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Accumulated</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restart"/>
          </w:tcPr>
          <w:p>
            <w:pPr>
              <w:jc w:val="center"/>
              <w:ind w:left="466"/>
              <w:spacing w:after="0"/>
              <w:rPr>
                <w:sz w:val="20"/>
                <w:szCs w:val="20"/>
                <w:color w:val="auto"/>
              </w:rPr>
            </w:pPr>
            <w:r>
              <w:rPr>
                <w:rFonts w:ascii="Arial" w:cs="Arial" w:eastAsia="Arial" w:hAnsi="Arial"/>
                <w:sz w:val="11"/>
                <w:szCs w:val="11"/>
                <w:b w:val="1"/>
                <w:bCs w:val="1"/>
                <w:color w:val="auto"/>
                <w:w w:val="93"/>
              </w:rPr>
              <w:t>Voting</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94"/>
              </w:rPr>
              <w:t>Non-Voting</w:t>
            </w:r>
          </w:p>
        </w:tc>
        <w:tc>
          <w:tcPr>
            <w:tcW w:w="220" w:type="dxa"/>
            <w:vAlign w:val="bottom"/>
          </w:tcPr>
          <w:p>
            <w:pPr>
              <w:spacing w:after="0"/>
              <w:rPr>
                <w:sz w:val="10"/>
                <w:szCs w:val="10"/>
                <w:color w:val="auto"/>
              </w:rPr>
            </w:pPr>
          </w:p>
        </w:tc>
        <w:tc>
          <w:tcPr>
            <w:tcW w:w="1880" w:type="dxa"/>
            <w:vAlign w:val="bottom"/>
            <w:gridSpan w:val="5"/>
            <w:vMerge w:val="restart"/>
          </w:tcPr>
          <w:p>
            <w:pPr>
              <w:jc w:val="right"/>
              <w:ind w:right="660"/>
              <w:spacing w:after="0"/>
              <w:rPr>
                <w:sz w:val="20"/>
                <w:szCs w:val="20"/>
                <w:color w:val="auto"/>
              </w:rPr>
            </w:pPr>
            <w:r>
              <w:rPr>
                <w:rFonts w:ascii="Arial" w:cs="Arial" w:eastAsia="Arial" w:hAnsi="Arial"/>
                <w:sz w:val="11"/>
                <w:szCs w:val="11"/>
                <w:b w:val="1"/>
                <w:bCs w:val="1"/>
                <w:color w:val="auto"/>
              </w:rPr>
              <w:t>Treasury Voting</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rPr>
              <w:t>Other</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300"/>
              <w:spacing w:after="0" w:line="108" w:lineRule="exact"/>
              <w:rPr>
                <w:sz w:val="20"/>
                <w:szCs w:val="20"/>
                <w:color w:val="auto"/>
              </w:rPr>
            </w:pPr>
            <w:r>
              <w:rPr>
                <w:rFonts w:ascii="Arial" w:cs="Arial" w:eastAsia="Arial" w:hAnsi="Arial"/>
                <w:sz w:val="11"/>
                <w:szCs w:val="11"/>
                <w:b w:val="1"/>
                <w:bCs w:val="1"/>
                <w:color w:val="auto"/>
              </w:rPr>
              <w:t>Additional</w:t>
            </w:r>
          </w:p>
        </w:tc>
        <w:tc>
          <w:tcPr>
            <w:tcW w:w="1120" w:type="dxa"/>
            <w:vAlign w:val="bottom"/>
            <w:gridSpan w:val="3"/>
          </w:tcPr>
          <w:p>
            <w:pPr>
              <w:jc w:val="center"/>
              <w:ind w:right="220"/>
              <w:spacing w:after="0" w:line="108" w:lineRule="exact"/>
              <w:rPr>
                <w:sz w:val="20"/>
                <w:szCs w:val="20"/>
                <w:color w:val="auto"/>
              </w:rPr>
            </w:pPr>
            <w:r>
              <w:rPr>
                <w:rFonts w:ascii="Arial" w:cs="Arial" w:eastAsia="Arial" w:hAnsi="Arial"/>
                <w:sz w:val="11"/>
                <w:szCs w:val="11"/>
                <w:b w:val="1"/>
                <w:bCs w:val="1"/>
                <w:color w:val="auto"/>
                <w:w w:val="99"/>
              </w:rPr>
              <w:t>Comprehensive</w:t>
            </w: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9"/>
              </w:rPr>
              <w:t>Common Stock</w:t>
            </w:r>
          </w:p>
        </w:tc>
        <w:tc>
          <w:tcPr>
            <w:tcW w:w="240" w:type="dxa"/>
            <w:vAlign w:val="bottom"/>
          </w:tcPr>
          <w:p>
            <w:pPr>
              <w:spacing w:after="0"/>
              <w:rPr>
                <w:sz w:val="12"/>
                <w:szCs w:val="12"/>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9"/>
              </w:rPr>
              <w:t>Common Stock</w:t>
            </w:r>
          </w:p>
        </w:tc>
        <w:tc>
          <w:tcPr>
            <w:tcW w:w="220" w:type="dxa"/>
            <w:vAlign w:val="bottom"/>
          </w:tcPr>
          <w:p>
            <w:pPr>
              <w:spacing w:after="0"/>
              <w:rPr>
                <w:sz w:val="12"/>
                <w:szCs w:val="12"/>
                <w:color w:val="auto"/>
              </w:rPr>
            </w:pPr>
          </w:p>
        </w:tc>
        <w:tc>
          <w:tcPr>
            <w:tcW w:w="1660" w:type="dxa"/>
            <w:vAlign w:val="bottom"/>
            <w:tcBorders>
              <w:bottom w:val="single" w:sz="8" w:color="auto"/>
            </w:tcBorders>
            <w:gridSpan w:val="4"/>
          </w:tcPr>
          <w:p>
            <w:pPr>
              <w:jc w:val="right"/>
              <w:ind w:right="366"/>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Paid-In</w:t>
            </w:r>
          </w:p>
        </w:tc>
        <w:tc>
          <w:tcPr>
            <w:tcW w:w="100" w:type="dxa"/>
            <w:vAlign w:val="bottom"/>
          </w:tcPr>
          <w:p>
            <w:pPr>
              <w:spacing w:after="0"/>
              <w:rPr>
                <w:sz w:val="12"/>
                <w:szCs w:val="12"/>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8"/>
              </w:rPr>
              <w:t>Income</w:t>
            </w:r>
          </w:p>
        </w:tc>
        <w:tc>
          <w:tcPr>
            <w:tcW w:w="80" w:type="dxa"/>
            <w:vAlign w:val="bottom"/>
          </w:tcPr>
          <w:p>
            <w:pPr>
              <w:spacing w:after="0"/>
              <w:rPr>
                <w:sz w:val="12"/>
                <w:szCs w:val="12"/>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8"/>
              </w:rPr>
              <w:t>Accumulated</w:t>
            </w:r>
          </w:p>
        </w:tc>
        <w:tc>
          <w:tcPr>
            <w:tcW w:w="88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7"/>
              </w:rPr>
              <w:t>Stockholders</w:t>
            </w:r>
          </w:p>
        </w:tc>
        <w:tc>
          <w:tcPr>
            <w:tcW w:w="0" w:type="dxa"/>
            <w:vAlign w:val="bottom"/>
          </w:tcPr>
          <w:p>
            <w:pPr>
              <w:spacing w:after="0"/>
              <w:rPr>
                <w:sz w:val="1"/>
                <w:szCs w:val="1"/>
                <w:color w:val="auto"/>
              </w:rPr>
            </w:pPr>
          </w:p>
        </w:tc>
      </w:tr>
      <w:tr>
        <w:trPr>
          <w:trHeight w:val="142"/>
        </w:trPr>
        <w:tc>
          <w:tcPr>
            <w:tcW w:w="17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6"/>
              </w:rPr>
              <w:t>Amount</w:t>
            </w: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98"/>
              </w:rPr>
              <w:t>Capital</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rPr>
              <w:t>(Loss)</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5"/>
              </w:rPr>
              <w:t>Deficit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w w:val="95"/>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Balances at January 1, 2024</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123,010,207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1,873,320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180" w:type="dxa"/>
            <w:vAlign w:val="bottom"/>
            <w:gridSpan w:val="3"/>
            <w:shd w:val="clear" w:color="auto" w:fill="CFF0FC"/>
          </w:tcPr>
          <w:p>
            <w:pPr>
              <w:jc w:val="right"/>
              <w:ind w:right="160"/>
              <w:spacing w:after="0"/>
              <w:rPr>
                <w:sz w:val="20"/>
                <w:szCs w:val="20"/>
                <w:color w:val="auto"/>
              </w:rPr>
            </w:pPr>
            <w:r>
              <w:rPr>
                <w:rFonts w:ascii="Arial" w:cs="Arial" w:eastAsia="Arial" w:hAnsi="Arial"/>
                <w:sz w:val="11"/>
                <w:szCs w:val="11"/>
                <w:color w:val="auto"/>
              </w:rPr>
              <w:t>(2,315,045 )</w:t>
            </w: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(747 )</w:t>
            </w: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959,302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1,320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(173,770 )</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786,117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Issuance of common stock</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upon exercise of stock</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options</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710,700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740" w:type="dxa"/>
            <w:vAlign w:val="bottom"/>
            <w:tcBorders>
              <w:right w:val="single" w:sz="8" w:color="auto"/>
            </w:tcBorders>
            <w:shd w:val="clear" w:color="auto" w:fill="CFF0FC"/>
          </w:tcPr>
          <w:p>
            <w:pPr>
              <w:ind w:left="20"/>
              <w:spacing w:after="0" w:line="125" w:lineRule="exact"/>
              <w:rPr>
                <w:sz w:val="20"/>
                <w:szCs w:val="20"/>
                <w:color w:val="auto"/>
              </w:rPr>
            </w:pPr>
            <w:r>
              <w:rPr>
                <w:rFonts w:ascii="Arial" w:cs="Arial" w:eastAsia="Arial" w:hAnsi="Arial"/>
                <w:sz w:val="11"/>
                <w:szCs w:val="11"/>
                <w:color w:val="auto"/>
              </w:rPr>
              <w:t>Issuance of common stock</w:t>
            </w: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upon settlement of restricted</w:t>
            </w: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stock units</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748,622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Issuance of common</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under employee</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stock purchase plan</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71,896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1,415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740" w:type="dxa"/>
            <w:vAlign w:val="bottom"/>
            <w:tcBorders>
              <w:right w:val="single" w:sz="8" w:color="auto"/>
            </w:tcBorders>
            <w:shd w:val="clear" w:color="auto" w:fill="CFF0FC"/>
          </w:tcPr>
          <w:p>
            <w:pPr>
              <w:ind w:left="20"/>
              <w:spacing w:after="0" w:line="125" w:lineRule="exact"/>
              <w:rPr>
                <w:sz w:val="20"/>
                <w:szCs w:val="20"/>
                <w:color w:val="auto"/>
              </w:rPr>
            </w:pPr>
            <w:r>
              <w:rPr>
                <w:rFonts w:ascii="Arial" w:cs="Arial" w:eastAsia="Arial" w:hAnsi="Arial"/>
                <w:sz w:val="11"/>
                <w:szCs w:val="11"/>
                <w:color w:val="auto"/>
              </w:rPr>
              <w:t>Issuance of common stock for</w:t>
            </w: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retention bonus</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14,166</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Issuance of treasury stock</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14,504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(5 )</w:t>
            </w:r>
          </w:p>
        </w:tc>
        <w:tc>
          <w:tcPr>
            <w:tcW w:w="10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1740" w:type="dxa"/>
            <w:vAlign w:val="bottom"/>
            <w:tcBorders>
              <w:right w:val="single" w:sz="8" w:color="auto"/>
            </w:tcBorders>
            <w:shd w:val="clear" w:color="auto" w:fill="CFF0FC"/>
          </w:tcPr>
          <w:p>
            <w:pPr>
              <w:ind w:left="20"/>
              <w:spacing w:after="0" w:line="125" w:lineRule="exact"/>
              <w:rPr>
                <w:sz w:val="20"/>
                <w:szCs w:val="20"/>
                <w:color w:val="auto"/>
              </w:rPr>
            </w:pPr>
            <w:r>
              <w:rPr>
                <w:rFonts w:ascii="Arial" w:cs="Arial" w:eastAsia="Arial" w:hAnsi="Arial"/>
                <w:sz w:val="11"/>
                <w:szCs w:val="11"/>
                <w:color w:val="auto"/>
              </w:rPr>
              <w:t>Foreign currency translation</w:t>
            </w: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adjustment</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(1,361 )</w:t>
            </w: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(1,361 )</w:t>
            </w: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Stock-based compensation</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15,090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15,090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(6,217 )</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(6,217 )</w:t>
            </w:r>
          </w:p>
        </w:tc>
        <w:tc>
          <w:tcPr>
            <w:tcW w:w="0" w:type="dxa"/>
            <w:vAlign w:val="bottom"/>
          </w:tcPr>
          <w:p>
            <w:pPr>
              <w:spacing w:after="0"/>
              <w:rPr>
                <w:sz w:val="1"/>
                <w:szCs w:val="1"/>
                <w:color w:val="auto"/>
              </w:rPr>
            </w:pPr>
          </w:p>
        </w:tc>
      </w:tr>
      <w:tr>
        <w:trPr>
          <w:trHeight w:val="20"/>
        </w:trPr>
        <w:tc>
          <w:tcPr>
            <w:tcW w:w="17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1"/>
                <w:szCs w:val="11"/>
                <w:b w:val="1"/>
                <w:bCs w:val="1"/>
                <w:color w:val="auto"/>
              </w:rPr>
              <w:t>Balances at March 31, 2024</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124,555,591</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11</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1,873,320</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(2,300,541 )</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(742 )</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977,743</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(41 )</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180"/>
              <w:spacing w:after="0"/>
              <w:rPr>
                <w:sz w:val="20"/>
                <w:szCs w:val="20"/>
                <w:color w:val="auto"/>
              </w:rPr>
            </w:pPr>
            <w:r>
              <w:rPr>
                <w:rFonts w:ascii="Arial" w:cs="Arial" w:eastAsia="Arial" w:hAnsi="Arial"/>
                <w:sz w:val="11"/>
                <w:szCs w:val="11"/>
                <w:color w:val="auto"/>
              </w:rPr>
              <w:t>(179,987 )</w:t>
            </w: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796,985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7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vMerge w:val="restart"/>
          </w:tcPr>
          <w:p>
            <w:pPr>
              <w:jc w:val="center"/>
              <w:ind w:left="466"/>
              <w:spacing w:after="0"/>
              <w:rPr>
                <w:sz w:val="20"/>
                <w:szCs w:val="20"/>
                <w:color w:val="auto"/>
              </w:rPr>
            </w:pPr>
            <w:r>
              <w:rPr>
                <w:rFonts w:ascii="Arial" w:cs="Arial" w:eastAsia="Arial" w:hAnsi="Arial"/>
                <w:sz w:val="11"/>
                <w:szCs w:val="11"/>
                <w:b w:val="1"/>
                <w:bCs w:val="1"/>
                <w:color w:val="auto"/>
                <w:w w:val="93"/>
              </w:rPr>
              <w:t>Voting</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94"/>
              </w:rPr>
              <w:t>Non-Voting</w:t>
            </w:r>
          </w:p>
        </w:tc>
        <w:tc>
          <w:tcPr>
            <w:tcW w:w="220" w:type="dxa"/>
            <w:vAlign w:val="bottom"/>
          </w:tcPr>
          <w:p>
            <w:pPr>
              <w:spacing w:after="0"/>
              <w:rPr>
                <w:sz w:val="24"/>
                <w:szCs w:val="24"/>
                <w:color w:val="auto"/>
              </w:rPr>
            </w:pPr>
          </w:p>
        </w:tc>
        <w:tc>
          <w:tcPr>
            <w:tcW w:w="1880" w:type="dxa"/>
            <w:vAlign w:val="bottom"/>
            <w:gridSpan w:val="5"/>
            <w:vMerge w:val="restart"/>
          </w:tcPr>
          <w:p>
            <w:pPr>
              <w:jc w:val="right"/>
              <w:ind w:right="660"/>
              <w:spacing w:after="0"/>
              <w:rPr>
                <w:sz w:val="20"/>
                <w:szCs w:val="20"/>
                <w:color w:val="auto"/>
              </w:rPr>
            </w:pPr>
            <w:r>
              <w:rPr>
                <w:rFonts w:ascii="Arial" w:cs="Arial" w:eastAsia="Arial" w:hAnsi="Arial"/>
                <w:sz w:val="11"/>
                <w:szCs w:val="11"/>
                <w:b w:val="1"/>
                <w:bCs w:val="1"/>
                <w:color w:val="auto"/>
              </w:rPr>
              <w:t>Treasury Voting</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Accumulated</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7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300"/>
              <w:spacing w:after="0" w:line="108" w:lineRule="exact"/>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9"/>
                <w:szCs w:val="9"/>
                <w:color w:val="auto"/>
              </w:rPr>
            </w:pPr>
          </w:p>
        </w:tc>
        <w:tc>
          <w:tcPr>
            <w:tcW w:w="1020" w:type="dxa"/>
            <w:vAlign w:val="bottom"/>
            <w:gridSpan w:val="2"/>
          </w:tcPr>
          <w:p>
            <w:pPr>
              <w:jc w:val="center"/>
              <w:ind w:right="320"/>
              <w:spacing w:after="0" w:line="108" w:lineRule="exact"/>
              <w:rPr>
                <w:sz w:val="20"/>
                <w:szCs w:val="20"/>
                <w:color w:val="auto"/>
              </w:rPr>
            </w:pPr>
            <w:r>
              <w:rPr>
                <w:rFonts w:ascii="Arial" w:cs="Arial" w:eastAsia="Arial" w:hAnsi="Arial"/>
                <w:sz w:val="11"/>
                <w:szCs w:val="11"/>
                <w:b w:val="1"/>
                <w:bCs w:val="1"/>
                <w:color w:val="auto"/>
              </w:rPr>
              <w:t>Other</w:t>
            </w: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9"/>
              </w:rPr>
              <w:t>Common Stock</w:t>
            </w:r>
          </w:p>
        </w:tc>
        <w:tc>
          <w:tcPr>
            <w:tcW w:w="240" w:type="dxa"/>
            <w:vAlign w:val="bottom"/>
          </w:tcPr>
          <w:p>
            <w:pPr>
              <w:spacing w:after="0"/>
              <w:rPr>
                <w:sz w:val="12"/>
                <w:szCs w:val="12"/>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9"/>
              </w:rPr>
              <w:t>Common Stock</w:t>
            </w:r>
          </w:p>
        </w:tc>
        <w:tc>
          <w:tcPr>
            <w:tcW w:w="220" w:type="dxa"/>
            <w:vAlign w:val="bottom"/>
          </w:tcPr>
          <w:p>
            <w:pPr>
              <w:spacing w:after="0"/>
              <w:rPr>
                <w:sz w:val="12"/>
                <w:szCs w:val="12"/>
                <w:color w:val="auto"/>
              </w:rPr>
            </w:pPr>
          </w:p>
        </w:tc>
        <w:tc>
          <w:tcPr>
            <w:tcW w:w="1660" w:type="dxa"/>
            <w:vAlign w:val="bottom"/>
            <w:tcBorders>
              <w:bottom w:val="single" w:sz="8" w:color="auto"/>
            </w:tcBorders>
            <w:gridSpan w:val="4"/>
          </w:tcPr>
          <w:p>
            <w:pPr>
              <w:jc w:val="right"/>
              <w:ind w:right="366"/>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Paid-In</w:t>
            </w:r>
          </w:p>
        </w:tc>
        <w:tc>
          <w:tcPr>
            <w:tcW w:w="112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9"/>
              </w:rPr>
              <w:t>Comprehensive</w:t>
            </w:r>
          </w:p>
        </w:tc>
        <w:tc>
          <w:tcPr>
            <w:tcW w:w="80" w:type="dxa"/>
            <w:vAlign w:val="bottom"/>
          </w:tcPr>
          <w:p>
            <w:pPr>
              <w:spacing w:after="0"/>
              <w:rPr>
                <w:sz w:val="12"/>
                <w:szCs w:val="12"/>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8"/>
              </w:rPr>
              <w:t>Accumulated</w:t>
            </w:r>
          </w:p>
        </w:tc>
        <w:tc>
          <w:tcPr>
            <w:tcW w:w="88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7"/>
              </w:rPr>
              <w:t>Stockholders</w:t>
            </w:r>
          </w:p>
        </w:tc>
        <w:tc>
          <w:tcPr>
            <w:tcW w:w="0" w:type="dxa"/>
            <w:vAlign w:val="bottom"/>
          </w:tcPr>
          <w:p>
            <w:pPr>
              <w:spacing w:after="0"/>
              <w:rPr>
                <w:sz w:val="1"/>
                <w:szCs w:val="1"/>
                <w:color w:val="auto"/>
              </w:rPr>
            </w:pPr>
          </w:p>
        </w:tc>
      </w:tr>
      <w:tr>
        <w:trPr>
          <w:trHeight w:val="142"/>
        </w:trPr>
        <w:tc>
          <w:tcPr>
            <w:tcW w:w="17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6"/>
              </w:rPr>
              <w:t>Amount</w:t>
            </w: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98"/>
              </w:rPr>
              <w:t>Capital</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rPr>
              <w:t>Loss</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5"/>
              </w:rPr>
              <w:t>Deficit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w w:val="95"/>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Balances at January 1, 2023</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109,790,702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1,873,320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180" w:type="dxa"/>
            <w:vAlign w:val="bottom"/>
            <w:gridSpan w:val="3"/>
            <w:shd w:val="clear" w:color="auto" w:fill="CFF0FC"/>
          </w:tcPr>
          <w:p>
            <w:pPr>
              <w:jc w:val="right"/>
              <w:ind w:right="160"/>
              <w:spacing w:after="0"/>
              <w:rPr>
                <w:sz w:val="20"/>
                <w:szCs w:val="20"/>
                <w:color w:val="auto"/>
              </w:rPr>
            </w:pPr>
            <w:r>
              <w:rPr>
                <w:rFonts w:ascii="Arial" w:cs="Arial" w:eastAsia="Arial" w:hAnsi="Arial"/>
                <w:sz w:val="11"/>
                <w:szCs w:val="11"/>
                <w:color w:val="auto"/>
              </w:rPr>
              <w:t>(2,317,722 )</w:t>
            </w: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(748 )</w:t>
            </w: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649,756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(1,912 )</w:t>
            </w: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(165,204 )</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481,903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Issuance of common stock</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upon exercise of stock</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options</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590,254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2,144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2,144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740" w:type="dxa"/>
            <w:vAlign w:val="bottom"/>
            <w:tcBorders>
              <w:right w:val="single" w:sz="8" w:color="auto"/>
            </w:tcBorders>
            <w:shd w:val="clear" w:color="auto" w:fill="CFF0FC"/>
          </w:tcPr>
          <w:p>
            <w:pPr>
              <w:ind w:left="20"/>
              <w:spacing w:after="0" w:line="125" w:lineRule="exact"/>
              <w:rPr>
                <w:sz w:val="20"/>
                <w:szCs w:val="20"/>
                <w:color w:val="auto"/>
              </w:rPr>
            </w:pPr>
            <w:r>
              <w:rPr>
                <w:rFonts w:ascii="Arial" w:cs="Arial" w:eastAsia="Arial" w:hAnsi="Arial"/>
                <w:sz w:val="11"/>
                <w:szCs w:val="11"/>
                <w:color w:val="auto"/>
              </w:rPr>
              <w:t>Issuance of common stock</w:t>
            </w: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upon settlement of restricted</w:t>
            </w: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stock units</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578,477</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Issuance of common</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under employee</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stock purchase plan</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55,232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864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740" w:type="dxa"/>
            <w:vAlign w:val="bottom"/>
            <w:tcBorders>
              <w:right w:val="single" w:sz="8" w:color="auto"/>
            </w:tcBorders>
            <w:shd w:val="clear" w:color="auto" w:fill="CFF0FC"/>
          </w:tcPr>
          <w:p>
            <w:pPr>
              <w:ind w:left="20"/>
              <w:spacing w:after="0" w:line="125" w:lineRule="exact"/>
              <w:rPr>
                <w:sz w:val="20"/>
                <w:szCs w:val="20"/>
                <w:color w:val="auto"/>
              </w:rPr>
            </w:pPr>
            <w:r>
              <w:rPr>
                <w:rFonts w:ascii="Arial" w:cs="Arial" w:eastAsia="Arial" w:hAnsi="Arial"/>
                <w:sz w:val="11"/>
                <w:szCs w:val="11"/>
                <w:color w:val="auto"/>
              </w:rPr>
              <w:t>Issuance of common stock for</w:t>
            </w: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retention bonus</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28,332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Foreign currency translation</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adjustment</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(367 )</w:t>
            </w:r>
          </w:p>
        </w:tc>
        <w:tc>
          <w:tcPr>
            <w:tcW w:w="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(367 )</w:t>
            </w:r>
          </w:p>
        </w:tc>
        <w:tc>
          <w:tcPr>
            <w:tcW w:w="0" w:type="dxa"/>
            <w:vAlign w:val="bottom"/>
          </w:tcPr>
          <w:p>
            <w:pPr>
              <w:spacing w:after="0"/>
              <w:rPr>
                <w:sz w:val="1"/>
                <w:szCs w:val="1"/>
                <w:color w:val="auto"/>
              </w:rPr>
            </w:pPr>
          </w:p>
        </w:tc>
      </w:tr>
      <w:tr>
        <w:trPr>
          <w:trHeight w:val="152"/>
        </w:trPr>
        <w:tc>
          <w:tcPr>
            <w:tcW w:w="17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Stock-based compensation</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8,603</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8,603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Net loss</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1"/>
                <w:szCs w:val="11"/>
                <w:color w:val="auto"/>
              </w:rPr>
              <w:t>(3,683 )</w:t>
            </w:r>
          </w:p>
        </w:tc>
        <w:tc>
          <w:tcPr>
            <w:tcW w:w="14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(3,683 )</w:t>
            </w:r>
          </w:p>
        </w:tc>
        <w:tc>
          <w:tcPr>
            <w:tcW w:w="0" w:type="dxa"/>
            <w:vAlign w:val="bottom"/>
          </w:tcPr>
          <w:p>
            <w:pPr>
              <w:spacing w:after="0"/>
              <w:rPr>
                <w:sz w:val="1"/>
                <w:szCs w:val="1"/>
                <w:color w:val="auto"/>
              </w:rPr>
            </w:pPr>
          </w:p>
        </w:tc>
      </w:tr>
      <w:tr>
        <w:trPr>
          <w:trHeight w:val="20"/>
        </w:trPr>
        <w:tc>
          <w:tcPr>
            <w:tcW w:w="17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740" w:type="dxa"/>
            <w:vAlign w:val="bottom"/>
            <w:tcBorders>
              <w:bottom w:val="single" w:sz="8" w:color="CFF0FC"/>
              <w:right w:val="single" w:sz="8" w:color="auto"/>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Balances at March 31, 2023</w:t>
            </w:r>
          </w:p>
        </w:tc>
        <w:tc>
          <w:tcPr>
            <w:tcW w:w="1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111,042,997</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24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1,873,320</w:t>
            </w: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2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(2,317,722 )</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(748 )</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662,067</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(2,279 )</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(168,887 )</w:t>
            </w:r>
          </w:p>
        </w:tc>
        <w:tc>
          <w:tcPr>
            <w:tcW w:w="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490,164</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000000"/>
          </w:tcPr>
          <w:p>
            <w:pPr>
              <w:spacing w:after="0" w:line="20" w:lineRule="exact"/>
              <w:rPr>
                <w:sz w:val="1"/>
                <w:szCs w:val="1"/>
                <w:color w:val="auto"/>
              </w:rPr>
            </w:pPr>
          </w:p>
        </w:tc>
        <w:tc>
          <w:tcPr>
            <w:tcW w:w="540" w:type="dxa"/>
            <w:vAlign w:val="bottom"/>
            <w:tcBorders>
              <w:top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000000"/>
          </w:tcPr>
          <w:p>
            <w:pPr>
              <w:spacing w:after="0" w:line="20" w:lineRule="exact"/>
              <w:rPr>
                <w:sz w:val="1"/>
                <w:szCs w:val="1"/>
                <w:color w:val="auto"/>
              </w:rPr>
            </w:pPr>
          </w:p>
        </w:tc>
        <w:tc>
          <w:tcPr>
            <w:tcW w:w="540" w:type="dxa"/>
            <w:vAlign w:val="bottom"/>
            <w:tcBorders>
              <w:top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000000"/>
          </w:tcPr>
          <w:p>
            <w:pPr>
              <w:spacing w:after="0" w:line="20" w:lineRule="exact"/>
              <w:rPr>
                <w:sz w:val="1"/>
                <w:szCs w:val="1"/>
                <w:color w:val="auto"/>
              </w:rPr>
            </w:pPr>
          </w:p>
        </w:tc>
        <w:tc>
          <w:tcPr>
            <w:tcW w:w="580" w:type="dxa"/>
            <w:vAlign w:val="bottom"/>
            <w:tcBorders>
              <w:top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000000"/>
          </w:tcPr>
          <w:p>
            <w:pPr>
              <w:spacing w:after="0" w:line="20" w:lineRule="exact"/>
              <w:rPr>
                <w:sz w:val="1"/>
                <w:szCs w:val="1"/>
                <w:color w:val="auto"/>
              </w:rPr>
            </w:pPr>
          </w:p>
        </w:tc>
        <w:tc>
          <w:tcPr>
            <w:tcW w:w="620" w:type="dxa"/>
            <w:vAlign w:val="bottom"/>
            <w:tcBorders>
              <w:top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000000"/>
          </w:tcPr>
          <w:p>
            <w:pPr>
              <w:spacing w:after="0" w:line="20" w:lineRule="exact"/>
              <w:rPr>
                <w:sz w:val="1"/>
                <w:szCs w:val="1"/>
                <w:color w:val="auto"/>
              </w:rPr>
            </w:pPr>
          </w:p>
        </w:tc>
        <w:tc>
          <w:tcPr>
            <w:tcW w:w="800" w:type="dxa"/>
            <w:vAlign w:val="bottom"/>
            <w:tcBorders>
              <w:top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000000"/>
          </w:tcPr>
          <w:p>
            <w:pPr>
              <w:spacing w:after="0" w:line="20" w:lineRule="exact"/>
              <w:rPr>
                <w:sz w:val="1"/>
                <w:szCs w:val="1"/>
                <w:color w:val="auto"/>
              </w:rPr>
            </w:pPr>
          </w:p>
        </w:tc>
        <w:tc>
          <w:tcPr>
            <w:tcW w:w="760" w:type="dxa"/>
            <w:vAlign w:val="bottom"/>
            <w:tcBorders>
              <w:top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000000"/>
          </w:tcPr>
          <w:p>
            <w:pPr>
              <w:spacing w:after="0" w:line="20" w:lineRule="exact"/>
              <w:rPr>
                <w:sz w:val="1"/>
                <w:szCs w:val="1"/>
                <w:color w:val="auto"/>
              </w:rPr>
            </w:pPr>
          </w:p>
        </w:tc>
        <w:tc>
          <w:tcPr>
            <w:tcW w:w="64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1657350</wp:posOffset>
            </wp:positionH>
            <wp:positionV relativeFrom="paragraph">
              <wp:posOffset>-2122805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2128520</wp:posOffset>
            </wp:positionH>
            <wp:positionV relativeFrom="paragraph">
              <wp:posOffset>-2122805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-2122805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-2122805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-2122805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-2122805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-2122805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-2122805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-2122805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-2122805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1657350</wp:posOffset>
            </wp:positionH>
            <wp:positionV relativeFrom="paragraph">
              <wp:posOffset>-7620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2128520</wp:posOffset>
            </wp:positionH>
            <wp:positionV relativeFrom="paragraph">
              <wp:posOffset>-7620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-7620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-7620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 OF CASH FLOWS</w:t>
      </w:r>
    </w:p>
    <w:p>
      <w:pPr>
        <w:jc w:val="center"/>
        <w:ind w:right="40"/>
        <w:spacing w:after="0"/>
        <w:rPr>
          <w:sz w:val="20"/>
          <w:szCs w:val="20"/>
          <w:color w:val="auto"/>
        </w:rPr>
      </w:pPr>
      <w:r>
        <w:rPr>
          <w:rFonts w:ascii="Arial" w:cs="Arial" w:eastAsia="Arial" w:hAnsi="Arial"/>
          <w:sz w:val="18"/>
          <w:szCs w:val="18"/>
          <w:color w:val="auto"/>
        </w:rPr>
        <w:t>(Unaudited) (Amounts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March 31,</w:t>
            </w:r>
          </w:p>
        </w:tc>
      </w:tr>
      <w:tr>
        <w:trPr>
          <w:trHeight w:val="209"/>
        </w:trPr>
        <w:tc>
          <w:tcPr>
            <w:tcW w:w="77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(6,217 )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(3,683 )</w:t>
            </w:r>
          </w:p>
        </w:tc>
      </w:tr>
      <w:tr>
        <w:trPr>
          <w:trHeight w:val="197"/>
        </w:trPr>
        <w:tc>
          <w:tcPr>
            <w:tcW w:w="774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Adjustments to reconcile net loss to net cash used in operating</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4,259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3,731</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8,603</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Amortization of deferred contract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(478 )</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Deferred tax benefit</w:t>
            </w:r>
          </w:p>
        </w:tc>
        <w:tc>
          <w:tcPr>
            <w:tcW w:w="36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(643 )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(620 )</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Provision for uncollectible accounts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(16 )</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Non-cash 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Changes in operating assets and liabilities, net of acquisitions: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(1,457 )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(4,324 )</w:t>
            </w:r>
          </w:p>
        </w:tc>
      </w:tr>
      <w:tr>
        <w:trPr>
          <w:trHeight w:val="229"/>
        </w:trPr>
        <w:tc>
          <w:tcPr>
            <w:tcW w:w="77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Unbilled receivables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400"/>
              <w:spacing w:after="0"/>
              <w:rPr>
                <w:sz w:val="20"/>
                <w:szCs w:val="20"/>
                <w:color w:val="auto"/>
              </w:rPr>
            </w:pPr>
            <w:r>
              <w:rPr>
                <w:rFonts w:ascii="Arial" w:cs="Arial" w:eastAsia="Arial" w:hAnsi="Arial"/>
                <w:sz w:val="18"/>
                <w:szCs w:val="18"/>
                <w:color w:val="auto"/>
              </w:rPr>
              <w:t>Funds receivable from payment partners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37,714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34,323</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Prepaid expenses, other current assets and other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(828 )</w:t>
            </w:r>
          </w:p>
        </w:tc>
      </w:tr>
      <w:tr>
        <w:trPr>
          <w:trHeight w:val="229"/>
        </w:trPr>
        <w:tc>
          <w:tcPr>
            <w:tcW w:w="7740" w:type="dxa"/>
            <w:vAlign w:val="bottom"/>
          </w:tcPr>
          <w:p>
            <w:pPr>
              <w:ind w:left="400"/>
              <w:spacing w:after="0"/>
              <w:rPr>
                <w:sz w:val="20"/>
                <w:szCs w:val="20"/>
                <w:color w:val="auto"/>
              </w:rPr>
            </w:pPr>
            <w:r>
              <w:rPr>
                <w:rFonts w:ascii="Arial" w:cs="Arial" w:eastAsia="Arial" w:hAnsi="Arial"/>
                <w:sz w:val="18"/>
                <w:szCs w:val="18"/>
                <w:color w:val="auto"/>
              </w:rPr>
              <w:t>Funds payable to clients</w:t>
            </w:r>
          </w:p>
        </w:tc>
        <w:tc>
          <w:tcPr>
            <w:tcW w:w="36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(86,810 )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(60,343 )</w:t>
            </w:r>
          </w:p>
        </w:tc>
      </w:tr>
      <w:tr>
        <w:trPr>
          <w:trHeight w:val="229"/>
        </w:trPr>
        <w:tc>
          <w:tcPr>
            <w:tcW w:w="77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Accounts payable, accrued expenses and other current liabilities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(2,489 )</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2,780</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400"/>
              <w:spacing w:after="0"/>
              <w:rPr>
                <w:sz w:val="20"/>
                <w:szCs w:val="20"/>
                <w:color w:val="auto"/>
              </w:rPr>
            </w:pPr>
            <w:r>
              <w:rPr>
                <w:rFonts w:ascii="Arial" w:cs="Arial" w:eastAsia="Arial" w:hAnsi="Arial"/>
                <w:sz w:val="18"/>
                <w:szCs w:val="18"/>
                <w:color w:val="auto"/>
              </w:rPr>
              <w:t>Contingent consideration</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(467 )</w:t>
            </w:r>
          </w:p>
        </w:tc>
      </w:tr>
      <w:tr>
        <w:trPr>
          <w:trHeight w:val="229"/>
        </w:trPr>
        <w:tc>
          <w:tcPr>
            <w:tcW w:w="77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(340 )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(413 )</w:t>
            </w:r>
          </w:p>
        </w:tc>
      </w:tr>
      <w:tr>
        <w:trPr>
          <w:trHeight w:val="229"/>
        </w:trPr>
        <w:tc>
          <w:tcPr>
            <w:tcW w:w="7740" w:type="dxa"/>
            <w:vAlign w:val="bottom"/>
          </w:tcPr>
          <w:p>
            <w:pPr>
              <w:ind w:left="40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(1,349 )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(1,526 )</w:t>
            </w:r>
          </w:p>
        </w:tc>
      </w:tr>
      <w:tr>
        <w:trPr>
          <w:trHeight w:val="20"/>
        </w:trPr>
        <w:tc>
          <w:tcPr>
            <w:tcW w:w="7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(38,093 )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(20,846 )</w:t>
            </w:r>
          </w:p>
        </w:tc>
      </w:tr>
      <w:tr>
        <w:trPr>
          <w:trHeight w:val="223"/>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Capitalization of internally developed software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(1,259 )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(1,368 )</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(255 )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(481 )</w:t>
            </w:r>
          </w:p>
        </w:tc>
      </w:tr>
      <w:tr>
        <w:trPr>
          <w:trHeight w:val="20"/>
        </w:trPr>
        <w:tc>
          <w:tcPr>
            <w:tcW w:w="7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(1,514 )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(1,849 )</w:t>
            </w:r>
          </w:p>
        </w:tc>
      </w:tr>
      <w:tr>
        <w:trPr>
          <w:trHeight w:val="223"/>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consideration paid for acquisitions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(1,207 )</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Payment of long-term debt issuance costs</w:t>
            </w:r>
          </w:p>
        </w:tc>
        <w:tc>
          <w:tcPr>
            <w:tcW w:w="36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(783 )</w:t>
            </w: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the issuance of stock under Employee Stock Purchase Plan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FF0FC"/>
          </w:tcPr>
          <w:p>
            <w:pPr>
              <w:spacing w:after="0"/>
              <w:rPr>
                <w:sz w:val="19"/>
                <w:szCs w:val="19"/>
                <w:color w:val="auto"/>
              </w:rPr>
            </w:pPr>
          </w:p>
        </w:tc>
      </w:tr>
      <w:tr>
        <w:trPr>
          <w:trHeight w:val="249"/>
        </w:trPr>
        <w:tc>
          <w:tcPr>
            <w:tcW w:w="774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21"/>
                <w:szCs w:val="21"/>
                <w:color w:val="auto"/>
              </w:rPr>
            </w:pPr>
          </w:p>
        </w:tc>
      </w:tr>
      <w:tr>
        <w:trPr>
          <w:trHeight w:val="216"/>
        </w:trPr>
        <w:tc>
          <w:tcPr>
            <w:tcW w:w="7740" w:type="dxa"/>
            <w:vAlign w:val="bottom"/>
            <w:tcBorders>
              <w:top w:val="single" w:sz="8" w:color="CFF0FC"/>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CFF0FC"/>
              <w:bottom w:val="single" w:sz="8" w:color="auto"/>
            </w:tcBorders>
            <w:shd w:val="clear" w:color="auto" w:fill="CFF0FC"/>
          </w:tcPr>
          <w:p>
            <w:pPr>
              <w:spacing w:after="0"/>
              <w:rPr>
                <w:sz w:val="18"/>
                <w:szCs w:val="18"/>
                <w:color w:val="auto"/>
              </w:rPr>
            </w:pPr>
          </w:p>
        </w:tc>
        <w:tc>
          <w:tcPr>
            <w:tcW w:w="12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2,249</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Effect of exchange rates changes on cash and cash equivalents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(1,202 )</w:t>
            </w:r>
          </w:p>
        </w:tc>
      </w:tr>
      <w:tr>
        <w:trPr>
          <w:trHeight w:val="20"/>
        </w:trPr>
        <w:tc>
          <w:tcPr>
            <w:tcW w:w="7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(35,594 )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(22,096 )</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654,608</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351,177</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619,014</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329,081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cash flow and noncash information</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property and equipment in accounts payable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Issuance of common stock upon settlement of restricted stock units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19,883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14,894</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for retention bonus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619,014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327,081</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Cash, cash equivalents and restricted cash</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619,014</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329,081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-3329940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-3329940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-2730500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-2730500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-1831975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-1998345</wp:posOffset>
            </wp:positionV>
            <wp:extent cx="93980" cy="1879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-1223645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-1206500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-1223645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-1206500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30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Business Overview and Summary of Significant Accounting Policies</w:t>
      </w:r>
    </w:p>
    <w:p>
      <w:pPr>
        <w:spacing w:after="0" w:line="171" w:lineRule="exact"/>
        <w:rPr>
          <w:sz w:val="20"/>
          <w:szCs w:val="20"/>
          <w:color w:val="auto"/>
        </w:rPr>
      </w:pPr>
    </w:p>
    <w:p>
      <w:pPr>
        <w:jc w:val="both"/>
        <w:ind w:right="80" w:firstLine="509"/>
        <w:spacing w:after="0" w:line="252" w:lineRule="auto"/>
        <w:rPr>
          <w:sz w:val="20"/>
          <w:szCs w:val="20"/>
          <w:color w:val="auto"/>
        </w:rPr>
      </w:pPr>
      <w:r>
        <w:rPr>
          <w:rFonts w:ascii="Arial" w:cs="Arial" w:eastAsia="Arial" w:hAnsi="Arial"/>
          <w:sz w:val="18"/>
          <w:szCs w:val="18"/>
          <w:color w:val="auto"/>
        </w:rPr>
        <w:t>Flywire Corporation (Flywire or the Company) was incorporated under the laws of the State of Delaware in July 2009 as peerTransfer Corporation. In 2016, the Company changed its name to Flywire Corporation. The Company is headquartered in Boston, Massachusetts and has a global footprint in 16 countries across 5 continents.</w:t>
      </w:r>
    </w:p>
    <w:p>
      <w:pPr>
        <w:spacing w:after="0" w:line="14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Flywire provides a secure global payments platform, offering its clients an innovative and streamlined process to receive reconciled domestic and international payments in a more cost effective and efficient manner. The Company’s solutions are built on three core elements:</w:t>
      </w:r>
    </w:p>
    <w:p>
      <w:pPr>
        <w:spacing w:after="0" w:line="1" w:lineRule="exact"/>
        <w:rPr>
          <w:sz w:val="20"/>
          <w:szCs w:val="20"/>
          <w:color w:val="auto"/>
        </w:rPr>
      </w:pPr>
    </w:p>
    <w:p>
      <w:pPr>
        <w:ind w:right="420" w:firstLine="8"/>
        <w:spacing w:after="0" w:line="250" w:lineRule="auto"/>
        <w:tabs>
          <w:tab w:leader="none" w:pos="21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next-gen payments platform, (ii) a proprietary global payment network, and (iii) vertical-specific software backed by its deep industry expertise.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Follow-On Public Offering</w:t>
      </w:r>
    </w:p>
    <w:p>
      <w:pPr>
        <w:spacing w:after="0" w:line="169"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On August 9, 2023, the Company entered into an Underwriting Agreement with Goldman Sachs &amp; Co. LLC, as the Representative of the several Underwriters, in connection with the offer and sale of 8,000,000 shares of voting common stock, at a price to the public of $32.00 per share (the Primary Offering). In addition, pursuant to the terms of the Underwriting Agreement, the Company granted the Underwriters an option to purchase up to 1,200,000 additional shares of common stock (the Option).</w:t>
      </w:r>
    </w:p>
    <w:p>
      <w:pPr>
        <w:spacing w:after="0" w:line="149"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The Primary Offering closed on August 14, 2023 and on September 12, 2023, the Underwriters exercised the Option in part and purchased an additional 500,000 shares of voting common stock at a price to the public of $32.00 per share (the Public Offering). The Company received $260.1 million in net proceeds from the Public Offering, after deducting underwriting discounts and commissions of $10.9 million and other offering costs of $1.1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69"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 owned subsidiaries and have been prepared in accordance with generally accepted accounting principles in the United States (GAAP) and applicable rules and regulations of the SEC regarding interim financial reporting. The interim unaudited condensed consolidated financial statements have been prepared on the same basis as the annual audited consolidated financial statements and, in the opinion of management, reflect all adjustments, which include only normal recurring adjustments, necessary for the fair statement of the Company’s financial position, results of operations, comprehensive loss, changes in stockholders’ equity, and its cash flows for the periods presented.</w:t>
      </w:r>
    </w:p>
    <w:p>
      <w:pPr>
        <w:spacing w:after="0" w:line="155"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The results of operations for the three months ended March 31, 2024, are not necessarily indicative of results to be expected for the year ended December 31, 2024, any other interim periods or any future year or period. The accompanying consolidated balance sheet as of December 31, 2023 was derived from the Company’s audited consolidated financial statements for the year ended December 31, 2023. Certain information and note disclosures normally included in the annual consolidated financial statements prepared in accordance with GAAP have been condensed or omitted from the interim unaudited condensed consolidated financial statements.</w:t>
      </w:r>
    </w:p>
    <w:p>
      <w:pPr>
        <w:spacing w:after="0" w:line="139"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These condensed consolidated financial statements should be read in conjunction with the audited consolidated financial statements and notes included in the Company’s Annual Report on Form 10-K for the year ended December 31, 2023.</w:t>
      </w:r>
    </w:p>
    <w:p>
      <w:pPr>
        <w:spacing w:after="0" w:line="112"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The condensed consolidated financial statements include the accounts of Flywire and its wholly owned subsidiaries. All intercompany accounts and transactions have been eliminated upon consolidation.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69"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 xml:space="preserve">The Company has a single operating and reportable segment. The Company’s chief operating decision maker is its Chief Executive Officer, who reviews financial information presented on a consolidated basis for purposes of making operating decisions, assessing financial performance and allocating resources. See </w:t>
      </w:r>
      <w:r>
        <w:rPr>
          <w:rFonts w:ascii="Arial" w:cs="Arial" w:eastAsia="Arial" w:hAnsi="Arial"/>
          <w:sz w:val="18"/>
          <w:szCs w:val="18"/>
          <w:i w:val="1"/>
          <w:iCs w:val="1"/>
          <w:color w:val="auto"/>
        </w:rPr>
        <w:t>Note 2 - Revenue and Recognition</w:t>
      </w:r>
      <w:r>
        <w:rPr>
          <w:rFonts w:ascii="Arial" w:cs="Arial" w:eastAsia="Arial" w:hAnsi="Arial"/>
          <w:sz w:val="18"/>
          <w:szCs w:val="18"/>
          <w:color w:val="auto"/>
        </w:rPr>
        <w:t xml:space="preserve"> for information regarding the Company's revenue by geographic area.</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2"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and disclosed in the condensed consolidated financial statements and the accompanying notes. Significant estimates and assumptions reflected in these financial statements include, but are not limited to, the valuation of certain stock-based compensation awards, the valuation of contingent consideration, the valuation of acquired intangible assets and their useful lives, the estimate of credit losses on accounts receivable and unbilled receivables, the impairment assessment of goodwill, intangibles and other long-lived assets and the incremental borrowing rates for operating leases. The Company bases its estimates on historical experience, known trends and other market-specific or other relevant factors that it believes to be reasonable under the circumstances. On an ongoing basis, the Company evaluates its estimates as there are changes in circumstances, facts and experience. Changes in estimates are recorded in the period in which they become known. Actual results may differ from those estimates or assumptions.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69"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Inflation did not have a material effect on the Company's cash flows and results of operations during the three months ended March 31, 2024.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Financial Instruments and Significant Clients</w:t>
      </w:r>
    </w:p>
    <w:p>
      <w:pPr>
        <w:spacing w:after="0" w:line="169"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Financial instruments that potentially subject the Company to concentration of credit risk consists principally of cash, cash equivalents, accounts receivable, unbilled receivables and funds receivable from payment partners.</w:t>
      </w:r>
    </w:p>
    <w:p>
      <w:pPr>
        <w:spacing w:after="0" w:line="112" w:lineRule="exact"/>
        <w:rPr>
          <w:sz w:val="20"/>
          <w:szCs w:val="20"/>
          <w:color w:val="auto"/>
        </w:rPr>
      </w:pPr>
    </w:p>
    <w:p>
      <w:pPr>
        <w:ind w:right="220" w:firstLine="509"/>
        <w:spacing w:after="0" w:line="255" w:lineRule="auto"/>
        <w:rPr>
          <w:sz w:val="20"/>
          <w:szCs w:val="20"/>
          <w:color w:val="auto"/>
        </w:rPr>
      </w:pPr>
      <w:r>
        <w:rPr>
          <w:rFonts w:ascii="Arial" w:cs="Arial" w:eastAsia="Arial" w:hAnsi="Arial"/>
          <w:sz w:val="17"/>
          <w:szCs w:val="17"/>
          <w:color w:val="auto"/>
        </w:rPr>
        <w:t>The Company maintains its cash and cash equivalents with financial institutions that management believes are of high credit quality. Our cash equivalents include money market funds, which are AAA-rated and comprised of liquid, high quality debt securities issued by the U.S. government. The Company's cash and cash equivalents deposited with the financial institutions exceed the Federal Deposit Insurance Corporation (FDIC) insurance limit of $250,000. As part of its cash management process, the Company performs periodic reviews of the credit standing of the financial institutions holding its cash and cash equivalents. Additionally, to mitigate credit risk associated with financial institutions, the Company diversifies its cash and cash equivalents across multiple financial institutions and U.S. Treasury Money Market Funds. U.S. Treasuries, by their nature, create a concentration of credit risk with the US Government. Our access to our cash and cash equivalents and client funds could be significantly impacted in volatile markets given our concentration in government money market funds.</w:t>
      </w:r>
    </w:p>
    <w:p>
      <w:pPr>
        <w:spacing w:after="0" w:line="145"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To manage credit risk related to accounts receivable and unbilled receivables, the Company maintains an allowance for credit losses. The allowance is determined by applying a loss-rate method based on an aging schedule using the Company's historical loss rate. The Company also considers reasonable and supportable current and forecasted information in determining its estimated loss rates, such as external forecasts, macroeconomic trends, or other factors that are associated with the credit quality of the Company’s customer base. The Company did not experience any material credit losses for the three months ended March 31, 2024.</w:t>
      </w:r>
    </w:p>
    <w:p>
      <w:pPr>
        <w:spacing w:after="0" w:line="139" w:lineRule="exact"/>
        <w:rPr>
          <w:sz w:val="20"/>
          <w:szCs w:val="20"/>
          <w:color w:val="auto"/>
        </w:rPr>
      </w:pPr>
    </w:p>
    <w:p>
      <w:pPr>
        <w:jc w:val="both"/>
        <w:ind w:right="180" w:firstLine="509"/>
        <w:spacing w:after="0" w:line="252" w:lineRule="auto"/>
        <w:rPr>
          <w:sz w:val="20"/>
          <w:szCs w:val="20"/>
          <w:color w:val="auto"/>
        </w:rPr>
      </w:pPr>
      <w:r>
        <w:rPr>
          <w:rFonts w:ascii="Arial" w:cs="Arial" w:eastAsia="Arial" w:hAnsi="Arial"/>
          <w:sz w:val="18"/>
          <w:szCs w:val="18"/>
          <w:color w:val="auto"/>
        </w:rPr>
        <w:t>Accounts receivable are derived from revenue earned from clients located in the U.S. and internationally. Significant clients are those that represent 10% or more of accounts receivable, net. As of March 31, 2024 and December 31, 2023, there was no client that represented 10% or more of accounts receivable, net.</w:t>
      </w:r>
    </w:p>
    <w:p>
      <w:pPr>
        <w:spacing w:after="0" w:line="130" w:lineRule="exact"/>
        <w:rPr>
          <w:sz w:val="20"/>
          <w:szCs w:val="20"/>
          <w:color w:val="auto"/>
        </w:rPr>
      </w:pPr>
    </w:p>
    <w:p>
      <w:pPr>
        <w:jc w:val="both"/>
        <w:ind w:left="260" w:right="220" w:firstLine="509"/>
        <w:spacing w:after="0" w:line="252" w:lineRule="auto"/>
        <w:rPr>
          <w:sz w:val="20"/>
          <w:szCs w:val="20"/>
          <w:color w:val="auto"/>
        </w:rPr>
      </w:pPr>
      <w:r>
        <w:rPr>
          <w:rFonts w:ascii="Arial" w:cs="Arial" w:eastAsia="Arial" w:hAnsi="Arial"/>
          <w:sz w:val="18"/>
          <w:szCs w:val="18"/>
          <w:color w:val="auto"/>
        </w:rPr>
        <w:t>Funds receivable from payment partners consist primarily of cash held by the Company’s global payment processing partners that have not yet been remitted to the Company. Significant partners are those that represent 10% or more of funds receivable from payment partners as set forth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1260" w:type="dxa"/>
            <w:vAlign w:val="bottom"/>
          </w:tcPr>
          <w:p>
            <w:pPr>
              <w:jc w:val="center"/>
              <w:ind w:left="248"/>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00" w:type="dxa"/>
            <w:vAlign w:val="bottom"/>
          </w:tcPr>
          <w:p>
            <w:pPr>
              <w:spacing w:after="0"/>
              <w:rPr>
                <w:sz w:val="16"/>
                <w:szCs w:val="16"/>
                <w:color w:val="auto"/>
              </w:rPr>
            </w:pP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r>
      <w:tr>
        <w:trPr>
          <w:trHeight w:val="223"/>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Partner A</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Partner B</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11 %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Partner C</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11 %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Partner D</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Partner E</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38 %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153"/>
        </w:trPr>
        <w:tc>
          <w:tcPr>
            <w:tcW w:w="7700" w:type="dxa"/>
            <w:vAlign w:val="bottom"/>
          </w:tcPr>
          <w:p>
            <w:pPr>
              <w:spacing w:after="0" w:line="153" w:lineRule="exact"/>
              <w:rPr>
                <w:sz w:val="20"/>
                <w:szCs w:val="20"/>
                <w:color w:val="auto"/>
              </w:rPr>
            </w:pPr>
            <w:r>
              <w:rPr>
                <w:rFonts w:ascii="Arial" w:cs="Arial" w:eastAsia="Arial" w:hAnsi="Arial"/>
                <w:sz w:val="14"/>
                <w:szCs w:val="14"/>
                <w:color w:val="auto"/>
              </w:rPr>
              <w:t>______________________</w:t>
            </w: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90"/>
        </w:trPr>
        <w:tc>
          <w:tcPr>
            <w:tcW w:w="8960" w:type="dxa"/>
            <w:vAlign w:val="bottom"/>
            <w:gridSpan w:val="2"/>
          </w:tcPr>
          <w:p>
            <w:pPr>
              <w:spacing w:after="0"/>
              <w:rPr>
                <w:sz w:val="20"/>
                <w:szCs w:val="20"/>
                <w:color w:val="auto"/>
              </w:rPr>
            </w:pPr>
            <w:r>
              <w:rPr>
                <w:rFonts w:ascii="Arial" w:cs="Arial" w:eastAsia="Arial" w:hAnsi="Arial"/>
                <w:sz w:val="14"/>
                <w:szCs w:val="14"/>
                <w:color w:val="auto"/>
              </w:rPr>
              <w:t>* Less than 10% of total balance.</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-944880</wp:posOffset>
            </wp:positionV>
            <wp:extent cx="713232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-653415</wp:posOffset>
            </wp:positionV>
            <wp:extent cx="713232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months ended March 31, 2024 and 2023, no client accounted for 10% or more of total revenue.</w:t>
      </w:r>
    </w:p>
    <w:p>
      <w:pPr>
        <w:spacing w:after="0" w:line="17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During the three months ended March 31, 2024, revenue from clients located in the United States and Canada (Americas), Europe, the Middle East and Africa (EMEA) and the Asia and Pacific region (APAC) in the aggregate accounted for 50.7%, 31.7% and 17.6% of the Company’s total revenues, respectively.</w:t>
      </w:r>
    </w:p>
    <w:p>
      <w:pPr>
        <w:spacing w:after="0" w:line="144" w:lineRule="exact"/>
        <w:rPr>
          <w:sz w:val="20"/>
          <w:szCs w:val="20"/>
          <w:color w:val="auto"/>
        </w:rPr>
      </w:pPr>
    </w:p>
    <w:p>
      <w:pPr>
        <w:ind w:right="780" w:firstLine="509"/>
        <w:spacing w:after="0" w:line="271" w:lineRule="auto"/>
        <w:rPr>
          <w:sz w:val="20"/>
          <w:szCs w:val="20"/>
          <w:color w:val="auto"/>
        </w:rPr>
      </w:pPr>
      <w:r>
        <w:rPr>
          <w:rFonts w:ascii="Arial" w:cs="Arial" w:eastAsia="Arial" w:hAnsi="Arial"/>
          <w:sz w:val="18"/>
          <w:szCs w:val="18"/>
          <w:color w:val="auto"/>
        </w:rPr>
        <w:t>During the three months ended March 31, 2023, revenue from clients located in Americas, EMEA and APAC in the aggregate accounted for 63.8%, 23.0% and 13.2% of the Company’s total revenues,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69" w:lineRule="exact"/>
        <w:rPr>
          <w:sz w:val="20"/>
          <w:szCs w:val="20"/>
          <w:color w:val="auto"/>
        </w:rPr>
      </w:pPr>
    </w:p>
    <w:p>
      <w:pPr>
        <w:ind w:right="240" w:firstLine="509"/>
        <w:spacing w:after="0" w:line="252" w:lineRule="auto"/>
        <w:rPr>
          <w:sz w:val="20"/>
          <w:szCs w:val="20"/>
          <w:color w:val="auto"/>
        </w:rPr>
      </w:pPr>
      <w:r>
        <w:rPr>
          <w:rFonts w:ascii="Arial" w:cs="Arial" w:eastAsia="Arial" w:hAnsi="Arial"/>
          <w:sz w:val="18"/>
          <w:szCs w:val="18"/>
          <w:color w:val="auto"/>
        </w:rPr>
        <w:t xml:space="preserve">The Company’s significant accounting policies are discussed in </w:t>
      </w:r>
      <w:r>
        <w:rPr>
          <w:rFonts w:ascii="Arial" w:cs="Arial" w:eastAsia="Arial" w:hAnsi="Arial"/>
          <w:sz w:val="18"/>
          <w:szCs w:val="18"/>
          <w:i w:val="1"/>
          <w:iCs w:val="1"/>
          <w:color w:val="auto"/>
        </w:rPr>
        <w:t>Note 1 - Business Overview and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in the notes to the audited consolidated financial statements in the Company’s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2023. There have been no material changes to these policies during the three months ended March 31, 2024.</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69" w:lineRule="exact"/>
        <w:rPr>
          <w:sz w:val="20"/>
          <w:szCs w:val="20"/>
          <w:color w:val="auto"/>
        </w:rPr>
      </w:pPr>
    </w:p>
    <w:p>
      <w:pPr>
        <w:ind w:right="320" w:firstLine="509"/>
        <w:spacing w:after="0" w:line="252" w:lineRule="auto"/>
        <w:rPr>
          <w:sz w:val="20"/>
          <w:szCs w:val="20"/>
          <w:color w:val="auto"/>
        </w:rPr>
      </w:pPr>
      <w:r>
        <w:rPr>
          <w:rFonts w:ascii="Arial" w:cs="Arial" w:eastAsia="Arial" w:hAnsi="Arial"/>
          <w:sz w:val="18"/>
          <w:szCs w:val="18"/>
          <w:color w:val="auto"/>
        </w:rPr>
        <w:t>Advertising costs are expensed as incurred and are included in selling and marketing expenses in the condensed consolidated statements of operations and comprehensive loss. Advertising expenses for the three months ended March 31, 2024 and 2023 were $1.6 million and $1.1 million,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2"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As of March 31, 2024 and for the period then ended, there were no recently adopted Accounting Standards Update (ASUs) that had a material effect on the Company’s condensed consolidated financial statements and disclosures.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ASUs were issued by the Financial Accounting Standards Board but not yet adopted by Flywire as of March 31, 2024:</w:t>
      </w:r>
    </w:p>
    <w:p>
      <w:pPr>
        <w:spacing w:after="0" w:line="18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 xml:space="preserve">ASU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xml:space="preserve"> ASU 2023-07 improves reportable segment disclosure requirements, primarily through enhanced disclosures about significant segment expenses. ASU 2023-07 also enhances interim disclosure requirements, clarifies circumstances in which an entity can disclose multiple segment measures of profit or loss, provides new segment disclosure requirements for entities with a single reportable and contains other disclosure requirements. ASU 2023-07 is effective for Flywire for the annual period beginning on January 1, 2024 and interim periods beginning on January 1, 2025. Early adoption is permitted. ASU 2023-07 should be applied retrospectively to all prior periods presented in the financial statements. The Company is currently evaluating the impact of this standard on its consolidated financial statements and disclosures.</w:t>
      </w:r>
    </w:p>
    <w:p>
      <w:pPr>
        <w:spacing w:after="0" w:line="142"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 xml:space="preserve">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xml:space="preserve"> ASU 2023-09 requires public business entities to disclose on an annual basis additional information in specified categories with respect to the reconciliation of the effective tax rate to the statutory rate for federal, state, and foreign income taxes. It also requires greater detail about individual reconciling items in the rate reconciliation to the extent the impact of those items exceeds a specified threshold. In addition, ASU 2023-09 requires disclosure pertaining to taxes paid, net of refunds received, to be disaggregated for federal, state, and foreign taxes and further disaggregated for specific jurisdictions to the extent the related amounts exceed a quantitative threshold. ASU 2023-09 is effective for the Company for the annual period beginning on January 1, 2025. Early adoption is permitted. ASU 2023-09 should be applied on a prospective basis. However, companies have the option to apply the standard retrospectively. The Company is currently evaluating the impact of this standard on its consolidated financial statements and disclosures.</w:t>
      </w:r>
    </w:p>
    <w:p>
      <w:pPr>
        <w:spacing w:after="0" w:line="28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Revenue and Recognition</w:t>
      </w:r>
    </w:p>
    <w:p>
      <w:pPr>
        <w:spacing w:after="0" w:line="171"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The following table presents revenue disaggregated by geographical area and major solutions. The categorization of revenue by geographical location is determined based on the location of where the client resides.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r>
      <w:tr>
        <w:trPr>
          <w:trHeight w:val="182"/>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Primary geographical markets</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Americas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57,866</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60,165</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EMEA</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36,160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21,661</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APAC</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20,077</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12,531</w:t>
            </w:r>
          </w:p>
        </w:tc>
        <w:tc>
          <w:tcPr>
            <w:tcW w:w="100" w:type="dxa"/>
            <w:vAlign w:val="bottom"/>
          </w:tcPr>
          <w:p>
            <w:pPr>
              <w:spacing w:after="0"/>
              <w:rPr>
                <w:sz w:val="19"/>
                <w:szCs w:val="19"/>
                <w:color w:val="auto"/>
              </w:rPr>
            </w:pPr>
          </w:p>
        </w:tc>
      </w:tr>
      <w:tr>
        <w:trPr>
          <w:trHeight w:val="263"/>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114,103</w:t>
            </w:r>
          </w:p>
        </w:tc>
        <w:tc>
          <w:tcPr>
            <w:tcW w:w="6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94,357</w:t>
            </w:r>
          </w:p>
        </w:tc>
        <w:tc>
          <w:tcPr>
            <w:tcW w:w="100" w:type="dxa"/>
            <w:vAlign w:val="bottom"/>
            <w:shd w:val="clear" w:color="auto" w:fill="CFF0FC"/>
          </w:tcPr>
          <w:p>
            <w:pPr>
              <w:spacing w:after="0"/>
              <w:rPr>
                <w:sz w:val="22"/>
                <w:szCs w:val="22"/>
                <w:color w:val="auto"/>
              </w:rPr>
            </w:pPr>
          </w:p>
        </w:tc>
      </w:tr>
      <w:tr>
        <w:trPr>
          <w:trHeight w:val="210"/>
        </w:trPr>
        <w:tc>
          <w:tcPr>
            <w:tcW w:w="77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Major solutions</w:t>
            </w: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Transactions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95,200</w:t>
            </w:r>
          </w:p>
        </w:tc>
        <w:tc>
          <w:tcPr>
            <w:tcW w:w="6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76,302</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Platform and other revenues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18,903</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18,055</w:t>
            </w:r>
          </w:p>
        </w:tc>
        <w:tc>
          <w:tcPr>
            <w:tcW w:w="100" w:type="dxa"/>
            <w:vAlign w:val="bottom"/>
          </w:tcPr>
          <w:p>
            <w:pPr>
              <w:spacing w:after="0"/>
              <w:rPr>
                <w:sz w:val="19"/>
                <w:szCs w:val="19"/>
                <w:color w:val="auto"/>
              </w:rPr>
            </w:pPr>
          </w:p>
        </w:tc>
      </w:tr>
      <w:tr>
        <w:trPr>
          <w:trHeight w:val="263"/>
        </w:trPr>
        <w:tc>
          <w:tcPr>
            <w:tcW w:w="77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114,103</w:t>
            </w:r>
          </w:p>
        </w:tc>
        <w:tc>
          <w:tcPr>
            <w:tcW w:w="2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94,357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-641350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-624205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-624205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from Contracts with Clients</w:t>
      </w:r>
    </w:p>
    <w:p>
      <w:pPr>
        <w:spacing w:after="0" w:line="182"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The following table provides information about accounts receivable, unbilled receivables and deferred revenue from contracts with clients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ind w:right="456"/>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19,688</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18,215</w:t>
            </w:r>
          </w:p>
        </w:tc>
        <w:tc>
          <w:tcPr>
            <w:tcW w:w="100" w:type="dxa"/>
            <w:vAlign w:val="bottom"/>
            <w:shd w:val="clear" w:color="auto" w:fill="CFF0FC"/>
          </w:tcPr>
          <w:p>
            <w:pPr>
              <w:spacing w:after="0"/>
              <w:rPr>
                <w:sz w:val="19"/>
                <w:szCs w:val="19"/>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Unbilled receivables, net</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7,995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10,689</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 – current</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5,619</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6,968</w:t>
            </w:r>
          </w:p>
        </w:tc>
        <w:tc>
          <w:tcPr>
            <w:tcW w:w="100" w:type="dxa"/>
            <w:vAlign w:val="bottom"/>
            <w:shd w:val="clear" w:color="auto" w:fill="CFF0FC"/>
          </w:tcPr>
          <w:p>
            <w:pPr>
              <w:spacing w:after="0"/>
              <w:rPr>
                <w:sz w:val="19"/>
                <w:szCs w:val="19"/>
                <w:color w:val="auto"/>
              </w:rPr>
            </w:pPr>
          </w:p>
        </w:tc>
      </w:tr>
      <w:tr>
        <w:trPr>
          <w:trHeight w:val="239"/>
        </w:trPr>
        <w:tc>
          <w:tcPr>
            <w:tcW w:w="7320" w:type="dxa"/>
            <w:vAlign w:val="bottom"/>
          </w:tcPr>
          <w:p>
            <w:pPr>
              <w:ind w:left="20"/>
              <w:spacing w:after="0"/>
              <w:rPr>
                <w:sz w:val="20"/>
                <w:szCs w:val="20"/>
                <w:color w:val="auto"/>
              </w:rPr>
            </w:pPr>
            <w:r>
              <w:rPr>
                <w:rFonts w:ascii="Arial" w:cs="Arial" w:eastAsia="Arial" w:hAnsi="Arial"/>
                <w:sz w:val="18"/>
                <w:szCs w:val="18"/>
                <w:color w:val="auto"/>
              </w:rPr>
              <w:t>Deferred revenue – non-current</w:t>
            </w:r>
          </w:p>
        </w:tc>
        <w:tc>
          <w:tcPr>
            <w:tcW w:w="3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r>
    </w:tbl>
    <w:p>
      <w:pPr>
        <w:spacing w:after="0" w:line="14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For the three months ended March 31, 2024 and 2023, the Company recognized $3.1 million and $2.2 million in revenue from amounts that were included in deferred revenue as of December 31, 2023 and 2022,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69" w:lineRule="exact"/>
        <w:rPr>
          <w:sz w:val="20"/>
          <w:szCs w:val="20"/>
          <w:color w:val="auto"/>
        </w:rPr>
      </w:pPr>
    </w:p>
    <w:p>
      <w:pPr>
        <w:ind w:right="520" w:firstLine="509"/>
        <w:spacing w:after="0" w:line="261" w:lineRule="auto"/>
        <w:rPr>
          <w:sz w:val="20"/>
          <w:szCs w:val="20"/>
          <w:color w:val="auto"/>
        </w:rPr>
      </w:pPr>
      <w:r>
        <w:rPr>
          <w:rFonts w:ascii="Arial" w:cs="Arial" w:eastAsia="Arial" w:hAnsi="Arial"/>
          <w:sz w:val="17"/>
          <w:szCs w:val="17"/>
          <w:color w:val="auto"/>
        </w:rPr>
        <w:t>The Company has performance obligations associated with certain clients' contracts for future services that have not yet been recognized as revenue. As of March 31, 2024, the aggregate amount of transaction price allocated to performance obligations that are unsatisfied or partially unsatisfied, including deferred revenue, was approximately $13.3 million. Of the total remaining performance obligations, the Company expects to recognize approximately 54.0% within a year and 46.0% over the next two to five years thereafter. Actual amounts and timing of revenue recognized may differ due to subsequent contract modifications, renewals and/or terminations.</w:t>
      </w:r>
    </w:p>
    <w:p>
      <w:pPr>
        <w:spacing w:after="0" w:line="27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Fair Value Measurements</w:t>
      </w:r>
    </w:p>
    <w:p>
      <w:pPr>
        <w:spacing w:after="0" w:line="171"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an orderly transaction between market participants on the measurement date in the principal or most advantageous market for the asset or liability.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ind w:right="160" w:firstLine="509"/>
        <w:spacing w:after="0" w:line="252" w:lineRule="auto"/>
        <w:rPr>
          <w:sz w:val="20"/>
          <w:szCs w:val="20"/>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30"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26"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 Company’s cash equivalents are carried at fair value (Level 1) as determined according to the fair value hierarchy described above. The Company’s cash equivalents include money market funds, which are measured at fair value using the net asset value (NAV) per share practical expedient. The money market funds, which are AAA-rated are comprised of liquid, high-quality debt securities issued by the U.S. government. Shares in money market funds are purchased and redeemed at the NAV at the time of the purchase or sale, which may be purchased or redeemed on</w:t>
      </w:r>
    </w:p>
    <w:p>
      <w:pPr>
        <w:sectPr>
          <w:pgSz w:w="11900" w:h="16838" w:orient="portrait"/>
          <w:cols w:equalWidth="0" w:num="1">
            <w:col w:w="11240"/>
          </w:cols>
          <w:pgMar w:left="320" w:top="768" w:right="3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demand, as may be required by the Company. The carrying values of accounts receivable, funds receivable from payment partners, unbilled receivables, prepaid expenses, accounts payable, funds payable to clients and accrued expenses and other current liabilities approximate their respective fair values due to the short-term nature of these assets and liabilities. The Company’s contingent consideration is carried at fair value, determined using Level 3 inputs in the fair value hierarchy.</w:t>
      </w:r>
    </w:p>
    <w:p>
      <w:pPr>
        <w:spacing w:after="0" w:line="149"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The following tables present the Company’s fair value hierarchy for its financial assets and liabilities that are measured at fair value on a recurring basis as of March 31, 2024 and December 31, 2023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Measured at NAV</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as of</w:t>
            </w:r>
          </w:p>
        </w:tc>
        <w:tc>
          <w:tcPr>
            <w:tcW w:w="760" w:type="dxa"/>
            <w:vAlign w:val="bottom"/>
          </w:tcPr>
          <w:p>
            <w:pPr>
              <w:spacing w:after="0"/>
              <w:rPr>
                <w:sz w:val="14"/>
                <w:szCs w:val="14"/>
                <w:color w:val="auto"/>
              </w:rPr>
            </w:pPr>
          </w:p>
        </w:tc>
        <w:tc>
          <w:tcPr>
            <w:tcW w:w="3120" w:type="dxa"/>
            <w:vAlign w:val="bottom"/>
            <w:gridSpan w:val="9"/>
            <w:vMerge w:val="restart"/>
          </w:tcPr>
          <w:p>
            <w:pPr>
              <w:jc w:val="center"/>
              <w:spacing w:after="0"/>
              <w:rPr>
                <w:sz w:val="20"/>
                <w:szCs w:val="20"/>
                <w:color w:val="auto"/>
              </w:rPr>
            </w:pPr>
            <w:r>
              <w:rPr>
                <w:rFonts w:ascii="Arial" w:cs="Arial" w:eastAsia="Arial" w:hAnsi="Arial"/>
                <w:sz w:val="14"/>
                <w:szCs w:val="14"/>
                <w:b w:val="1"/>
                <w:bCs w:val="1"/>
                <w:color w:val="auto"/>
              </w:rPr>
              <w:t>Measured at Fair Value as of March 31, 2024:</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March 31, 2024:</w:t>
            </w:r>
          </w:p>
        </w:tc>
        <w:tc>
          <w:tcPr>
            <w:tcW w:w="76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9"/>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153"/>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391,542</w:t>
            </w:r>
          </w:p>
        </w:tc>
        <w:tc>
          <w:tcPr>
            <w:tcW w:w="2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55"/>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391,542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391,542</w:t>
            </w:r>
          </w:p>
        </w:tc>
        <w:tc>
          <w:tcPr>
            <w:tcW w:w="240" w:type="dxa"/>
            <w:vAlign w:val="bottom"/>
          </w:tcPr>
          <w:p>
            <w:pPr>
              <w:spacing w:after="0"/>
              <w:rPr>
                <w:sz w:val="19"/>
                <w:szCs w:val="19"/>
                <w:color w:val="auto"/>
              </w:rPr>
            </w:pPr>
          </w:p>
        </w:tc>
        <w:tc>
          <w:tcPr>
            <w:tcW w:w="760" w:type="dxa"/>
            <w:vAlign w:val="bottom"/>
          </w:tcPr>
          <w:p>
            <w:pPr>
              <w:jc w:val="right"/>
              <w:ind w:right="555"/>
              <w:spacing w:after="0"/>
              <w:rPr>
                <w:sz w:val="20"/>
                <w:szCs w:val="20"/>
                <w:color w:val="auto"/>
              </w:rPr>
            </w:pPr>
            <w:r>
              <w:rPr>
                <w:rFonts w:ascii="Arial" w:cs="Arial" w:eastAsia="Arial" w:hAnsi="Arial"/>
                <w:sz w:val="18"/>
                <w:szCs w:val="18"/>
                <w:color w:val="auto"/>
                <w:w w:val="99"/>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000" w:type="dxa"/>
            <w:vAlign w:val="bottom"/>
            <w:gridSpan w:val="2"/>
          </w:tcPr>
          <w:p>
            <w:pPr>
              <w:jc w:val="right"/>
              <w:ind w:right="556"/>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391,542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exchange contracts</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555"/>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1000" w:type="dxa"/>
            <w:vAlign w:val="bottom"/>
            <w:gridSpan w:val="2"/>
            <w:shd w:val="clear" w:color="auto" w:fill="CFF0FC"/>
          </w:tcPr>
          <w:p>
            <w:pPr>
              <w:jc w:val="right"/>
              <w:ind w:right="556"/>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060" w:type="dxa"/>
            <w:vAlign w:val="bottom"/>
          </w:tcPr>
          <w:p>
            <w:pPr>
              <w:spacing w:after="0"/>
              <w:rPr>
                <w:sz w:val="24"/>
                <w:szCs w:val="2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Measured at NAV</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14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as of December</w:t>
            </w:r>
          </w:p>
        </w:tc>
        <w:tc>
          <w:tcPr>
            <w:tcW w:w="4600" w:type="dxa"/>
            <w:vAlign w:val="bottom"/>
            <w:gridSpan w:val="11"/>
            <w:vMerge w:val="restart"/>
          </w:tcPr>
          <w:p>
            <w:pPr>
              <w:jc w:val="center"/>
              <w:spacing w:after="0"/>
              <w:rPr>
                <w:sz w:val="20"/>
                <w:szCs w:val="20"/>
                <w:color w:val="auto"/>
              </w:rPr>
            </w:pPr>
            <w:r>
              <w:rPr>
                <w:rFonts w:ascii="Arial" w:cs="Arial" w:eastAsia="Arial" w:hAnsi="Arial"/>
                <w:sz w:val="14"/>
                <w:szCs w:val="14"/>
                <w:b w:val="1"/>
                <w:bCs w:val="1"/>
                <w:color w:val="auto"/>
              </w:rPr>
              <w:t>Measured at Fair Value as of December 31, 2023:</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13"/>
              <w:spacing w:after="0"/>
              <w:rPr>
                <w:sz w:val="20"/>
                <w:szCs w:val="20"/>
                <w:color w:val="auto"/>
              </w:rPr>
            </w:pPr>
            <w:r>
              <w:rPr>
                <w:rFonts w:ascii="Arial" w:cs="Arial" w:eastAsia="Arial" w:hAnsi="Arial"/>
                <w:sz w:val="14"/>
                <w:szCs w:val="14"/>
                <w:b w:val="1"/>
                <w:bCs w:val="1"/>
                <w:color w:val="auto"/>
              </w:rPr>
              <w:t>31, 2023:</w:t>
            </w:r>
          </w:p>
        </w:tc>
        <w:tc>
          <w:tcPr>
            <w:tcW w:w="240" w:type="dxa"/>
            <w:vAlign w:val="bottom"/>
          </w:tcPr>
          <w:p>
            <w:pPr>
              <w:spacing w:after="0"/>
              <w:rPr>
                <w:sz w:val="14"/>
                <w:szCs w:val="14"/>
                <w:color w:val="auto"/>
              </w:rPr>
            </w:pPr>
          </w:p>
        </w:tc>
        <w:tc>
          <w:tcPr>
            <w:tcW w:w="4600" w:type="dxa"/>
            <w:vAlign w:val="bottom"/>
            <w:tcBorders>
              <w:bottom w:val="single" w:sz="8" w:color="auto"/>
            </w:tcBorders>
            <w:gridSpan w:val="11"/>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53"/>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372,912</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55"/>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1000" w:type="dxa"/>
            <w:vAlign w:val="bottom"/>
            <w:gridSpan w:val="2"/>
            <w:shd w:val="clear" w:color="auto" w:fill="CFF0FC"/>
          </w:tcPr>
          <w:p>
            <w:pPr>
              <w:jc w:val="right"/>
              <w:ind w:right="556"/>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372,912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372,912</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06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55"/>
              <w:spacing w:after="0"/>
              <w:rPr>
                <w:sz w:val="20"/>
                <w:szCs w:val="20"/>
                <w:color w:val="auto"/>
              </w:rPr>
            </w:pPr>
            <w:r>
              <w:rPr>
                <w:rFonts w:ascii="Arial" w:cs="Arial" w:eastAsia="Arial" w:hAnsi="Arial"/>
                <w:sz w:val="18"/>
                <w:szCs w:val="18"/>
                <w:color w:val="auto"/>
                <w:w w:val="99"/>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000" w:type="dxa"/>
            <w:vAlign w:val="bottom"/>
            <w:gridSpan w:val="2"/>
          </w:tcPr>
          <w:p>
            <w:pPr>
              <w:jc w:val="right"/>
              <w:ind w:right="556"/>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2,882</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2,882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-2662555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-2662555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-2662555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-2662555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-2662555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During the three months ended March 31, 2024 and year ended December 31, 2023, there were no transfers between Level 1, Level 2 or Level 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Learning Information Systems Pty Ltd. (StudyLink)</w:t>
      </w:r>
    </w:p>
    <w:p>
      <w:pPr>
        <w:spacing w:after="0" w:line="169"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 xml:space="preserve">The fair value of the contingent consideration related to the revenue milestone was determined using an option pricing model and the fair value of the contingent consideration related to volume of money movement, the cross-selling and engineering implementation milestones was determined using a scenario-based method. Refer to </w:t>
      </w:r>
      <w:r>
        <w:rPr>
          <w:rFonts w:ascii="Arial" w:cs="Arial" w:eastAsia="Arial" w:hAnsi="Arial"/>
          <w:sz w:val="18"/>
          <w:szCs w:val="18"/>
          <w:i w:val="1"/>
          <w:iCs w:val="1"/>
          <w:color w:val="auto"/>
        </w:rPr>
        <w:t>Note 7 - Business Combinations</w:t>
      </w:r>
      <w:r>
        <w:rPr>
          <w:rFonts w:ascii="Arial" w:cs="Arial" w:eastAsia="Arial" w:hAnsi="Arial"/>
          <w:sz w:val="18"/>
          <w:szCs w:val="18"/>
          <w:color w:val="auto"/>
        </w:rPr>
        <w:t xml:space="preserve"> for additional details on the StudyLink acquisition. The following table presents the unobservable inputs incorporated into the valuation of contingent consideration as of March 31, 2024 and 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2220" w:type="dxa"/>
            <w:vAlign w:val="bottom"/>
          </w:tcPr>
          <w:p>
            <w:pPr>
              <w:jc w:val="right"/>
              <w:ind w:right="699"/>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2220" w:type="dxa"/>
            <w:vAlign w:val="bottom"/>
          </w:tcPr>
          <w:p>
            <w:pPr>
              <w:jc w:val="right"/>
              <w:ind w:right="58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6660" w:type="dxa"/>
            <w:vAlign w:val="bottom"/>
          </w:tcPr>
          <w:p>
            <w:pPr>
              <w:spacing w:after="0"/>
              <w:rPr>
                <w:sz w:val="16"/>
                <w:szCs w:val="16"/>
                <w:color w:val="auto"/>
              </w:rPr>
            </w:pPr>
          </w:p>
        </w:tc>
        <w:tc>
          <w:tcPr>
            <w:tcW w:w="2220" w:type="dxa"/>
            <w:vAlign w:val="bottom"/>
            <w:tcBorders>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6"/>
                <w:szCs w:val="16"/>
                <w:color w:val="auto"/>
              </w:rPr>
            </w:pPr>
          </w:p>
        </w:tc>
        <w:tc>
          <w:tcPr>
            <w:tcW w:w="222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2023</w:t>
            </w: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Discount rate</w:t>
            </w: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 - 7.7%</w:t>
            </w:r>
          </w:p>
        </w:tc>
        <w:tc>
          <w:tcPr>
            <w:tcW w:w="2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 - 7.5%</w:t>
            </w:r>
          </w:p>
        </w:tc>
      </w:tr>
      <w:tr>
        <w:trPr>
          <w:trHeight w:val="220"/>
        </w:trPr>
        <w:tc>
          <w:tcPr>
            <w:tcW w:w="6660" w:type="dxa"/>
            <w:vAlign w:val="bottom"/>
          </w:tcPr>
          <w:p>
            <w:pPr>
              <w:ind w:left="20"/>
              <w:spacing w:after="0"/>
              <w:rPr>
                <w:sz w:val="20"/>
                <w:szCs w:val="20"/>
                <w:color w:val="auto"/>
              </w:rPr>
            </w:pPr>
            <w:r>
              <w:rPr>
                <w:rFonts w:ascii="Arial" w:cs="Arial" w:eastAsia="Arial" w:hAnsi="Arial"/>
                <w:sz w:val="18"/>
                <w:szCs w:val="18"/>
                <w:color w:val="auto"/>
              </w:rPr>
              <w:t>Probability of successful achievement *</w:t>
            </w:r>
          </w:p>
        </w:tc>
        <w:tc>
          <w:tcPr>
            <w:tcW w:w="2220" w:type="dxa"/>
            <w:vAlign w:val="bottom"/>
          </w:tcPr>
          <w:p>
            <w:pPr>
              <w:jc w:val="right"/>
              <w:spacing w:after="0"/>
              <w:rPr>
                <w:sz w:val="20"/>
                <w:szCs w:val="20"/>
                <w:color w:val="auto"/>
              </w:rPr>
            </w:pPr>
            <w:r>
              <w:rPr>
                <w:rFonts w:ascii="Arial" w:cs="Arial" w:eastAsia="Arial" w:hAnsi="Arial"/>
                <w:sz w:val="18"/>
                <w:szCs w:val="18"/>
                <w:color w:val="auto"/>
              </w:rPr>
              <w:t>0% - 100%</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29% - 95%</w:t>
            </w:r>
          </w:p>
        </w:tc>
      </w:tr>
      <w:tr>
        <w:trPr>
          <w:trHeight w:val="190"/>
        </w:trPr>
        <w:tc>
          <w:tcPr>
            <w:tcW w:w="6660" w:type="dxa"/>
            <w:vAlign w:val="bottom"/>
          </w:tcPr>
          <w:p>
            <w:pPr>
              <w:spacing w:after="0"/>
              <w:rPr>
                <w:sz w:val="20"/>
                <w:szCs w:val="20"/>
                <w:color w:val="auto"/>
              </w:rPr>
            </w:pPr>
            <w:r>
              <w:rPr>
                <w:rFonts w:ascii="Arial" w:cs="Arial" w:eastAsia="Arial" w:hAnsi="Arial"/>
                <w:sz w:val="14"/>
                <w:szCs w:val="14"/>
                <w:color w:val="auto"/>
              </w:rPr>
              <w:t>_____________________________</w:t>
            </w:r>
          </w:p>
        </w:tc>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tcPr>
          <w:p>
            <w:pPr>
              <w:spacing w:after="0"/>
              <w:rPr>
                <w:sz w:val="16"/>
                <w:szCs w:val="16"/>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 Probability of successful achievement was set at different targets based on the Company’s estimates on achieving them.</w:t>
      </w:r>
    </w:p>
    <w:p>
      <w:pPr>
        <w:spacing w:after="0" w:line="166" w:lineRule="exact"/>
        <w:rPr>
          <w:sz w:val="20"/>
          <w:szCs w:val="20"/>
          <w:color w:val="auto"/>
        </w:rPr>
      </w:pPr>
    </w:p>
    <w:p>
      <w:pPr>
        <w:ind w:right="180" w:firstLine="509"/>
        <w:spacing w:after="0" w:line="252" w:lineRule="auto"/>
        <w:rPr>
          <w:sz w:val="20"/>
          <w:szCs w:val="20"/>
          <w:color w:val="auto"/>
        </w:rPr>
      </w:pPr>
      <w:r>
        <w:rPr>
          <w:rFonts w:ascii="Arial" w:cs="Arial" w:eastAsia="Arial" w:hAnsi="Arial"/>
          <w:sz w:val="18"/>
          <w:szCs w:val="18"/>
          <w:color w:val="auto"/>
        </w:rPr>
        <w:t>Increases or decreases in the discount rate would result in a lower or higher fair value measurement, respectively. Increases or decreases in any of the probabilities of success in which the revenue, volume, cross-selling and the engineering implementation milestones are expected to be achieved would result in higher or lower fair value measurement, respectively.</w:t>
      </w:r>
    </w:p>
    <w:p>
      <w:pPr>
        <w:sectPr>
          <w:pgSz w:w="11900" w:h="16838" w:orient="portrait"/>
          <w:cols w:equalWidth="0" w:num="1">
            <w:col w:w="11240"/>
          </w:cols>
          <w:pgMar w:left="320" w:top="768" w:right="33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280" w:firstLine="509"/>
        <w:spacing w:after="0" w:line="252" w:lineRule="auto"/>
        <w:rPr>
          <w:sz w:val="20"/>
          <w:szCs w:val="20"/>
          <w:color w:val="auto"/>
        </w:rPr>
      </w:pPr>
      <w:r>
        <w:rPr>
          <w:rFonts w:ascii="Arial" w:cs="Arial" w:eastAsia="Arial" w:hAnsi="Arial"/>
          <w:sz w:val="18"/>
          <w:szCs w:val="18"/>
          <w:color w:val="auto"/>
        </w:rPr>
        <w:t>Changes in the fair value of contingent consideration are included as a component of general and administrative expense within the condensed consolidated statements of operations and comprehensive loss. The following table summarizes the changes in the carrying value of the contingent consideration for the periods presented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770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040" w:type="dxa"/>
            <w:vAlign w:val="bottom"/>
            <w:shd w:val="clear" w:color="auto" w:fill="CFF0FC"/>
          </w:tcPr>
          <w:p>
            <w:pPr>
              <w:jc w:val="right"/>
              <w:ind w:right="83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2,882</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04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fair value</w:t>
            </w:r>
          </w:p>
        </w:tc>
        <w:tc>
          <w:tcPr>
            <w:tcW w:w="10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(478 )</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Contingent consideration paid *</w:t>
            </w:r>
          </w:p>
        </w:tc>
        <w:tc>
          <w:tcPr>
            <w:tcW w:w="104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(1,674 )</w:t>
            </w: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0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(123 )</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(29 )</w:t>
            </w:r>
          </w:p>
        </w:tc>
      </w:tr>
      <w:tr>
        <w:trPr>
          <w:trHeight w:val="223"/>
        </w:trPr>
        <w:tc>
          <w:tcPr>
            <w:tcW w:w="77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Ending balance</w:t>
            </w:r>
          </w:p>
        </w:tc>
        <w:tc>
          <w:tcPr>
            <w:tcW w:w="104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2,281</w:t>
            </w:r>
          </w:p>
        </w:tc>
        <w:tc>
          <w:tcPr>
            <w:tcW w:w="280" w:type="dxa"/>
            <w:vAlign w:val="bottom"/>
            <w:tcBorders>
              <w:top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FF0FC"/>
            </w:tcBorders>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-179070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23806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213" w:lineRule="exact"/>
        <w:rPr>
          <w:sz w:val="20"/>
          <w:szCs w:val="20"/>
          <w:color w:val="auto"/>
        </w:rPr>
      </w:pPr>
    </w:p>
    <w:p>
      <w:pPr>
        <w:ind w:right="80" w:firstLine="8"/>
        <w:spacing w:after="0" w:line="262" w:lineRule="auto"/>
        <w:tabs>
          <w:tab w:leader="none" w:pos="96"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three months ended March 31, 2023, contingent consideration paid has been bifurcated between the financing and operating sections of the condensed consolidated statement of cash flows. Amounts paid up to the fair value initially recorded in purchase accounting is reported in the financing section of the condensed consolidated statement of cash flows, while any excess is reported in the operating section of the condensed consolidated statement of cash flows.</w:t>
      </w:r>
    </w:p>
    <w:p>
      <w:pPr>
        <w:spacing w:after="0" w:line="27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Derivative Instruments</w:t>
      </w:r>
    </w:p>
    <w:p>
      <w:pPr>
        <w:spacing w:after="0" w:line="171"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As part of the Company’s foreign currency risk management program, the Company uses foreign currency forward contracts to mitigate the volatility related to fluctuations in the foreign exchange rates. These foreign currency forward contracts are not designated as hedging instruments. Derivative transactions such as foreign currency forward contracts are measured in terms of the notional amount; however, this amount is not recorded on the condensed consolidated balance sheets and is not, when viewed in isolation, a meaningful measure of the risk profile of the derivative instruments. The notional amount is generally not exchanged but is used only as the underlying basis on which the value of foreign exchange payments under these contracts is determined. As of March 31, 2024 and December 31, 2023, the Company had 8,404 and 12,737 open foreign exchange contracts, respectively. As of March 31, 2024 and December 31, 2023, the Company had foreign currency forward contracts outstanding with a notional amount of $23.6 million and $36.1 million, respectively.</w:t>
      </w:r>
    </w:p>
    <w:p>
      <w:pPr>
        <w:spacing w:after="0" w:line="158"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The Company records all derivative instruments in the condensed consolidated balance sheets at their fair values. For the three months ended March 31, 2024, the Company recorded a liability of less than $0.1 million and for the year ended December 31, 2023, the Company recorded an asset of less than $0.1 million related to outstanding foreign exchange contracts. The Company recognized a gain of less than $0.1 million and a loss of $1.3 million during the three months ended March 31, 2024 and 2023, respectively. Gains and losses are included as a component of general and administrative expense within the condensed consolidated statements of operations and comprehensive loss.</w:t>
      </w:r>
    </w:p>
    <w:p>
      <w:pPr>
        <w:spacing w:after="0" w:line="29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Accrued Expenses and Other Current Liabilities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as of the dates presented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ind w:right="394"/>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49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employee compensation and related taxes</w:t>
            </w:r>
          </w:p>
        </w:tc>
        <w:tc>
          <w:tcPr>
            <w:tcW w:w="3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15,287</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19,748</w:t>
            </w:r>
          </w:p>
        </w:tc>
        <w:tc>
          <w:tcPr>
            <w:tcW w:w="100" w:type="dxa"/>
            <w:vAlign w:val="bottom"/>
            <w:shd w:val="clear" w:color="auto" w:fill="CFF0FC"/>
          </w:tcPr>
          <w:p>
            <w:pPr>
              <w:spacing w:after="0"/>
              <w:rPr>
                <w:sz w:val="19"/>
                <w:szCs w:val="19"/>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Accrued vendor liabilities</w:t>
            </w:r>
          </w:p>
        </w:tc>
        <w:tc>
          <w:tcPr>
            <w:tcW w:w="2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3,147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4,193</w:t>
            </w:r>
          </w:p>
        </w:tc>
        <w:tc>
          <w:tcPr>
            <w:tcW w:w="100" w:type="dxa"/>
            <w:vAlign w:val="bottom"/>
          </w:tcPr>
          <w:p>
            <w:pPr>
              <w:spacing w:after="0"/>
              <w:rPr>
                <w:sz w:val="19"/>
                <w:szCs w:val="19"/>
                <w:color w:val="auto"/>
              </w:rPr>
            </w:pPr>
          </w:p>
        </w:tc>
      </w:tr>
      <w:tr>
        <w:trPr>
          <w:trHeight w:val="22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income and other non-employee related taxes</w:t>
            </w:r>
          </w:p>
        </w:tc>
        <w:tc>
          <w:tcPr>
            <w:tcW w:w="2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6,270</w:t>
            </w:r>
          </w:p>
        </w:tc>
        <w:tc>
          <w:tcPr>
            <w:tcW w:w="100" w:type="dxa"/>
            <w:vAlign w:val="bottom"/>
            <w:shd w:val="clear" w:color="auto" w:fill="CFF0FC"/>
          </w:tcPr>
          <w:p>
            <w:pPr>
              <w:spacing w:after="0"/>
              <w:rPr>
                <w:sz w:val="19"/>
                <w:szCs w:val="19"/>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Accrued professional services</w:t>
            </w:r>
          </w:p>
        </w:tc>
        <w:tc>
          <w:tcPr>
            <w:tcW w:w="2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19"/>
                <w:szCs w:val="19"/>
                <w:color w:val="auto"/>
              </w:rPr>
            </w:pPr>
          </w:p>
        </w:tc>
      </w:tr>
      <w:tr>
        <w:trPr>
          <w:trHeight w:val="22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00" w:type="dxa"/>
            <w:vAlign w:val="bottom"/>
            <w:shd w:val="clear" w:color="auto" w:fill="CFF0FC"/>
          </w:tcPr>
          <w:p>
            <w:pPr>
              <w:spacing w:after="0"/>
              <w:rPr>
                <w:sz w:val="19"/>
                <w:szCs w:val="19"/>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Other accrued expenses and current liabilities</w:t>
            </w:r>
          </w:p>
        </w:tc>
        <w:tc>
          <w:tcPr>
            <w:tcW w:w="27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8,263</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19"/>
                <w:szCs w:val="19"/>
                <w:color w:val="auto"/>
              </w:rPr>
            </w:pPr>
          </w:p>
        </w:tc>
      </w:tr>
      <w:tr>
        <w:trPr>
          <w:trHeight w:val="263"/>
        </w:trPr>
        <w:tc>
          <w:tcPr>
            <w:tcW w:w="4960" w:type="dxa"/>
            <w:vAlign w:val="bottom"/>
            <w:shd w:val="clear" w:color="auto" w:fill="CFF0FC"/>
          </w:tcPr>
          <w:p>
            <w:pPr>
              <w:spacing w:after="0"/>
              <w:rPr>
                <w:sz w:val="22"/>
                <w:szCs w:val="22"/>
                <w:color w:val="auto"/>
              </w:rPr>
            </w:pPr>
          </w:p>
        </w:tc>
        <w:tc>
          <w:tcPr>
            <w:tcW w:w="3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37,385</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43,315</w:t>
            </w:r>
          </w:p>
        </w:tc>
        <w:tc>
          <w:tcPr>
            <w:tcW w:w="100" w:type="dxa"/>
            <w:vAlign w:val="bottom"/>
            <w:shd w:val="clear" w:color="auto" w:fill="CFF0FC"/>
          </w:tcPr>
          <w:p>
            <w:pPr>
              <w:spacing w:after="0"/>
              <w:rPr>
                <w:sz w:val="22"/>
                <w:szCs w:val="22"/>
                <w:color w:val="auto"/>
              </w:rPr>
            </w:pPr>
          </w:p>
        </w:tc>
      </w:tr>
      <w:tr>
        <w:trPr>
          <w:trHeight w:val="416"/>
        </w:trPr>
        <w:tc>
          <w:tcPr>
            <w:tcW w:w="4960" w:type="dxa"/>
            <w:vAlign w:val="bottom"/>
            <w:tcBorders>
              <w:top w:val="single" w:sz="8" w:color="CFF0FC"/>
            </w:tcBorders>
          </w:tcPr>
          <w:p>
            <w:pPr>
              <w:spacing w:after="0"/>
              <w:rPr>
                <w:sz w:val="24"/>
                <w:szCs w:val="24"/>
                <w:color w:val="auto"/>
              </w:rPr>
            </w:pPr>
          </w:p>
        </w:tc>
        <w:tc>
          <w:tcPr>
            <w:tcW w:w="2760" w:type="dxa"/>
            <w:vAlign w:val="bottom"/>
            <w:tcBorders>
              <w:top w:val="single" w:sz="8" w:color="CFF0FC"/>
            </w:tcBorders>
          </w:tcPr>
          <w:p>
            <w:pPr>
              <w:jc w:val="right"/>
              <w:ind w:right="1910"/>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5"/>
        </w:trPr>
        <w:tc>
          <w:tcPr>
            <w:tcW w:w="49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-787400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-770255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-787400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-770255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Property and Equipment, net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as of the dates presented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 and software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3,681</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Internal-use software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19,590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18,135</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5,431</w:t>
            </w:r>
          </w:p>
        </w:tc>
        <w:tc>
          <w:tcPr>
            <w:tcW w:w="100" w:type="dxa"/>
            <w:vAlign w:val="bottom"/>
          </w:tcPr>
          <w:p>
            <w:pPr>
              <w:spacing w:after="0"/>
              <w:rPr>
                <w:sz w:val="19"/>
                <w:szCs w:val="19"/>
                <w:color w:val="auto"/>
              </w:rPr>
            </w:pPr>
          </w:p>
        </w:tc>
      </w:tr>
      <w:tr>
        <w:trPr>
          <w:trHeight w:val="223"/>
        </w:trPr>
        <w:tc>
          <w:tcPr>
            <w:tcW w:w="7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29,612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28,159</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(14,024 )</w:t>
            </w: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(13,025 )</w:t>
            </w:r>
          </w:p>
        </w:tc>
      </w:tr>
      <w:tr>
        <w:trPr>
          <w:trHeight w:val="263"/>
        </w:trPr>
        <w:tc>
          <w:tcPr>
            <w:tcW w:w="77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15,588</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23806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213" w:lineRule="exact"/>
        <w:rPr>
          <w:sz w:val="20"/>
          <w:szCs w:val="20"/>
          <w:color w:val="auto"/>
        </w:rPr>
      </w:pPr>
    </w:p>
    <w:p>
      <w:pPr>
        <w:ind w:firstLine="8"/>
        <w:spacing w:after="0" w:line="262" w:lineRule="auto"/>
        <w:tabs>
          <w:tab w:leader="none" w:pos="96"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three months ended March 31, 2024, accumulated depreciation and amortization expense included $(140) thousand of computer disposals and $(117) thousand of foreign currency translation adjustments. For the three months ended March 31, 2023, accumulated depreciation and amortization expense included $(84) thousand of computer disposals and $(31) thousand of foreign currency translation adjustments.</w:t>
      </w:r>
    </w:p>
    <w:p>
      <w:pPr>
        <w:spacing w:after="0" w:line="124"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Depreciation of property and equipment and amortization of internal-used software for the three months ended March 31, 2024 and 2023 was $1.3 million and $0.9 million, respectively.</w:t>
      </w:r>
    </w:p>
    <w:p>
      <w:pPr>
        <w:spacing w:after="0" w:line="126" w:lineRule="exact"/>
        <w:rPr>
          <w:sz w:val="20"/>
          <w:szCs w:val="20"/>
          <w:color w:val="auto"/>
        </w:rPr>
      </w:pPr>
    </w:p>
    <w:p>
      <w:pPr>
        <w:jc w:val="both"/>
        <w:ind w:right="100" w:firstLine="509"/>
        <w:spacing w:after="0" w:line="252" w:lineRule="auto"/>
        <w:rPr>
          <w:sz w:val="20"/>
          <w:szCs w:val="20"/>
          <w:color w:val="auto"/>
        </w:rPr>
      </w:pPr>
      <w:r>
        <w:rPr>
          <w:rFonts w:ascii="Arial" w:cs="Arial" w:eastAsia="Arial" w:hAnsi="Arial"/>
          <w:sz w:val="18"/>
          <w:szCs w:val="18"/>
          <w:color w:val="auto"/>
        </w:rPr>
        <w:t>The Company capitalized $1.5 million and $1.4 million in costs related to internal-use software during the three months ended March 31, 2024 and 2023, respectively. Software developed for internal use is amortized on a straight-line basis over its estimated useful life of five years.</w:t>
      </w:r>
    </w:p>
    <w:p>
      <w:pPr>
        <w:spacing w:after="0" w:line="130" w:lineRule="exact"/>
        <w:rPr>
          <w:sz w:val="20"/>
          <w:szCs w:val="20"/>
          <w:color w:val="auto"/>
        </w:rPr>
      </w:pPr>
    </w:p>
    <w:p>
      <w:pPr>
        <w:ind w:right="260" w:firstLine="509"/>
        <w:spacing w:after="0" w:line="252" w:lineRule="auto"/>
        <w:rPr>
          <w:sz w:val="20"/>
          <w:szCs w:val="20"/>
          <w:color w:val="auto"/>
        </w:rPr>
      </w:pPr>
      <w:r>
        <w:rPr>
          <w:rFonts w:ascii="Arial" w:cs="Arial" w:eastAsia="Arial" w:hAnsi="Arial"/>
          <w:sz w:val="18"/>
          <w:szCs w:val="18"/>
          <w:color w:val="auto"/>
        </w:rPr>
        <w:t>As of March 31, 2024 and December 31, 2023, the carrying value of internal-use software was $13.3 million and $12.7 million, respectively. Amortization expense related to internal-use software was $0.9 million and $0.5 million during the three months ended March 31, 2024 and 2023, respectively.</w:t>
      </w:r>
    </w:p>
    <w:p>
      <w:pPr>
        <w:spacing w:after="0" w:line="1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Business Combinations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StudyLink</w:t>
      </w:r>
    </w:p>
    <w:p>
      <w:pPr>
        <w:spacing w:after="0" w:line="169" w:lineRule="exact"/>
        <w:rPr>
          <w:sz w:val="20"/>
          <w:szCs w:val="20"/>
          <w:color w:val="auto"/>
        </w:rPr>
      </w:pPr>
    </w:p>
    <w:p>
      <w:pPr>
        <w:ind w:right="120" w:firstLine="509"/>
        <w:spacing w:after="0" w:line="258" w:lineRule="auto"/>
        <w:rPr>
          <w:sz w:val="20"/>
          <w:szCs w:val="20"/>
          <w:color w:val="auto"/>
        </w:rPr>
      </w:pPr>
      <w:r>
        <w:rPr>
          <w:rFonts w:ascii="Arial" w:cs="Arial" w:eastAsia="Arial" w:hAnsi="Arial"/>
          <w:sz w:val="17"/>
          <w:szCs w:val="17"/>
          <w:color w:val="auto"/>
        </w:rPr>
        <w:t>On November 3, 2023, Flywire, through one if its Australian subsidiaries Flywire Pacific Pty Ltd., acquired all of the issued and outstanding shares of StudyLink, an Australian-based software as a service (SaaS) education company that provides platforms to education providers to support their student admissions systems and processes, including features such as eligibility assessment, offer generation, recruitment agent and commission management and acceptance processing. The acquisition of StudyLink was intended to accelerate the Company's growth in the Australian higher education market and enhance the Company's value proposition to payers, universities and agents in the higher education ecosystem. The acquisition of StudyLink has been accounted for as a business combination.</w:t>
      </w:r>
    </w:p>
    <w:p>
      <w:pPr>
        <w:spacing w:after="0" w:line="128"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During the first quarter of 2024, the Company completed its purchase accounting and recorded an immaterial net working capital adjustment.</w:t>
      </w:r>
    </w:p>
    <w:p>
      <w:pPr>
        <w:spacing w:after="0" w:line="126" w:lineRule="exact"/>
        <w:rPr>
          <w:sz w:val="20"/>
          <w:szCs w:val="20"/>
          <w:color w:val="auto"/>
        </w:rPr>
      </w:pPr>
    </w:p>
    <w:p>
      <w:pPr>
        <w:ind w:right="800" w:firstLine="509"/>
        <w:spacing w:after="0" w:line="271" w:lineRule="auto"/>
        <w:rPr>
          <w:sz w:val="20"/>
          <w:szCs w:val="20"/>
          <w:color w:val="auto"/>
        </w:rPr>
      </w:pPr>
      <w:r>
        <w:rPr>
          <w:rFonts w:ascii="Arial" w:cs="Arial" w:eastAsia="Arial" w:hAnsi="Arial"/>
          <w:sz w:val="18"/>
          <w:szCs w:val="18"/>
          <w:color w:val="auto"/>
        </w:rPr>
        <w:t>Pursuant to the terms of the business combination agreement, the Company acquired StudyLink for estimated total purchase consideration of approximately $37.6 million or $35.5 million, net of cash acquired, which consisted of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consideration, net of cash acquired</w:t>
            </w:r>
          </w:p>
        </w:tc>
        <w:tc>
          <w:tcPr>
            <w:tcW w:w="72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32,764</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Estimated fair value of contingent consideration</w:t>
            </w: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19"/>
                <w:szCs w:val="19"/>
                <w:color w:val="auto"/>
              </w:rPr>
            </w:pPr>
          </w:p>
        </w:tc>
      </w:tr>
      <w:tr>
        <w:trPr>
          <w:trHeight w:val="263"/>
        </w:trPr>
        <w:tc>
          <w:tcPr>
            <w:tcW w:w="92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purchase consideration, net of cash acquired</w:t>
            </w:r>
          </w:p>
        </w:tc>
        <w:tc>
          <w:tcPr>
            <w:tcW w:w="72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35,465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Contingent consideration, which totals up to approximately $2.7 million, represents additional payments that Flywire may be required to make in the future which are dependent upon StudyLink's successful achievement of revenue, volume, cross-selling and engineering implementation milestones and is subject to exchange rate fluctuation adjustment between the U.S. Dollar and Australian Dollar. A portion of contingent consideration can be paid in the form of cash or shares of common stock, at the Company's option.</w:t>
      </w:r>
    </w:p>
    <w:p>
      <w:pPr>
        <w:spacing w:after="0" w:line="149" w:lineRule="exact"/>
        <w:rPr>
          <w:sz w:val="20"/>
          <w:szCs w:val="20"/>
          <w:color w:val="auto"/>
        </w:rPr>
      </w:pPr>
    </w:p>
    <w:p>
      <w:pPr>
        <w:ind w:right="420" w:firstLine="509"/>
        <w:spacing w:after="0" w:line="241" w:lineRule="auto"/>
        <w:rPr>
          <w:sz w:val="20"/>
          <w:szCs w:val="20"/>
          <w:color w:val="auto"/>
        </w:rPr>
      </w:pPr>
      <w:r>
        <w:rPr>
          <w:rFonts w:ascii="Arial" w:cs="Arial" w:eastAsia="Arial" w:hAnsi="Arial"/>
          <w:sz w:val="18"/>
          <w:szCs w:val="18"/>
          <w:color w:val="auto"/>
        </w:rPr>
        <w:t>Additional payments in the form of shares of common stock will be made based on the continuing employment of a key employee; accordingly, the fair value of $2.4 million, or approximately 84,000 shares of common stock, have been excluded from the purchase consideration. These shares were fixed on the date of acquisition and payable only in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447040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common stock, therefore are equity-classified. During the three months ended March 31, 2024, the Company expensed $0.3 million in stock-based compensation associated with retention of the key employee. The stock-based compensation expense is included in the Company’s condensed consolidated statements of operations and comprehensive loss and additional paid-in capital on the condensed consolidated balance sheet.</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table summarizes the allocation of the purchase consideration to the assets acquired and liabilities assumed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74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2,762</w:t>
            </w:r>
          </w:p>
        </w:tc>
        <w:tc>
          <w:tcPr>
            <w:tcW w:w="100" w:type="dxa"/>
            <w:vAlign w:val="bottom"/>
          </w:tcPr>
          <w:p>
            <w:pPr>
              <w:spacing w:after="0"/>
              <w:rPr>
                <w:sz w:val="19"/>
                <w:szCs w:val="19"/>
                <w:color w:val="auto"/>
              </w:rPr>
            </w:pPr>
          </w:p>
        </w:tc>
      </w:tr>
      <w:tr>
        <w:trPr>
          <w:trHeight w:val="22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r>
      <w:tr>
        <w:trPr>
          <w:trHeight w:val="22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20,705</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19,553</w:t>
            </w:r>
          </w:p>
        </w:tc>
        <w:tc>
          <w:tcPr>
            <w:tcW w:w="100" w:type="dxa"/>
            <w:vAlign w:val="bottom"/>
          </w:tcPr>
          <w:p>
            <w:pPr>
              <w:spacing w:after="0"/>
              <w:rPr>
                <w:sz w:val="19"/>
                <w:szCs w:val="19"/>
                <w:color w:val="auto"/>
              </w:rPr>
            </w:pPr>
          </w:p>
        </w:tc>
      </w:tr>
      <w:tr>
        <w:trPr>
          <w:trHeight w:val="223"/>
        </w:trPr>
        <w:tc>
          <w:tcPr>
            <w:tcW w:w="92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assets acquired</w:t>
            </w:r>
          </w:p>
        </w:tc>
        <w:tc>
          <w:tcPr>
            <w:tcW w:w="7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45,753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19"/>
                <w:szCs w:val="19"/>
                <w:color w:val="auto"/>
              </w:rPr>
            </w:pPr>
          </w:p>
        </w:tc>
      </w:tr>
      <w:tr>
        <w:trPr>
          <w:trHeight w:val="22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r>
      <w:tr>
        <w:trPr>
          <w:trHeight w:val="229"/>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7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2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8,180</w:t>
            </w:r>
          </w:p>
        </w:tc>
        <w:tc>
          <w:tcPr>
            <w:tcW w:w="100" w:type="dxa"/>
            <w:vAlign w:val="bottom"/>
          </w:tcPr>
          <w:p>
            <w:pPr>
              <w:spacing w:after="0"/>
              <w:rPr>
                <w:sz w:val="19"/>
                <w:szCs w:val="19"/>
                <w:color w:val="auto"/>
              </w:rPr>
            </w:pPr>
          </w:p>
        </w:tc>
      </w:tr>
      <w:tr>
        <w:trPr>
          <w:trHeight w:val="22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assets acquired</w:t>
            </w: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37,573</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80"/>
              <w:spacing w:after="0"/>
              <w:rPr>
                <w:sz w:val="20"/>
                <w:szCs w:val="20"/>
                <w:color w:val="auto"/>
              </w:rPr>
            </w:pPr>
            <w:r>
              <w:rPr>
                <w:rFonts w:ascii="Arial" w:cs="Arial" w:eastAsia="Arial" w:hAnsi="Arial"/>
                <w:sz w:val="18"/>
                <w:szCs w:val="18"/>
                <w:color w:val="auto"/>
              </w:rPr>
              <w:t>Less: cash acquired</w:t>
            </w: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19"/>
                <w:szCs w:val="19"/>
                <w:color w:val="auto"/>
              </w:rPr>
            </w:pPr>
          </w:p>
        </w:tc>
      </w:tr>
      <w:tr>
        <w:trPr>
          <w:trHeight w:val="263"/>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assets, less cash acquired</w:t>
            </w:r>
          </w:p>
        </w:tc>
        <w:tc>
          <w:tcPr>
            <w:tcW w:w="74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35,465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-1223645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-633095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Goodwill arising from the acquisition of $20.7 million was attributable to the assembled workforce of StudyLink and the synergies expected to arise from the acquisition. No goodwill from this acquisition will be deductible for income tax purposes.</w:t>
      </w:r>
    </w:p>
    <w:p>
      <w:pPr>
        <w:spacing w:after="0" w:line="126" w:lineRule="exact"/>
        <w:rPr>
          <w:sz w:val="20"/>
          <w:szCs w:val="20"/>
          <w:color w:val="auto"/>
        </w:rPr>
      </w:pPr>
    </w:p>
    <w:p>
      <w:pPr>
        <w:ind w:right="640" w:firstLine="509"/>
        <w:spacing w:after="0" w:line="271" w:lineRule="auto"/>
        <w:rPr>
          <w:sz w:val="20"/>
          <w:szCs w:val="20"/>
          <w:color w:val="auto"/>
        </w:rPr>
      </w:pPr>
      <w:r>
        <w:rPr>
          <w:rFonts w:ascii="Arial" w:cs="Arial" w:eastAsia="Arial" w:hAnsi="Arial"/>
          <w:sz w:val="18"/>
          <w:szCs w:val="18"/>
          <w:color w:val="auto"/>
        </w:rPr>
        <w:t>The following table reflects the fair values of the identified intangible assets of StudyLink and their respective weighted-average estimated amortization periods.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Estimated</w:t>
            </w:r>
          </w:p>
        </w:tc>
      </w:t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118"/>
              <w:spacing w:after="0"/>
              <w:rPr>
                <w:sz w:val="20"/>
                <w:szCs w:val="20"/>
                <w:color w:val="auto"/>
              </w:rPr>
            </w:pPr>
            <w:r>
              <w:rPr>
                <w:rFonts w:ascii="Arial" w:cs="Arial" w:eastAsia="Arial" w:hAnsi="Arial"/>
                <w:sz w:val="14"/>
                <w:szCs w:val="14"/>
                <w:b w:val="1"/>
                <w:bCs w:val="1"/>
                <w:color w:val="auto"/>
              </w:rPr>
              <w:t>Estimated Fair</w:t>
            </w:r>
          </w:p>
        </w:tc>
        <w:tc>
          <w:tcPr>
            <w:tcW w:w="26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Amortization</w:t>
            </w:r>
          </w:p>
        </w:tc>
      </w:tr>
      <w:tr>
        <w:trPr>
          <w:trHeight w:val="185"/>
        </w:trPr>
        <w:tc>
          <w:tcPr>
            <w:tcW w:w="7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Values</w:t>
            </w:r>
          </w:p>
        </w:tc>
        <w:tc>
          <w:tcPr>
            <w:tcW w:w="26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Periods</w:t>
            </w:r>
          </w:p>
        </w:tc>
        <w:tc>
          <w:tcPr>
            <w:tcW w:w="100" w:type="dxa"/>
            <w:vAlign w:val="bottom"/>
          </w:tcPr>
          <w:p>
            <w:pPr>
              <w:spacing w:after="0"/>
              <w:rPr>
                <w:sz w:val="16"/>
                <w:szCs w:val="16"/>
                <w:color w:val="auto"/>
              </w:rPr>
            </w:pPr>
          </w:p>
        </w:tc>
      </w:tr>
      <w:tr>
        <w:trPr>
          <w:trHeight w:val="182"/>
        </w:trPr>
        <w:tc>
          <w:tcPr>
            <w:tcW w:w="7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right="118"/>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7,397</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12,027</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2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 Name/Trademark</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19,553</w:t>
            </w: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-179070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36" w:lineRule="exact"/>
        <w:rPr>
          <w:sz w:val="20"/>
          <w:szCs w:val="20"/>
          <w:color w:val="auto"/>
        </w:rPr>
      </w:pPr>
    </w:p>
    <w:p>
      <w:pPr>
        <w:ind w:right="200" w:firstLine="509"/>
        <w:spacing w:after="0" w:line="246" w:lineRule="auto"/>
        <w:rPr>
          <w:sz w:val="20"/>
          <w:szCs w:val="20"/>
          <w:color w:val="auto"/>
        </w:rPr>
      </w:pPr>
      <w:r>
        <w:rPr>
          <w:rFonts w:ascii="Arial" w:cs="Arial" w:eastAsia="Arial" w:hAnsi="Arial"/>
          <w:sz w:val="18"/>
          <w:szCs w:val="18"/>
          <w:color w:val="auto"/>
        </w:rPr>
        <w:t>The results of StudyLink have been included in the condensed consolidated financial statements since the date of the acquisition. StudyLink contributed $2.1 million in platform revenue during the three months ended March 31, 2024. The Company has not disclosed net income or loss since the acquisition date as the business was fully integrated into the condensed consolidated Company’s operations and therefore it was impracticable to determine this amount.</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Unaudited Pro Forma Financial Information</w:t>
      </w:r>
    </w:p>
    <w:p>
      <w:pPr>
        <w:spacing w:after="0" w:line="171" w:lineRule="exact"/>
        <w:rPr>
          <w:sz w:val="20"/>
          <w:szCs w:val="20"/>
          <w:color w:val="auto"/>
        </w:rPr>
      </w:pPr>
    </w:p>
    <w:p>
      <w:pPr>
        <w:ind w:right="220" w:firstLine="509"/>
        <w:spacing w:after="0" w:line="258" w:lineRule="auto"/>
        <w:rPr>
          <w:sz w:val="20"/>
          <w:szCs w:val="20"/>
          <w:color w:val="auto"/>
        </w:rPr>
      </w:pPr>
      <w:r>
        <w:rPr>
          <w:rFonts w:ascii="Arial" w:cs="Arial" w:eastAsia="Arial" w:hAnsi="Arial"/>
          <w:sz w:val="17"/>
          <w:szCs w:val="17"/>
          <w:color w:val="auto"/>
        </w:rPr>
        <w:t>The following unaudited pro forma financial information shows the results of the Company’s operations for the three months ended March 31, 2023 as if the acquisition had occurred on January 1, 2022.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StudyLink. The unaudited pro forma information reflects the effects of applying the Company’s accounting policies and certain pro forma adjustments to the combined historical financial information of the Company and StudyLink. The pro forma adjustments include:</w:t>
      </w:r>
    </w:p>
    <w:p>
      <w:pPr>
        <w:spacing w:after="0" w:line="61" w:lineRule="exact"/>
        <w:rPr>
          <w:sz w:val="20"/>
          <w:szCs w:val="20"/>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amortization expense associated with the estimated fair value of identified intangible assets;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employee compensation expense for StudyLink employees;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 costs; and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99" w:lineRule="exact"/>
        <w:rPr>
          <w:sz w:val="20"/>
          <w:szCs w:val="20"/>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estimated tax impact of the above items.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4"/>
                <w:szCs w:val="14"/>
                <w:b w:val="1"/>
                <w:bCs w:val="1"/>
                <w:color w:val="auto"/>
              </w:rPr>
              <w:t>Three Months Ended March 31, 2023</w:t>
            </w:r>
          </w:p>
        </w:tc>
        <w:tc>
          <w:tcPr>
            <w:tcW w:w="100" w:type="dxa"/>
            <w:vAlign w:val="bottom"/>
          </w:tcPr>
          <w:p>
            <w:pPr>
              <w:spacing w:after="0"/>
              <w:rPr>
                <w:sz w:val="16"/>
                <w:szCs w:val="16"/>
                <w:color w:val="auto"/>
              </w:rPr>
            </w:pPr>
          </w:p>
        </w:tc>
      </w:tr>
      <w:tr>
        <w:trPr>
          <w:trHeight w:val="182"/>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Actual</w:t>
            </w: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5"/>
                <w:szCs w:val="15"/>
                <w:color w:val="auto"/>
              </w:rPr>
            </w:pPr>
          </w:p>
        </w:tc>
      </w:tr>
      <w:tr>
        <w:trPr>
          <w:trHeight w:val="182"/>
        </w:trPr>
        <w:tc>
          <w:tcPr>
            <w:tcW w:w="7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94,357</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96,164</w:t>
            </w:r>
          </w:p>
        </w:tc>
        <w:tc>
          <w:tcPr>
            <w:tcW w:w="100" w:type="dxa"/>
            <w:vAlign w:val="bottom"/>
            <w:shd w:val="clear" w:color="auto" w:fill="CFF0FC"/>
          </w:tcPr>
          <w:p>
            <w:pPr>
              <w:spacing w:after="0"/>
              <w:rPr>
                <w:sz w:val="19"/>
                <w:szCs w:val="19"/>
                <w:color w:val="auto"/>
              </w:rPr>
            </w:pPr>
          </w:p>
        </w:tc>
      </w:tr>
      <w:tr>
        <w:trPr>
          <w:trHeight w:val="239"/>
        </w:trPr>
        <w:tc>
          <w:tcPr>
            <w:tcW w:w="7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(3,683 )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(4,058 )</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Goodwill and Acquired Intangible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changes in the carrying amount of goodwill as of the dates presented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121,646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97,766</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Goodwill related to acquisitions</w:t>
            </w:r>
          </w:p>
        </w:tc>
        <w:tc>
          <w:tcPr>
            <w:tcW w:w="2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20,705</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(1,926 )</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3,175</w:t>
            </w:r>
          </w:p>
        </w:tc>
        <w:tc>
          <w:tcPr>
            <w:tcW w:w="100" w:type="dxa"/>
            <w:vAlign w:val="bottom"/>
            <w:shd w:val="clear" w:color="auto" w:fill="CFF0FC"/>
          </w:tcPr>
          <w:p>
            <w:pPr>
              <w:spacing w:after="0"/>
              <w:rPr>
                <w:sz w:val="19"/>
                <w:szCs w:val="19"/>
                <w:color w:val="auto"/>
              </w:rPr>
            </w:pPr>
          </w:p>
        </w:tc>
      </w:tr>
      <w:tr>
        <w:trPr>
          <w:trHeight w:val="223"/>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Ending balance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119,720</w:t>
            </w:r>
          </w:p>
        </w:tc>
        <w:tc>
          <w:tcPr>
            <w:tcW w:w="28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121,646</w:t>
            </w:r>
          </w:p>
        </w:tc>
        <w:tc>
          <w:tcPr>
            <w:tcW w:w="100" w:type="dxa"/>
            <w:vAlign w:val="bottom"/>
            <w:tcBorders>
              <w:top w:val="single" w:sz="8" w:color="CFF0FC"/>
            </w:tcBorders>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-179070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Acquired intangible assets subject to amortization consisted of the following (dollars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31, 2024</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Weighted</w:t>
            </w:r>
          </w:p>
        </w:tc>
      </w:tr>
      <w:tr>
        <w:trPr>
          <w:trHeight w:val="162"/>
        </w:trPr>
        <w:tc>
          <w:tcPr>
            <w:tcW w:w="5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58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Gross Carrying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Arial" w:cs="Arial" w:eastAsia="Arial" w:hAnsi="Arial"/>
                <w:sz w:val="14"/>
                <w:szCs w:val="14"/>
                <w:b w:val="1"/>
                <w:bCs w:val="1"/>
                <w:color w:val="auto"/>
              </w:rPr>
              <w:t>Net Carrying</w:t>
            </w:r>
          </w:p>
        </w:tc>
        <w:tc>
          <w:tcPr>
            <w:tcW w:w="22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 Life</w:t>
            </w:r>
          </w:p>
        </w:tc>
      </w:tr>
      <w:tr>
        <w:trPr>
          <w:trHeight w:val="185"/>
        </w:trPr>
        <w:tc>
          <w:tcPr>
            <w:tcW w:w="5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6"/>
                <w:szCs w:val="16"/>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r>
      <w:tr>
        <w:trPr>
          <w:trHeight w:val="22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39,037</w:t>
            </w:r>
          </w:p>
        </w:tc>
        <w:tc>
          <w:tcPr>
            <w:tcW w:w="38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(22,646 )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16,391</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FF0FC"/>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Acquired Relationships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102,745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(15,823 )</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86,922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19"/>
                <w:szCs w:val="19"/>
                <w:color w:val="auto"/>
              </w:rPr>
            </w:pPr>
          </w:p>
        </w:tc>
      </w:tr>
      <w:tr>
        <w:trPr>
          <w:trHeight w:val="22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Name/Trademark</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FF0FC"/>
          </w:tcPr>
          <w:p>
            <w:pPr>
              <w:spacing w:after="0"/>
              <w:rPr>
                <w:sz w:val="19"/>
                <w:szCs w:val="19"/>
                <w:color w:val="auto"/>
              </w:rPr>
            </w:pPr>
          </w:p>
        </w:tc>
      </w:tr>
      <w:tr>
        <w:trPr>
          <w:trHeight w:val="20"/>
        </w:trPr>
        <w:tc>
          <w:tcPr>
            <w:tcW w:w="58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580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141,912</w:t>
            </w:r>
          </w:p>
        </w:tc>
        <w:tc>
          <w:tcPr>
            <w:tcW w:w="26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(38,491 )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103,421</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-179070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-179070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-179070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23806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200" w:lineRule="exact"/>
        <w:rPr>
          <w:sz w:val="20"/>
          <w:szCs w:val="20"/>
          <w:color w:val="auto"/>
        </w:rPr>
      </w:pPr>
    </w:p>
    <w:p>
      <w:pPr>
        <w:ind w:right="6600" w:firstLine="8"/>
        <w:spacing w:after="0" w:line="324" w:lineRule="auto"/>
        <w:tabs>
          <w:tab w:leader="none" w:pos="96"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$(2,571) thousand of foreign currency translation adjustments. ** Includes $91 thousand of foreign currency translation adjustments.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Weighted</w:t>
            </w:r>
          </w:p>
        </w:tc>
      </w:tr>
      <w:tr>
        <w:trPr>
          <w:trHeight w:val="162"/>
        </w:trPr>
        <w:tc>
          <w:tcPr>
            <w:tcW w:w="5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58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Gross Carrying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Arial" w:cs="Arial" w:eastAsia="Arial" w:hAnsi="Arial"/>
                <w:sz w:val="14"/>
                <w:szCs w:val="14"/>
                <w:b w:val="1"/>
                <w:bCs w:val="1"/>
                <w:color w:val="auto"/>
              </w:rPr>
              <w:t>Net Carrying</w:t>
            </w:r>
          </w:p>
        </w:tc>
        <w:tc>
          <w:tcPr>
            <w:tcW w:w="22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 Life</w:t>
            </w:r>
          </w:p>
        </w:tc>
      </w:tr>
      <w:tr>
        <w:trPr>
          <w:trHeight w:val="185"/>
        </w:trPr>
        <w:tc>
          <w:tcPr>
            <w:tcW w:w="5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6"/>
                <w:szCs w:val="16"/>
                <w:color w:val="auto"/>
              </w:rPr>
            </w:pPr>
          </w:p>
        </w:tc>
        <w:tc>
          <w:tcPr>
            <w:tcW w:w="11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r>
      <w:tr>
        <w:trPr>
          <w:trHeight w:val="22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39,624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(21,446 )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18,178</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FF0FC"/>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Acquired Relationships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104,007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(14,143 )</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89,864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19"/>
                <w:szCs w:val="19"/>
                <w:color w:val="auto"/>
              </w:rPr>
            </w:pPr>
          </w:p>
        </w:tc>
      </w:tr>
      <w:tr>
        <w:trPr>
          <w:trHeight w:val="229"/>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 Name/Trademark</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80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143,767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(35,589 )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108,178</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-179070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-179070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-179070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23806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200" w:lineRule="exact"/>
        <w:rPr>
          <w:sz w:val="20"/>
          <w:szCs w:val="20"/>
          <w:color w:val="auto"/>
        </w:rPr>
      </w:pPr>
    </w:p>
    <w:p>
      <w:pPr>
        <w:jc w:val="both"/>
        <w:ind w:right="6720" w:firstLine="8"/>
        <w:spacing w:after="0" w:line="324" w:lineRule="auto"/>
        <w:tabs>
          <w:tab w:leader="none" w:pos="96"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$(750) thousand of foreign currency translation adjustments. ** Includes $(41) thousand of foreign currency translation adjustments.</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expense for the three months ended March 31, 2024 and 2023 was $2.9 million and $2.8 million, respectively.</w:t>
      </w:r>
    </w:p>
    <w:p>
      <w:pPr>
        <w:spacing w:after="0" w:line="171"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As of March 31, 2024, the estimated annual amortization expense of intangible assets for each of the next five years and thereafter is expected to be as follows (in thousands):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Estimated</w:t>
            </w:r>
          </w:p>
        </w:tc>
      </w:tr>
      <w:tr>
        <w:trPr>
          <w:trHeight w:val="162"/>
        </w:trPr>
        <w:tc>
          <w:tcPr>
            <w:tcW w:w="9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Amortization</w:t>
            </w:r>
          </w:p>
        </w:tc>
      </w:tr>
      <w:tr>
        <w:trPr>
          <w:trHeight w:val="185"/>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Expense</w:t>
            </w:r>
          </w:p>
        </w:tc>
      </w:tr>
      <w:tr>
        <w:trPr>
          <w:trHeight w:val="22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Remaining of fiscal year 2024</w:t>
            </w: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8,864</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jc w:val="right"/>
              <w:ind w:right="8690"/>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12,064</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jc w:val="right"/>
              <w:ind w:right="8690"/>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11,335</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jc w:val="right"/>
              <w:ind w:right="8690"/>
              <w:spacing w:after="0"/>
              <w:rPr>
                <w:sz w:val="20"/>
                <w:szCs w:val="20"/>
                <w:color w:val="auto"/>
              </w:rPr>
            </w:pPr>
            <w:r>
              <w:rPr>
                <w:rFonts w:ascii="Arial" w:cs="Arial" w:eastAsia="Arial" w:hAnsi="Arial"/>
                <w:sz w:val="18"/>
                <w:szCs w:val="18"/>
                <w:color w:val="auto"/>
              </w:rPr>
              <w:t>2027</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10,765</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jc w:val="right"/>
              <w:ind w:right="8690"/>
              <w:spacing w:after="0"/>
              <w:rPr>
                <w:sz w:val="20"/>
                <w:szCs w:val="20"/>
                <w:color w:val="auto"/>
              </w:rPr>
            </w:pPr>
            <w:r>
              <w:rPr>
                <w:rFonts w:ascii="Arial" w:cs="Arial" w:eastAsia="Arial" w:hAnsi="Arial"/>
                <w:sz w:val="18"/>
                <w:szCs w:val="18"/>
                <w:color w:val="auto"/>
              </w:rPr>
              <w:t>2028</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10,422</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jc w:val="right"/>
              <w:ind w:right="8690"/>
              <w:spacing w:after="0"/>
              <w:rPr>
                <w:sz w:val="20"/>
                <w:szCs w:val="20"/>
                <w:color w:val="auto"/>
              </w:rPr>
            </w:pPr>
            <w:r>
              <w:rPr>
                <w:rFonts w:ascii="Arial" w:cs="Arial" w:eastAsia="Arial" w:hAnsi="Arial"/>
                <w:sz w:val="18"/>
                <w:szCs w:val="18"/>
                <w:color w:val="auto"/>
              </w:rPr>
              <w:t>2029</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9,598</w:t>
            </w:r>
          </w:p>
        </w:tc>
        <w:tc>
          <w:tcPr>
            <w:tcW w:w="100" w:type="dxa"/>
            <w:vAlign w:val="bottom"/>
          </w:tcPr>
          <w:p>
            <w:pPr>
              <w:spacing w:after="0"/>
              <w:rPr>
                <w:sz w:val="19"/>
                <w:szCs w:val="19"/>
                <w:color w:val="auto"/>
              </w:rPr>
            </w:pPr>
          </w:p>
        </w:tc>
      </w:tr>
      <w:tr>
        <w:trPr>
          <w:trHeight w:val="229"/>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40,373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103,421</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9.</w:t>
        <w:tab/>
        <w:t>Debt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Revolving Credit Facility</w:t>
      </w:r>
    </w:p>
    <w:p>
      <w:pPr>
        <w:spacing w:after="0" w:line="18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On February 23, 2024, the Company entered into an Amended and Restated Credit Agreement for a five-year senior secured revolving credit syndication loan (2024 Revolving Credit Facility) with four banks for a total commitment of $125.0 million. The 2024 Revolving Credit Facility provides for an incremental facility in an amount equal to $50.0 million plus 100% of Consolidated Adjusted EBITDA based on the most recent consolidated financial information. In addition, the 2024 Revolving Credit Facility includes a $10.0 million letter of credit sub-facility and a $5.0 million swingline sub-facility, with available borrowings under the 2024 Revolving Credit Facility reduced by the amount of any letters of credit and swingline borrowings outstanding from time to time. The 2024 Revolving Credit Facility is guaranteed by Flywire’s current and future material domestic subsidiaries.</w:t>
      </w:r>
    </w:p>
    <w:p>
      <w:pPr>
        <w:spacing w:after="0" w:line="142" w:lineRule="exact"/>
        <w:rPr>
          <w:sz w:val="20"/>
          <w:szCs w:val="20"/>
          <w:color w:val="auto"/>
        </w:rPr>
      </w:pPr>
    </w:p>
    <w:p>
      <w:pPr>
        <w:ind w:right="140" w:firstLine="509"/>
        <w:spacing w:after="0" w:line="252" w:lineRule="auto"/>
        <w:rPr>
          <w:sz w:val="20"/>
          <w:szCs w:val="20"/>
          <w:color w:val="auto"/>
        </w:rPr>
      </w:pPr>
      <w:r>
        <w:rPr>
          <w:rFonts w:ascii="Arial" w:cs="Arial" w:eastAsia="Arial" w:hAnsi="Arial"/>
          <w:sz w:val="18"/>
          <w:szCs w:val="18"/>
          <w:color w:val="auto"/>
        </w:rPr>
        <w:t>The 2024 Revolving Credit Facility replaces the three-year senior secured revolving credit syndication loan (2021 Revolving Credit Facility) of $50.0 million entered into in July 2021, under which $50.0 million was available to Flywire as of December 31, 2023. Three of the lenders under the 2024 Revolving Credit Facility were existing lenders under the 2021 Revolving Credit Facility.</w:t>
      </w:r>
    </w:p>
    <w:p>
      <w:pPr>
        <w:spacing w:after="0" w:line="130"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In connection with the 2024 Revolving Credit Facility, the Company incurred debt issuance costs of $0.8 million. Debt issuance costs related to the 2024 Revolving Credit Facility are amortized on a straight-line basis over the contractual term of the agreement and are presented as a component of other assets on the Company's condensed consolidated balance sheets. Debt issuance costs of $0.1 million related to the 2021 Revolving Credit Facility will continue to be amortized on a straight-line basis over the contractual term of the new agreement and are presented as a component of other assets on the Company's condensed consolidated balance sheets. The exchange of the 2021 Revolving Credit Facility with the 2024 Revolving Credit Facility from the same lenders was accounted for as a modification.</w:t>
      </w:r>
    </w:p>
    <w:p>
      <w:pPr>
        <w:spacing w:after="0" w:line="155"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The 2024 Revolving Credit Facility consists of Alternate Base Rate (ABR) borrowings or Term Secured Overnight Financing Rate (SOFR) borrowings, at the Company’s option.</w:t>
      </w:r>
    </w:p>
    <w:p>
      <w:pPr>
        <w:spacing w:after="0" w:line="11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ABR borrowings bear interest at the ABR plus the applicable rate. Term SOFR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equal to the sum of (a) Term SOFR for such interest period, plus (b) the SOFR adjustment of 0.10%. The applicable rate is based upon the Company’s consolidated total net leverage ratio as of the most recent consolidated financial information and ranges from 1.0% to 2.5%. The 2024 Revolving Credit Facility incurs a commitment fee ranging from 0.25% to 0.35% based upon the Company’s consolidated total net leverage ratio as of the most recent consolidated financial information assessed on the average available commitment.</w:t>
      </w:r>
    </w:p>
    <w:p>
      <w:pPr>
        <w:spacing w:after="0" w:line="14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2024 Revolving Credit Facility contains customary affirmative and negative covenants and restrictions typical for a financing of this type that, among other things, require the Company to satisfy certain financial covenants and restrict the Company’s ability to incur additional debt, pay dividends and make distributions, make certain investments and acquisitions, repurchase its stock and prepay certain indebtedness, create liens, enter into agreements with affiliates, modify the nature of its business, enter into sale-leaseback transactions, transfer and sell material assets and merge or consolidate. Non-compliance with one or more of the covenants and restrictions could result in the full or partial principal balance of the 2024 Revolving Credit Facility becoming immediately due and payable and termination of the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commitments. The Company was in compliance with all covenants associated with the 2024 Revolving Credit Facility as of March 31, 2024.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Revolving Credit Facility</w:t>
      </w:r>
    </w:p>
    <w:p>
      <w:pPr>
        <w:spacing w:after="0" w:line="169" w:lineRule="exact"/>
        <w:rPr>
          <w:sz w:val="20"/>
          <w:szCs w:val="20"/>
          <w:color w:val="auto"/>
        </w:rPr>
      </w:pPr>
    </w:p>
    <w:p>
      <w:pPr>
        <w:ind w:right="440" w:firstLine="509"/>
        <w:spacing w:after="0" w:line="266" w:lineRule="auto"/>
        <w:rPr>
          <w:sz w:val="20"/>
          <w:szCs w:val="20"/>
          <w:color w:val="auto"/>
        </w:rPr>
      </w:pPr>
      <w:r>
        <w:rPr>
          <w:rFonts w:ascii="Arial" w:cs="Arial" w:eastAsia="Arial" w:hAnsi="Arial"/>
          <w:sz w:val="17"/>
          <w:szCs w:val="17"/>
          <w:color w:val="auto"/>
        </w:rPr>
        <w:t>On July 29, 2021, the Company entered into the 2021 Revolving Credit Facility with three banks for a total commitment of $50.0 million. The 2021 Revolving Credit Facility included a $5.0 million letter of credit sub-facility and a $5.0 million swingline sub-facility, with available borrowings under the 2021 Revolving Credit Facility reduced by the amount of any letters of credit and swingline borrowings outstanding from time to time. The 2021 Revolving Credit Facility was guaranteed by Flywire’s material domestic subsidiaries.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2021 Revolving Credit Facility consisted of ABR loans or Eurodollar Borrowings, at the Company’s option.</w:t>
      </w:r>
    </w:p>
    <w:p>
      <w:pPr>
        <w:spacing w:after="0" w:line="184"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On June 23, 2023, the Company executed the First Amendment to the 2021 Revolving Credit Facility to transition determination of the interest rate from the LIBOR benchmark rate to the SOFR benchmark rate effective June 30, 2023.</w:t>
      </w:r>
    </w:p>
    <w:p>
      <w:pPr>
        <w:spacing w:after="0" w:line="112" w:lineRule="exact"/>
        <w:rPr>
          <w:sz w:val="20"/>
          <w:szCs w:val="20"/>
          <w:color w:val="auto"/>
        </w:rPr>
      </w:pPr>
    </w:p>
    <w:p>
      <w:pPr>
        <w:ind w:firstLine="559"/>
        <w:spacing w:after="0" w:line="271" w:lineRule="auto"/>
        <w:rPr>
          <w:sz w:val="20"/>
          <w:szCs w:val="20"/>
          <w:color w:val="auto"/>
        </w:rPr>
      </w:pPr>
      <w:r>
        <w:rPr>
          <w:rFonts w:ascii="Arial" w:cs="Arial" w:eastAsia="Arial" w:hAnsi="Arial"/>
          <w:sz w:val="18"/>
          <w:szCs w:val="18"/>
          <w:color w:val="auto"/>
        </w:rPr>
        <w:t>As of March 31, 2024 and December 31, 2023, there was no outstanding indebtedness under the 2024 Revolving Credit Facility or the 2021 Revolving Credit Facility.</w:t>
      </w:r>
    </w:p>
    <w:p>
      <w:pPr>
        <w:spacing w:after="0" w:line="112"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Interest expense for each of the three months ended March 31, 2024 and 2023 was $0.1 million. Included in interest expense for each of the three months ended March 31, 2024 and 2023 is less than $0.1 million of amortization of debt issuance costs.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69"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As of March 31, 2024 and December 31, 2023, the Company had an outstanding and unused letter of credit in the amount of approximately $2.6 million and $0.7 million, respectively, for the purpose of protecting a third-party service provider against default on payroll payments. The letter of credit expires upon notice.</w:t>
      </w:r>
    </w:p>
    <w:p>
      <w:pPr>
        <w:spacing w:after="0" w:line="27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Stockholders’ Equity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Company’s current amended and restated certificate of incorporation, which was filed on May 28, 2021, authorizes the issuance of 10,000,000 shares of undesignated preferred stock with a par value of $0.0001 per share with rights and preferences, including voting rights, designated from time to time by the board of directors.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69"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The Company’s current amended and restated certificate of incorporation authorizes the issuance of 2,000,000,000 shares of voting common stock with a par value of $0.0001 per share and 10,000,000 shares of non-voting common stock with a par value of $0.0001 per share. The voting and non-voting shares are identical, except that holders of voting common stock are entitled to one vote for each share on each matter properly submitted to the Company’s stockholders for their vote, while holders of non-voting common stock are not entitled to vote on such matters. Holders of voting common stock and non-voting common stock are entitled to receive any dividends as may be declared from time to time by the board of directors.</w:t>
      </w:r>
    </w:p>
    <w:p>
      <w:pPr>
        <w:spacing w:after="0" w:line="155"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Holders of the Company's common stock have no conversion rights while each share of non-voting common stock automatically converts into common stock on a one-to-one basis without the payment of additional consideration upon the transfer thereof in (i) a widespread public distribution, including pursuant to Rule 144 under the Securities Act, (ii) a transfer (including a private placement or a sale pursuant to Rule 144 under the Securities Act) in which no one party acquires the right to purchase 2% or more of any class of voting securities (as such term is used for the purposes of the Bank Holding Company Act of 1956, as amended), (iii) an assignment to a single party (for example, a broker or investment banker) for the purposes of conducting a widespread public distribution, or (iv) to a party who would control more than 50% of the Company's voting securities without giving effect to the shares of non-voting common stock transferred by the holder. Other than in the event of such transfers, shares of non-voting common stock shall not be convertible into any other security.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82" w:lineRule="exact"/>
        <w:rPr>
          <w:sz w:val="20"/>
          <w:szCs w:val="20"/>
          <w:color w:val="auto"/>
        </w:rPr>
      </w:pPr>
    </w:p>
    <w:p>
      <w:pPr>
        <w:ind w:right="280" w:firstLine="509"/>
        <w:spacing w:after="0" w:line="246" w:lineRule="auto"/>
        <w:rPr>
          <w:sz w:val="20"/>
          <w:szCs w:val="20"/>
          <w:color w:val="auto"/>
        </w:rPr>
      </w:pPr>
      <w:r>
        <w:rPr>
          <w:rFonts w:ascii="Arial" w:cs="Arial" w:eastAsia="Arial" w:hAnsi="Arial"/>
          <w:sz w:val="18"/>
          <w:szCs w:val="18"/>
          <w:color w:val="auto"/>
        </w:rPr>
        <w:t>The Company may issue treasury stock to cover the exercise of stock options and vesting of restricted stock units related to equity incentive plans. The Company issued 14,504 treasury shares at an average cost of $0.32 per share during the three months ended March 31, 2024. The Company did not issue any treasury shares during the three months ended March 31, 2023. The Company intends to issue treasury shares as long as an adequate number of those shares are available.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2024, the Company had reserved shares of common stock for future issuance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940" w:type="dxa"/>
            <w:vAlign w:val="bottom"/>
          </w:tcPr>
          <w:p>
            <w:pPr>
              <w:spacing w:after="0"/>
              <w:rPr>
                <w:sz w:val="16"/>
                <w:szCs w:val="16"/>
                <w:color w:val="auto"/>
              </w:rPr>
            </w:pPr>
          </w:p>
        </w:tc>
        <w:tc>
          <w:tcPr>
            <w:tcW w:w="2300" w:type="dxa"/>
            <w:vAlign w:val="bottom"/>
            <w:gridSpan w:val="2"/>
          </w:tcPr>
          <w:p>
            <w:pPr>
              <w:ind w:left="580"/>
              <w:spacing w:after="0"/>
              <w:rPr>
                <w:sz w:val="20"/>
                <w:szCs w:val="20"/>
                <w:color w:val="auto"/>
              </w:rPr>
            </w:pPr>
            <w:r>
              <w:rPr>
                <w:rFonts w:ascii="Arial" w:cs="Arial" w:eastAsia="Arial" w:hAnsi="Arial"/>
                <w:sz w:val="14"/>
                <w:szCs w:val="14"/>
                <w:b w:val="1"/>
                <w:bCs w:val="1"/>
                <w:color w:val="auto"/>
              </w:rPr>
              <w:t>March 31, 2024</w:t>
            </w:r>
          </w:p>
        </w:tc>
      </w:tr>
      <w:tr>
        <w:trPr>
          <w:trHeight w:val="223"/>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Issued and outstanding stock options</w:t>
            </w:r>
          </w:p>
        </w:tc>
        <w:tc>
          <w:tcPr>
            <w:tcW w:w="2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7,366,719</w:t>
            </w:r>
          </w:p>
        </w:tc>
        <w:tc>
          <w:tcPr>
            <w:tcW w:w="100" w:type="dxa"/>
            <w:vAlign w:val="bottom"/>
            <w:shd w:val="clear" w:color="auto" w:fill="CFF0FC"/>
          </w:tcPr>
          <w:p>
            <w:pPr>
              <w:spacing w:after="0"/>
              <w:rPr>
                <w:sz w:val="19"/>
                <w:szCs w:val="19"/>
                <w:color w:val="auto"/>
              </w:rPr>
            </w:pPr>
          </w:p>
        </w:tc>
      </w:tr>
      <w:tr>
        <w:trPr>
          <w:trHeight w:val="229"/>
        </w:trPr>
        <w:tc>
          <w:tcPr>
            <w:tcW w:w="8940" w:type="dxa"/>
            <w:vAlign w:val="bottom"/>
          </w:tcPr>
          <w:p>
            <w:pPr>
              <w:ind w:left="20"/>
              <w:spacing w:after="0"/>
              <w:rPr>
                <w:sz w:val="20"/>
                <w:szCs w:val="20"/>
                <w:color w:val="auto"/>
              </w:rPr>
            </w:pPr>
            <w:r>
              <w:rPr>
                <w:rFonts w:ascii="Arial" w:cs="Arial" w:eastAsia="Arial" w:hAnsi="Arial"/>
                <w:sz w:val="18"/>
                <w:szCs w:val="18"/>
                <w:color w:val="auto"/>
              </w:rPr>
              <w:t>Issued and outstanding restricted stock units</w:t>
            </w:r>
          </w:p>
        </w:tc>
        <w:tc>
          <w:tcPr>
            <w:tcW w:w="2200" w:type="dxa"/>
            <w:vAlign w:val="bottom"/>
          </w:tcPr>
          <w:p>
            <w:pPr>
              <w:jc w:val="right"/>
              <w:spacing w:after="0"/>
              <w:rPr>
                <w:sz w:val="20"/>
                <w:szCs w:val="20"/>
                <w:color w:val="auto"/>
              </w:rPr>
            </w:pPr>
            <w:r>
              <w:rPr>
                <w:rFonts w:ascii="Arial" w:cs="Arial" w:eastAsia="Arial" w:hAnsi="Arial"/>
                <w:sz w:val="18"/>
                <w:szCs w:val="18"/>
                <w:color w:val="auto"/>
              </w:rPr>
              <w:t>6,809,244</w:t>
            </w:r>
          </w:p>
        </w:tc>
        <w:tc>
          <w:tcPr>
            <w:tcW w:w="100" w:type="dxa"/>
            <w:vAlign w:val="bottom"/>
          </w:tcPr>
          <w:p>
            <w:pPr>
              <w:spacing w:after="0"/>
              <w:rPr>
                <w:sz w:val="19"/>
                <w:szCs w:val="19"/>
                <w:color w:val="auto"/>
              </w:rPr>
            </w:pPr>
          </w:p>
        </w:tc>
      </w:tr>
      <w:tr>
        <w:trPr>
          <w:trHeight w:val="229"/>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Available for issuance under the 2021 Equity Incentive Plan</w:t>
            </w: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17,833,390</w:t>
            </w:r>
          </w:p>
        </w:tc>
        <w:tc>
          <w:tcPr>
            <w:tcW w:w="100" w:type="dxa"/>
            <w:vAlign w:val="bottom"/>
            <w:shd w:val="clear" w:color="auto" w:fill="CFF0FC"/>
          </w:tcPr>
          <w:p>
            <w:pPr>
              <w:spacing w:after="0"/>
              <w:rPr>
                <w:sz w:val="19"/>
                <w:szCs w:val="19"/>
                <w:color w:val="auto"/>
              </w:rPr>
            </w:pPr>
          </w:p>
        </w:tc>
      </w:tr>
      <w:tr>
        <w:trPr>
          <w:trHeight w:val="229"/>
        </w:trPr>
        <w:tc>
          <w:tcPr>
            <w:tcW w:w="8940" w:type="dxa"/>
            <w:vAlign w:val="bottom"/>
          </w:tcPr>
          <w:p>
            <w:pPr>
              <w:ind w:left="20"/>
              <w:spacing w:after="0"/>
              <w:rPr>
                <w:sz w:val="20"/>
                <w:szCs w:val="20"/>
                <w:color w:val="auto"/>
              </w:rPr>
            </w:pPr>
            <w:r>
              <w:rPr>
                <w:rFonts w:ascii="Arial" w:cs="Arial" w:eastAsia="Arial" w:hAnsi="Arial"/>
                <w:sz w:val="18"/>
                <w:szCs w:val="18"/>
                <w:color w:val="auto"/>
              </w:rPr>
              <w:t>Available for issuance under Employee Stock Purchase Plan</w:t>
            </w:r>
          </w:p>
        </w:tc>
        <w:tc>
          <w:tcPr>
            <w:tcW w:w="2200" w:type="dxa"/>
            <w:vAlign w:val="bottom"/>
          </w:tcPr>
          <w:p>
            <w:pPr>
              <w:jc w:val="right"/>
              <w:spacing w:after="0"/>
              <w:rPr>
                <w:sz w:val="20"/>
                <w:szCs w:val="20"/>
                <w:color w:val="auto"/>
              </w:rPr>
            </w:pPr>
            <w:r>
              <w:rPr>
                <w:rFonts w:ascii="Arial" w:cs="Arial" w:eastAsia="Arial" w:hAnsi="Arial"/>
                <w:sz w:val="18"/>
                <w:szCs w:val="18"/>
                <w:color w:val="auto"/>
              </w:rPr>
              <w:t>4,720,458</w:t>
            </w:r>
          </w:p>
        </w:tc>
        <w:tc>
          <w:tcPr>
            <w:tcW w:w="100" w:type="dxa"/>
            <w:vAlign w:val="bottom"/>
          </w:tcPr>
          <w:p>
            <w:pPr>
              <w:spacing w:after="0"/>
              <w:rPr>
                <w:sz w:val="19"/>
                <w:szCs w:val="19"/>
                <w:color w:val="auto"/>
              </w:rPr>
            </w:pPr>
          </w:p>
        </w:tc>
      </w:tr>
      <w:tr>
        <w:trPr>
          <w:trHeight w:val="229"/>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Committed to settling employee retention</w:t>
            </w: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83,996</w:t>
            </w:r>
          </w:p>
        </w:tc>
        <w:tc>
          <w:tcPr>
            <w:tcW w:w="100" w:type="dxa"/>
            <w:vAlign w:val="bottom"/>
            <w:shd w:val="clear" w:color="auto" w:fill="CFF0FC"/>
          </w:tcPr>
          <w:p>
            <w:pPr>
              <w:spacing w:after="0"/>
              <w:rPr>
                <w:sz w:val="19"/>
                <w:szCs w:val="19"/>
                <w:color w:val="auto"/>
              </w:rPr>
            </w:pPr>
          </w:p>
        </w:tc>
      </w:tr>
      <w:tr>
        <w:trPr>
          <w:trHeight w:val="229"/>
        </w:trPr>
        <w:tc>
          <w:tcPr>
            <w:tcW w:w="8940" w:type="dxa"/>
            <w:vAlign w:val="bottom"/>
          </w:tcPr>
          <w:p>
            <w:pPr>
              <w:ind w:left="20"/>
              <w:spacing w:after="0"/>
              <w:rPr>
                <w:sz w:val="20"/>
                <w:szCs w:val="20"/>
                <w:color w:val="auto"/>
              </w:rPr>
            </w:pPr>
            <w:r>
              <w:rPr>
                <w:rFonts w:ascii="Arial" w:cs="Arial" w:eastAsia="Arial" w:hAnsi="Arial"/>
                <w:sz w:val="18"/>
                <w:szCs w:val="18"/>
                <w:color w:val="auto"/>
              </w:rPr>
              <w:t>Available for conversion of non-voting common stock</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1,873,320</w:t>
            </w:r>
          </w:p>
        </w:tc>
        <w:tc>
          <w:tcPr>
            <w:tcW w:w="100" w:type="dxa"/>
            <w:vAlign w:val="bottom"/>
          </w:tcPr>
          <w:p>
            <w:pPr>
              <w:spacing w:after="0"/>
              <w:rPr>
                <w:sz w:val="19"/>
                <w:szCs w:val="19"/>
                <w:color w:val="auto"/>
              </w:rPr>
            </w:pPr>
          </w:p>
        </w:tc>
      </w:tr>
      <w:tr>
        <w:trPr>
          <w:trHeight w:val="263"/>
        </w:trPr>
        <w:tc>
          <w:tcPr>
            <w:tcW w:w="8940" w:type="dxa"/>
            <w:vAlign w:val="bottom"/>
            <w:tcBorders>
              <w:bottom w:val="single" w:sz="8" w:color="CFF0FC"/>
            </w:tcBorders>
            <w:shd w:val="clear" w:color="auto" w:fill="CFF0FC"/>
          </w:tcPr>
          <w:p>
            <w:pPr>
              <w:spacing w:after="0"/>
              <w:rPr>
                <w:sz w:val="22"/>
                <w:szCs w:val="22"/>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38,687,127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11.</w:t>
        <w:tab/>
        <w:t>Stock-Based Compensation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69"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In April 2021, the Company’s board of directors adopted, and in May 2021 its stockholders approved the 2021 Equity Incentive Plan (the 2021 Plan).</w:t>
      </w:r>
    </w:p>
    <w:p>
      <w:pPr>
        <w:spacing w:after="0" w:line="112" w:lineRule="exact"/>
        <w:rPr>
          <w:sz w:val="20"/>
          <w:szCs w:val="20"/>
          <w:color w:val="auto"/>
        </w:rPr>
      </w:pPr>
    </w:p>
    <w:p>
      <w:pPr>
        <w:ind w:right="120" w:firstLine="509"/>
        <w:spacing w:after="0" w:line="261" w:lineRule="auto"/>
        <w:rPr>
          <w:sz w:val="20"/>
          <w:szCs w:val="20"/>
          <w:color w:val="auto"/>
        </w:rPr>
      </w:pPr>
      <w:r>
        <w:rPr>
          <w:rFonts w:ascii="Arial" w:cs="Arial" w:eastAsia="Arial" w:hAnsi="Arial"/>
          <w:sz w:val="17"/>
          <w:szCs w:val="17"/>
          <w:color w:val="auto"/>
        </w:rPr>
        <w:t>No further awards are being made under the Company’s 2009 Equity Incentive Plan, as amended (the 2009 Plan) or the Company’s 2018 Stock Incentive Plan (the 2018 Plan); however, awards outstanding under each of the 2009 Plan and 2018 Plan will continue to be governed by their existing terms. With the establishment of the 2021 Plan as further discussed below, upon the expiration, forfeiture, cancellation, or reacquisition of any stock-based awards granted under the 2009 Plan or 2018 Plan, an equal number of shares will become available for grant under the 2021 Plan. The 2021 Plan, 2018 Plan and 2009 Plan are collectively referred to as the “Equity Incentive Plans”.</w:t>
      </w:r>
    </w:p>
    <w:p>
      <w:pPr>
        <w:spacing w:after="0" w:line="137"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2021 Plan provides for the grant of incentive stock options, nonqualified stock options, stock appreciation rights, restricted stock awards, restricted stock units, performance awards and other forms of equity compensation (collectively, equity awards). A total of 26,116,754 shares of the Company’s common stock have been reserved for issuance under the 2021 Plan in addition to (i) any annual automatic evergreen increases in the number of shares of common stock reserved for issuance under the 2021 Plan and (ii) upon the expiration, forfeiture, cancellation, or reacquisition of any stock-based awards granted under the 2009 Plan or 2018 Plan, an equal number of shares of common stock will become available under the 2021 Plan.</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2024, a total of 17,833,390 shares of the Company's common stock were available for future issuance under the 2021</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2" w:lineRule="exact"/>
        <w:rPr>
          <w:sz w:val="20"/>
          <w:szCs w:val="20"/>
          <w:color w:val="auto"/>
        </w:rPr>
      </w:pPr>
    </w:p>
    <w:p>
      <w:pPr>
        <w:jc w:val="both"/>
        <w:ind w:right="260" w:firstLine="509"/>
        <w:spacing w:after="0" w:line="252" w:lineRule="auto"/>
        <w:rPr>
          <w:sz w:val="20"/>
          <w:szCs w:val="20"/>
          <w:color w:val="auto"/>
        </w:rPr>
      </w:pPr>
      <w:r>
        <w:rPr>
          <w:rFonts w:ascii="Arial" w:cs="Arial" w:eastAsia="Arial" w:hAnsi="Arial"/>
          <w:sz w:val="18"/>
          <w:szCs w:val="18"/>
          <w:color w:val="auto"/>
        </w:rPr>
        <w:t>Stock options granted under the 2009 Plan, 2018 Plan and the 2021 Plan generally vest based on continued service over four years and expire within ten years from the date of grant. Any options that are canceled or forfeited before expiration become available for future grants.</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did not grant any options to purchase shares of common stock during the three months ended March 31, 2024.</w:t>
      </w:r>
    </w:p>
    <w:p>
      <w:pPr>
        <w:spacing w:after="0" w:line="171"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As of March 31, 2024, there was $8.8 million of total unrecognized compensation expense related to unvested stock options, which is expected to be recognized over a weighted-average period of 1.14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9"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Starting in 2021, the Company awarded restricted stock units to employees and certain non-employee board members under the 2021 Plan. During the three months ended March 31, 2024, the Company awarded restricted stock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units covering an aggregate of 3,166,769 shares of common stock. The fair value of each restricted stock unit is estimated based on the fair value of the Company's common stock on the date of the grant. The restricted stock units vest over the requisite service period, which range between one and four years from the date of the grant, subject to the continued employment of the employees and service of the non-employee board members.</w:t>
      </w:r>
    </w:p>
    <w:p>
      <w:pPr>
        <w:spacing w:after="0" w:line="149"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As of March 31, 2024, there was $159.0 million of total unrecognized compensation expense related to unvested restricted stock units, which is expected to be recognized over a weighted-average period of 3.32 years.</w:t>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6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April 2021, the Company’s board of directors adopted, and in May 2021 its stockholders approved, the 2021 Employee Stock Purchase Plan (ESPP), which became effective on May 28, 2021. The ESPP authorizes the issuance of shares of common stock pursuant to purchase rights granted to "eligible employees". A total of 5,082,470 shares of common stock have been reserved for future issuance under the ESPP, in addition to any annual automatic evergreen increases in the number of shares of common stock reserved for future issuance under the ESPP. The price at which common stock is purchased under the ESPP is equal to 85% of the fair market value of a share of common stock on the first or last day of the offering period, whichever is lower. Eligible employees can contribute up to 15% of their eligible compensation. Offering periods are generally 6 months long.</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March 31, 2024, a total of 4,720,458 shares of the Company's common stock were available for future issuance under the ESPP.</w:t>
      </w:r>
    </w:p>
    <w:p>
      <w:pPr>
        <w:spacing w:after="0" w:line="182"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The fair value of the ESPP offering during the three months ended March 31, 2024 was estimated at the start of the offering period using the Black-Scholes option-pricing model with the following assumptions: (i) expected term of 0.5 years, (ii) expected volatility of 61.91%, (iii) risk-free interest rate of 5.24% and (iv) expected dividend yield of 0%.</w:t>
      </w:r>
    </w:p>
    <w:p>
      <w:pPr>
        <w:spacing w:after="0" w:line="130"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As of March 31, 2024, the total unrecognized compensation expense related to the ESPP was $0.4 million, which is expected to be amortized over the next 3 months.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Costs</w:t>
      </w:r>
    </w:p>
    <w:p>
      <w:pPr>
        <w:spacing w:after="0" w:line="169" w:lineRule="exact"/>
        <w:rPr>
          <w:sz w:val="20"/>
          <w:szCs w:val="20"/>
          <w:color w:val="auto"/>
        </w:rPr>
      </w:pPr>
    </w:p>
    <w:p>
      <w:pPr>
        <w:ind w:right="520" w:firstLine="509"/>
        <w:spacing w:after="0" w:line="252" w:lineRule="auto"/>
        <w:rPr>
          <w:sz w:val="20"/>
          <w:szCs w:val="20"/>
          <w:color w:val="auto"/>
        </w:rPr>
      </w:pPr>
      <w:r>
        <w:rPr>
          <w:rFonts w:ascii="Arial" w:cs="Arial" w:eastAsia="Arial" w:hAnsi="Arial"/>
          <w:sz w:val="18"/>
          <w:szCs w:val="18"/>
          <w:color w:val="auto"/>
        </w:rPr>
        <w:t>The following table summarizes the stock-based compensation expense for (i) stock options and restricted stock units granted to employees and non-employee board members and (ii) ESPP shares that were purchased by employees that were recorded in the Company’s condensed consolidated statements of operations and comprehensive loss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77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 and development</w:t>
            </w:r>
          </w:p>
        </w:tc>
        <w:tc>
          <w:tcPr>
            <w:tcW w:w="100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w:t>
            </w:r>
          </w:p>
        </w:tc>
        <w:tc>
          <w:tcPr>
            <w:tcW w:w="128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3,960</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2,437</w:t>
            </w:r>
          </w:p>
        </w:tc>
        <w:tc>
          <w:tcPr>
            <w:tcW w:w="100" w:type="dxa"/>
            <w:vAlign w:val="bottom"/>
          </w:tcPr>
          <w:p>
            <w:pPr>
              <w:spacing w:after="0"/>
              <w:rPr>
                <w:sz w:val="19"/>
                <w:szCs w:val="19"/>
                <w:color w:val="auto"/>
              </w:rPr>
            </w:pPr>
          </w:p>
        </w:tc>
      </w:tr>
      <w:tr>
        <w:trPr>
          <w:trHeight w:val="22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8,290</w:t>
            </w:r>
          </w:p>
        </w:tc>
        <w:tc>
          <w:tcPr>
            <w:tcW w:w="2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00" w:type="dxa"/>
            <w:vAlign w:val="bottom"/>
          </w:tcPr>
          <w:p>
            <w:pPr>
              <w:ind w:left="140"/>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14,842</w:t>
            </w:r>
          </w:p>
        </w:tc>
        <w:tc>
          <w:tcPr>
            <w:tcW w:w="128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8,603</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-179070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On November 6, 2023, the Company entered into a Transition Agreement with its previous Chief Financial Officer (Prior CFO). Pursuant to the terms of the Transition Agreement (including the receipt by the Company of a release from the Prior CFO), the Company agreed to modify its Prior CFO's outstanding stock options and restricted stock units to (i) accelerate vesting for nine months from the date of the termination of the Prior CFOs employment with the Company (the Separation Date), and (ii) extend the exercise period of his vested nonqualified stock options from ninety days to one year following the Separation Date. To receive these benefits, the Prior CFO had to remain employed through March 31, 2024. As a result of this modification, the Company recognized additional compensation expense of $1.3 million during the three months ended March 31, 2024.</w:t>
      </w:r>
    </w:p>
    <w:p>
      <w:pPr>
        <w:spacing w:after="0" w:line="29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Net Loss per Share</w:t>
      </w:r>
    </w:p>
    <w:p>
      <w:pPr>
        <w:spacing w:after="0" w:line="171"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weighted-average number of shares of common stock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weighted-average number of common shares outstanding, including all potentially dilutive common shares, if the effect of such shares is dilutive.</w:t>
      </w:r>
    </w:p>
    <w:p>
      <w:pPr>
        <w:spacing w:after="0" w:line="126"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three months ended March 31, 2024 and 2023; accordingly, basic net loss per share attributable to common stockholders was the same as diluted net loss per share attributable to common stockholders.</w:t>
      </w:r>
    </w:p>
    <w:p>
      <w:pPr>
        <w:spacing w:after="0" w:line="139"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The rights, including the liquidation and dividend rights, of the voting and non-voting common stock are identical, except with respect to voting rights. As the liquidation and dividend rights are identical, the undistributed earnings are allocated on a proportionate basis to each class of common stock and the resulting basic and diluted net loss per share attributable to common stockholders are, therefore, the same for both voting and non-voting common stock on both individual and combined basis.</w:t>
      </w:r>
    </w:p>
    <w:p>
      <w:pPr>
        <w:spacing w:after="0" w:line="136"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 March 31,</w:t>
            </w:r>
          </w:p>
        </w:tc>
      </w:tr>
      <w:tr>
        <w:trPr>
          <w:trHeight w:val="209"/>
        </w:trPr>
        <w:tc>
          <w:tcPr>
            <w:tcW w:w="77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8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(6,217 )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(3,683 )</w:t>
            </w: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Net loss attributable to common stockholders - basic and diluted</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(6,217 )</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(3,683 )</w:t>
            </w:r>
          </w:p>
        </w:tc>
      </w:tr>
      <w:tr>
        <w:trPr>
          <w:trHeight w:val="210"/>
        </w:trPr>
        <w:tc>
          <w:tcPr>
            <w:tcW w:w="77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69"/>
        </w:trPr>
        <w:tc>
          <w:tcPr>
            <w:tcW w:w="77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Weighted average common shares outstanding - basic and diluted</w:t>
            </w:r>
          </w:p>
        </w:tc>
        <w:tc>
          <w:tcPr>
            <w:tcW w:w="360" w:type="dxa"/>
            <w:vAlign w:val="bottom"/>
            <w:tcBorders>
              <w:bottom w:val="single" w:sz="8" w:color="auto"/>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123,143,343</w:t>
            </w:r>
          </w:p>
        </w:tc>
        <w:tc>
          <w:tcPr>
            <w:tcW w:w="26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109,787,528</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stockholders - basic and 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(0.05 )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(0.03 )</w:t>
            </w: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-513080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-495935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-196215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-179070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Outstanding potentially dilutive securities, which were excluded from the diluted net loss per share calculations because they would have been antidilutive were as follows as of the dates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540" w:type="dxa"/>
            <w:vAlign w:val="bottom"/>
            <w:gridSpan w:val="4"/>
          </w:tcPr>
          <w:p>
            <w:pPr>
              <w:ind w:left="660"/>
              <w:spacing w:after="0"/>
              <w:rPr>
                <w:sz w:val="20"/>
                <w:szCs w:val="20"/>
                <w:color w:val="auto"/>
              </w:rPr>
            </w:pPr>
            <w:r>
              <w:rPr>
                <w:rFonts w:ascii="Arial" w:cs="Arial" w:eastAsia="Arial" w:hAnsi="Arial"/>
                <w:sz w:val="14"/>
                <w:szCs w:val="14"/>
                <w:b w:val="1"/>
                <w:bCs w:val="1"/>
                <w:color w:val="auto"/>
              </w:rPr>
              <w:t>Three Months Ended March 31,</w:t>
            </w:r>
          </w:p>
        </w:tc>
      </w:tr>
      <w:tr>
        <w:trPr>
          <w:trHeight w:val="182"/>
        </w:trPr>
        <w:tc>
          <w:tcPr>
            <w:tcW w:w="7700" w:type="dxa"/>
            <w:vAlign w:val="bottom"/>
          </w:tcPr>
          <w:p>
            <w:pPr>
              <w:spacing w:after="0"/>
              <w:rPr>
                <w:sz w:val="15"/>
                <w:szCs w:val="15"/>
                <w:color w:val="auto"/>
              </w:rPr>
            </w:pPr>
          </w:p>
        </w:tc>
        <w:tc>
          <w:tcPr>
            <w:tcW w:w="16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15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restricted stock units</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6,809,244</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4,690,048</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Stock options to purchase common stock</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7,366,719</w:t>
            </w:r>
          </w:p>
        </w:tc>
        <w:tc>
          <w:tcPr>
            <w:tcW w:w="26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11,534,245</w:t>
            </w:r>
          </w:p>
        </w:tc>
        <w:tc>
          <w:tcPr>
            <w:tcW w:w="100" w:type="dxa"/>
            <w:vAlign w:val="bottom"/>
          </w:tcPr>
          <w:p>
            <w:pPr>
              <w:spacing w:after="0"/>
              <w:rPr>
                <w:sz w:val="19"/>
                <w:szCs w:val="19"/>
                <w:color w:val="auto"/>
              </w:rPr>
            </w:pPr>
          </w:p>
        </w:tc>
      </w:tr>
      <w:tr>
        <w:trPr>
          <w:trHeight w:val="263"/>
        </w:trPr>
        <w:tc>
          <w:tcPr>
            <w:tcW w:w="770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14,175,963</w:t>
            </w:r>
          </w:p>
        </w:tc>
        <w:tc>
          <w:tcPr>
            <w:tcW w:w="260" w:type="dxa"/>
            <w:vAlign w:val="bottom"/>
            <w:tcBorders>
              <w:bottom w:val="single" w:sz="8" w:color="CFF0FC"/>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16,224,293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Income Taxes</w:t>
      </w:r>
    </w:p>
    <w:p>
      <w:pPr>
        <w:spacing w:after="0" w:line="184"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The Company’s provision for income taxes during the interim periods is determined using an estimate of the Company’s annual effective tax rate, which is adjusted for certain discrete tax items during the interim period. The Company recorded an income tax expense of $1.6 million and $0.4 million for the three months ended March 31, 2024 and 2023, respectively. The income tax expense for the three months ended March 31, 2024 and 2023 was primarily attributable to activity in the Company's foreign subsidiaries and U.S. state taxes.</w:t>
      </w:r>
    </w:p>
    <w:p>
      <w:pPr>
        <w:spacing w:after="0" w:line="136"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The Company’s effective tax rate differs from the U.S. federal statutory rate primarily due to the change in valuation allowance in the U.S. The Company is open to future tax examinations from 2018 to the present; however, carryforward attributes that were generated prior to 2018 may still be adjusted upon examination by federal, state or local tax authorities to the extent they will be used in a future period.</w:t>
      </w:r>
    </w:p>
    <w:p>
      <w:pPr>
        <w:spacing w:after="0" w:line="130" w:lineRule="exact"/>
        <w:rPr>
          <w:sz w:val="20"/>
          <w:szCs w:val="20"/>
          <w:color w:val="auto"/>
        </w:rPr>
      </w:pPr>
    </w:p>
    <w:p>
      <w:pPr>
        <w:jc w:val="both"/>
        <w:ind w:right="240" w:firstLine="509"/>
        <w:spacing w:after="0" w:line="246" w:lineRule="auto"/>
        <w:rPr>
          <w:sz w:val="20"/>
          <w:szCs w:val="20"/>
          <w:color w:val="auto"/>
        </w:rPr>
      </w:pPr>
      <w:r>
        <w:rPr>
          <w:rFonts w:ascii="Arial" w:cs="Arial" w:eastAsia="Arial" w:hAnsi="Arial"/>
          <w:sz w:val="18"/>
          <w:szCs w:val="18"/>
          <w:color w:val="auto"/>
        </w:rPr>
        <w:t>The Company’s management evaluates the realizability of the Company’s deferred tax assets based on all available evidence, both positive and negative. The realization of net deferred tax assets is dependent on the Company’s ability to generate sufficient future taxable income during the foreseeable future. As of March 31, 2024, the Company continues to maintain a full valuation allowance of the U.S. and United Kingdom net deferred tax assets.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Commitments and Contingencies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82"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The Company is subject to various legal proceedings and claims from time to time, the outcomes of which are subject to significant uncertainty. The Company records an accrual for legal contingencies when it has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and the ability to make a reasonable estimate of the loss. If the occurrence of liability is probable, the Company will disclose the nature of the contingency, and if estimable, will provide the likely amount of such loss or range of loss.</w:t>
      </w:r>
    </w:p>
    <w:p>
      <w:pPr>
        <w:spacing w:after="0" w:line="142" w:lineRule="exact"/>
        <w:rPr>
          <w:sz w:val="20"/>
          <w:szCs w:val="20"/>
          <w:color w:val="auto"/>
        </w:rPr>
      </w:pPr>
    </w:p>
    <w:p>
      <w:pPr>
        <w:ind w:right="300" w:firstLine="509"/>
        <w:spacing w:after="0" w:line="252" w:lineRule="auto"/>
        <w:rPr>
          <w:sz w:val="20"/>
          <w:szCs w:val="20"/>
          <w:color w:val="auto"/>
        </w:rPr>
      </w:pPr>
      <w:r>
        <w:rPr>
          <w:rFonts w:ascii="Arial" w:cs="Arial" w:eastAsia="Arial" w:hAnsi="Arial"/>
          <w:sz w:val="18"/>
          <w:szCs w:val="18"/>
          <w:color w:val="auto"/>
        </w:rPr>
        <w:t>As of March 31, 2024, the Company was not a party to any litigation the outcome of which, the Company believes, if determined adversely to it, would individually or in the aggregate, have a material adverse effect on its financial position, results of operations, or cash flows.</w:t>
      </w:r>
    </w:p>
    <w:p>
      <w:pPr>
        <w:spacing w:after="0" w:line="130"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In the course of implementing geolocation data-based sanctions screening measures, the Company identified certain payments which, based on geolocation data, appear to have been initiated from Cuba, Iran, or Syria, in potential violation of applicable sanctions regimes. Although Flywire continues to evaluate whether these or other transactions constitute potential violations of OFAC sanctions (including whether certain of these payments may have been authorized by general licenses or license exemptions under the relevant sanctions regulations), in August 2023, Flywire made a voluntary submission to OFAC to report the potential violations, and in April 2024 filed a supplemental submission with OFAC. Based upon the results of the internal investigation completed to date, the Company does not believe that the amount of any loss incurred as a result of this matter would be material to its business, financial condition, results of operations or cash flows.</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the ordinary course of business, the Company agrees to indemnify certain partners and clients against third-party claims asserting infringement of certain intellectual property rights, data privacy breaches, damages caused to property or persons, or other liabilities relating to or arising from the Company’s payment platform or other contractual obligations.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aware of any pending indemnification matters or claims, individually or in the aggregate, that are expected to have a material adverse effect on its financial position, results of operations, or cash flows and had not accrued any liabilities related to such obligations in its condensed consolidated financial statements for the periods ended March 31, 2024 and December 31, 2023.</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firstLine="509"/>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Quarterly Report on Form 10-Q includes forward-looking statements that involve risks and uncertainties. You should read the sections titled “Special Note Regarding Forward-Looking Statements” and “Risk Factors”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42"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Flywire Advantage</w:t>
      </w:r>
      <w:r>
        <w:rPr>
          <w:rFonts w:ascii="Arial" w:cs="Arial" w:eastAsia="Arial" w:hAnsi="Arial"/>
          <w:sz w:val="17"/>
          <w:szCs w:val="17"/>
          <w:color w:val="auto"/>
        </w:rPr>
        <w:t xml:space="preserve"> is derived from three core elements: (i) our next-gen payments platform; (ii) our proprietary global payment network; and (iii) our vertical-specific software backed by our deep industry expertise. With our </w:t>
      </w:r>
      <w:r>
        <w:rPr>
          <w:rFonts w:ascii="Arial" w:cs="Arial" w:eastAsia="Arial" w:hAnsi="Arial"/>
          <w:sz w:val="17"/>
          <w:szCs w:val="17"/>
          <w:i w:val="1"/>
          <w:iCs w:val="1"/>
          <w:color w:val="auto"/>
        </w:rPr>
        <w:t>Flywire Advantage</w:t>
      </w:r>
      <w:r>
        <w:rPr>
          <w:rFonts w:ascii="Arial" w:cs="Arial" w:eastAsia="Arial" w:hAnsi="Arial"/>
          <w:sz w:val="17"/>
          <w:szCs w:val="17"/>
          <w:color w:val="auto"/>
        </w:rPr>
        <w:t>,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spacing w:after="0" w:line="142" w:lineRule="exact"/>
        <w:rPr>
          <w:sz w:val="20"/>
          <w:szCs w:val="20"/>
          <w:color w:val="auto"/>
        </w:rPr>
      </w:pPr>
    </w:p>
    <w:p>
      <w:pPr>
        <w:ind w:right="80" w:firstLine="509"/>
        <w:spacing w:after="0" w:line="261" w:lineRule="auto"/>
        <w:rPr>
          <w:sz w:val="20"/>
          <w:szCs w:val="20"/>
          <w:color w:val="auto"/>
        </w:rPr>
      </w:pPr>
      <w:r>
        <w:rPr>
          <w:rFonts w:ascii="Arial" w:cs="Arial" w:eastAsia="Arial" w:hAnsi="Arial"/>
          <w:sz w:val="17"/>
          <w:szCs w:val="17"/>
          <w:color w:val="auto"/>
        </w:rPr>
        <w:t>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Flywire Advantage has been recognized, with global financial institutions and technology providers choosing to form channel partnerships with us. These partnerships promote organic referral and lead generation opportunities and enhance our indirect sales strategy.</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618605" cy="4212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618605" cy="421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combination of our differentiated solution and efficient go-to-market strategy has resulted in strong and consistent client growth.</w:t>
      </w:r>
    </w:p>
    <w:p>
      <w:pPr>
        <w:spacing w:after="0" w:line="184" w:lineRule="exact"/>
        <w:rPr>
          <w:sz w:val="20"/>
          <w:szCs w:val="20"/>
          <w:color w:val="auto"/>
        </w:rPr>
      </w:pPr>
    </w:p>
    <w:p>
      <w:pPr>
        <w:ind w:left="1020" w:right="160" w:hanging="504"/>
        <w:spacing w:after="0" w:line="252"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Rapid domestic and international payments volume growth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grown our total payment volume by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23% period-over-period from $5.7 billion during the three months ended March 31, 2023 to $7.0 billion during the three months ended March 31, 2024.</w:t>
      </w:r>
    </w:p>
    <w:p>
      <w:pPr>
        <w:spacing w:after="0" w:line="129" w:lineRule="exact"/>
        <w:rPr>
          <w:rFonts w:ascii="Times New Roman" w:cs="Times New Roman" w:eastAsia="Times New Roman" w:hAnsi="Times New Roman"/>
          <w:sz w:val="18"/>
          <w:szCs w:val="18"/>
          <w:color w:val="auto"/>
        </w:rPr>
      </w:pPr>
    </w:p>
    <w:p>
      <w:pPr>
        <w:jc w:val="both"/>
        <w:ind w:left="1020" w:right="140" w:hanging="504"/>
        <w:spacing w:after="0" w:line="252"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Expanded global payments network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continued to add to the capabilities of our payment network by means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local bank accounts and payment partners, and have expanded our global reach to over 240 countries and territories and more than 140 currencies.</w:t>
      </w:r>
    </w:p>
    <w:p>
      <w:pPr>
        <w:spacing w:after="0" w:line="129" w:lineRule="exact"/>
        <w:rPr>
          <w:rFonts w:ascii="Times New Roman" w:cs="Times New Roman" w:eastAsia="Times New Roman" w:hAnsi="Times New Roman"/>
          <w:sz w:val="18"/>
          <w:szCs w:val="18"/>
          <w:color w:val="auto"/>
        </w:rPr>
      </w:pPr>
    </w:p>
    <w:p>
      <w:pPr>
        <w:ind w:left="1020" w:right="120" w:hanging="504"/>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Enjoyable and personalized user experience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net promoter score of 62 in fiscal year 2022 demonstrates a strong affinity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among our clients for our platform.</w:t>
      </w:r>
    </w:p>
    <w:p>
      <w:pPr>
        <w:spacing w:after="0" w:line="126" w:lineRule="exact"/>
        <w:rPr>
          <w:rFonts w:ascii="Times New Roman" w:cs="Times New Roman" w:eastAsia="Times New Roman" w:hAnsi="Times New Roman"/>
          <w:sz w:val="18"/>
          <w:szCs w:val="18"/>
          <w:color w:val="auto"/>
        </w:rPr>
      </w:pPr>
    </w:p>
    <w:p>
      <w:pPr>
        <w:ind w:left="1020" w:right="80" w:hanging="504"/>
        <w:spacing w:after="0" w:line="241"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Strong dollar-based net retention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2023, our annual net dollar-based retention rate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125%. We calculate the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w:t>
      </w:r>
    </w:p>
    <w:p>
      <w:pPr>
        <w:spacing w:after="0" w:line="14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As of March 31, 2024, we serve over 4,000 clients around the world. In education, we serve more than 2,850 institutions. In healthcare, we power more than 90 healthcare systems, including four of the top 10 healthcare systems in the United States ranked by hospital size as of December 31, 2023. In our newer payment verticals of travel and B2B payments, we have a growing portfolio of more than 1,000 clients as of March 31, 2024.</w:t>
      </w:r>
    </w:p>
    <w:p>
      <w:pPr>
        <w:spacing w:after="0" w:line="136"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Our success in building our client base around the world and expanding utilization by our clients’ customers has allowed us to achieve significant scale. We enabled over $24.0 billion and approximately $7.0 billion in total payment</w:t>
      </w:r>
    </w:p>
    <w:p>
      <w:pPr>
        <w:sectPr>
          <w:pgSz w:w="11900" w:h="16838" w:orient="portrait"/>
          <w:cols w:equalWidth="0" w:num="1">
            <w:col w:w="11240"/>
          </w:cols>
          <w:pgMar w:left="320" w:top="768" w:right="339"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volume during the year ended December 31, 2023 and three months ended March 31, 2024, respectively. We generated revenue of $403.1 million and $289.4 million for the years ended December 31, 2023 and 2022, respectively, and incurred net losses of $8.6 million and $39.3 million, respectively, for the same years. We generated revenue of $114.1 million and $94.4 million for the three months ended March 31, 2024 and 2023, respectively, and incurred net loss of $6.2 million and $3.7 million, respectively, for the same periods.</w:t>
      </w:r>
    </w:p>
    <w:p>
      <w:pPr>
        <w:spacing w:after="0" w:line="149"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believe that the growth of our business and our operating results will be dependent upon many factors, including our ability to add new clients, expand the usage of our solutions by our existing clients and their customers, integrate the businesses and technology platforms that we acquire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spacing w:after="0" w:line="13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While we have experienced significant growth and increased demand for our solutions over recent periods, we may continue to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information technology (IT) and financial infrastructure, our operating and administrative systems and controls, and our ability to manage headcount, capital, and processes in an efficient manner. Additionally, we face intense competition in our markets, and to succeed, we need to innovate and offer solutions that are differentiated from legacy payment solutions. We must also effectively hire, retain, train, and motivate qualified personnel and senior management. There are also circumstances beyond our control which can materially impact our business that we need to respond to, including, but not limited to fluctuations in exchange rates. If we are unable to successfully address these challenges, our business, operating results, and prospects could be adversely affected.</w:t>
      </w:r>
    </w:p>
    <w:p>
      <w:pPr>
        <w:spacing w:after="0" w:line="142"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We had approximately 1,235 full-time FlyMates as of March 31, 2024, compared to approximately 1,045 full-time FlyMates as of March 31, 2023, an increase of 18.2%.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Follow-On Public Offering</w:t>
      </w:r>
    </w:p>
    <w:p>
      <w:pPr>
        <w:spacing w:after="0" w:line="171"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On August 9, 2023, we entered into an Underwriting Agreement with Goldman Sachs &amp; Co. LLC, as the Representative of the several Underwriters, in connection with the offer and sale of 8,000,000 shares of voting common stock, at a price to the public of $32.00 per share (the Primary Offering). In addition, pursuant to the terms of the Underwriting Agreement, we granted the underwriters an option to purchase up to 1,200,000 additional shares of common stock (the Option).</w:t>
      </w:r>
    </w:p>
    <w:p>
      <w:pPr>
        <w:spacing w:after="0" w:line="136"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Primary Offering closed on August 14, 2023 and on September 12, 2023, the Underwriters exercised the Option in part and purchased an additional 500,000 shares of voting common stock at a price to the public of $32.00 per share (the Public Offering). We received $260.1 million in net proceeds from the Public Offering, after deducting underwriting discounts and commissions of $10.9 million and other offering costs of $1.1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w:t>
      </w:r>
    </w:p>
    <w:p>
      <w:pPr>
        <w:spacing w:after="0" w:line="171"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In November 2023, we acquired all of the issued and outstanding shares of StudyLink for an estimated total aggregate purchase price of approximately $35.5 million, consisting of approximately $32.8 million in cash consideration, net of cash acquired and up to approximately $2.7 million in contingent consideration. The contingent consideration represents additional payments that we may be required to make in the future dependent on the successful achievement of revenue, volume, cross-selling and engineering implementation milestones, a portion of which can be paid in the form of cash or shares of common stock, at our option, and is subject to exchange rate fluctuation adjustment between the U.S. Dollar and Australian Dollar. Additional payments in the form of shares of common stock will be made based on the continuing employment of a key employee; accordingly, the fair value of $ 2.4 million, approximately 84,000 shares of common stock, have been excluded from the purchase consideration. During the three months ended March 31, 2024, we expensed $0.3 million in stock based compensation associated with retention of the key employee. StudyLink is an Australian-based SaaS education company that provides platforms to education providers to support their student admissions systems and processes, including features such as eligibility assessment, offer generation, recruitment agent and commission management and acceptance processing. The acquisition of StudyLink was intended to accelerate our growth in the Australian higher education market and enhance our value proposition to payers, universities and agents in the higher education ecosystem. StudyLink contributed $2.1 million in platform revenue during the three months ended March 31, 2024.</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 Model</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generate revenue from transactions and from platform and other fees as described below.</w:t>
      </w:r>
    </w:p>
    <w:p>
      <w:pPr>
        <w:spacing w:after="0" w:line="171"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i w:val="1"/>
          <w:iCs w:val="1"/>
          <w:color w:val="auto"/>
        </w:rPr>
        <w:t xml:space="preserve">Transaction revenue </w:t>
      </w:r>
      <w:r>
        <w:rPr>
          <w:rFonts w:ascii="Arial" w:cs="Arial" w:eastAsia="Arial" w:hAnsi="Arial"/>
          <w:sz w:val="17"/>
          <w:szCs w:val="17"/>
          <w:color w:val="auto"/>
        </w:rPr>
        <w:t>includes (i) fees earned from payment processing services provided to our clients. The fee is generally earned on</w:t>
      </w:r>
      <w:r>
        <w:rPr>
          <w:rFonts w:ascii="Arial" w:cs="Arial" w:eastAsia="Arial" w:hAnsi="Arial"/>
          <w:sz w:val="17"/>
          <w:szCs w:val="17"/>
          <w:i w:val="1"/>
          <w:iCs w:val="1"/>
          <w:color w:val="auto"/>
        </w:rPr>
        <w:t xml:space="preserve"> </w:t>
      </w:r>
      <w:r>
        <w:rPr>
          <w:rFonts w:ascii="Arial" w:cs="Arial" w:eastAsia="Arial" w:hAnsi="Arial"/>
          <w:sz w:val="17"/>
          <w:szCs w:val="17"/>
          <w:color w:val="auto"/>
        </w:rPr>
        <w:t>each transaction through a rate applied to the total payment value of the transaction, which can vary based on the payment method, currency pairs being converted and the geographic region in which our clients and their customers reside. Payment processing services also include fixed fees per transaction, which generally relate to domestic payments processed. It also includes (ii) marketing fees from credit card service providers for marketing arrangements in which we perform certain marketing activities to increase the awareness of the credit card provider and promote certain methods of payments, which we consider to be ancillary to the payment processing solutions we provide to our clients.</w:t>
      </w:r>
    </w:p>
    <w:p>
      <w:pPr>
        <w:spacing w:after="0" w:line="128"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i w:val="1"/>
          <w:iCs w:val="1"/>
          <w:color w:val="auto"/>
        </w:rPr>
        <w:t xml:space="preserve">Platform and other revenues </w:t>
      </w:r>
      <w:r>
        <w:rPr>
          <w:rFonts w:ascii="Arial" w:cs="Arial" w:eastAsia="Arial" w:hAnsi="Arial"/>
          <w:sz w:val="18"/>
          <w:szCs w:val="18"/>
          <w:color w:val="auto"/>
        </w:rPr>
        <w:t>primarily include (i) fees earned for the utilization of our platforms to optimize cash collections and student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processing, which include revenue earned from software subscription fees and usage-based fees, (ii) fees for the establishment of payment plans on our payment platform, (iii) fees related to printing, mailing, and other services which we consider to be ancillary to the solutions we provide to our clients, (iv) commissions from insurance providers when an end-user purchases an insurance policy, and (v) revenue from interest earned on funds held for customers in interest-bearing accounts. Platform and other revenues has been referred to as platform and usage-based fee revenue in prior filings.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171" w:lineRule="exact"/>
        <w:rPr>
          <w:sz w:val="20"/>
          <w:szCs w:val="20"/>
          <w:color w:val="auto"/>
        </w:rPr>
      </w:pPr>
    </w:p>
    <w:p>
      <w:pPr>
        <w:ind w:right="460" w:firstLine="509"/>
        <w:spacing w:after="0" w:line="246" w:lineRule="auto"/>
        <w:rPr>
          <w:sz w:val="20"/>
          <w:szCs w:val="20"/>
          <w:color w:val="auto"/>
        </w:rPr>
      </w:pPr>
      <w:r>
        <w:rPr>
          <w:rFonts w:ascii="Arial" w:cs="Arial" w:eastAsia="Arial" w:hAnsi="Arial"/>
          <w:sz w:val="18"/>
          <w:szCs w:val="18"/>
          <w:color w:val="auto"/>
        </w:rPr>
        <w:t>To supplement our condensed consolidated financial statements, which are prepared in accordance with generally accepted accounting principles in the United States (GAAP), we use certain non-GAAP financial measures. The following table sets forth our key operating metrics and non-GAAP measures for the periods presented. All dollar amounts are rounded to the nearest million. As a result, certain amounts may not recalculate using the rounded amounts provided.</w:t>
      </w:r>
    </w:p>
    <w:p>
      <w:pPr>
        <w:spacing w:after="0" w:line="159" w:lineRule="exact"/>
        <w:rPr>
          <w:sz w:val="20"/>
          <w:szCs w:val="20"/>
          <w:color w:val="auto"/>
        </w:rPr>
      </w:pPr>
    </w:p>
    <w:tbl>
      <w:tblPr>
        <w:tblLayout w:type="fixed"/>
        <w:tblInd w:w="8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 March 31,</w:t>
            </w:r>
          </w:p>
        </w:tc>
      </w:tr>
      <w:tr>
        <w:trPr>
          <w:trHeight w:val="182"/>
        </w:trPr>
        <w:tc>
          <w:tcPr>
            <w:tcW w:w="7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3"/>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Payment Volume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6,952.9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5,667.9</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6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114.1</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 Less Ancillary Services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6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70.4</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Gross Profit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64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3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61.7 %</w:t>
            </w:r>
          </w:p>
        </w:tc>
        <w:tc>
          <w:tcPr>
            <w:tcW w:w="36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61.8 %</w:t>
            </w:r>
          </w:p>
        </w:tc>
      </w:tr>
      <w:tr>
        <w:trPr>
          <w:trHeight w:val="229"/>
        </w:trPr>
        <w:tc>
          <w:tcPr>
            <w:tcW w:w="7640" w:type="dxa"/>
            <w:vAlign w:val="bottom"/>
            <w:gridSpan w:val="2"/>
          </w:tcPr>
          <w:p>
            <w:pPr>
              <w:spacing w:after="0"/>
              <w:rPr>
                <w:sz w:val="20"/>
                <w:szCs w:val="20"/>
                <w:color w:val="auto"/>
              </w:rPr>
            </w:pPr>
            <w:r>
              <w:rPr>
                <w:rFonts w:ascii="Arial" w:cs="Arial" w:eastAsia="Arial" w:hAnsi="Arial"/>
                <w:sz w:val="18"/>
                <w:szCs w:val="18"/>
                <w:color w:val="auto"/>
              </w:rPr>
              <w:t>Adjusted Gross Margin</w:t>
            </w:r>
          </w:p>
        </w:tc>
        <w:tc>
          <w:tcPr>
            <w:tcW w:w="3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65.2 %</w:t>
            </w:r>
          </w:p>
        </w:tc>
        <w:tc>
          <w:tcPr>
            <w:tcW w:w="36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67.2 %</w:t>
            </w:r>
          </w:p>
        </w:tc>
      </w:tr>
      <w:tr>
        <w:trPr>
          <w:trHeight w:val="229"/>
        </w:trPr>
        <w:tc>
          <w:tcPr>
            <w:tcW w:w="76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(6.2 )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(3.7 )</w:t>
            </w:r>
          </w:p>
        </w:tc>
        <w:tc>
          <w:tcPr>
            <w:tcW w:w="60" w:type="dxa"/>
            <w:vAlign w:val="bottom"/>
          </w:tcPr>
          <w:p>
            <w:pPr>
              <w:spacing w:after="0"/>
              <w:rPr>
                <w:sz w:val="19"/>
                <w:szCs w:val="19"/>
                <w:color w:val="auto"/>
              </w:rPr>
            </w:pPr>
          </w:p>
        </w:tc>
      </w:tr>
      <w:tr>
        <w:trPr>
          <w:trHeight w:val="229"/>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-436245</wp:posOffset>
            </wp:positionV>
            <wp:extent cx="7055485" cy="145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055485" cy="145415"/>
                    </a:xfrm>
                    <a:prstGeom prst="rect">
                      <a:avLst/>
                    </a:prstGeom>
                    <a:noFill/>
                  </pic:spPr>
                </pic:pic>
              </a:graphicData>
            </a:graphic>
          </wp:anchor>
        </w:drawing>
      </w:r>
    </w:p>
    <w:p>
      <w:pPr>
        <w:spacing w:after="0" w:line="150" w:lineRule="exact"/>
        <w:rPr>
          <w:sz w:val="20"/>
          <w:szCs w:val="20"/>
          <w:color w:val="auto"/>
        </w:rPr>
      </w:pPr>
    </w:p>
    <w:p>
      <w:pPr>
        <w:jc w:val="both"/>
        <w:ind w:right="200" w:firstLine="509"/>
        <w:spacing w:after="0" w:line="252" w:lineRule="auto"/>
        <w:rPr>
          <w:sz w:val="20"/>
          <w:szCs w:val="20"/>
          <w:color w:val="auto"/>
        </w:rPr>
      </w:pPr>
      <w:r>
        <w:rPr>
          <w:rFonts w:ascii="Arial" w:cs="Arial" w:eastAsia="Arial" w:hAnsi="Arial"/>
          <w:sz w:val="18"/>
          <w:szCs w:val="18"/>
          <w:color w:val="auto"/>
        </w:rPr>
        <w:t>For the three months ended March 31, 2024, transaction revenue and platform and other revenues represented 83.4% and 16.6% of our revenue, respectively. For the three months ended March 31, 2024, transaction revenue and platform and other revenues represented 86.1% and 13.9% of our total revenue less ancillary services, respectively.</w:t>
      </w:r>
    </w:p>
    <w:p>
      <w:pPr>
        <w:spacing w:after="0" w:line="130" w:lineRule="exact"/>
        <w:rPr>
          <w:sz w:val="20"/>
          <w:szCs w:val="20"/>
          <w:color w:val="auto"/>
        </w:rPr>
      </w:pPr>
    </w:p>
    <w:p>
      <w:pPr>
        <w:jc w:val="both"/>
        <w:ind w:right="200" w:firstLine="509"/>
        <w:spacing w:after="0" w:line="252" w:lineRule="auto"/>
        <w:rPr>
          <w:sz w:val="20"/>
          <w:szCs w:val="20"/>
          <w:color w:val="auto"/>
        </w:rPr>
      </w:pPr>
      <w:r>
        <w:rPr>
          <w:rFonts w:ascii="Arial" w:cs="Arial" w:eastAsia="Arial" w:hAnsi="Arial"/>
          <w:sz w:val="18"/>
          <w:szCs w:val="18"/>
          <w:color w:val="auto"/>
        </w:rPr>
        <w:t>For the three months ended March 31, 2023, transaction revenue and platform and other revenues represented 80.8% and 19.2% of our revenue, respectively. For the three months ended March 31, 2023, transaction revenue and platform and other revenues represented 85.2% and 14.8% of our total revenue less ancillary services, respectively.</w:t>
      </w:r>
    </w:p>
    <w:p>
      <w:pPr>
        <w:spacing w:after="0" w:line="130" w:lineRule="exact"/>
        <w:rPr>
          <w:sz w:val="20"/>
          <w:szCs w:val="20"/>
          <w:color w:val="auto"/>
        </w:rPr>
      </w:pPr>
    </w:p>
    <w:p>
      <w:pPr>
        <w:ind w:right="140" w:firstLine="559"/>
        <w:spacing w:after="0" w:line="252" w:lineRule="auto"/>
        <w:rPr>
          <w:sz w:val="20"/>
          <w:szCs w:val="20"/>
          <w:color w:val="auto"/>
        </w:rPr>
      </w:pPr>
      <w:r>
        <w:rPr>
          <w:rFonts w:ascii="Arial" w:cs="Arial" w:eastAsia="Arial" w:hAnsi="Arial"/>
          <w:sz w:val="18"/>
          <w:szCs w:val="18"/>
          <w:color w:val="auto"/>
        </w:rPr>
        <w:t>For the three months ended March 31, 2024, our total payment volume was approximately $7.0 billion, consisting of $5.0 billion of total payment volume from transactions included in transaction revenue, and $2.0 billion of total payment volume from transactions included in platform and other revenues.</w:t>
      </w:r>
    </w:p>
    <w:p>
      <w:pPr>
        <w:spacing w:after="0" w:line="144" w:lineRule="exact"/>
        <w:rPr>
          <w:sz w:val="20"/>
          <w:szCs w:val="20"/>
          <w:color w:val="auto"/>
        </w:rPr>
      </w:pPr>
    </w:p>
    <w:p>
      <w:pPr>
        <w:ind w:right="140" w:firstLine="559"/>
        <w:spacing w:after="0" w:line="252" w:lineRule="auto"/>
        <w:rPr>
          <w:sz w:val="20"/>
          <w:szCs w:val="20"/>
          <w:color w:val="auto"/>
        </w:rPr>
      </w:pPr>
      <w:r>
        <w:rPr>
          <w:rFonts w:ascii="Arial" w:cs="Arial" w:eastAsia="Arial" w:hAnsi="Arial"/>
          <w:sz w:val="18"/>
          <w:szCs w:val="18"/>
          <w:color w:val="auto"/>
        </w:rPr>
        <w:t>For the three months ended March 31, 2023, our total payment volume was approximately $5.7 billion, consisting of $3.8 billion of total payment volume from transactions included in transaction revenue, and $1.9 billion of total payment volume from transactions included in platform and other revenues.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Payment Volume</w:t>
      </w:r>
    </w:p>
    <w:p>
      <w:pPr>
        <w:spacing w:after="0" w:line="169"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w:t>
      </w:r>
    </w:p>
    <w:p>
      <w:pPr>
        <w:sectPr>
          <w:pgSz w:w="11900" w:h="16838" w:orient="portrait"/>
          <w:cols w:equalWidth="0" w:num="1">
            <w:col w:w="11240"/>
          </w:cols>
          <w:pgMar w:left="320" w:top="768" w:right="339"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ability to generate revenue from our clients. We define total payment volume as the total amount paid to our clients on our payments platforms in a given period.</w:t>
      </w:r>
    </w:p>
    <w:p>
      <w:pPr>
        <w:spacing w:after="0" w:line="128"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Revenue Less Ancillary Services, Revenue Less Ancillary Services at Constant Currency, Adjusted Gross Profit, Adjusted Gross Margin, EBITDA, Adjusted EBITDA and Non-GAAP Operating Expenses</w:t>
      </w:r>
    </w:p>
    <w:p>
      <w:pPr>
        <w:spacing w:after="0" w:line="98"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use non -GAAP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41" w:lineRule="exact"/>
        <w:rPr>
          <w:sz w:val="20"/>
          <w:szCs w:val="20"/>
          <w:color w:val="auto"/>
        </w:rPr>
      </w:pPr>
    </w:p>
    <w:p>
      <w:pPr>
        <w:ind w:right="240" w:firstLine="509"/>
        <w:spacing w:after="0" w:line="252" w:lineRule="auto"/>
        <w:rPr>
          <w:sz w:val="20"/>
          <w:szCs w:val="20"/>
          <w:color w:val="auto"/>
        </w:rPr>
      </w:pPr>
      <w:r>
        <w:rPr>
          <w:rFonts w:ascii="Arial" w:cs="Arial" w:eastAsia="Arial" w:hAnsi="Arial"/>
          <w:sz w:val="18"/>
          <w:szCs w:val="18"/>
          <w:color w:val="auto"/>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spacing w:after="0" w:line="144" w:lineRule="exact"/>
        <w:rPr>
          <w:sz w:val="20"/>
          <w:szCs w:val="20"/>
          <w:color w:val="auto"/>
        </w:rPr>
      </w:pPr>
    </w:p>
    <w:p>
      <w:pPr>
        <w:ind w:left="1020" w:right="80" w:hanging="504"/>
        <w:spacing w:after="0" w:line="246"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Revenue Less Ancillary Services - </w:t>
      </w:r>
      <w:r>
        <w:rPr>
          <w:rFonts w:ascii="Arial" w:cs="Arial" w:eastAsia="Arial" w:hAnsi="Arial"/>
          <w:sz w:val="18"/>
          <w:szCs w:val="18"/>
          <w:color w:val="auto"/>
        </w:rPr>
        <w:t>Revenue Less Ancillary Services represents our consolidated revenue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GAAP less (i) pass-through cost for printing and mailing services and (ii) marketing fees. We exclude these amounts to arrive at this supplemental non-GAAP financial measure as we view these services as ancillary to the primary services we provide to our clients.</w:t>
      </w:r>
    </w:p>
    <w:p>
      <w:pPr>
        <w:spacing w:after="0" w:line="134" w:lineRule="exact"/>
        <w:rPr>
          <w:rFonts w:ascii="Times New Roman" w:cs="Times New Roman" w:eastAsia="Times New Roman" w:hAnsi="Times New Roman"/>
          <w:sz w:val="18"/>
          <w:szCs w:val="18"/>
          <w:color w:val="auto"/>
        </w:rPr>
      </w:pPr>
    </w:p>
    <w:p>
      <w:pPr>
        <w:ind w:left="1020" w:hanging="504"/>
        <w:spacing w:after="0" w:line="243"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Revenue Less Ancillary Services at Constant Currency </w:t>
      </w:r>
      <w:r>
        <w:rPr>
          <w:rFonts w:ascii="Arial" w:cs="Arial" w:eastAsia="Arial" w:hAnsi="Arial"/>
          <w:sz w:val="18"/>
          <w:szCs w:val="18"/>
          <w:color w:val="auto"/>
        </w:rPr>
        <w:t>- Revenue Less Ancillary Services at Constant Currency represents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Less Ancillary Services adjusted to show presentation on a constant currency basis. The constant currency information presented is calculated by translating current period results using prior period weighted average foreign currency exchange rates. We analyze Revenue Less Ancillary Services on a constant currency basis to provide a comparable framework for assessing how the business performed excluding the effect of foreign currency fluctuations.</w:t>
      </w:r>
    </w:p>
    <w:p>
      <w:pPr>
        <w:spacing w:after="0" w:line="137" w:lineRule="exact"/>
        <w:rPr>
          <w:rFonts w:ascii="Times New Roman" w:cs="Times New Roman" w:eastAsia="Times New Roman" w:hAnsi="Times New Roman"/>
          <w:sz w:val="18"/>
          <w:szCs w:val="18"/>
          <w:color w:val="auto"/>
        </w:rPr>
      </w:pPr>
    </w:p>
    <w:p>
      <w:pPr>
        <w:ind w:left="1020" w:hanging="504"/>
        <w:spacing w:after="0" w:line="243"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Gross Profit </w:t>
      </w:r>
      <w:r>
        <w:rPr>
          <w:rFonts w:ascii="Arial" w:cs="Arial" w:eastAsia="Arial" w:hAnsi="Arial"/>
          <w:sz w:val="18"/>
          <w:szCs w:val="18"/>
          <w:color w:val="auto"/>
        </w:rPr>
        <w:t>- Adjusted Gross Profit represents Revenue Less Ancillary Services, less cost of revenue adjusted to (i)</w:t>
      </w:r>
      <w:r>
        <w:rPr>
          <w:rFonts w:ascii="Arial" w:cs="Arial" w:eastAsia="Arial" w:hAnsi="Arial"/>
          <w:sz w:val="18"/>
          <w:szCs w:val="18"/>
          <w:i w:val="1"/>
          <w:iCs w:val="1"/>
          <w:color w:val="auto"/>
        </w:rPr>
        <w:t xml:space="preserve"> </w:t>
      </w:r>
      <w:r>
        <w:rPr>
          <w:rFonts w:ascii="Arial" w:cs="Arial" w:eastAsia="Arial" w:hAnsi="Arial"/>
          <w:sz w:val="18"/>
          <w:szCs w:val="18"/>
          <w:color w:val="auto"/>
        </w:rPr>
        <w:t>exclude pass-through cost for printing services, (ii) offset marketing fees against costs incurred and (iii) exclude depreciation and amortization, including accelerated amortization on the impairment of customer set-up costs tied to technology integration, if applicable. Management believes this presentation supplements the GAAP presentation of gross profit with a useful measure of the gross profit of our payment-related services, which are the primary services we provide to our clients.</w:t>
      </w:r>
    </w:p>
    <w:p>
      <w:pPr>
        <w:spacing w:after="0" w:line="151" w:lineRule="exact"/>
        <w:rPr>
          <w:rFonts w:ascii="Times New Roman" w:cs="Times New Roman" w:eastAsia="Times New Roman" w:hAnsi="Times New Roman"/>
          <w:sz w:val="18"/>
          <w:szCs w:val="18"/>
          <w:color w:val="auto"/>
        </w:rPr>
      </w:pPr>
    </w:p>
    <w:p>
      <w:pPr>
        <w:ind w:left="1020" w:right="60" w:hanging="504"/>
        <w:spacing w:after="0" w:line="252"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Gross Margin </w:t>
      </w:r>
      <w:r>
        <w:rPr>
          <w:rFonts w:ascii="Arial" w:cs="Arial" w:eastAsia="Arial" w:hAnsi="Arial"/>
          <w:sz w:val="18"/>
          <w:szCs w:val="18"/>
          <w:color w:val="auto"/>
        </w:rPr>
        <w:t>- Adjusted Gross Margin represents Adjusted Gross Profit divided by Revenue Less Ancillary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believes this presentation supplements the GAAP presentation of gross margin with a useful measure of the gross margin of our payment-related services, which are the primary services we provide to our clients.</w:t>
      </w:r>
    </w:p>
    <w:p>
      <w:pPr>
        <w:spacing w:after="0" w:line="129" w:lineRule="exact"/>
        <w:rPr>
          <w:rFonts w:ascii="Times New Roman" w:cs="Times New Roman" w:eastAsia="Times New Roman" w:hAnsi="Times New Roman"/>
          <w:sz w:val="18"/>
          <w:szCs w:val="18"/>
          <w:color w:val="auto"/>
        </w:rPr>
      </w:pPr>
    </w:p>
    <w:p>
      <w:pPr>
        <w:ind w:left="1020" w:right="300" w:hanging="504"/>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EBITDA - </w:t>
      </w:r>
      <w:r>
        <w:rPr>
          <w:rFonts w:ascii="Arial" w:cs="Arial" w:eastAsia="Arial" w:hAnsi="Arial"/>
          <w:sz w:val="18"/>
          <w:szCs w:val="18"/>
          <w:color w:val="auto"/>
        </w:rPr>
        <w:t>EBITDA represents our consolidated net loss in accordance with GAAP adjusted to include (i) interest expense, (ii)</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 (iii) provision for income taxes and (iv) depreciation and amortization.</w:t>
      </w:r>
    </w:p>
    <w:p>
      <w:pPr>
        <w:spacing w:after="0" w:line="113" w:lineRule="exact"/>
        <w:rPr>
          <w:rFonts w:ascii="Times New Roman" w:cs="Times New Roman" w:eastAsia="Times New Roman" w:hAnsi="Times New Roman"/>
          <w:sz w:val="18"/>
          <w:szCs w:val="18"/>
          <w:color w:val="auto"/>
        </w:rPr>
      </w:pPr>
    </w:p>
    <w:p>
      <w:pPr>
        <w:ind w:left="1020" w:right="20" w:hanging="504"/>
        <w:spacing w:after="0" w:line="241"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 Adjusted EBITDA represents EBITDA further adjusted by excluding (i) stock-based compensation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related payroll taxes, (ii) the impact from the change in fair value measurement for contingent consideration associated with acquisitions, (iii) gain (loss) from the remeasurement of foreign currency, (iv) indirect taxes related to intercompany activity, (v) acquisition related transaction costs, if applicable and (vi) employee retention costs, such as incentive compensation, associated with acquisition activities. Management believes that the exclusion of these amounts to calculate Adjusted EBITDA provides useful measures for period-to-period comparisons of our business.</w:t>
      </w:r>
    </w:p>
    <w:p>
      <w:pPr>
        <w:spacing w:after="0" w:line="1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Non-GAAP Operating Expenses - </w:t>
      </w:r>
      <w:r>
        <w:rPr>
          <w:rFonts w:ascii="Arial" w:cs="Arial" w:eastAsia="Arial" w:hAnsi="Arial"/>
          <w:sz w:val="18"/>
          <w:szCs w:val="18"/>
          <w:color w:val="auto"/>
        </w:rPr>
        <w:t>Non-GAAP Operating Expenses represents GAAP Operating Expenses adjusted by excluding</w:t>
      </w:r>
    </w:p>
    <w:p>
      <w:pPr>
        <w:spacing w:after="0" w:line="12" w:lineRule="exact"/>
        <w:rPr>
          <w:rFonts w:ascii="Times New Roman" w:cs="Times New Roman" w:eastAsia="Times New Roman" w:hAnsi="Times New Roman"/>
          <w:sz w:val="18"/>
          <w:szCs w:val="18"/>
          <w:color w:val="auto"/>
        </w:rPr>
      </w:pPr>
    </w:p>
    <w:p>
      <w:pPr>
        <w:ind w:left="1020" w:right="580"/>
        <w:spacing w:after="0" w:line="250" w:lineRule="auto"/>
        <w:rPr>
          <w:rFonts w:ascii="Times New Roman" w:cs="Times New Roman" w:eastAsia="Times New Roman" w:hAnsi="Times New Roman"/>
          <w:sz w:val="18"/>
          <w:szCs w:val="18"/>
          <w:color w:val="auto"/>
        </w:rPr>
      </w:pPr>
      <w:r>
        <w:rPr>
          <w:rFonts w:ascii="Arial" w:cs="Arial" w:eastAsia="Arial" w:hAnsi="Arial"/>
          <w:sz w:val="18"/>
          <w:szCs w:val="18"/>
          <w:color w:val="auto"/>
        </w:rPr>
        <w:t>(i) stock-based compensation expense and related payroll taxes, (ii) depreciation and amortization, (iii) acquisition related transaction costs, if applicable, (iv) employee retention costs, such as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left="1020" w:right="220"/>
        <w:spacing w:after="0" w:line="271" w:lineRule="auto"/>
        <w:rPr>
          <w:sz w:val="20"/>
          <w:szCs w:val="20"/>
          <w:color w:val="auto"/>
        </w:rPr>
      </w:pPr>
      <w:r>
        <w:rPr>
          <w:rFonts w:ascii="Arial" w:cs="Arial" w:eastAsia="Arial" w:hAnsi="Arial"/>
          <w:sz w:val="18"/>
          <w:szCs w:val="18"/>
          <w:color w:val="auto"/>
        </w:rPr>
        <w:t>incentive compensation, associated with acquisition activities and (v) the impact from the change in fair value measurement for contingent consideration associated with acquisitions.</w:t>
      </w:r>
    </w:p>
    <w:p>
      <w:pPr>
        <w:spacing w:after="0" w:line="126"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These non-GAAP financial measures are not meant to be considered as indicators of performance in isolation from or as a substitute for revenue, gross margin or net loss prepared in accordance with GAAP and should be read only in conjunction with financial information presented on a GAAP basis. Reconciliations of Revenue Less Ancillary Services, Adjusted Gross Profit, Adjusted Gross Margin, Revenue Less Ancillary Services at Constant Currency, EBITDA, Adjusted EBITDA and Non-GAAP Operating Expenses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69"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color w:val="auto"/>
        </w:rPr>
        <w:t>The tables below provide reconciliations of Revenue Less Ancillary Services, Adjusted Gross Profit, Adjusted Gross Margin, Revenue Less Ancillary Services at Constant Currency, EBITDA, Adjusted EBITDA and Non-GAAP Operating Expenses to the most comparable GAAP figure on a consolidated basis for the periods presented. All dollar amounts are rounded to the nearest million. As a result, certain amounts may not recalculate using the rounded amounts provided.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Less Ancillary Services, Adjusted Gross Profit and Adjusted Gross Margin: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gridSpan w:val="9"/>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2"/>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Adjusted to exclude gross up for:</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Pass-through cost for printing and mailing</w:t>
            </w:r>
          </w:p>
        </w:tc>
        <w:tc>
          <w:tcPr>
            <w:tcW w:w="1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(3.6 )</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80"/>
              <w:spacing w:after="0"/>
              <w:rPr>
                <w:sz w:val="20"/>
                <w:szCs w:val="20"/>
                <w:color w:val="auto"/>
              </w:rPr>
            </w:pPr>
            <w:r>
              <w:rPr>
                <w:rFonts w:ascii="Arial" w:cs="Arial" w:eastAsia="Arial" w:hAnsi="Arial"/>
                <w:sz w:val="18"/>
                <w:szCs w:val="18"/>
                <w:color w:val="auto"/>
              </w:rPr>
              <w:t>Marketing fees</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(0.3 )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w:t>
            </w:r>
          </w:p>
        </w:tc>
        <w:tc>
          <w:tcPr>
            <w:tcW w:w="15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gridSpan w:val="2"/>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spacing w:after="0"/>
              <w:rPr>
                <w:sz w:val="22"/>
                <w:szCs w:val="22"/>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26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spacing w:after="0"/>
              <w:rPr>
                <w:sz w:val="22"/>
                <w:szCs w:val="22"/>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8"/>
                <w:szCs w:val="18"/>
                <w:color w:val="auto"/>
              </w:rPr>
              <w:t>Payment processing services costs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90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Hosting and amortization costs within technology and</w:t>
            </w:r>
          </w:p>
        </w:tc>
        <w:tc>
          <w:tcPr>
            <w:tcW w:w="1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9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development expenses</w:t>
            </w:r>
          </w:p>
        </w:tc>
        <w:tc>
          <w:tcPr>
            <w:tcW w:w="15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to:</w:t>
            </w: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80"/>
              <w:spacing w:after="0"/>
              <w:rPr>
                <w:sz w:val="20"/>
                <w:szCs w:val="20"/>
                <w:color w:val="auto"/>
              </w:rPr>
            </w:pPr>
            <w:r>
              <w:rPr>
                <w:rFonts w:ascii="Arial" w:cs="Arial" w:eastAsia="Arial" w:hAnsi="Arial"/>
                <w:sz w:val="18"/>
                <w:szCs w:val="18"/>
                <w:color w:val="auto"/>
              </w:rPr>
              <w:t>Exclude printing and mailing costs</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(3.6 )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Offset marketing fees against related costs</w:t>
            </w:r>
          </w:p>
        </w:tc>
        <w:tc>
          <w:tcPr>
            <w:tcW w:w="1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(0.3 )</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80"/>
              <w:spacing w:after="0"/>
              <w:rPr>
                <w:sz w:val="20"/>
                <w:szCs w:val="20"/>
                <w:color w:val="auto"/>
              </w:rPr>
            </w:pPr>
            <w:r>
              <w:rPr>
                <w:rFonts w:ascii="Arial" w:cs="Arial" w:eastAsia="Arial" w:hAnsi="Arial"/>
                <w:sz w:val="18"/>
                <w:szCs w:val="18"/>
                <w:color w:val="auto"/>
              </w:rPr>
              <w:t>Exclude depreciation and amortization</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(1.5 )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Cost of Revenue</w:t>
            </w:r>
          </w:p>
        </w:tc>
        <w:tc>
          <w:tcPr>
            <w:tcW w:w="1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61.7 %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61.8 %</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20"/>
              <w:spacing w:after="0"/>
              <w:rPr>
                <w:sz w:val="20"/>
                <w:szCs w:val="20"/>
                <w:color w:val="auto"/>
              </w:rPr>
            </w:pPr>
            <w:r>
              <w:rPr>
                <w:rFonts w:ascii="Arial" w:cs="Arial" w:eastAsia="Arial" w:hAnsi="Arial"/>
                <w:sz w:val="18"/>
                <w:szCs w:val="18"/>
                <w:color w:val="auto"/>
              </w:rPr>
              <w:t>Adjusted Gross Profit</w:t>
            </w: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Adjusted Gross Margin</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65.2 %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67.2 %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Platform and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5"/>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Transaction</w:t>
            </w:r>
          </w:p>
        </w:tc>
        <w:tc>
          <w:tcPr>
            <w:tcW w:w="280" w:type="dxa"/>
            <w:vAlign w:val="bottom"/>
          </w:tcPr>
          <w:p>
            <w:pPr>
              <w:spacing w:after="0"/>
              <w:rPr>
                <w:sz w:val="16"/>
                <w:szCs w:val="16"/>
                <w:color w:val="auto"/>
              </w:rPr>
            </w:pPr>
          </w:p>
        </w:tc>
        <w:tc>
          <w:tcPr>
            <w:tcW w:w="13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Other Revenues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9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Adjusted to exclude gross up for:</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Pass-through cost for printing and mailing</w:t>
            </w:r>
          </w:p>
        </w:tc>
        <w:tc>
          <w:tcPr>
            <w:tcW w:w="1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0" w:type="dxa"/>
            <w:vAlign w:val="bottom"/>
            <w:gridSpan w:val="4"/>
            <w:shd w:val="clear" w:color="auto" w:fill="CFF0FC"/>
          </w:tcPr>
          <w:p>
            <w:pPr>
              <w:jc w:val="right"/>
              <w:ind w:right="90"/>
              <w:spacing w:after="0"/>
              <w:rPr>
                <w:sz w:val="20"/>
                <w:szCs w:val="20"/>
                <w:color w:val="auto"/>
              </w:rPr>
            </w:pPr>
            <w:r>
              <w:rPr>
                <w:rFonts w:ascii="Arial" w:cs="Arial" w:eastAsia="Arial" w:hAnsi="Arial"/>
                <w:sz w:val="18"/>
                <w:szCs w:val="18"/>
                <w:color w:val="auto"/>
              </w:rPr>
              <w:t>(3.6 )</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80"/>
              <w:spacing w:after="0"/>
              <w:rPr>
                <w:sz w:val="20"/>
                <w:szCs w:val="20"/>
                <w:color w:val="auto"/>
              </w:rPr>
            </w:pPr>
            <w:r>
              <w:rPr>
                <w:rFonts w:ascii="Arial" w:cs="Arial" w:eastAsia="Arial" w:hAnsi="Arial"/>
                <w:sz w:val="18"/>
                <w:szCs w:val="18"/>
                <w:color w:val="auto"/>
              </w:rPr>
              <w:t>Marketing fees</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4"/>
          </w:tcPr>
          <w:p>
            <w:pPr>
              <w:jc w:val="right"/>
              <w:ind w:right="200"/>
              <w:spacing w:after="0"/>
              <w:rPr>
                <w:sz w:val="20"/>
                <w:szCs w:val="20"/>
                <w:color w:val="auto"/>
              </w:rPr>
            </w:pPr>
            <w:r>
              <w:rPr>
                <w:rFonts w:ascii="Arial" w:cs="Arial" w:eastAsia="Arial" w:hAnsi="Arial"/>
                <w:sz w:val="18"/>
                <w:szCs w:val="18"/>
                <w:color w:val="auto"/>
              </w:rPr>
              <w:t>(0.3 )</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w:t>
            </w:r>
          </w:p>
        </w:tc>
        <w:tc>
          <w:tcPr>
            <w:tcW w:w="1740" w:type="dxa"/>
            <w:vAlign w:val="bottom"/>
            <w:tcBorders>
              <w:bottom w:val="single" w:sz="8" w:color="CFF0FC"/>
            </w:tcBorders>
            <w:gridSpan w:val="2"/>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4"/>
          </w:tcPr>
          <w:p>
            <w:pPr>
              <w:jc w:val="right"/>
              <w:ind w:right="100"/>
              <w:spacing w:after="0"/>
              <w:rPr>
                <w:sz w:val="20"/>
                <w:szCs w:val="20"/>
                <w:color w:val="auto"/>
              </w:rPr>
            </w:pPr>
            <w:r>
              <w:rPr>
                <w:rFonts w:ascii="Arial" w:cs="Arial" w:eastAsia="Arial" w:hAnsi="Arial"/>
                <w:sz w:val="18"/>
                <w:szCs w:val="18"/>
                <w:color w:val="auto"/>
              </w:rPr>
              <w:t>83.4 %</w:t>
            </w:r>
          </w:p>
        </w:tc>
        <w:tc>
          <w:tcPr>
            <w:tcW w:w="16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16.6 %</w:t>
            </w:r>
          </w:p>
        </w:tc>
        <w:tc>
          <w:tcPr>
            <w:tcW w:w="1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Percentage of Revenue Less Ancillary Services</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4"/>
          </w:tcPr>
          <w:p>
            <w:pPr>
              <w:jc w:val="right"/>
              <w:ind w:right="100"/>
              <w:spacing w:after="0"/>
              <w:rPr>
                <w:sz w:val="20"/>
                <w:szCs w:val="20"/>
                <w:color w:val="auto"/>
              </w:rPr>
            </w:pPr>
            <w:r>
              <w:rPr>
                <w:rFonts w:ascii="Arial" w:cs="Arial" w:eastAsia="Arial" w:hAnsi="Arial"/>
                <w:sz w:val="18"/>
                <w:szCs w:val="18"/>
                <w:color w:val="auto"/>
              </w:rPr>
              <w:t>86.1 %</w:t>
            </w:r>
          </w:p>
        </w:tc>
        <w:tc>
          <w:tcPr>
            <w:tcW w:w="160" w:type="dxa"/>
            <w:vAlign w:val="bottom"/>
          </w:tcPr>
          <w:p>
            <w:pPr>
              <w:spacing w:after="0"/>
              <w:rPr>
                <w:sz w:val="19"/>
                <w:szCs w:val="19"/>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13.9 %</w:t>
            </w:r>
          </w:p>
        </w:tc>
        <w:tc>
          <w:tcPr>
            <w:tcW w:w="14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436"/>
        </w:trPr>
        <w:tc>
          <w:tcPr>
            <w:tcW w:w="4900" w:type="dxa"/>
            <w:vAlign w:val="bottom"/>
          </w:tcPr>
          <w:p>
            <w:pPr>
              <w:spacing w:after="0"/>
              <w:rPr>
                <w:sz w:val="24"/>
                <w:szCs w:val="24"/>
                <w:color w:val="auto"/>
              </w:rPr>
            </w:pPr>
          </w:p>
        </w:tc>
        <w:tc>
          <w:tcPr>
            <w:tcW w:w="1580" w:type="dxa"/>
            <w:vAlign w:val="bottom"/>
          </w:tcPr>
          <w:p>
            <w:pPr>
              <w:jc w:val="right"/>
              <w:ind w:right="67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9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-4366260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-4349115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-4366260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-4349115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-3929380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-3929380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-2867660</wp:posOffset>
            </wp:positionV>
            <wp:extent cx="713232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-2550795</wp:posOffset>
            </wp:positionV>
            <wp:extent cx="7132320"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-906780</wp:posOffset>
            </wp:positionV>
            <wp:extent cx="7132320" cy="145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-1078230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-1061085</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-1078230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-1061085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-1078230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-1061085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7"/>
          </w:tcPr>
          <w:p>
            <w:pPr>
              <w:ind w:left="420"/>
              <w:spacing w:after="0"/>
              <w:rPr>
                <w:sz w:val="20"/>
                <w:szCs w:val="20"/>
                <w:color w:val="auto"/>
              </w:rPr>
            </w:pPr>
            <w:r>
              <w:rPr>
                <w:rFonts w:ascii="Arial" w:cs="Arial" w:eastAsia="Arial" w:hAnsi="Arial"/>
                <w:sz w:val="14"/>
                <w:szCs w:val="14"/>
                <w:b w:val="1"/>
                <w:bCs w:val="1"/>
                <w:color w:val="auto"/>
              </w:rPr>
              <w:t>Platform and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rPr>
              <w:t>March 31,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4"/>
                <w:szCs w:val="14"/>
                <w:b w:val="1"/>
                <w:bCs w:val="1"/>
                <w:color w:val="auto"/>
              </w:rPr>
              <w:t>Transaction</w:t>
            </w:r>
          </w:p>
        </w:tc>
        <w:tc>
          <w:tcPr>
            <w:tcW w:w="220" w:type="dxa"/>
            <w:vAlign w:val="bottom"/>
          </w:tcPr>
          <w:p>
            <w:pPr>
              <w:spacing w:after="0"/>
              <w:rPr>
                <w:sz w:val="16"/>
                <w:szCs w:val="16"/>
                <w:color w:val="auto"/>
              </w:rPr>
            </w:pPr>
          </w:p>
        </w:tc>
        <w:tc>
          <w:tcPr>
            <w:tcW w:w="172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Other Revenues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center"/>
              <w:ind w:left="216"/>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76"/>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Adjusted to exclude gross up for:</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Pass-through cost for printing and mailing</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(4.9 )</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80"/>
              <w:spacing w:after="0"/>
              <w:rPr>
                <w:sz w:val="20"/>
                <w:szCs w:val="20"/>
                <w:color w:val="auto"/>
              </w:rPr>
            </w:pPr>
            <w:r>
              <w:rPr>
                <w:rFonts w:ascii="Arial" w:cs="Arial" w:eastAsia="Arial" w:hAnsi="Arial"/>
                <w:sz w:val="18"/>
                <w:szCs w:val="18"/>
                <w:color w:val="auto"/>
              </w:rPr>
              <w:t>Marketing fees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gridSpan w:val="4"/>
          </w:tcPr>
          <w:p>
            <w:pPr>
              <w:jc w:val="right"/>
              <w:ind w:right="160"/>
              <w:spacing w:after="0"/>
              <w:rPr>
                <w:sz w:val="20"/>
                <w:szCs w:val="20"/>
                <w:color w:val="auto"/>
              </w:rPr>
            </w:pPr>
            <w:r>
              <w:rPr>
                <w:rFonts w:ascii="Arial" w:cs="Arial" w:eastAsia="Arial" w:hAnsi="Arial"/>
                <w:sz w:val="18"/>
                <w:szCs w:val="18"/>
                <w:color w:val="auto"/>
              </w:rPr>
              <w:t>(0.4 )</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w:t>
            </w:r>
          </w:p>
        </w:tc>
        <w:tc>
          <w:tcPr>
            <w:tcW w:w="1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22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top w:val="single" w:sz="8" w:color="auto"/>
              <w:bottom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spacing w:after="0"/>
              <w:rPr>
                <w:sz w:val="22"/>
                <w:szCs w:val="22"/>
                <w:color w:val="auto"/>
              </w:rPr>
            </w:pPr>
          </w:p>
        </w:tc>
        <w:tc>
          <w:tcPr>
            <w:tcW w:w="420" w:type="dxa"/>
            <w:vAlign w:val="bottom"/>
            <w:tcBorders>
              <w:top w:val="single" w:sz="8" w:color="auto"/>
              <w:bottom w:val="single" w:sz="8" w:color="auto"/>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spacing w:after="0"/>
              <w:rPr>
                <w:sz w:val="22"/>
                <w:szCs w:val="22"/>
                <w:color w:val="auto"/>
              </w:rPr>
            </w:pPr>
          </w:p>
        </w:tc>
        <w:tc>
          <w:tcPr>
            <w:tcW w:w="4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spacing w:after="0"/>
              <w:rPr>
                <w:sz w:val="22"/>
                <w:szCs w:val="22"/>
                <w:color w:val="auto"/>
              </w:rPr>
            </w:pPr>
          </w:p>
        </w:tc>
        <w:tc>
          <w:tcPr>
            <w:tcW w:w="440" w:type="dxa"/>
            <w:vAlign w:val="bottom"/>
            <w:tcBorders>
              <w:top w:val="single" w:sz="8" w:color="auto"/>
              <w:bottom w:val="single" w:sz="8" w:color="auto"/>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spacing w:after="0"/>
              <w:rPr>
                <w:sz w:val="22"/>
                <w:szCs w:val="22"/>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4"/>
          </w:tcPr>
          <w:p>
            <w:pPr>
              <w:jc w:val="right"/>
              <w:ind w:right="60"/>
              <w:spacing w:after="0"/>
              <w:rPr>
                <w:sz w:val="20"/>
                <w:szCs w:val="20"/>
                <w:color w:val="auto"/>
              </w:rPr>
            </w:pPr>
            <w:r>
              <w:rPr>
                <w:rFonts w:ascii="Arial" w:cs="Arial" w:eastAsia="Arial" w:hAnsi="Arial"/>
                <w:sz w:val="18"/>
                <w:szCs w:val="18"/>
                <w:color w:val="auto"/>
              </w:rPr>
              <w:t>80.8 %</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19.2 %</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Percentage of Revenue Less Ancillary Services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gridSpan w:val="4"/>
          </w:tcPr>
          <w:p>
            <w:pPr>
              <w:jc w:val="right"/>
              <w:ind w:right="60"/>
              <w:spacing w:after="0"/>
              <w:rPr>
                <w:sz w:val="20"/>
                <w:szCs w:val="20"/>
                <w:color w:val="auto"/>
              </w:rPr>
            </w:pPr>
            <w:r>
              <w:rPr>
                <w:rFonts w:ascii="Arial" w:cs="Arial" w:eastAsia="Arial" w:hAnsi="Arial"/>
                <w:sz w:val="18"/>
                <w:szCs w:val="18"/>
                <w:color w:val="auto"/>
              </w:rPr>
              <w:t>85.2 %</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14.8 %</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395"/>
        </w:trPr>
        <w:tc>
          <w:tcPr>
            <w:tcW w:w="4840" w:type="dxa"/>
            <w:vAlign w:val="bottom"/>
          </w:tcPr>
          <w:p>
            <w:pPr>
              <w:spacing w:after="0"/>
              <w:rPr>
                <w:sz w:val="20"/>
                <w:szCs w:val="20"/>
                <w:color w:val="auto"/>
              </w:rPr>
            </w:pPr>
            <w:r>
              <w:rPr>
                <w:rFonts w:ascii="Arial" w:cs="Arial" w:eastAsia="Arial" w:hAnsi="Arial"/>
                <w:sz w:val="18"/>
                <w:szCs w:val="18"/>
                <w:i w:val="1"/>
                <w:iCs w:val="1"/>
                <w:color w:val="auto"/>
              </w:rPr>
              <w:t>Revenue Less Ancillary Services at Constant Currency:</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0"/>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Growth Rate</w:t>
            </w:r>
          </w:p>
        </w:tc>
        <w:tc>
          <w:tcPr>
            <w:tcW w:w="0" w:type="dxa"/>
            <w:vAlign w:val="bottom"/>
          </w:tcPr>
          <w:p>
            <w:pPr>
              <w:spacing w:after="0"/>
              <w:rPr>
                <w:sz w:val="1"/>
                <w:szCs w:val="1"/>
                <w:color w:val="auto"/>
              </w:rPr>
            </w:pPr>
          </w:p>
        </w:tc>
      </w:tr>
      <w:tr>
        <w:trPr>
          <w:trHeight w:val="182"/>
        </w:trPr>
        <w:tc>
          <w:tcPr>
            <w:tcW w:w="48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6"/>
              </w:rPr>
              <w:t>2024</w:t>
            </w: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114.1</w:t>
            </w:r>
          </w:p>
        </w:tc>
        <w:tc>
          <w:tcPr>
            <w:tcW w:w="140" w:type="dxa"/>
            <w:vAlign w:val="bottom"/>
          </w:tcPr>
          <w:p>
            <w:pPr>
              <w:spacing w:after="0"/>
              <w:rPr>
                <w:sz w:val="19"/>
                <w:szCs w:val="19"/>
                <w:color w:val="auto"/>
              </w:rPr>
            </w:pP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94.4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20.9 %</w:t>
            </w:r>
          </w:p>
        </w:tc>
        <w:tc>
          <w:tcPr>
            <w:tcW w:w="0" w:type="dxa"/>
            <w:vAlign w:val="bottom"/>
          </w:tcPr>
          <w:p>
            <w:pPr>
              <w:spacing w:after="0"/>
              <w:rPr>
                <w:sz w:val="1"/>
                <w:szCs w:val="1"/>
                <w:color w:val="auto"/>
              </w:rPr>
            </w:pP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Ancillary services</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8"/>
                <w:szCs w:val="18"/>
                <w:color w:val="auto"/>
              </w:rPr>
              <w:t>(3.9 )</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(5.3 )</w:t>
            </w: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ind w:left="20"/>
              <w:spacing w:after="0"/>
              <w:rPr>
                <w:sz w:val="20"/>
                <w:szCs w:val="20"/>
                <w:color w:val="auto"/>
              </w:rPr>
            </w:pPr>
            <w:r>
              <w:rPr>
                <w:rFonts w:ascii="Arial" w:cs="Arial" w:eastAsia="Arial" w:hAnsi="Arial"/>
                <w:sz w:val="18"/>
                <w:szCs w:val="18"/>
                <w:color w:val="auto"/>
              </w:rPr>
              <w:t>Revenue Less Ancillary Services</w:t>
            </w: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110.2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89.1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23.7 %</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20"/>
              <w:spacing w:after="0"/>
              <w:rPr>
                <w:sz w:val="20"/>
                <w:szCs w:val="20"/>
                <w:color w:val="auto"/>
              </w:rPr>
            </w:pPr>
            <w:r>
              <w:rPr>
                <w:rFonts w:ascii="Arial" w:cs="Arial" w:eastAsia="Arial" w:hAnsi="Arial"/>
                <w:sz w:val="18"/>
                <w:szCs w:val="18"/>
                <w:color w:val="auto"/>
              </w:rPr>
              <w:t>Effects of foreign currency rate fluctuations</w:t>
            </w: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8"/>
                <w:szCs w:val="18"/>
                <w:color w:val="auto"/>
              </w:rPr>
              <w:t>(0.2 )</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3"/>
          </w:tcPr>
          <w:p>
            <w:pPr>
              <w:jc w:val="right"/>
              <w:ind w:right="528"/>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ind w:left="20"/>
              <w:spacing w:after="0"/>
              <w:rPr>
                <w:sz w:val="20"/>
                <w:szCs w:val="20"/>
                <w:color w:val="auto"/>
              </w:rPr>
            </w:pPr>
            <w:r>
              <w:rPr>
                <w:rFonts w:ascii="Arial" w:cs="Arial" w:eastAsia="Arial" w:hAnsi="Arial"/>
                <w:sz w:val="18"/>
                <w:szCs w:val="18"/>
                <w:color w:val="auto"/>
              </w:rPr>
              <w:t>Revenue Less Ancillary Services at constant currency</w:t>
            </w: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89.1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23.5 %</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i w:val="1"/>
                <w:iCs w:val="1"/>
                <w:color w:val="auto"/>
              </w:rPr>
              <w:t>EBITDA and Adjusted EBITDA:</w:t>
            </w: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9"/>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128"/>
              <w:spacing w:after="0"/>
              <w:rPr>
                <w:sz w:val="20"/>
                <w:szCs w:val="20"/>
                <w:color w:val="auto"/>
              </w:rPr>
            </w:pPr>
            <w:r>
              <w:rPr>
                <w:rFonts w:ascii="Arial" w:cs="Arial" w:eastAsia="Arial" w:hAnsi="Arial"/>
                <w:sz w:val="18"/>
                <w:szCs w:val="18"/>
                <w:color w:val="auto"/>
              </w:rPr>
              <w:t>(6.2 )</w:t>
            </w:r>
          </w:p>
        </w:tc>
        <w:tc>
          <w:tcPr>
            <w:tcW w:w="440" w:type="dxa"/>
            <w:vAlign w:val="bottom"/>
            <w:shd w:val="clear" w:color="auto" w:fill="CFF0FC"/>
          </w:tcPr>
          <w:p>
            <w:pPr>
              <w:jc w:val="right"/>
              <w:ind w:right="236"/>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128"/>
              <w:spacing w:after="0"/>
              <w:rPr>
                <w:sz w:val="20"/>
                <w:szCs w:val="20"/>
                <w:color w:val="auto"/>
              </w:rPr>
            </w:pPr>
            <w:r>
              <w:rPr>
                <w:rFonts w:ascii="Arial" w:cs="Arial" w:eastAsia="Arial" w:hAnsi="Arial"/>
                <w:sz w:val="18"/>
                <w:szCs w:val="18"/>
                <w:color w:val="auto"/>
              </w:rPr>
              <w:t>(5.9 )</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EBITDA</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jc w:val="right"/>
              <w:ind w:right="128"/>
              <w:spacing w:after="0"/>
              <w:rPr>
                <w:sz w:val="20"/>
                <w:szCs w:val="20"/>
                <w:color w:val="auto"/>
              </w:rPr>
            </w:pPr>
            <w:r>
              <w:rPr>
                <w:rFonts w:ascii="Arial" w:cs="Arial" w:eastAsia="Arial" w:hAnsi="Arial"/>
                <w:sz w:val="18"/>
                <w:szCs w:val="18"/>
                <w:color w:val="auto"/>
              </w:rPr>
              <w:t>(5.9 )</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 and related taxes</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jc w:val="right"/>
              <w:ind w:right="128"/>
              <w:spacing w:after="0"/>
              <w:rPr>
                <w:sz w:val="20"/>
                <w:szCs w:val="20"/>
                <w:color w:val="auto"/>
              </w:rPr>
            </w:pPr>
            <w:r>
              <w:rPr>
                <w:rFonts w:ascii="Arial" w:cs="Arial" w:eastAsia="Arial" w:hAnsi="Arial"/>
                <w:sz w:val="18"/>
                <w:szCs w:val="18"/>
                <w:color w:val="auto"/>
              </w:rPr>
              <w:t>(0.5 )</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(gain) from remeasurement of foreign currency</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Indirect taxes related to intercompany activity</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Borders>
              <w:bottom w:val="single" w:sz="8" w:color="CFF0FC"/>
            </w:tcBorders>
            <w:shd w:val="clear" w:color="auto" w:fill="CFF0FC"/>
          </w:tcPr>
          <w:p>
            <w:pPr>
              <w:ind w:left="20"/>
              <w:spacing w:after="0" w:line="229" w:lineRule="exact"/>
              <w:rPr>
                <w:sz w:val="20"/>
                <w:szCs w:val="20"/>
                <w:color w:val="auto"/>
              </w:rPr>
            </w:pPr>
            <w:r>
              <w:rPr>
                <w:rFonts w:ascii="Arial" w:cs="Arial" w:eastAsia="Arial" w:hAnsi="Arial"/>
                <w:sz w:val="18"/>
                <w:szCs w:val="18"/>
                <w:color w:val="auto"/>
              </w:rPr>
              <w:t xml:space="preserve">Acquisition related employee retention costs </w:t>
            </w:r>
            <w:r>
              <w:rPr>
                <w:rFonts w:ascii="Arial" w:cs="Arial" w:eastAsia="Arial" w:hAnsi="Arial"/>
                <w:sz w:val="24"/>
                <w:szCs w:val="24"/>
                <w:color w:val="auto"/>
                <w:vertAlign w:val="superscript"/>
              </w:rPr>
              <w:t>(1)</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19"/>
                <w:szCs w:val="19"/>
                <w:color w:val="auto"/>
              </w:rPr>
            </w:pP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-4006850</wp:posOffset>
            </wp:positionV>
            <wp:extent cx="7132320" cy="145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-4177665</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-4160520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-4177665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-4160520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-4177665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-4160520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-3244215</wp:posOffset>
            </wp:positionV>
            <wp:extent cx="7132320" cy="1454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-2919095</wp:posOffset>
            </wp:positionV>
            <wp:extent cx="713232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-2567940</wp:posOffset>
            </wp:positionV>
            <wp:extent cx="7132320"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-1061085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-1061085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-179070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23806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200"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Acquisition related employee retention costs consisted of costs incurred to retain and compensate WPM’s employees in connection with integration of the business.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GAAP Operating Expenses to Non-GAAP Operating Expenses: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2024</w:t>
            </w:r>
          </w:p>
        </w:tc>
        <w:tc>
          <w:tcPr>
            <w:tcW w:w="3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5"/>
                <w:szCs w:val="15"/>
                <w:color w:val="auto"/>
              </w:rPr>
            </w:pPr>
          </w:p>
        </w:tc>
      </w:tr>
      <w:tr>
        <w:trPr>
          <w:trHeight w:val="223"/>
        </w:trPr>
        <w:tc>
          <w:tcPr>
            <w:tcW w:w="6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GAAP Technology and development</w:t>
            </w: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 Stock-based compensation expense and related taxes</w:t>
            </w:r>
          </w:p>
        </w:tc>
        <w:tc>
          <w:tcPr>
            <w:tcW w:w="520" w:type="dxa"/>
            <w:vAlign w:val="bottom"/>
          </w:tcPr>
          <w:p>
            <w:pPr>
              <w:spacing w:after="0"/>
              <w:rPr>
                <w:sz w:val="19"/>
                <w:szCs w:val="19"/>
                <w:color w:val="auto"/>
              </w:rPr>
            </w:pP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(2.6 )</w:t>
            </w:r>
          </w:p>
        </w:tc>
        <w:tc>
          <w:tcPr>
            <w:tcW w:w="7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(1.6 )</w:t>
            </w:r>
          </w:p>
        </w:tc>
      </w:tr>
      <w:tr>
        <w:trPr>
          <w:trHeight w:val="229"/>
        </w:trPr>
        <w:tc>
          <w:tcPr>
            <w:tcW w:w="67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 Depreciation and amortization</w:t>
            </w:r>
          </w:p>
        </w:tc>
        <w:tc>
          <w:tcPr>
            <w:tcW w:w="52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(1.9 )</w:t>
            </w:r>
          </w:p>
        </w:tc>
        <w:tc>
          <w:tcPr>
            <w:tcW w:w="7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(1.7 )</w:t>
            </w:r>
          </w:p>
        </w:tc>
      </w:tr>
      <w:tr>
        <w:trPr>
          <w:trHeight w:val="229"/>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 Acquisition related employee retention costs</w:t>
            </w:r>
          </w:p>
        </w:tc>
        <w:tc>
          <w:tcPr>
            <w:tcW w:w="520" w:type="dxa"/>
            <w:vAlign w:val="bottom"/>
          </w:tcPr>
          <w:p>
            <w:pPr>
              <w:spacing w:after="0"/>
              <w:rPr>
                <w:sz w:val="19"/>
                <w:szCs w:val="19"/>
                <w:color w:val="auto"/>
              </w:rPr>
            </w:pPr>
          </w:p>
        </w:tc>
        <w:tc>
          <w:tcPr>
            <w:tcW w:w="1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(0.1 )</w:t>
            </w:r>
          </w:p>
        </w:tc>
      </w:tr>
      <w:tr>
        <w:trPr>
          <w:trHeight w:val="263"/>
        </w:trPr>
        <w:tc>
          <w:tcPr>
            <w:tcW w:w="674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Non-GAAP Technology and development</w:t>
            </w:r>
          </w:p>
        </w:tc>
        <w:tc>
          <w:tcPr>
            <w:tcW w:w="52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39"/>
        </w:trPr>
        <w:tc>
          <w:tcPr>
            <w:tcW w:w="6740" w:type="dxa"/>
            <w:vAlign w:val="bottom"/>
            <w:gridSpan w:val="2"/>
          </w:tcPr>
          <w:p>
            <w:pPr>
              <w:ind w:left="140"/>
              <w:spacing w:after="0"/>
              <w:rPr>
                <w:sz w:val="20"/>
                <w:szCs w:val="20"/>
                <w:color w:val="auto"/>
              </w:rPr>
            </w:pPr>
            <w:r>
              <w:rPr>
                <w:rFonts w:ascii="Arial" w:cs="Arial" w:eastAsia="Arial" w:hAnsi="Arial"/>
                <w:sz w:val="18"/>
                <w:szCs w:val="18"/>
                <w:color w:val="auto"/>
              </w:rPr>
              <w:t>GAAP Selling and marketing</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30.1</w:t>
            </w:r>
          </w:p>
        </w:tc>
        <w:tc>
          <w:tcPr>
            <w:tcW w:w="320" w:type="dxa"/>
            <w:vAlign w:val="bottom"/>
          </w:tcPr>
          <w:p>
            <w:pPr>
              <w:spacing w:after="0"/>
              <w:rPr>
                <w:sz w:val="24"/>
                <w:szCs w:val="24"/>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4"/>
                <w:szCs w:val="24"/>
                <w:color w:val="auto"/>
              </w:rPr>
            </w:pPr>
          </w:p>
        </w:tc>
      </w:tr>
      <w:tr>
        <w:trPr>
          <w:trHeight w:val="229"/>
        </w:trPr>
        <w:tc>
          <w:tcPr>
            <w:tcW w:w="67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 Stock-based compensation expense and related taxes</w:t>
            </w:r>
          </w:p>
        </w:tc>
        <w:tc>
          <w:tcPr>
            <w:tcW w:w="52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(4.1 )</w:t>
            </w:r>
          </w:p>
        </w:tc>
        <w:tc>
          <w:tcPr>
            <w:tcW w:w="7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(2.6 )</w:t>
            </w:r>
          </w:p>
        </w:tc>
      </w:tr>
      <w:tr>
        <w:trPr>
          <w:trHeight w:val="229"/>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 Depreciation and amortization</w:t>
            </w:r>
          </w:p>
        </w:tc>
        <w:tc>
          <w:tcPr>
            <w:tcW w:w="520" w:type="dxa"/>
            <w:vAlign w:val="bottom"/>
          </w:tcPr>
          <w:p>
            <w:pPr>
              <w:spacing w:after="0"/>
              <w:rPr>
                <w:sz w:val="19"/>
                <w:szCs w:val="19"/>
                <w:color w:val="auto"/>
              </w:rPr>
            </w:pP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(1.9 )</w:t>
            </w:r>
          </w:p>
        </w:tc>
        <w:tc>
          <w:tcPr>
            <w:tcW w:w="7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(1.3 )</w:t>
            </w:r>
          </w:p>
        </w:tc>
      </w:tr>
      <w:tr>
        <w:trPr>
          <w:trHeight w:val="229"/>
        </w:trPr>
        <w:tc>
          <w:tcPr>
            <w:tcW w:w="67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 Acquisition related employee retention costs</w:t>
            </w:r>
          </w:p>
        </w:tc>
        <w:tc>
          <w:tcPr>
            <w:tcW w:w="52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(0.2 )</w:t>
            </w:r>
          </w:p>
        </w:tc>
      </w:tr>
      <w:tr>
        <w:trPr>
          <w:trHeight w:val="223"/>
        </w:trPr>
        <w:tc>
          <w:tcPr>
            <w:tcW w:w="6740" w:type="dxa"/>
            <w:vAlign w:val="bottom"/>
            <w:tcBorders>
              <w:top w:val="single" w:sz="8" w:color="CFF0FC"/>
            </w:tcBorders>
            <w:gridSpan w:val="2"/>
          </w:tcPr>
          <w:p>
            <w:pPr>
              <w:ind w:left="140"/>
              <w:spacing w:after="0"/>
              <w:rPr>
                <w:sz w:val="20"/>
                <w:szCs w:val="20"/>
                <w:color w:val="auto"/>
              </w:rPr>
            </w:pPr>
            <w:r>
              <w:rPr>
                <w:rFonts w:ascii="Arial" w:cs="Arial" w:eastAsia="Arial" w:hAnsi="Arial"/>
                <w:sz w:val="18"/>
                <w:szCs w:val="18"/>
                <w:color w:val="auto"/>
              </w:rPr>
              <w:t>Non-GAAP Selling and marketing</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320" w:type="dxa"/>
            <w:vAlign w:val="bottom"/>
            <w:tcBorders>
              <w:top w:val="single" w:sz="8" w:color="CFF0FC"/>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top w:val="single" w:sz="8" w:color="CFF0FC"/>
            </w:tcBorders>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GAAP General and administrative</w:t>
            </w: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 Stock-based compensation expense and related taxes</w:t>
            </w:r>
          </w:p>
        </w:tc>
        <w:tc>
          <w:tcPr>
            <w:tcW w:w="520" w:type="dxa"/>
            <w:vAlign w:val="bottom"/>
          </w:tcPr>
          <w:p>
            <w:pPr>
              <w:spacing w:after="0"/>
              <w:rPr>
                <w:sz w:val="19"/>
                <w:szCs w:val="19"/>
                <w:color w:val="auto"/>
              </w:rPr>
            </w:pP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(8.4 )</w:t>
            </w:r>
          </w:p>
        </w:tc>
        <w:tc>
          <w:tcPr>
            <w:tcW w:w="7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(4.8 )</w:t>
            </w:r>
          </w:p>
        </w:tc>
      </w:tr>
      <w:tr>
        <w:trPr>
          <w:trHeight w:val="229"/>
        </w:trPr>
        <w:tc>
          <w:tcPr>
            <w:tcW w:w="67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 Depreciation and amortization</w:t>
            </w:r>
          </w:p>
        </w:tc>
        <w:tc>
          <w:tcPr>
            <w:tcW w:w="52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(0.7 )</w:t>
            </w:r>
          </w:p>
        </w:tc>
        <w:tc>
          <w:tcPr>
            <w:tcW w:w="7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(0.7 )</w:t>
            </w:r>
          </w:p>
        </w:tc>
      </w:tr>
      <w:tr>
        <w:trPr>
          <w:trHeight w:val="229"/>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 Change in fair value of contingent consideration</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(0.4 )</w:t>
            </w:r>
          </w:p>
        </w:tc>
      </w:tr>
      <w:tr>
        <w:trPr>
          <w:trHeight w:val="263"/>
        </w:trPr>
        <w:tc>
          <w:tcPr>
            <w:tcW w:w="674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Non-GAAP General and administrative</w:t>
            </w:r>
          </w:p>
        </w:tc>
        <w:tc>
          <w:tcPr>
            <w:tcW w:w="52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32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-1840230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-1823085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-1840230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-1823085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-1086485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-1086485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Utilization by Our Clients and Their Customers</w:t>
      </w:r>
    </w:p>
    <w:p>
      <w:pPr>
        <w:spacing w:after="0" w:line="18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p>
    <w:p>
      <w:pPr>
        <w:spacing w:after="0" w:line="139"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In addition, sustaining our growth requires continued adoption of our platform by new clients and further adoption of use cases such as payment plans, by our clients’ customers. Our ability to influence our clients to expand their customers’ usage of our platform also depends on our ability to successfully introduce new solutions, such as our solutions to support payments by international education consultants and our B2B solutions.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18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revenue is affected by several factors, including the amount of payment volume processed by us on behalf of our clients, the industry in which our clients operate, the currency in which payments are made and received, the method of payment and the number of payment plans initiated by our clients’ customers. For example, we recognize more transaction revenue as our clients engage in cross border payment flows which may increase or decrease depending on the industry in which our clients operate. We may experience shifts in the type of revenue we earn (transaction revenue or platform and other revenues) depending on the nature of the activity of our clients and our clients’ customers on our platform.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Technology and Development and Sales and Marketing</w:t>
      </w:r>
    </w:p>
    <w:p>
      <w:pPr>
        <w:spacing w:after="0" w:line="169"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We make significant investments in both new solutions and existing solution enhancement. New solution features and functionality are brought to market through a variety of distribution and promotional activities. We plan to continue to adopt emerging technologies, expand our library of software integrations and invest in the development of more features. While we expect our expenses related to technology and development to increase, we believe these investments will contribute to long-term growth and profitability.</w:t>
      </w:r>
    </w:p>
    <w:p>
      <w:pPr>
        <w:spacing w:after="0" w:line="149"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Additionally, we plan to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 the next quarters, including adjusting spending levels as needed in response to changes in the economic environment.</w:t>
      </w:r>
    </w:p>
    <w:p>
      <w:pPr>
        <w:sectPr>
          <w:pgSz w:w="11900" w:h="16838" w:orient="portrait"/>
          <w:cols w:equalWidth="0" w:num="1">
            <w:col w:w="11240"/>
          </w:cols>
          <w:pgMar w:left="320" w:top="768" w:right="339"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82"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For instance, our revenue has historically been strongest in our first and third quarters and weakest in our second quarter. Some variability results from seasonal events including the timing of when our education clients’ customers make their tuition payments on our payment platform and the number of business days in a month or quarter. We also experience volatility in certain other metrics, such as transactions processed, total payment volume and payment mix.</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and Resulting Consumer Spending Trends</w:t>
      </w:r>
    </w:p>
    <w:p>
      <w:pPr>
        <w:spacing w:after="0" w:line="169"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Changes in macro-level consumer spending for education, healthcare and travel trends, including as a result of inflation or fluctuations in foreign exchange rates could affect the amounts of volumes processed on our platform, thus resulting in fluctuations to our revenue streams.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Inflation did not have a material effect on our cash flows and results of operations during the three months ended March 31, 2024.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Diversified Mix of Clients</w:t>
      </w:r>
    </w:p>
    <w:p>
      <w:pPr>
        <w:spacing w:after="0" w:line="182"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We have a wide range of clients across our education, healthcare, travel and B2B verticals. Volumes and revenue from clients in education, our largest vertical, rely on international enrollments and student school preferences, which can fluctuate over time.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Changes to Client Communication and Product Solutions</w:t>
      </w:r>
    </w:p>
    <w:p>
      <w:pPr>
        <w:spacing w:after="0" w:line="16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initiated a series of refinements to our technology and personalization engine to optimize our clients’ ability to offer payment plans and communicate effectively and digitally with their customers.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 increase payment affordability has become more critical to our clients as the lack of affordability drives the need for more financial flexibility.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Continuity</w:t>
      </w:r>
    </w:p>
    <w:p>
      <w:pPr>
        <w:spacing w:after="0" w:line="169"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In response to COVID-19 developments, we implemented measures to focus on the safety of our FlyMates and support of our clients, while at the same time seeking to mitigate the impact on our financial position and operations. We have implemented remote working capabilities for our entire organization and to date, there has been minimal disruption to our operations. As vaccination rates increased and the pandemic abated, we reopened our offices to the extent local requirements allowed, although FlyMates continue to have the flexibility to work remotely. With the recent outbreak of hostilities in Gaza, we have also engaged in active workforce planning to help Israeli FlyMates support the business without interruption and implement safety measures for FlyMates in Israel.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generate revenue from transactions and from platform and other fees as described under “Our Revenue Model”.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Processing Services Costs</w:t>
      </w:r>
    </w:p>
    <w:p>
      <w:pPr>
        <w:spacing w:after="0" w:line="182"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 related expenses for our FlyMates who provide implementation services to our clients. We expect that payment processing services costs will increase in absolute dollars but may</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8" w:right="41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fluctuate as a percentage of total revenue from period to period, as we continue to invest in scaling our processing operations and grow our revenue base.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69"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Technology and development includes (a) costs incurred in connection with the development of our solution and the improvement of existing solutions, including the amortization of software and website development costs incurred in developing our solution, which are capitalized, and acquired developed technology, (b) site operations and other infrastructure costs incurred, (c) amortization related to capitalized cost to fulfill a contract, (d) personnel-related expenses, including salaries, stock based compensation and other expenses, (e) hardware and software engineering, consultant services and other costs associated with our technology platform and products, (f) research materials and facilities, and (g) depreciation and maintenance expense.</w:t>
      </w:r>
    </w:p>
    <w:p>
      <w:pPr>
        <w:spacing w:after="0" w:line="142"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69" w:lineRule="exact"/>
        <w:rPr>
          <w:sz w:val="20"/>
          <w:szCs w:val="20"/>
          <w:color w:val="auto"/>
        </w:rPr>
      </w:pPr>
    </w:p>
    <w:p>
      <w:pPr>
        <w:ind w:right="120" w:firstLine="509"/>
        <w:spacing w:after="0" w:line="274" w:lineRule="auto"/>
        <w:rPr>
          <w:sz w:val="20"/>
          <w:szCs w:val="20"/>
          <w:color w:val="auto"/>
        </w:rPr>
      </w:pPr>
      <w:r>
        <w:rPr>
          <w:rFonts w:ascii="Arial" w:cs="Arial" w:eastAsia="Arial" w:hAnsi="Arial"/>
          <w:sz w:val="17"/>
          <w:szCs w:val="17"/>
          <w:color w:val="auto"/>
        </w:rPr>
        <w:t>Selling and marketing expenses consist of personnel-related expenses, including stock-based compensation expense, sales commissions, amortization of acquired client relationship intangible assets, marketing program expenses, travel related expenses and costs to market and promote our solutions through advertisements, marketing events, partnership arrangements, and direct client acquisition.</w:t>
      </w:r>
    </w:p>
    <w:p>
      <w:pPr>
        <w:spacing w:after="0" w:line="113"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We focus our sales and marketing efforts on generating awareness of our business, platform, and solutions, creating sales leads, and establishing and promoting our brand. We plan to continue investing in sales and marketing efforts by driving our go-to-market strategies, building our brand awareness, and sponsoring additional marketing events; however, we will adjust our sales and marketing spend level as needed, and this may fluctuate from period to period, in response to changes in the economic environment.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General and administrative expenses consist of personnel-related expenses, including stock-based compensation expense for finance, risk management, legal and compliance, human resources and IT functions, costs incurred for external professional services, as well as rent, and facility and insurance costs. We expect to incur additional general and administrative expenses as we continue to invest in our planned growth of our business.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total revenue from period to period.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2"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Interest expense consists of interest on our 2024 Revolving Credit Facility and 2021 Revolving Credit Facility. In addition, interest expense consists of amortization of debt issuance costs and unused commitment fees related to our 2024 Revolving Credit Facility and 2021 Revolving Credit Facility.</w:t>
      </w:r>
    </w:p>
    <w:p>
      <w:pPr>
        <w:spacing w:after="0" w:line="130"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On February 23, 2024, we entered into our 2024 Revolving Credit Facility for a total commitment of $125.0 million. The 2024 Revolving Credit Facility replaced the 2021 Revolving Credit Facility of $50.0 million entered into in July 2021, under which $50.0 million was available to Flywire as of December 31, 2023. As of March 31, 2024 and 2023, there was no outstanding indebtedness under the 2024 Revolving Credit Facility or 2021 Revolving Credit Facility.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on cash held in interest bearing operating accounts, including money market funds.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from Remeasurement of Foreign Currency</w:t>
      </w:r>
    </w:p>
    <w:p>
      <w:pPr>
        <w:spacing w:after="0" w:line="169" w:lineRule="exact"/>
        <w:rPr>
          <w:sz w:val="20"/>
          <w:szCs w:val="20"/>
          <w:color w:val="auto"/>
        </w:rPr>
      </w:pPr>
    </w:p>
    <w:p>
      <w:pPr>
        <w:ind w:right="860" w:firstLine="509"/>
        <w:spacing w:after="0" w:line="271" w:lineRule="auto"/>
        <w:rPr>
          <w:sz w:val="20"/>
          <w:szCs w:val="20"/>
          <w:color w:val="auto"/>
        </w:rPr>
      </w:pPr>
      <w:r>
        <w:rPr>
          <w:rFonts w:ascii="Arial" w:cs="Arial" w:eastAsia="Arial" w:hAnsi="Arial"/>
          <w:sz w:val="18"/>
          <w:szCs w:val="18"/>
          <w:color w:val="auto"/>
        </w:rPr>
        <w:t>Gain (loss) from remeasurement of foreign currency consists of gains and losses from the remeasurement of foreign currency transactions into its functional currency.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w:t>
      </w:r>
    </w:p>
    <w:p>
      <w:pPr>
        <w:spacing w:after="0" w:line="169" w:lineRule="exact"/>
        <w:rPr>
          <w:sz w:val="20"/>
          <w:szCs w:val="20"/>
          <w:color w:val="auto"/>
        </w:rPr>
      </w:pPr>
    </w:p>
    <w:p>
      <w:pPr>
        <w:ind w:right="380" w:firstLine="509"/>
        <w:spacing w:after="0" w:line="252" w:lineRule="auto"/>
        <w:rPr>
          <w:sz w:val="20"/>
          <w:szCs w:val="20"/>
          <w:color w:val="auto"/>
        </w:rPr>
      </w:pPr>
      <w:r>
        <w:rPr>
          <w:rFonts w:ascii="Arial" w:cs="Arial" w:eastAsia="Arial" w:hAnsi="Arial"/>
          <w:sz w:val="18"/>
          <w:szCs w:val="18"/>
          <w:color w:val="auto"/>
        </w:rPr>
        <w:t>Provision for income taxes consists primarily of foreign and state income taxes. We have historically generated net operating losses (NOL) carryforwards for U.S. Federal and state tax purposes as we expand the scale of our business activities. Changes in the U.S. and foreign tax law may impact our overall provision for income taxes in the future.</w:t>
      </w:r>
    </w:p>
    <w:p>
      <w:pPr>
        <w:spacing w:after="0" w:line="130" w:lineRule="exact"/>
        <w:rPr>
          <w:sz w:val="20"/>
          <w:szCs w:val="20"/>
          <w:color w:val="auto"/>
        </w:rPr>
      </w:pPr>
    </w:p>
    <w:p>
      <w:pPr>
        <w:ind w:right="440" w:firstLine="509"/>
        <w:spacing w:after="0" w:line="252" w:lineRule="auto"/>
        <w:rPr>
          <w:sz w:val="20"/>
          <w:szCs w:val="20"/>
          <w:color w:val="auto"/>
        </w:rPr>
      </w:pPr>
      <w:r>
        <w:rPr>
          <w:rFonts w:ascii="Arial" w:cs="Arial" w:eastAsia="Arial" w:hAnsi="Arial"/>
          <w:sz w:val="18"/>
          <w:szCs w:val="18"/>
          <w:color w:val="auto"/>
        </w:rPr>
        <w:t>We have a valuation allowance on our net U.S. deferred tax assets, including federal and state NOLs and our net U.K. deferred tax assets, including NOL's. We expect to maintain these valuation allowances until it becomes more likely than not that the benefit of our deferred tax assets are realized through future taxable income generated in these jurisdictions.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March 31, 2024 and 2023</w:t>
      </w:r>
    </w:p>
    <w:p>
      <w:pPr>
        <w:spacing w:after="0" w:line="169"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All dollar amounts in the tables below are rounded to the nearest million. As a result, certain amounts may not recalculate using the rounded amounts provided.</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114.1</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94.4</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20.9 %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Payment processing services costs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Technology and development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23.4 %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Total costs and operating expenses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100.9</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(6.0 )</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(6.6 )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(0.1 )</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(0.1 )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210.5 %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(Loss) gain from remeasurement of foreign currency</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(4.4 )</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(5.9 )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(393.3 )%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(1.9 )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(57.6 )%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Loss before provision for income taxes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(4.6 )</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(3.3 )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(1.3 )</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39.4 %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300.0 %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(6.2 )</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(3.7 )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(2.5 )</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67.6 %</w:t>
            </w:r>
          </w:p>
        </w:tc>
        <w:tc>
          <w:tcPr>
            <w:tcW w:w="0" w:type="dxa"/>
            <w:vAlign w:val="bottom"/>
          </w:tcPr>
          <w:p>
            <w:pPr>
              <w:spacing w:after="0"/>
              <w:rPr>
                <w:sz w:val="1"/>
                <w:szCs w:val="1"/>
                <w:color w:val="auto"/>
              </w:rPr>
            </w:pP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(1.4 )</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(0.4 )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(1.0 )</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250.0 %</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ind w:left="20"/>
              <w:spacing w:after="0"/>
              <w:rPr>
                <w:sz w:val="20"/>
                <w:szCs w:val="20"/>
                <w:color w:val="auto"/>
              </w:rPr>
            </w:pPr>
            <w:r>
              <w:rPr>
                <w:rFonts w:ascii="Arial" w:cs="Arial" w:eastAsia="Arial" w:hAnsi="Arial"/>
                <w:sz w:val="18"/>
                <w:szCs w:val="18"/>
                <w:color w:val="auto"/>
              </w:rPr>
              <w:t>Comprehensive loss</w:t>
            </w: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(7.6 )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(4.1 )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(3.5 )</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85.4 %</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-2362835</wp:posOffset>
            </wp:positionV>
            <wp:extent cx="7132320" cy="1454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-2071370</wp:posOffset>
            </wp:positionV>
            <wp:extent cx="7132320" cy="145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-1780540</wp:posOffset>
            </wp:positionV>
            <wp:extent cx="7132320" cy="1454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-1489075</wp:posOffset>
            </wp:positionV>
            <wp:extent cx="7132320" cy="1454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-1198245</wp:posOffset>
            </wp:positionV>
            <wp:extent cx="7132320" cy="1454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-906780</wp:posOffset>
            </wp:positionV>
            <wp:extent cx="7132320" cy="1454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454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2" w:lineRule="exact"/>
        <w:rPr>
          <w:sz w:val="20"/>
          <w:szCs w:val="20"/>
          <w:color w:val="auto"/>
        </w:rPr>
      </w:pPr>
    </w:p>
    <w:p>
      <w:pPr>
        <w:ind w:right="160" w:firstLine="509"/>
        <w:spacing w:after="0" w:line="301" w:lineRule="auto"/>
        <w:rPr>
          <w:sz w:val="20"/>
          <w:szCs w:val="20"/>
          <w:color w:val="auto"/>
        </w:rPr>
      </w:pPr>
      <w:r>
        <w:rPr>
          <w:rFonts w:ascii="Arial" w:cs="Arial" w:eastAsia="Arial" w:hAnsi="Arial"/>
          <w:sz w:val="17"/>
          <w:szCs w:val="17"/>
          <w:color w:val="auto"/>
        </w:rPr>
        <w:t>Revenue was $ 114.1 million for the three months ended March 31, 2024, compared to $ 94.4 million for the three months ended March 31, 2023, an increase of $19.7 million or 20.9%. Revenue is comprised of transaction revenue and platform and other revenues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5"/>
                <w:szCs w:val="15"/>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Transaction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95.2</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18.9</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24.8 %</w:t>
            </w: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Platform and other revenues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ind w:left="14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114.1</w:t>
            </w:r>
          </w:p>
        </w:tc>
        <w:tc>
          <w:tcPr>
            <w:tcW w:w="2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94.4</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20.9 %</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p>
      <w:pPr>
        <w:spacing w:after="0" w:line="19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340" w:firstLine="509"/>
        <w:spacing w:after="0" w:line="243" w:lineRule="auto"/>
        <w:rPr>
          <w:sz w:val="20"/>
          <w:szCs w:val="20"/>
          <w:color w:val="auto"/>
        </w:rPr>
      </w:pPr>
      <w:r>
        <w:rPr>
          <w:rFonts w:ascii="Arial" w:cs="Arial" w:eastAsia="Arial" w:hAnsi="Arial"/>
          <w:sz w:val="18"/>
          <w:szCs w:val="18"/>
          <w:color w:val="auto"/>
        </w:rPr>
        <w:t>Transaction revenue was $95.2 million for the three months ended March 31, 2024, compared to $76.3 million for the three months ended March 31, 2023, an increase of $18.9 million or 24.8%. The increase in transaction revenue was primarily driven by growth in transaction payment volumes, from both our existing clients and new clients added during the three months ended March 31, 2024. We experienced strong growth in payment volume across all regions and verticals during the period. Total payment volume increased approximately 23% during the three months ended March 31, 2024 to $7.0 billion.</w:t>
      </w:r>
    </w:p>
    <w:p>
      <w:pPr>
        <w:spacing w:after="0" w:line="152"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Platform and other revenues were $18.9 million for the three months ended March 31, 2024, compared to $18.1 million for the three months ended March 31, 2023, an increase of $0.8 million or 4.4%. The increase in platform and other revenues was driven by the StudyLink acquisition, revenue from interest earned on funds held for customers in interest-bearing accounts and increase in platform products, offset by a decrease in revenue for printing and mailing and insurance products.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169"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Payment processing services costs were $41.7 million for the three months ended March 31, 2024, compared to $33.9 million for the three months ended March 31, 2023, an increase of $7.8 million or 23.0%. The increase in payment processing services costs is correlated with the increase in total payment volume of 23% over the same period as well as increased use of credit cards, which have higher processing costs.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169"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Technology and development expenses were $ 16.7 million for the three months ended March 31, 2024, compared to $14.5 million for the three months ended March 31, 2023, an increase of $2.2 million or 15.2%. The increase in technology and development cost was primarily driven by an increase in personnel costs and stock-based compensation expense. Personnel costs were $10.4 million for the three months ended March 31, 2024 compared to $9.3 million for the three months ended March 31, 2023, an increase of $1.1 million or</w:t>
      </w:r>
    </w:p>
    <w:p>
      <w:pPr>
        <w:spacing w:after="0" w:line="3" w:lineRule="exact"/>
        <w:rPr>
          <w:sz w:val="20"/>
          <w:szCs w:val="20"/>
          <w:color w:val="auto"/>
        </w:rPr>
      </w:pPr>
    </w:p>
    <w:p>
      <w:pPr>
        <w:jc w:val="both"/>
        <w:ind w:right="420"/>
        <w:spacing w:after="0" w:line="239" w:lineRule="auto"/>
        <w:rPr>
          <w:sz w:val="20"/>
          <w:szCs w:val="20"/>
          <w:color w:val="auto"/>
        </w:rPr>
      </w:pPr>
      <w:r>
        <w:rPr>
          <w:rFonts w:ascii="Arial" w:cs="Arial" w:eastAsia="Arial" w:hAnsi="Arial"/>
          <w:sz w:val="18"/>
          <w:szCs w:val="18"/>
          <w:color w:val="auto"/>
        </w:rPr>
        <w:t>11.8%.The increase in personnel costs was primarily driven by an increase in headcount within our technology and development teams. Stock-based compensation expense was $2.6 million for the three months ended March 31, 2024, compared to $1.6 million for the three months ended March 31, 2023, an increase of $1.0 million or 62.5%. The increase in stock-based compensation is attributable to equity grants awarded to existing and new FlyMates.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18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Selling and marketing expenses were $30.1 million for the three months ended March 31, 2024, compared to $24.4 million for the three months ended March 31, 2023, an increase of $ 5.7 million or 23.4%. The increase in selling and marketing expenses was primarily driven by an increase in personnel costs, stock-based compensation, amortization expense and marketing costs. Personnel costs were $16.3 million for the three months ended March 31, 2024, compared to $13.6 million for the three months ended March 31, 2023, an increase of $2.7 million or 19.9%. The increase in personnel costs was primarily driven by an increase in headcount within our selling and marketing teams and commissions earned on sales during the period. Stock-based compensation was $4.0 million for the three months ended March 31, 2024, compared to $2.4 million for the three months ended March 31, 2023, an increase of $1.6 million or 66.7%. The increase in stock-based compensation is attributable to equity grants awarded to existing and new FlyMates. Amortization of intangibles was $1.9 million for the three months ended March 31, 2024, compared to $1.2 million for the three months ended March 31, 2023, an increase of $0.7 million or 58.3%. The increase in amortization expense was due to acquired customer relationships related to the StudyLink acquisition. Marketing costs were $1.7 million for the three months ended March 31, 2024, compared to $1.2 million for the three months ended March 31, 2023, an increase of $0.5 million or 41.7%. The increase in marketing costs was due to an increase in marketing initiatives and hosted events.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6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General and administrative expenses were $31.6 million for the three months ended March 31, 2024, compared to $28.1 million for the three months ended March 31, 2023, an increase of $3.5 million or 12.5%.The increase in general and administrative expenses was primarily driven by an increase in stock-based compensation and personnel costs, offset by a decrease in other costs, change in the fair value of contingent consideration and professional fees. Stock-based compensation was $ 8.3 million for the three months ended March 31, 2024, compared to $ 4.6 million for the three months ended March 31, 2023, an increase of $3.7 million or 80.4%. The increase in stock-based compensation is attributable to equity grants awarded to existing and new FlyMates. Personnel costs were $13.2 million for the three months ended March 31, 2024, compared to $10.6 million for the three months ended March 31, 2023, an increase of $2.6 million or 24.5%. The increase in personnel costs was primarily driven by an increase in headcount. Other costs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were $1.3 million for the three months ended March 31, 2024, compared to $ 2.7 million for the three months ended March 31, 2023, a decrease of $1.4 million or 51.9%. The decrease in other costs was primarily due to hedging losses recorded during the first quarter of 2023. Change in the fair value of contingent consideration was $(0.5) million for the three months ended March 31, 2024, compared to $0.4 million for the three months ended March 31, 2023, a decrease of $0.9 million or 225.0%. The decrease in contingent consideration was due to an adjustment made to the fair value of contingent consideration related to the StudyLink acquisition. Professional fees were $3.9 million for the three months ended March 31, 2024, compared to $4.7 million for the three months ended March 31, 2023, a decrease of $0.8 million or</w:t>
      </w:r>
    </w:p>
    <w:p>
      <w:pPr>
        <w:ind w:right="100"/>
        <w:spacing w:after="0" w:line="250" w:lineRule="auto"/>
        <w:rPr>
          <w:sz w:val="20"/>
          <w:szCs w:val="20"/>
          <w:color w:val="auto"/>
        </w:rPr>
      </w:pPr>
      <w:r>
        <w:rPr>
          <w:rFonts w:ascii="Arial" w:cs="Arial" w:eastAsia="Arial" w:hAnsi="Arial"/>
          <w:sz w:val="18"/>
          <w:szCs w:val="18"/>
          <w:color w:val="auto"/>
        </w:rPr>
        <w:t>17.0%. The decrease in professional fees was primarily due to a decrease in legal, consulting and audit fees during the three months ended March 31, 2024 compared to the three months ended March 31, 2023.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69" w:lineRule="exact"/>
        <w:rPr>
          <w:sz w:val="20"/>
          <w:szCs w:val="20"/>
          <w:color w:val="auto"/>
        </w:rPr>
      </w:pPr>
    </w:p>
    <w:p>
      <w:pPr>
        <w:ind w:right="200" w:firstLine="509"/>
        <w:spacing w:after="0" w:line="246" w:lineRule="auto"/>
        <w:rPr>
          <w:sz w:val="20"/>
          <w:szCs w:val="20"/>
          <w:color w:val="auto"/>
        </w:rPr>
      </w:pPr>
      <w:r>
        <w:rPr>
          <w:rFonts w:ascii="Arial" w:cs="Arial" w:eastAsia="Arial" w:hAnsi="Arial"/>
          <w:sz w:val="18"/>
          <w:szCs w:val="18"/>
          <w:color w:val="auto"/>
        </w:rPr>
        <w:t>Interest expense was $0.1 million for both the three months ended March 31, 2024 and 2023. As of March 31, 2024 and 2023, there was no outstanding indebtedness under the 2024 Revolving Credit Facility or 2021 Revolving Credit Facility. Interest expense consists primarily of amortization of debt issuance costs and unused commitment fees related to our 2024 Revolving Credit Facility and 2021 Revolving Credit Facility.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8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Interest income was $5.9 million for the three months ended March 31, 2024 compared to $1.9 million for the three months ended March 31, 2023, an increase of $4.0 million or 210.5%. The increase in interest income was due to our investment in interest bearing accounts, an increase in our cash balance compared to the first quarter of 2023, and an increase in yield earned from our investment in money market funds as interest rates increased during the three months ended March 31, 2024, compared to the three months ended March 31, 2023.</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gain from Remeasurement of Foreign Currency</w:t>
      </w:r>
    </w:p>
    <w:p>
      <w:pPr>
        <w:spacing w:after="0" w:line="169"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i w:val="1"/>
          <w:iCs w:val="1"/>
          <w:color w:val="auto"/>
        </w:rPr>
        <w:t xml:space="preserve">(Loss) gain </w:t>
      </w:r>
      <w:r>
        <w:rPr>
          <w:rFonts w:ascii="Arial" w:cs="Arial" w:eastAsia="Arial" w:hAnsi="Arial"/>
          <w:sz w:val="18"/>
          <w:szCs w:val="18"/>
          <w:color w:val="auto"/>
        </w:rPr>
        <w:t>from remeasurement of foreign currency was $(4.4) million for the three months ended March 31, 2024, compared to $1.5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31, 2023, a decrease of $5.9 million or 393.3%. The decrease was primarily the result of the remeasurement of foreign currency transactions into the British pound sterling and impact of fluctuations in exchange rates during respective remeasurement periods.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69"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Provision for income taxes was $1.6 million during the three months ended March 31, 2024, compared to $0.4 million during the three months ended March 31, 2023, an increase of $ 1.2 million or 300.0%. The income tax provision for the three months ended March 31, 2024 and 2023 was primarily attributable to activity in our foreign subsidiaries and U.S. state taxes. Our effective tax rate was (35.1)% for the three months ended March 31, 2024 compared to (12.5)% for the three months ended March 31, 2023.</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4"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Since inception, we have financed operations primarily through proceeds received from sales of equity securities, credit facilities and payments received from our clients as further detailed below.</w:t>
      </w:r>
    </w:p>
    <w:p>
      <w:pPr>
        <w:spacing w:after="0" w:line="112"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As of March 31, 2024, our principal source of liquidity is cash and cash equivalents of $619.0 million. Cash equivalents is comprised primarily of money market funds and bank deposits.</w:t>
      </w:r>
    </w:p>
    <w:p>
      <w:pPr>
        <w:spacing w:after="0" w:line="112"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On February 23, 2024, we entered into our 2024 Revolving Credit Facility for a total commitment of $125.0 million, which replaced the Revolving Credit Facility of $50.0 that was in effect as of December 31, 2023.</w:t>
      </w:r>
    </w:p>
    <w:p>
      <w:pPr>
        <w:spacing w:after="0" w:line="126"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On August 14, 2023 and September 12, 2023, we completed our follow-on public offering which resulted in aggregate net proceeds of $260.1 million, after underwriting discounts and commissions of $10.9 million and other issuance costs of $1.1 million.</w:t>
      </w:r>
    </w:p>
    <w:p>
      <w:pPr>
        <w:spacing w:after="0" w:line="11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believe that our existing cash will be sufficient to support our expected working capital needs and material cash requirements for at least the next 12 months from the issuance of these condensed consolidated financial statements. Our future capital requirements will depend on many factors, including our revenue growth rate, the timing and the amount of cash received from clients, the expansion of sales and marketing activities, the timing and extent of spending to support development efforts, the price at which we are able to purchase public cloud capacity, expenses associated with our international expansion, the introduction of platform enhancements, and the continuing market adoption of our platform. In</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480"/>
        <w:spacing w:after="0" w:line="243" w:lineRule="auto"/>
        <w:rPr>
          <w:sz w:val="20"/>
          <w:szCs w:val="20"/>
          <w:color w:val="auto"/>
        </w:rPr>
      </w:pPr>
      <w:r>
        <w:rPr>
          <w:rFonts w:ascii="Arial" w:cs="Arial" w:eastAsia="Arial" w:hAnsi="Arial"/>
          <w:sz w:val="18"/>
          <w:szCs w:val="18"/>
          <w:color w:val="auto"/>
        </w:rPr>
        <w:t>the future, we may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cash flow information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 March 31,</w:t>
            </w:r>
          </w:p>
        </w:tc>
      </w:tr>
      <w:tr>
        <w:trPr>
          <w:trHeight w:val="182"/>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r>
      <w:tr>
        <w:trPr>
          <w:trHeight w:val="223"/>
        </w:trPr>
        <w:tc>
          <w:tcPr>
            <w:tcW w:w="7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(38.1 )</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(20.8 )</w:t>
            </w:r>
          </w:p>
        </w:tc>
      </w:tr>
      <w:tr>
        <w:trPr>
          <w:trHeight w:val="229"/>
        </w:trPr>
        <w:tc>
          <w:tcPr>
            <w:tcW w:w="770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(1.5 )</w:t>
            </w:r>
          </w:p>
        </w:tc>
        <w:tc>
          <w:tcPr>
            <w:tcW w:w="3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(1.8 )</w:t>
            </w:r>
          </w:p>
        </w:tc>
      </w:tr>
      <w:tr>
        <w:trPr>
          <w:trHeight w:val="229"/>
        </w:trPr>
        <w:tc>
          <w:tcPr>
            <w:tcW w:w="7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gridSpan w:val="2"/>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(1.2 )</w:t>
            </w:r>
          </w:p>
        </w:tc>
      </w:tr>
      <w:tr>
        <w:trPr>
          <w:trHeight w:val="20"/>
        </w:trPr>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70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Net decrease in cash, cash equivalents and restricted cash.</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(35.6 )</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(22.1 )</w:t>
            </w: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cash used in operating activities consists of net loss adjusted for certain non-cash items and changes in other assets and liabilities.</w:t>
      </w:r>
    </w:p>
    <w:p>
      <w:pPr>
        <w:spacing w:after="0" w:line="182"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During the three months ended March 31, 2024, cash used in operating activities of $38.1 million was primarily the result of net loss of $6.2 million adjusted for non-cash expenses of $18.3 million, which primarily include stock-based compensation expenses of $14.8 million and depreciation and amortization of $4.3 million, offset by changes in our operating assets and liabilities of $50.2 million.</w:t>
      </w:r>
    </w:p>
    <w:p>
      <w:pPr>
        <w:spacing w:after="0" w:line="144"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During the three months ended March 31, 2023, cash used in operating activities of $20.8 million was primarily the result of net loss of $3.7 million adjusted for non-cash expenses of $12.4 million, which primarily include stock-based compensation expenses of $8.6 million, depreciation and amortization of $3.7 million, change in fair value of contingent consideration of $0.4 million, offset by a deferred tax benefit of $0.6 million and $29.6 million related to changes in our operating assets and liabilities.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69"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During the three months ended March 31, 2024, cash used in investing activities of $1.5 million was the result of approximately $1.3 million of capitalization of internally developed software and approximately $0.3 million of purchase of property and equipment.</w:t>
      </w:r>
    </w:p>
    <w:p>
      <w:pPr>
        <w:spacing w:after="0" w:line="126"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During the three months ended March 31, 2023, cash used in investing activities of $ 1.8 million was the result of the $1.4 million of capitalization of internally developed software and over $0.4 million of purchase of property and equipment.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69" w:lineRule="exact"/>
        <w:rPr>
          <w:sz w:val="20"/>
          <w:szCs w:val="20"/>
          <w:color w:val="auto"/>
        </w:rPr>
      </w:pPr>
    </w:p>
    <w:p>
      <w:pPr>
        <w:ind w:right="220" w:firstLine="509"/>
        <w:spacing w:after="0" w:line="252" w:lineRule="auto"/>
        <w:rPr>
          <w:sz w:val="20"/>
          <w:szCs w:val="20"/>
          <w:color w:val="auto"/>
        </w:rPr>
      </w:pPr>
      <w:r>
        <w:rPr>
          <w:rFonts w:ascii="Arial" w:cs="Arial" w:eastAsia="Arial" w:hAnsi="Arial"/>
          <w:sz w:val="18"/>
          <w:szCs w:val="18"/>
          <w:color w:val="auto"/>
        </w:rPr>
        <w:t>During the three months ended March 31, 2024, cash provided by financing activities of $2.2 million was the result of proceeds from exercise of stock options of $1.6 million, proceeds from issuance of stock under the ESPP of $1.4 million, offset by payments of debt issuance costs of $0.8 million.</w:t>
      </w:r>
    </w:p>
    <w:p>
      <w:pPr>
        <w:spacing w:after="0" w:line="144" w:lineRule="exact"/>
        <w:rPr>
          <w:sz w:val="20"/>
          <w:szCs w:val="20"/>
          <w:color w:val="auto"/>
        </w:rPr>
      </w:pPr>
    </w:p>
    <w:p>
      <w:pPr>
        <w:jc w:val="both"/>
        <w:ind w:right="180" w:firstLine="509"/>
        <w:spacing w:after="0" w:line="252" w:lineRule="auto"/>
        <w:rPr>
          <w:sz w:val="20"/>
          <w:szCs w:val="20"/>
          <w:color w:val="auto"/>
        </w:rPr>
      </w:pPr>
      <w:r>
        <w:rPr>
          <w:rFonts w:ascii="Arial" w:cs="Arial" w:eastAsia="Arial" w:hAnsi="Arial"/>
          <w:sz w:val="18"/>
          <w:szCs w:val="18"/>
          <w:color w:val="auto"/>
        </w:rPr>
        <w:t>During the three months ended March 31, 2023, cash provided by financing activities of $1.8 million was the result of proceeds from exercise of stock options of $2.1 million, proceeds from issuance of stock under the ESPP of $0.9 million, offset by payments for contingent consideration of $1.2 million related to our acquisition of Cohort Go.</w:t>
      </w:r>
    </w:p>
    <w:p>
      <w:pPr>
        <w:spacing w:after="0" w:line="130" w:lineRule="exact"/>
        <w:rPr>
          <w:sz w:val="20"/>
          <w:szCs w:val="20"/>
          <w:color w:val="auto"/>
        </w:rPr>
      </w:pPr>
    </w:p>
    <w:p>
      <w:pPr>
        <w:ind w:right="660" w:firstLine="509"/>
        <w:spacing w:after="0" w:line="271" w:lineRule="auto"/>
        <w:rPr>
          <w:sz w:val="20"/>
          <w:szCs w:val="20"/>
          <w:color w:val="auto"/>
        </w:rPr>
      </w:pPr>
      <w:r>
        <w:rPr>
          <w:rFonts w:ascii="Arial" w:cs="Arial" w:eastAsia="Arial" w:hAnsi="Arial"/>
          <w:sz w:val="18"/>
          <w:szCs w:val="18"/>
          <w:color w:val="auto"/>
        </w:rPr>
        <w:t>As of March 31, 2024 and 2023, there was no outstanding indebtedness under the 2024 Revolving Credit Facility and the 2021 Revolving Credit Facility.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4" w:lineRule="exact"/>
        <w:rPr>
          <w:sz w:val="20"/>
          <w:szCs w:val="20"/>
          <w:color w:val="auto"/>
        </w:rPr>
      </w:pPr>
    </w:p>
    <w:p>
      <w:pPr>
        <w:ind w:right="240" w:firstLine="509"/>
        <w:spacing w:after="0" w:line="252" w:lineRule="auto"/>
        <w:rPr>
          <w:sz w:val="20"/>
          <w:szCs w:val="20"/>
          <w:color w:val="auto"/>
        </w:rPr>
      </w:pPr>
      <w:r>
        <w:rPr>
          <w:rFonts w:ascii="Arial" w:cs="Arial" w:eastAsia="Arial" w:hAnsi="Arial"/>
          <w:sz w:val="18"/>
          <w:szCs w:val="18"/>
          <w:color w:val="auto"/>
        </w:rPr>
        <w:t>Our condensed consolidated financial statements and the related notes thereto included elsewhere in this Quarterly Report on Form 10-Q are prepared in accordance with GAAP. The preparation of our condensed consolidated financial statements requires us to make estimates and assumptions that affect the reported amounts of assets and liabilities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the disclosure of contingent assets and liabilities at the date of the condensed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2" w:lineRule="exact"/>
        <w:rPr>
          <w:sz w:val="20"/>
          <w:szCs w:val="20"/>
          <w:color w:val="auto"/>
        </w:rPr>
      </w:pPr>
    </w:p>
    <w:p>
      <w:pPr>
        <w:jc w:val="both"/>
        <w:ind w:right="160" w:firstLine="509"/>
        <w:spacing w:after="0" w:line="252" w:lineRule="auto"/>
        <w:rPr>
          <w:sz w:val="20"/>
          <w:szCs w:val="20"/>
          <w:color w:val="auto"/>
        </w:rPr>
      </w:pPr>
      <w:r>
        <w:rPr>
          <w:rFonts w:ascii="Arial" w:cs="Arial" w:eastAsia="Arial" w:hAnsi="Arial"/>
          <w:sz w:val="18"/>
          <w:szCs w:val="18"/>
          <w:color w:val="auto"/>
        </w:rPr>
        <w:t xml:space="preserve">There have been no material changes to our critical accounting policies as compared to the critical accounting policies and estimates described in the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section of our Annual Report on Form 10-K for the year ended December 31,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1"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 xml:space="preserve">We have reviewed all recently issued standards and have determined that, other than as disclosed in </w:t>
      </w:r>
      <w:r>
        <w:rPr>
          <w:rFonts w:ascii="Arial" w:cs="Arial" w:eastAsia="Arial" w:hAnsi="Arial"/>
          <w:sz w:val="18"/>
          <w:szCs w:val="18"/>
          <w:i w:val="1"/>
          <w:iCs w:val="1"/>
          <w:color w:val="auto"/>
        </w:rPr>
        <w:t>Note 1</w:t>
      </w:r>
      <w:r>
        <w:rPr>
          <w:rFonts w:ascii="Arial" w:cs="Arial" w:eastAsia="Arial" w:hAnsi="Arial"/>
          <w:sz w:val="18"/>
          <w:szCs w:val="18"/>
          <w:color w:val="auto"/>
        </w:rPr>
        <w:t xml:space="preserve"> - </w:t>
      </w:r>
      <w:r>
        <w:rPr>
          <w:rFonts w:ascii="Arial" w:cs="Arial" w:eastAsia="Arial" w:hAnsi="Arial"/>
          <w:sz w:val="18"/>
          <w:szCs w:val="18"/>
          <w:i w:val="1"/>
          <w:iCs w:val="1"/>
          <w:color w:val="auto"/>
        </w:rPr>
        <w:t>Business Overview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to our unaudited condensed consolidated financial statements appearing elsewhere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Report on Form 10-Q, such standards are not expected to have a material impact on our consolidated financial statements or do not otherwise apply to our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4" w:lineRule="exact"/>
        <w:rPr>
          <w:sz w:val="20"/>
          <w:szCs w:val="20"/>
          <w:color w:val="auto"/>
        </w:rPr>
      </w:pPr>
    </w:p>
    <w:p>
      <w:pPr>
        <w:ind w:right="220" w:firstLine="509"/>
        <w:spacing w:after="0" w:line="252" w:lineRule="auto"/>
        <w:rPr>
          <w:sz w:val="20"/>
          <w:szCs w:val="20"/>
          <w:color w:val="auto"/>
        </w:rPr>
      </w:pPr>
      <w:r>
        <w:rPr>
          <w:rFonts w:ascii="Arial" w:cs="Arial" w:eastAsia="Arial" w:hAnsi="Arial"/>
          <w:sz w:val="18"/>
          <w:szCs w:val="18"/>
          <w:color w:val="auto"/>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1"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We are exposed to interest rate risk relating to our cash and cash equivalents. We hold cash in both non-interest and interest-bearing bank accounts. Our corporate investment portfolio consists primarily of money market funds, which are AAA-rated and comprised of liquid, high quality debt securities issued by the U.S. government. An immediate 10% increase or decrease in interest rates would not have a material effect on our financial position, resulting of operations or cash flows.</w:t>
      </w:r>
    </w:p>
    <w:p>
      <w:pPr>
        <w:spacing w:after="0" w:line="149"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We are also exposed to interest rate risk related to our 2024 Revolving Credit Facility. Our 2024 Revolving Credit Facility consists of ABR borrowings or Term SOFR borrowings, at our option.</w:t>
      </w:r>
    </w:p>
    <w:p>
      <w:pPr>
        <w:spacing w:after="0" w:line="11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ABR borrowings bear interest at the ABR plus the applicable rate. Term SOFR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equal to the sum of (a) Term SOFR for such interest period, plus (b) the SOFR adjustment of 0.10%. The applicable rate is based upon our consolidated total net leverage ratio as of the most recent consolidated financial information and ranges from 1.0% to 2.5%. The 2024 Revolving Credit Facility incurs a commitment fee ranging from 0.25% to 0.35% based upon our consolidated total net leverage ratio as of the most recent consolidated financial information assessed on the average available commitment.</w:t>
      </w:r>
    </w:p>
    <w:p>
      <w:pPr>
        <w:spacing w:after="0" w:line="142"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As of March 31, 2024 and December 31, 2023, there was no outstanding indebtedness under the 2024 Revolving Credit Facility and 2021 Revolving Credit Facility.</w:t>
      </w:r>
    </w:p>
    <w:p>
      <w:pPr>
        <w:spacing w:after="0" w:line="126" w:lineRule="exact"/>
        <w:rPr>
          <w:sz w:val="20"/>
          <w:szCs w:val="20"/>
          <w:color w:val="auto"/>
        </w:rPr>
      </w:pPr>
    </w:p>
    <w:p>
      <w:pPr>
        <w:ind w:right="840" w:firstLine="509"/>
        <w:spacing w:after="0" w:line="271" w:lineRule="auto"/>
        <w:rPr>
          <w:sz w:val="20"/>
          <w:szCs w:val="20"/>
          <w:color w:val="auto"/>
        </w:rPr>
      </w:pPr>
      <w:r>
        <w:rPr>
          <w:rFonts w:ascii="Arial" w:cs="Arial" w:eastAsia="Arial" w:hAnsi="Arial"/>
          <w:sz w:val="18"/>
          <w:szCs w:val="18"/>
          <w:color w:val="auto"/>
        </w:rPr>
        <w:t>An immediate 10% increase or decrease in interest rates would not have a material effect on our financial position, results of operations or cash flows.</w:t>
      </w:r>
    </w:p>
    <w:p>
      <w:pPr>
        <w:spacing w:after="0" w:line="112" w:lineRule="exact"/>
        <w:rPr>
          <w:sz w:val="20"/>
          <w:szCs w:val="20"/>
          <w:color w:val="auto"/>
        </w:rPr>
      </w:pPr>
    </w:p>
    <w:p>
      <w:pPr>
        <w:ind w:right="480" w:firstLine="509"/>
        <w:spacing w:after="0" w:line="271" w:lineRule="auto"/>
        <w:rPr>
          <w:sz w:val="20"/>
          <w:szCs w:val="20"/>
          <w:color w:val="auto"/>
        </w:rPr>
      </w:pPr>
      <w:r>
        <w:rPr>
          <w:rFonts w:ascii="Arial" w:cs="Arial" w:eastAsia="Arial" w:hAnsi="Arial"/>
          <w:sz w:val="18"/>
          <w:szCs w:val="18"/>
          <w:color w:val="auto"/>
        </w:rPr>
        <w:t>Information provided by the sensitivity analysis does not necessarily represent the actual changes that would occur under normal market conditions.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8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payment—typically one to four days —that may differ depending on the payment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in-house currency hedging algorithms since 2014, including entering into non-deliverable forward foreign currency contracts, to mitigate the volatility related to fluctuations in the foreign exchange rates.</w:t>
      </w:r>
    </w:p>
    <w:p>
      <w:pPr>
        <w:spacing w:after="0" w:line="158"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Our cash flows and operating results may also be impacted by fluctuations in foreign currency exchange rates between the U.S. Dollar and various currencies, in particular the British Pound. The value of our revenue and profits in local currencies may be worth more or less in U.S. Dollars due to a strengthening or weakening, respectively, of those currencies against the U.S. Dollar. For example, as the U.S. Dollar weakened against several currencies, including the British Pound, relative to the same quarter in the prior year, these foreign exchange impacts increased our reported revenue in U.S. Dollars by approximately $0.2 million compared to the quarter ended March 31, 2023 on a constant currency basis.</w:t>
      </w:r>
    </w:p>
    <w:p>
      <w:pPr>
        <w:spacing w:after="0" w:line="14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Fluctuations in foreign currency exchange rates may also impact the value of assets and liabilities denominated in currencies other than the functional currencies of our entities. Our reporting currency and the functional currency of our subsidiaries, with the exception of our U.K. and Australian subsidiaries, is the U.S. Dollar. The functional currency for our U.K. and Australian subsidiaries is the local currency, or British Pound and Australian Dollar, respectively. Financial statements of our foreign subsidiaries are translated from local currency into U.S. Dollars using exchange rates at the balance sheet date for assets and liabilities, and average exchange rates in effect during the period for revenue and expenses. Resulting translation adjustments are included as a component of accumulated other comprehensive income (loss) in our condensed consolidated balance sheets. Gains and losses from the remeasurement of foreign currencies into functional currencies are recognized in the condensed consolidated statements of operations and comprehensive loss. A potential change in foreign exchange rates of 10% from such remeasurement would have impacted loss before income taxes by approximately $15.6 million and $19.9 million at March 31, 2024 and December 31, 2023,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84"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Inflation did not have a material effect on our cash flows and results of operations during the three months ended March 31, 2024. If our costs were to become subject to significant inflationary pressures, we may not be able to fully offset such higher costs through increase in prices of our product offerings.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Our management, with the participation and supervision of our Chief Executive Officer and Chief Financial Officer (our Principal Executive Officer and Principal Financial and Accounting Officer, respectively), have evaluated the effectiveness of our disclosure controls and procedures as of March 31, 2024. The term “disclosure controls and procedures,” as defined in Rules 13a15(e) and 15d-15(e) of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March 31, 2024, our disclosure controls and procedures were effective at the reasonable assurance level.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1"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March 31, 2024 that has materially affected, or is reasonably likely to materially affect, our internal control over financial reporting.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84"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proceedings that we believe to be material, individually or in the aggregate, to our business or condensed consolidated financial statements. The results of any future litigation cannot be predicted with certainty, and regardless of the outcome, litigation can have an adverse impact on us because of defense and settlement costs, diversion of management resources, and other factors.</w:t>
      </w:r>
    </w:p>
    <w:p>
      <w:pPr>
        <w:spacing w:after="0" w:line="142"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In the course of implementing geolocation data-based sanctions screening measures, we identified certain payments which, based on geolocation data, appear to have been initiated from Cuba, Iran, or Syria, in potential violation of applicable sanctions regimes. Although Flywire continues to evaluate whether these or other transactions constitute potential violations of the U.S. Department of the Treasury’s Office of Foreign Assets Controls (OFAC) sanctions (including whether certain of these payments may have been authorized by general licenses or license exemptions under the relevant sanctions regulations), in August 2023, Flywire made a voluntary submission to OFAC to report the potential violations, and in April 2024 furnished a supplemental submission to OFAC. Based upon the results of the internal investigation completed to date, we do not believe that the amount of any loss incurred as a result of this matter would be material to our business, financial condition, results of operations or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6"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i w:val="1"/>
          <w:iCs w:val="1"/>
          <w:color w:val="auto"/>
        </w:rPr>
        <w:t>Investing in our common stock involves a high degree of risk. Before deciding whether to invest in shares of our common stock, you should consider carefully the risks and uncertainties described below, together with all of the other information in this Quarterly Report on Form 10-Q, including “Management’s Discussion and Analysis of Financial Condition and Results of Operations” and our condensed consolidated financial statements and the accompanying notes included elsewhere in this Quarterly Report on Form 10-Q.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71"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The summary of risks below is intended to provide an overview of the risks we face and should not be considered a substitute for the more fulsome risk factors discussed immediately following this summary.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69" w:lineRule="exact"/>
        <w:rPr>
          <w:sz w:val="20"/>
          <w:szCs w:val="20"/>
          <w:color w:val="auto"/>
        </w:rPr>
      </w:pPr>
    </w:p>
    <w:p>
      <w:pPr>
        <w:ind w:left="900" w:hanging="263"/>
        <w:spacing w:after="0"/>
        <w:tabs>
          <w:tab w:leader="none" w:pos="9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short operating history at our current scale in a rapidly evolving industry.</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experience quarterly fluctuations in operating results.</w:t>
      </w:r>
    </w:p>
    <w:p>
      <w:pPr>
        <w:spacing w:after="0" w:line="183" w:lineRule="exact"/>
        <w:rPr>
          <w:rFonts w:ascii="Times New Roman" w:cs="Times New Roman" w:eastAsia="Times New Roman" w:hAnsi="Times New Roman"/>
          <w:sz w:val="18"/>
          <w:szCs w:val="18"/>
          <w:color w:val="auto"/>
        </w:rPr>
      </w:pPr>
    </w:p>
    <w:p>
      <w:pPr>
        <w:ind w:left="900" w:right="60" w:hanging="263"/>
        <w:spacing w:after="0" w:line="270" w:lineRule="auto"/>
        <w:tabs>
          <w:tab w:leader="none" w:pos="9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retain our current clients, attract new clients, and increase the number of our clients’ customers that use our solutions or sell additional functionality to our clients.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Efforts to attract new clients may be unsuccessful.</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expand our direct and channel sales capabilities, grow our marketing reach and increase sales productivity.</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We expect our revenue mix to vary over time, which could affect our gross profit, gross margin and results of operations.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left="900" w:right="820" w:hanging="263"/>
        <w:spacing w:after="0" w:line="270" w:lineRule="auto"/>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could be adversely affected if our clients and their customers are not satisfied with the timing or quality of implementation services provided by us or our partners.</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and operating results are subject to seasonality and cyclicality.</w:t>
      </w:r>
    </w:p>
    <w:p>
      <w:pPr>
        <w:spacing w:after="0" w:line="183" w:lineRule="exact"/>
        <w:rPr>
          <w:rFonts w:ascii="Times New Roman" w:cs="Times New Roman" w:eastAsia="Times New Roman" w:hAnsi="Times New Roman"/>
          <w:sz w:val="18"/>
          <w:szCs w:val="18"/>
          <w:color w:val="auto"/>
        </w:rPr>
      </w:pPr>
    </w:p>
    <w:p>
      <w:pPr>
        <w:ind w:left="900" w:right="120" w:hanging="263"/>
        <w:spacing w:after="0" w:line="270" w:lineRule="auto"/>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We are exposed to fluctuations in foreign currency exchange rates that could materially and adversely affect our cash flows and results of operations.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Certain of our key performance indicators are subject to inherent challenges in measurement.</w:t>
      </w:r>
    </w:p>
    <w:p>
      <w:pPr>
        <w:spacing w:after="0" w:line="196" w:lineRule="exact"/>
        <w:rPr>
          <w:rFonts w:ascii="Times New Roman" w:cs="Times New Roman" w:eastAsia="Times New Roman" w:hAnsi="Times New Roman"/>
          <w:sz w:val="18"/>
          <w:szCs w:val="18"/>
          <w:color w:val="auto"/>
        </w:rPr>
      </w:pPr>
    </w:p>
    <w:p>
      <w:pPr>
        <w:ind w:left="900" w:right="860" w:hanging="263"/>
        <w:spacing w:after="0" w:line="270" w:lineRule="auto"/>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depends, in large part, on our proprietary network of global, regional, and local banking partners and our relationships with other third parties.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Our markets are highly competitive.</w:t>
      </w:r>
    </w:p>
    <w:p>
      <w:pPr>
        <w:spacing w:after="0" w:line="183" w:lineRule="exact"/>
        <w:rPr>
          <w:rFonts w:ascii="Times New Roman" w:cs="Times New Roman" w:eastAsia="Times New Roman" w:hAnsi="Times New Roman"/>
          <w:sz w:val="18"/>
          <w:szCs w:val="18"/>
          <w:color w:val="auto"/>
        </w:rPr>
      </w:pPr>
    </w:p>
    <w:p>
      <w:pPr>
        <w:ind w:left="900" w:right="540" w:hanging="263"/>
        <w:spacing w:after="0" w:line="270" w:lineRule="auto"/>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estimates of market opportunity and our ability to capture a meaningful share of this payment volume may prove to be inaccurate.</w:t>
      </w:r>
    </w:p>
    <w:p>
      <w:pPr>
        <w:spacing w:after="0" w:line="126" w:lineRule="exact"/>
        <w:rPr>
          <w:rFonts w:ascii="Times New Roman" w:cs="Times New Roman" w:eastAsia="Times New Roman" w:hAnsi="Times New Roman"/>
          <w:sz w:val="18"/>
          <w:szCs w:val="18"/>
          <w:color w:val="auto"/>
        </w:rPr>
      </w:pPr>
    </w:p>
    <w:p>
      <w:pPr>
        <w:ind w:left="900" w:right="260" w:hanging="263"/>
        <w:spacing w:after="0" w:line="270" w:lineRule="auto"/>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Our education business may be adversely affected by decreases in enrollment or tuition, increased limitations on issuances of visas to international students or increased operating expenses for our clients.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healthcare industry is rapidly evolving.</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Our travel business may be sensitive to events affecting the travel industry in general.</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enter or expand into new verticals or sub-verticals, including our relatively new B2B payment vertical.</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There could be consolidation in the payment processing or enablement industry.</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adversely impacted by worldwide global economic and political instability.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169" w:lineRule="exact"/>
        <w:rPr>
          <w:sz w:val="20"/>
          <w:szCs w:val="20"/>
          <w:color w:val="auto"/>
        </w:rPr>
      </w:pPr>
    </w:p>
    <w:p>
      <w:pPr>
        <w:ind w:left="900" w:hanging="263"/>
        <w:spacing w:after="0"/>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scale our business quickly enough to meet our growing client base.</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We enable the transfer of large sums of funds to our clients daily and are subject to the risk of errors.</w:t>
      </w:r>
    </w:p>
    <w:p>
      <w:pPr>
        <w:spacing w:after="0" w:line="196" w:lineRule="exact"/>
        <w:rPr>
          <w:rFonts w:ascii="Times New Roman" w:cs="Times New Roman" w:eastAsia="Times New Roman" w:hAnsi="Times New Roman"/>
          <w:sz w:val="18"/>
          <w:szCs w:val="18"/>
          <w:color w:val="auto"/>
        </w:rPr>
      </w:pPr>
    </w:p>
    <w:p>
      <w:pPr>
        <w:ind w:left="900" w:hanging="263"/>
        <w:spacing w:after="0" w:line="270" w:lineRule="auto"/>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Volatility in the banking and financial services sectors may impact our bank partnerships and relationships, which could adversely affect our operations and liquidity.</w:t>
      </w:r>
    </w:p>
    <w:p>
      <w:pPr>
        <w:spacing w:after="0" w:line="113" w:lineRule="exact"/>
        <w:rPr>
          <w:rFonts w:ascii="Times New Roman" w:cs="Times New Roman" w:eastAsia="Times New Roman" w:hAnsi="Times New Roman"/>
          <w:sz w:val="18"/>
          <w:szCs w:val="18"/>
          <w:color w:val="auto"/>
        </w:rPr>
      </w:pPr>
    </w:p>
    <w:p>
      <w:pPr>
        <w:ind w:left="900" w:right="80" w:hanging="263"/>
        <w:spacing w:after="0" w:line="270" w:lineRule="auto"/>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management of our operating funds and those of our clients may be reliant on a limited number of our banking partners and other financial institutions.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maintain or expand our ability to offer a variety of local and international payments.</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Improper or unauthorized use of, disclosure of, or access to personal or sensitive data could harm our reputation.</w:t>
      </w:r>
    </w:p>
    <w:p>
      <w:pPr>
        <w:spacing w:after="0" w:line="183" w:lineRule="exact"/>
        <w:rPr>
          <w:rFonts w:ascii="Times New Roman" w:cs="Times New Roman" w:eastAsia="Times New Roman" w:hAnsi="Times New Roman"/>
          <w:sz w:val="18"/>
          <w:szCs w:val="18"/>
          <w:color w:val="auto"/>
        </w:rPr>
      </w:pPr>
    </w:p>
    <w:p>
      <w:pPr>
        <w:ind w:left="900" w:right="160" w:hanging="263"/>
        <w:spacing w:after="0" w:line="270" w:lineRule="auto"/>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We may fail to adapt and respond effectively to rapidly changing technology, evolving industry standards, changing regulations, and changing business needs, requirements, or preferences.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payment card networks fees or rules could harm our business.</w:t>
      </w:r>
    </w:p>
    <w:p>
      <w:pPr>
        <w:spacing w:after="0" w:line="196" w:lineRule="exact"/>
        <w:rPr>
          <w:rFonts w:ascii="Times New Roman" w:cs="Times New Roman" w:eastAsia="Times New Roman" w:hAnsi="Times New Roman"/>
          <w:sz w:val="18"/>
          <w:szCs w:val="18"/>
          <w:color w:val="auto"/>
        </w:rPr>
      </w:pPr>
    </w:p>
    <w:p>
      <w:pPr>
        <w:ind w:left="900" w:right="500" w:hanging="263"/>
        <w:spacing w:after="0" w:line="270" w:lineRule="auto"/>
        <w:tabs>
          <w:tab w:leader="none" w:pos="9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If we lose key members of our management team or are unable to attract and retain executives and employees we need to support our operations and growth, our business may be harmed.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Legal, Regulatory and Compliance Landscape</w:t>
      </w:r>
    </w:p>
    <w:p>
      <w:pPr>
        <w:spacing w:after="0" w:line="169" w:lineRule="exact"/>
        <w:rPr>
          <w:sz w:val="20"/>
          <w:szCs w:val="20"/>
          <w:color w:val="auto"/>
        </w:rPr>
      </w:pPr>
    </w:p>
    <w:p>
      <w:pPr>
        <w:ind w:left="5520" w:right="2240" w:hanging="4883"/>
        <w:spacing w:after="0" w:line="504" w:lineRule="auto"/>
        <w:tabs>
          <w:tab w:leader="none" w:pos="888"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Payments and other financial services-related regulations and oversight are material to our business.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8" w:right="4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left="900" w:right="100" w:hanging="263"/>
        <w:spacing w:after="0" w:line="270" w:lineRule="auto"/>
        <w:tabs>
          <w:tab w:leader="none" w:pos="9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governmental laws and requirements regarding economic and trade sanctions, AML, CFT and those applicable to a money service business (MSB).</w:t>
      </w:r>
    </w:p>
    <w:p>
      <w:pPr>
        <w:spacing w:after="0" w:line="126" w:lineRule="exact"/>
        <w:rPr>
          <w:rFonts w:ascii="Times New Roman" w:cs="Times New Roman" w:eastAsia="Times New Roman" w:hAnsi="Times New Roman"/>
          <w:sz w:val="18"/>
          <w:szCs w:val="18"/>
          <w:color w:val="auto"/>
        </w:rPr>
      </w:pPr>
    </w:p>
    <w:p>
      <w:pPr>
        <w:ind w:left="900" w:right="620" w:hanging="263"/>
        <w:spacing w:after="0" w:line="270" w:lineRule="auto"/>
        <w:tabs>
          <w:tab w:leader="none" w:pos="9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governmental regulation and other legal obligations, particularly those related to privacy, data protection, information security, anti-corruption, anti-bribery, and similar laws.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Being a Public Company</w:t>
      </w:r>
    </w:p>
    <w:p>
      <w:pPr>
        <w:spacing w:after="0" w:line="169" w:lineRule="exact"/>
        <w:rPr>
          <w:sz w:val="20"/>
          <w:szCs w:val="20"/>
          <w:color w:val="auto"/>
        </w:rPr>
      </w:pPr>
    </w:p>
    <w:p>
      <w:pPr>
        <w:ind w:left="900" w:hanging="263"/>
        <w:spacing w:after="0"/>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may fail to develop and maintain proper effective internal control over financial reporting.</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Estimates relating to our critical accounting policies may prove to be incorrect.</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will continue to incur increased costs as a public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182" w:lineRule="exact"/>
        <w:rPr>
          <w:sz w:val="20"/>
          <w:szCs w:val="20"/>
          <w:color w:val="auto"/>
        </w:rPr>
      </w:pPr>
    </w:p>
    <w:p>
      <w:pPr>
        <w:ind w:left="900" w:right="140" w:hanging="263"/>
        <w:spacing w:after="0" w:line="270" w:lineRule="auto"/>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rights to our intellectual property on unfavorable terms.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182"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were incorporated in 2009 and although we have generated net income in prior periods, we incurred a net loss in the year ended December 31, 2023, have incurred net losses in the past, and may continue to incur net losses in the future. We generated net losses of $8.6 million and $39.3 million for the years ended December 31, 2023 and 2022, respectively, and $6.2 million during the three months ended March 31, 2024. In addition, as of March 31, 2024, we had an accumulated deficit of $180.0 million. We have experienced significant revenue growth in recent periods and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expend significant funds to further develop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other fee revenue. Changes in our revenue mix from quarter to quarter, including those derived from cross-border or domestic currency transactions, will impact our margins, and we may not be able to grow our gross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Due to the cross-border nature of much of our business, fluctuations in foreign currency exchange rates, slowdowns in international mobility and other regional considerations may affect our operating results. We will also face increased compliance and security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and sustain profitability, the value of our business and common stock may significantly decrease.</w:t>
      </w:r>
    </w:p>
    <w:p>
      <w:pPr>
        <w:spacing w:after="0" w:line="149" w:lineRule="exact"/>
        <w:rPr>
          <w:sz w:val="20"/>
          <w:szCs w:val="20"/>
          <w:color w:val="auto"/>
        </w:rPr>
      </w:pPr>
    </w:p>
    <w:p>
      <w:pPr>
        <w:jc w:val="both"/>
        <w:ind w:right="300" w:firstLine="509"/>
        <w:spacing w:after="0" w:line="246" w:lineRule="auto"/>
        <w:rPr>
          <w:sz w:val="20"/>
          <w:szCs w:val="20"/>
          <w:color w:val="auto"/>
        </w:rPr>
      </w:pPr>
      <w:r>
        <w:rPr>
          <w:rFonts w:ascii="Arial" w:cs="Arial" w:eastAsia="Arial" w:hAnsi="Arial"/>
          <w:sz w:val="18"/>
          <w:szCs w:val="18"/>
          <w:color w:val="auto"/>
        </w:rPr>
        <w:t>If the assumptions we use to plan our business are incorrect or change in reaction to changes in our markets, or if we are unable to maintain consistent revenue or revenue growth, it may be difficult to achieve and maintain profitability. Our financial results from any prior quarterly or annual periods should not be relied upon as an indication of our future revenue or growth in revenue, gross profit or volume of payments processed.</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expect to continue to expend substantial management time, financial and other resources on:</w:t>
      </w:r>
    </w:p>
    <w:p>
      <w:pPr>
        <w:spacing w:after="0" w:line="184" w:lineRule="exact"/>
        <w:rPr>
          <w:sz w:val="20"/>
          <w:szCs w:val="20"/>
          <w:color w:val="auto"/>
        </w:rPr>
      </w:pPr>
    </w:p>
    <w:p>
      <w:pPr>
        <w:ind w:left="900" w:right="260" w:hanging="263"/>
        <w:spacing w:after="0" w:line="270"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sales, marketing, relationship management and client support, including an expansion of our sales organization, and new client support and payer retention initiatives;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left="900" w:right="160" w:hanging="263"/>
        <w:spacing w:after="0" w:line="270" w:lineRule="auto"/>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technology development, including investments in our technology development team and the development of new solutions and new functionality;</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expanding into more international markets;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new clients and increasing the number of our clients’ customers that use our solutions;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acquisitions or strategic investments;</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compliance and risk management; and</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general administration, including increased insurance, legal and accounting expenses associated with being a public company.</w:t>
      </w:r>
    </w:p>
    <w:p>
      <w:pPr>
        <w:spacing w:after="0" w:line="183" w:lineRule="exact"/>
        <w:rPr>
          <w:sz w:val="20"/>
          <w:szCs w:val="20"/>
          <w:color w:val="auto"/>
        </w:rPr>
      </w:pPr>
    </w:p>
    <w:p>
      <w:pPr>
        <w:ind w:right="100" w:firstLine="509"/>
        <w:spacing w:after="0" w:line="252" w:lineRule="auto"/>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operating results will be harmed, and we may not be able to achieve or maintain profitability over the long term.</w:t>
      </w:r>
    </w:p>
    <w:p>
      <w:pPr>
        <w:spacing w:after="0" w:line="146"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We have a short operating history at our current scale in a rapidly and significantly evolving industry and, as a result, our past results may not be indicative of future operating performance.</w:t>
      </w:r>
    </w:p>
    <w:p>
      <w:pPr>
        <w:spacing w:after="0" w:line="98"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have a short history operating at our current scale in a rapidly and significantly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184" w:lineRule="exact"/>
        <w:rPr>
          <w:sz w:val="20"/>
          <w:szCs w:val="20"/>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cost-effectively acquire new clients and retain existing clients;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maintain and increase our market share;</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avoid pricing pressure on our solutions which would compress our margins;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market our solutions;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enhance our existing solutions and develop new solutions;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increase awareness of our brand and maintain our reputation;</w:t>
      </w:r>
    </w:p>
    <w:p>
      <w:pPr>
        <w:spacing w:after="0" w:line="196" w:lineRule="exact"/>
        <w:rPr>
          <w:rFonts w:ascii="Times New Roman" w:cs="Times New Roman" w:eastAsia="Times New Roman" w:hAnsi="Times New Roman"/>
          <w:sz w:val="18"/>
          <w:szCs w:val="18"/>
          <w:color w:val="auto"/>
        </w:rPr>
      </w:pPr>
    </w:p>
    <w:p>
      <w:pPr>
        <w:ind w:left="1020" w:right="80" w:hanging="504"/>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develop new technologies, adapt to technology changes and evolving industry standards and to incorporate new technologies, such as artificial intelligence, into our solutions;</w:t>
      </w:r>
    </w:p>
    <w:p>
      <w:pPr>
        <w:spacing w:after="0" w:line="113" w:lineRule="exact"/>
        <w:rPr>
          <w:rFonts w:ascii="Times New Roman" w:cs="Times New Roman" w:eastAsia="Times New Roman" w:hAnsi="Times New Roman"/>
          <w:sz w:val="18"/>
          <w:szCs w:val="18"/>
          <w:color w:val="auto"/>
        </w:rPr>
      </w:pPr>
    </w:p>
    <w:p>
      <w:pPr>
        <w:ind w:left="1020" w:right="1440" w:hanging="504"/>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offer seamless experience for our clients and their customers, including all user facing attributes ranging from the user interface to client and customer support;</w:t>
      </w:r>
    </w:p>
    <w:p>
      <w:pPr>
        <w:spacing w:after="0" w:line="11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 and respond to microeconomic and macroeconomic changes;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solutions and geographic reach, including with respect to B2B and travel payments;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decision to exit certain markets, or our inability to process payments from certain jurisdiction we had previously served;</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 and effectively respond to changing trends and the preferences of clients and their customers;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compete effectively;</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avoid interruptions in our business from information technology (IT) downtime, cybersecurity breaches, or labor stoppages;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manage our growth;</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8"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identify and manage risks, including foreign currency exchange risk;</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hire, integrate, and retain talented people at all levels of our organization;</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maintain the quality of our technology infrastructure;</w:t>
      </w:r>
    </w:p>
    <w:p>
      <w:pPr>
        <w:spacing w:after="0" w:line="183" w:lineRule="exact"/>
        <w:rPr>
          <w:rFonts w:ascii="Times New Roman" w:cs="Times New Roman" w:eastAsia="Times New Roman" w:hAnsi="Times New Roman"/>
          <w:sz w:val="18"/>
          <w:szCs w:val="18"/>
          <w:color w:val="auto"/>
        </w:rPr>
      </w:pPr>
    </w:p>
    <w:p>
      <w:pPr>
        <w:ind w:left="1020" w:right="320" w:hanging="504"/>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multiple, conflicting and changing governmental laws and regulations, including with respect to employment, tax, competition, workplace and environmental, social and governance (ESG) matters;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global pandemics, such as COVID-19, or other public health emergencies;</w:t>
      </w:r>
    </w:p>
    <w:p>
      <w:pPr>
        <w:spacing w:after="0" w:line="196" w:lineRule="exact"/>
        <w:rPr>
          <w:rFonts w:ascii="Times New Roman" w:cs="Times New Roman" w:eastAsia="Times New Roman" w:hAnsi="Times New Roman"/>
          <w:sz w:val="18"/>
          <w:szCs w:val="18"/>
          <w:color w:val="auto"/>
        </w:rPr>
      </w:pPr>
    </w:p>
    <w:p>
      <w:pPr>
        <w:ind w:left="1020" w:right="240" w:hanging="504"/>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retain our existing proprietary global network of banking and other payment partners and add new banking and other payment partners to scale our business; and</w:t>
      </w:r>
    </w:p>
    <w:p>
      <w:pPr>
        <w:spacing w:after="0" w:line="113" w:lineRule="exact"/>
        <w:rPr>
          <w:rFonts w:ascii="Times New Roman" w:cs="Times New Roman" w:eastAsia="Times New Roman" w:hAnsi="Times New Roman"/>
          <w:sz w:val="18"/>
          <w:szCs w:val="18"/>
          <w:color w:val="auto"/>
        </w:rPr>
      </w:pPr>
    </w:p>
    <w:p>
      <w:pPr>
        <w:ind w:left="1020" w:right="20" w:hanging="504"/>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retain our existing technology partners that allow us to provide alternative payment methods and add new technology partners to scale our business.</w:t>
      </w:r>
    </w:p>
    <w:p>
      <w:pPr>
        <w:spacing w:after="0" w:line="113"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as well as those described elsewhere in this section titled “Risk Factors”, our business and operating results will be adversely affected.</w:t>
      </w:r>
    </w:p>
    <w:p>
      <w:pPr>
        <w:spacing w:after="0" w:line="128"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If we are unable to retain our current clients, attract new clients and increase the number of our clients’ customers that use our solutions or sell additional functionality to our clients, our revenue growth and operating results will be adversely affected.</w:t>
      </w:r>
    </w:p>
    <w:p>
      <w:pPr>
        <w:spacing w:after="0" w:line="98"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the renewal of existing clients’ contracts and sales of additional features and solutions to existing clients. As the market for our solutions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profit, gross margins, and other operating results, and accordingly, on the trading price of our common stock.</w:t>
      </w:r>
    </w:p>
    <w:p>
      <w:pPr>
        <w:spacing w:after="0" w:line="14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the market for our solutions matures,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operating margins. In particular, it has become more common in the education sector for competitors to offer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revenue.</w:t>
      </w:r>
    </w:p>
    <w:p>
      <w:pPr>
        <w:spacing w:after="0" w:line="15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our solutions, and the pricing of additional functionality. If our efforts to sell additional functionality to our clients are not successful, our business and growth prospects would suffer.</w:t>
      </w:r>
    </w:p>
    <w:p>
      <w:pPr>
        <w:spacing w:after="0" w:line="139"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In addition, certain of our clients are subject to requirements to issue requests for proposals (RFPs) to open up competition for their ongoing business notwithstanding their satisfaction with our solutions. In order to retain their business, we may be required to accept terms or pricing conditions less favorable to us than would be the case with automatic renewal of an existing contract. Should any of our clients terminate their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relationship with us after implementation has begun, we would not only lose our time, effort and resources invested in such implementation, but we would also have lost the opportunity to leverage those resources to build a relationship with other clients over that same period of time.</w:t>
      </w:r>
    </w:p>
    <w:p>
      <w:pPr>
        <w:spacing w:after="0" w:line="146"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We may experience quarterly fluctuations in our operating results, as well as our key metrics, due to a number of factors which make our future results difficult to predict and could cause our operating results to fall below expectations or our guidance.</w:t>
      </w:r>
    </w:p>
    <w:p>
      <w:pPr>
        <w:spacing w:after="0" w:line="76"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operating results or key metrics fall below the expectations of investors or securities analysts or below any guidance we may provide to the market, the price of our common stock could decline substantially.</w:t>
      </w:r>
    </w:p>
    <w:p>
      <w:pPr>
        <w:spacing w:after="0" w:line="136" w:lineRule="exact"/>
        <w:rPr>
          <w:sz w:val="20"/>
          <w:szCs w:val="20"/>
          <w:color w:val="auto"/>
        </w:rPr>
      </w:pPr>
    </w:p>
    <w:p>
      <w:pPr>
        <w:ind w:right="100" w:firstLine="509"/>
        <w:spacing w:after="0" w:line="252" w:lineRule="auto"/>
        <w:rPr>
          <w:sz w:val="20"/>
          <w:szCs w:val="20"/>
          <w:color w:val="auto"/>
        </w:rPr>
      </w:pPr>
      <w:r>
        <w:rPr>
          <w:rFonts w:ascii="Arial" w:cs="Arial" w:eastAsia="Arial" w:hAnsi="Arial"/>
          <w:sz w:val="18"/>
          <w:szCs w:val="18"/>
          <w:color w:val="auto"/>
        </w:rPr>
        <w:t>Our operating results have varied in the past and are expected to continue to do so in the future. In addition to other risk factors listed in this section titled “Risk Factors”, factors that may affect our quarterly operating results, business and financial condition include the following:</w:t>
      </w:r>
    </w:p>
    <w:p>
      <w:pPr>
        <w:spacing w:after="0" w:line="144" w:lineRule="exact"/>
        <w:rPr>
          <w:sz w:val="20"/>
          <w:szCs w:val="20"/>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demand for our solutions and the number, volume and timing of payments processed;</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timing of tuition payments;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restrictions or related limitations on the issuances of visas;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market acceptance of our current and future solutions;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revenue mix in a particular quarter;</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mix of payment methods and currencies utilized by our clients’ customers in a particular quarter;</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 slowdown in spending on IT and software by our current and/or prospective clients;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sales cycles and performance of our direct and indirect sales force;</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budgeting and implementation cycles of our current or potential clients;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rate fluctuations;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management, performance and expansion of our domestic and international operations;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rate of renewals of contracts with our clients;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competitive dynamics of our markets;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control and predict costs, including our operating expenses;</w:t>
      </w:r>
    </w:p>
    <w:p>
      <w:pPr>
        <w:spacing w:after="0" w:line="183" w:lineRule="exact"/>
        <w:rPr>
          <w:rFonts w:ascii="Times New Roman" w:cs="Times New Roman" w:eastAsia="Times New Roman" w:hAnsi="Times New Roman"/>
          <w:sz w:val="18"/>
          <w:szCs w:val="18"/>
          <w:color w:val="auto"/>
        </w:rPr>
      </w:pPr>
    </w:p>
    <w:p>
      <w:pPr>
        <w:ind w:left="1020" w:right="840" w:hanging="504"/>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clients delaying purchasing decisions, including in anticipation of new products or product enhancements by us or our competitors;</w:t>
      </w:r>
    </w:p>
    <w:p>
      <w:pPr>
        <w:spacing w:after="0" w:line="12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seasonality of our business;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successfully manage or integrate any acquisitions, including our acquisitions of WPM, Cohort Go and StudyLink;</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or publicity surrounding any pending or threatened lawsuits;</w:t>
      </w:r>
    </w:p>
    <w:p>
      <w:pPr>
        <w:spacing w:after="0" w:line="196" w:lineRule="exact"/>
        <w:rPr>
          <w:rFonts w:ascii="Times New Roman" w:cs="Times New Roman" w:eastAsia="Times New Roman" w:hAnsi="Times New Roman"/>
          <w:sz w:val="18"/>
          <w:szCs w:val="18"/>
          <w:color w:val="auto"/>
        </w:rPr>
      </w:pPr>
    </w:p>
    <w:p>
      <w:pPr>
        <w:ind w:left="1020" w:hanging="504"/>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and political conditions in our domestic and international markets, including inflation and fluctuations in supply chains, and restrictions on cross-border travel or commerce;</w:t>
      </w:r>
    </w:p>
    <w:p>
      <w:pPr>
        <w:spacing w:after="0" w:line="11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level of scrutiny applied by regulators and investors on our ESG program;</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99" w:lineRule="exact"/>
        <w:rPr>
          <w:sz w:val="20"/>
          <w:szCs w:val="20"/>
          <w:color w:val="auto"/>
        </w:rPr>
      </w:pPr>
    </w:p>
    <w:p>
      <w:pPr>
        <w:ind w:left="1020" w:right="200" w:hanging="504"/>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events, including those resulting from climate change, international or civil conflicts and wars, or other geopolitical events;</w:t>
      </w:r>
    </w:p>
    <w:p>
      <w:pPr>
        <w:spacing w:after="0" w:line="113" w:lineRule="exact"/>
        <w:rPr>
          <w:rFonts w:ascii="Times New Roman" w:cs="Times New Roman" w:eastAsia="Times New Roman" w:hAnsi="Times New Roman"/>
          <w:sz w:val="18"/>
          <w:szCs w:val="18"/>
          <w:color w:val="auto"/>
        </w:rPr>
      </w:pPr>
    </w:p>
    <w:p>
      <w:pPr>
        <w:jc w:val="both"/>
        <w:ind w:left="1020" w:right="340" w:hanging="504"/>
        <w:spacing w:after="0" w:line="252"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expected or actual extended U.S. federal government shutdowns, partisan gridlock that results in the inability of Congress to take action or changes to government, which among other things could result in increased limitations on visa issuances and impact educational financial aid payments; and</w:t>
      </w:r>
    </w:p>
    <w:p>
      <w:pPr>
        <w:spacing w:after="0" w:line="6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global pandemics, such as COVID-19, or other public health emergencies and the responses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-205105</wp:posOffset>
            </wp:positionV>
            <wp:extent cx="3175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177"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p>
    <w:p>
      <w:pPr>
        <w:spacing w:after="0" w:line="130" w:lineRule="exact"/>
        <w:rPr>
          <w:sz w:val="20"/>
          <w:szCs w:val="20"/>
          <w:color w:val="auto"/>
        </w:rPr>
      </w:pPr>
    </w:p>
    <w:p>
      <w:pPr>
        <w:ind w:right="20" w:firstLine="509"/>
        <w:spacing w:after="0" w:line="252" w:lineRule="auto"/>
        <w:rPr>
          <w:sz w:val="20"/>
          <w:szCs w:val="20"/>
          <w:color w:val="auto"/>
        </w:rPr>
      </w:pPr>
      <w:r>
        <w:rPr>
          <w:rFonts w:ascii="Arial" w:cs="Arial" w:eastAsia="Arial" w:hAnsi="Arial"/>
          <w:sz w:val="18"/>
          <w:szCs w:val="18"/>
          <w:color w:val="auto"/>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revenue mix to vary over time, which could affect our gross profit, gross margin and results of operations.</w:t>
      </w:r>
    </w:p>
    <w:p>
      <w:pPr>
        <w:spacing w:after="0" w:line="182"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expect our revenue mix to vary over time due to a number of factors. Shifts in our business mix from quarter to quarter could produce substantial variation in revenue recognized. Further, our gross profit,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profit,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spacing w:after="0" w:line="146"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If our efforts to attract new clients and increase the number of our clients’ customers that use our solutions are unsuccessful, our revenue growth and operating results will be adversely affected.</w:t>
      </w:r>
    </w:p>
    <w:p>
      <w:pPr>
        <w:spacing w:after="0" w:line="98"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spacing w:after="0" w:line="158"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If we are unable to expand our direct and channel sales capabilities, grow our marketing reach and increase sales productivity, we may not be able to generate increased revenues.</w:t>
      </w:r>
    </w:p>
    <w:p>
      <w:pPr>
        <w:spacing w:after="0" w:line="9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productivity levels, or if our sales, channel strategy and marketing programs and advertising are not effective, we may not be able to expand our business and grow our revenue, which may harm our business, operating results and financial condition.</w:t>
      </w:r>
    </w:p>
    <w:p>
      <w:pPr>
        <w:spacing w:after="0" w:line="128" w:lineRule="exact"/>
        <w:rPr>
          <w:sz w:val="20"/>
          <w:szCs w:val="20"/>
          <w:color w:val="auto"/>
        </w:rPr>
      </w:pPr>
    </w:p>
    <w:p>
      <w:pPr>
        <w:ind w:right="1060"/>
        <w:spacing w:after="0" w:line="278" w:lineRule="auto"/>
        <w:rPr>
          <w:sz w:val="20"/>
          <w:szCs w:val="20"/>
          <w:color w:val="auto"/>
        </w:rPr>
      </w:pPr>
      <w:r>
        <w:rPr>
          <w:rFonts w:ascii="Arial" w:cs="Arial" w:eastAsia="Arial" w:hAnsi="Arial"/>
          <w:sz w:val="18"/>
          <w:szCs w:val="18"/>
          <w:b w:val="1"/>
          <w:bCs w:val="1"/>
          <w:i w:val="1"/>
          <w:iCs w:val="1"/>
          <w:color w:val="auto"/>
        </w:rPr>
        <w:t>Our business could be adversely affected if our clients or their customers are not satisfied with the timing or quality of implementation services provided by us or our partners.</w:t>
      </w:r>
    </w:p>
    <w:p>
      <w:pPr>
        <w:spacing w:after="0" w:line="9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us,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and operating results are subject to seasonality and cyclicality.</w:t>
      </w:r>
    </w:p>
    <w:p>
      <w:pPr>
        <w:spacing w:after="0" w:line="182"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Our financial and operating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spring semester, or the entire academic year, respectively. We expect this seasonality of education tuition processing to continue and expect it to impact the amount of processing fees that we earn and the level of expenses we incur to generate tuition payment volume and process the higher volume activity in a particular fiscal quarter.</w:t>
      </w:r>
    </w:p>
    <w:p>
      <w:pPr>
        <w:spacing w:after="0" w:line="141" w:lineRule="exact"/>
        <w:rPr>
          <w:sz w:val="20"/>
          <w:szCs w:val="20"/>
          <w:color w:val="auto"/>
        </w:rPr>
      </w:pPr>
    </w:p>
    <w:p>
      <w:pPr>
        <w:ind w:right="740"/>
        <w:spacing w:after="0" w:line="278" w:lineRule="auto"/>
        <w:rPr>
          <w:sz w:val="20"/>
          <w:szCs w:val="20"/>
          <w:color w:val="auto"/>
        </w:rPr>
      </w:pPr>
      <w:r>
        <w:rPr>
          <w:rFonts w:ascii="Arial" w:cs="Arial" w:eastAsia="Arial" w:hAnsi="Arial"/>
          <w:sz w:val="18"/>
          <w:szCs w:val="18"/>
          <w:b w:val="1"/>
          <w:bCs w:val="1"/>
          <w:i w:val="1"/>
          <w:iCs w:val="1"/>
          <w:color w:val="auto"/>
        </w:rPr>
        <w:t>We are exposed to fluctuations in foreign currency exchange rates that could materially and adversely affect our results of operations.</w:t>
      </w:r>
    </w:p>
    <w:p>
      <w:pPr>
        <w:spacing w:after="0" w:line="9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 revenues generated in these foreign currencies into the U.S. dollar. For example, as the U.S. Dollar weakened against several currencies, including the British Pound, relative to the same quarter in the prior year, these foreign exchange impacts increased our reported revenue in U.S. Dollars by approximately $0.2 million compared to the quarter ended March 31, 2023 on a constant currency basis. 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could result in the dollar equivalent of our expenses being higher which may not be offset by additional revenue earned in the local currency. This could have a negative impact on our reported results of operations.</w:t>
      </w:r>
    </w:p>
    <w:p>
      <w:pPr>
        <w:spacing w:after="0" w:line="153"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p>
    <w:p>
      <w:pPr>
        <w:spacing w:after="0" w:line="139"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As our international operations continue to operate and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Our use of such hedging practices may not offset any, or more than a portion, of the adverse effects of unfavorable movements in foreign exchange rates. In addition, currency fluctuations or a weakening U.S. dollar can increase the costs of our international operations, and the strengthening U.S. dollar could slow international demand as solutions priced in the U.S. dollar become more expensive.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8"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Certain of our key performance indicators are subject to inherent challenges in measurement, and real or perceived inaccuracies in such metrics may harm our reputation and negatively affect our business.</w:t>
      </w:r>
    </w:p>
    <w:p>
      <w:pPr>
        <w:spacing w:after="0" w:line="11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track certain key performance indicators, including metrics such as total payment volume, revenue less ancillary services, adjusted gross profit, adjusted gross margin and adjusted EBITDA, with internal systems and tools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clients or other stakeholders do not perceive our operating metrics to be accurate, or if we discover material inaccuracies with respect to these figures, our reputation may be significantly harmed, and our operating and financial results could be adversely affected.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in large part, on our proprietary network of global, regional and local banking partners.</w:t>
      </w:r>
    </w:p>
    <w:p>
      <w:pPr>
        <w:spacing w:after="0" w:line="169"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and maintaining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audit including adherence to AML policies and know-your customer (KYC)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p>
    <w:p>
      <w:pPr>
        <w:spacing w:after="0" w:line="159"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In addition, our existing banking partners may at any time and from time to time cease serving certain categories of payments due to perceived risk or similar reasons as well as payments originating from, or being paid to, certain high risk jurisdictions. These partners may also impose additional requirements on Flywire, or with respect to their own internal procedures, as a condition of processing such payments in partnership with us. If we cease to be able to process payments from corridors or within certain of our verticals, or we are unable to comply with new requirements or only at considerable expense, our client relationships and ability to grow our revenue could be adversely affected.</w:t>
      </w:r>
    </w:p>
    <w:p>
      <w:pPr>
        <w:spacing w:after="0" w:line="124"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Instability and volatility in the banking and financial services sectors, including bank failures, have increased and may in the future increase uncertainty in the global economy and the risk of a global recession. Volatility in the banking and financial services sectors may adversely impact our bank partnerships and could negatively impact our business. We may face difficulty establishing or maintaining banking relationships due to instability in the global banking system and increasing regulatory uncertainty and scrutiny. If these financial institutions are subject to suspension of operations, receivership, closure or similar action, or if our banking relationships become severely limited or unavailable in a certain country, there could be temporary delays in or unavailability of services in such country that are critical to our or our clients' operations. This could potentially lead to reduced use of our platform and lower payment volume which may adversely impact our business, operating results, and financial condition.</w:t>
      </w:r>
    </w:p>
    <w:p>
      <w:pPr>
        <w:spacing w:after="0" w:line="144"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in part on the success of our relationships with other (non-banking) third parties.</w:t>
      </w:r>
    </w:p>
    <w:p>
      <w:pPr>
        <w:spacing w:after="0" w:line="169" w:lineRule="exact"/>
        <w:rPr>
          <w:sz w:val="20"/>
          <w:szCs w:val="20"/>
          <w:color w:val="auto"/>
        </w:rPr>
      </w:pPr>
    </w:p>
    <w:p>
      <w:pPr>
        <w:ind w:right="620" w:firstLine="509"/>
        <w:spacing w:after="0" w:line="271" w:lineRule="auto"/>
        <w:rPr>
          <w:sz w:val="20"/>
          <w:szCs w:val="20"/>
          <w:color w:val="auto"/>
        </w:rPr>
      </w:pPr>
      <w:r>
        <w:rPr>
          <w:rFonts w:ascii="Arial" w:cs="Arial" w:eastAsia="Arial" w:hAnsi="Arial"/>
          <w:sz w:val="18"/>
          <w:szCs w:val="18"/>
          <w:color w:val="auto"/>
        </w:rPr>
        <w:t>We have established relationships with a number of other companies, including financial institutions, processors, other financial services suppliers, channel sales partners, providers of electronic health records (EHR) services,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implementation partners, technology and cloud-based hosting providers, and others. In order to grow our business, we will need to continue to establish and maintain relationships with these types of third parties, and 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our strategic relationships are successful, we cannot assure you that these relationships will result in increased client usage of our solutions or increased revenues.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operating results could be harmed.</w:t>
      </w:r>
    </w:p>
    <w:p>
      <w:pPr>
        <w:spacing w:after="0" w:line="169"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 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or common language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p>
    <w:p>
      <w:pPr>
        <w:spacing w:after="0" w:line="143" w:lineRule="exact"/>
        <w:rPr>
          <w:sz w:val="20"/>
          <w:szCs w:val="20"/>
          <w:color w:val="auto"/>
        </w:rPr>
      </w:pPr>
    </w:p>
    <w:p>
      <w:pPr>
        <w:jc w:val="both"/>
        <w:ind w:right="180" w:firstLine="509"/>
        <w:spacing w:after="0" w:line="252" w:lineRule="auto"/>
        <w:rPr>
          <w:sz w:val="20"/>
          <w:szCs w:val="20"/>
          <w:color w:val="auto"/>
        </w:rPr>
      </w:pPr>
      <w:r>
        <w:rPr>
          <w:rFonts w:ascii="Arial" w:cs="Arial" w:eastAsia="Arial" w:hAnsi="Arial"/>
          <w:sz w:val="18"/>
          <w:szCs w:val="18"/>
          <w:color w:val="auto"/>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p>
    <w:p>
      <w:pPr>
        <w:spacing w:after="0" w:line="14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Our estimates of market opportunity and our ability to capture a meaningful share of this payment volume may prove to be inaccurate, and even if the market in which we compete achieves the forecasted growth, our business could fail to grow at similar rates, if at all.</w:t>
      </w:r>
    </w:p>
    <w:p>
      <w:pPr>
        <w:spacing w:after="0" w:line="118"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Our market opportunity estimates,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estimates and growth forecasted, our business could fail to grow at similar rates, if at all. Our growth is subject to many factors, including our success in implementing our business strategy, which is subject to many risks and uncertainties.</w:t>
      </w:r>
    </w:p>
    <w:p>
      <w:pPr>
        <w:spacing w:after="0" w:line="146"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Our clients in the education sector may be adversely affected by decreases in enrollment, pressure on tuition costs, or increased operating expenses, which may reduce demand for our solutions.</w:t>
      </w:r>
    </w:p>
    <w:p>
      <w:pPr>
        <w:spacing w:after="0" w:line="112"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p>
    <w:p>
      <w:pPr>
        <w:spacing w:after="0" w:line="130" w:lineRule="exact"/>
        <w:rPr>
          <w:sz w:val="20"/>
          <w:szCs w:val="20"/>
          <w:color w:val="auto"/>
        </w:rPr>
      </w:pPr>
    </w:p>
    <w:p>
      <w:pPr>
        <w:ind w:left="900" w:right="80" w:hanging="263"/>
        <w:spacing w:after="0" w:line="246" w:lineRule="auto"/>
        <w:tabs>
          <w:tab w:leader="none" w:pos="9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Reduced enrollment in higher education due to lack of funding, increases to cost of attendance or other inflationary pressure. Some institutes of higher education may close or merge with other colleges and universities. Significant reductions in student funding, through grants or loans, may reduce enrollments and decrease the payment volume we process. Potential students may also be deterred by increases in the cost of attendance.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left="900" w:right="360" w:hanging="263"/>
        <w:spacing w:after="0" w:line="270" w:lineRule="auto"/>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supported institutions may experience losses or reduction in public funding. Many of our clients rely considerably upon public funding or support, which may not always be available due to budget constraints.</w:t>
      </w:r>
    </w:p>
    <w:p>
      <w:pPr>
        <w:spacing w:after="0" w:line="126" w:lineRule="exact"/>
        <w:rPr>
          <w:rFonts w:ascii="Times New Roman" w:cs="Times New Roman" w:eastAsia="Times New Roman" w:hAnsi="Times New Roman"/>
          <w:sz w:val="18"/>
          <w:szCs w:val="18"/>
          <w:color w:val="auto"/>
        </w:rPr>
      </w:pPr>
    </w:p>
    <w:p>
      <w:pPr>
        <w:ind w:left="900" w:right="160" w:hanging="263"/>
        <w:spacing w:after="0" w:line="252" w:lineRule="auto"/>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Changing perceptions about in-person classes. Students may reject the opportunity to attend courses in person, when online or virtual classes are offered as an option, due to growing familiarity and perceived convenience of remote learning or a lower price point for online classes.</w:t>
      </w:r>
    </w:p>
    <w:p>
      <w:pPr>
        <w:spacing w:after="0" w:line="129" w:lineRule="exact"/>
        <w:rPr>
          <w:rFonts w:ascii="Times New Roman" w:cs="Times New Roman" w:eastAsia="Times New Roman" w:hAnsi="Times New Roman"/>
          <w:sz w:val="18"/>
          <w:szCs w:val="18"/>
          <w:color w:val="auto"/>
        </w:rPr>
      </w:pPr>
    </w:p>
    <w:p>
      <w:pPr>
        <w:ind w:left="900" w:right="160" w:hanging="263"/>
        <w:spacing w:after="0" w:line="270" w:lineRule="auto"/>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clients’ rankings, reputation and marketing efforts strongly affect enrollments, none of which we control. If we fail to maintain or add clients with strong, stable reputations and rankings, they will fail to achieve consistent enrollments.</w:t>
      </w:r>
    </w:p>
    <w:p>
      <w:pPr>
        <w:spacing w:after="0" w:line="113" w:lineRule="exact"/>
        <w:rPr>
          <w:rFonts w:ascii="Times New Roman" w:cs="Times New Roman" w:eastAsia="Times New Roman" w:hAnsi="Times New Roman"/>
          <w:sz w:val="18"/>
          <w:szCs w:val="18"/>
          <w:color w:val="auto"/>
        </w:rPr>
      </w:pPr>
    </w:p>
    <w:p>
      <w:pPr>
        <w:ind w:left="900" w:right="80" w:hanging="263"/>
        <w:spacing w:after="0" w:line="252" w:lineRule="auto"/>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Declines in international student enrollment. Global conflict and restrictions on immigration or increased limitation on the award of student visas (such as those recently announced in Canada and Australia) can negatively impact the cross-border education industry and schools that rely on foreign student populations, will be negatively affected or may cease operations.</w:t>
      </w:r>
    </w:p>
    <w:p>
      <w:pPr>
        <w:spacing w:after="0" w:line="142" w:lineRule="exact"/>
        <w:rPr>
          <w:rFonts w:ascii="Times New Roman" w:cs="Times New Roman" w:eastAsia="Times New Roman" w:hAnsi="Times New Roman"/>
          <w:sz w:val="18"/>
          <w:szCs w:val="18"/>
          <w:color w:val="auto"/>
        </w:rPr>
      </w:pPr>
    </w:p>
    <w:p>
      <w:pPr>
        <w:jc w:val="both"/>
        <w:ind w:left="900" w:right="560" w:hanging="263"/>
        <w:spacing w:after="0" w:line="252" w:lineRule="auto"/>
        <w:tabs>
          <w:tab w:leader="none" w:pos="9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Any contraction in the economy could be expected to reduce enrollment in higher education, whether by reducing funding, reducing corporate allowances for continuing education, general reductions in employment or savings or other factors.</w:t>
      </w:r>
    </w:p>
    <w:p>
      <w:pPr>
        <w:spacing w:after="0" w:line="12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International cross-border transaction revenue represents a significant part of our revenue; international regulations and restrictions that inhibit cross-border travel and relocation of international students, as well as ongoing political friction between China and the U.S. that have slowed the growth of Chinese students studying in the U.S. and may have resulted in changes in Chinese student education destinations, have had and may continue to have an impact on our revenue growth. More recently, the Canadian government announced it will set a cap on international student permit applications for the years 2024 and 2025, motivated in part by housing shortages. Australia has also recently delayed the processing of international student visas. This could adversely impact our business, operating results, and financial condition.</w:t>
      </w:r>
    </w:p>
    <w:p>
      <w:pPr>
        <w:spacing w:after="0" w:line="142"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would have an adverse effect on our business, operating results and financial condition.</w:t>
      </w:r>
    </w:p>
    <w:p>
      <w:pPr>
        <w:spacing w:after="0" w:line="151"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b w:val="1"/>
          <w:bCs w:val="1"/>
          <w:i w:val="1"/>
          <w:iCs w:val="1"/>
          <w:color w:val="auto"/>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p>
    <w:p>
      <w:pPr>
        <w:spacing w:after="0" w:line="11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 evolving nature of the healthcare and technology industries and the substantial resources 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p>
    <w:p>
      <w:pPr>
        <w:spacing w:after="0" w:line="14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 In addition, the decisions we make on allocation of engineering resources, reliance on, integration with or discontinuance of, legacy systems or those acquired in acquisition, or the pace at which we remain technologically current within our internal systems and customer payment platforms, may negatively affect the morale of our engineering teams and the payment experiences our clients wish to feature to their customers. We may lose engineering talent or healthcare clients as a result, which could have a material adverse effect on our business and results of operations.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Our success depends on providing high-quality payment solutions that healthcare clients use to improve their financial and operational performance, allowing them to collect payments and enhance their revenue lifecycle management objectives.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p>
    <w:p>
      <w:pPr>
        <w:spacing w:after="0" w:line="15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 customers in the healthcare industry may have an adverse effect on our business, operating results and financial condition.</w:t>
      </w:r>
    </w:p>
    <w:p>
      <w:pPr>
        <w:spacing w:after="0" w:line="144" w:lineRule="exact"/>
        <w:rPr>
          <w:sz w:val="20"/>
          <w:szCs w:val="20"/>
          <w:color w:val="auto"/>
        </w:rPr>
      </w:pPr>
    </w:p>
    <w:p>
      <w:pPr>
        <w:ind w:right="420" w:firstLine="509"/>
        <w:spacing w:after="0" w:line="252" w:lineRule="auto"/>
        <w:rPr>
          <w:sz w:val="20"/>
          <w:szCs w:val="20"/>
          <w:color w:val="auto"/>
        </w:rPr>
      </w:pPr>
      <w:r>
        <w:rPr>
          <w:rFonts w:ascii="Arial" w:cs="Arial" w:eastAsia="Arial" w:hAnsi="Arial"/>
          <w:sz w:val="18"/>
          <w:szCs w:val="18"/>
          <w:color w:val="auto"/>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p>
    <w:p>
      <w:pPr>
        <w:spacing w:after="0" w:line="13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Finally, our competitors, including major EHR providers,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EHR space and business focused on revenue lifecycle management are critical to leverage if we are to add to our healthcare customer portfolio. However, intense competition and rising costs experienced by certain major EHR providers has resulted, in certain cases, in increased financial strain on these businesses, and in at least one notable instance, an action to seek bankruptcy protection. To the extent we have outstanding amounts owed to us by companies that seek bankruptcy protection or cease operations, it may become difficult for us to be paid in full in a timely manner, if at all. Many of these companies may offer products and services similar to ours and may have greater name recognition, longer operating histories, stronger and more dependent client relationships, larger marketing budgets, and greater resources than us. If successful, their development efforts could render our solutions less desirable, resulting in the loss of our existing clients or a reduction in the fees we generate from our solutions.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serving clients in the travel sector may be sensitive to events affecting the travel industry in general.</w:t>
      </w:r>
    </w:p>
    <w:p>
      <w:pPr>
        <w:spacing w:after="0" w:line="16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Events like regional or larger scale conflicts, war or other military conflict, including the conflicts between Russia and Ukraine, and Israel and Hamas, terrorist attacks, mass shooting incidents, natural disasters, such as hurricanes, earthquakes, fires, droughts, floods and volcanic activity, including events resulting from climate change, and travel-related health events, such as the COVID-19 pandemic, have had a negative impact on the travel industry and affect travelers’ behavior by limiting their ability or willingness to visit certain locations. In addition, the travel industry can be negatively impacted by adverse economic conditions in the United States and globally, including economic slowdown and inflation. We are not in a position to evaluate the net effect of these circumstances on our business as these events are largely unpredictable; however, we believe there has been negative impact to our business due to such events. Furthermore, in the longer term, our business might be negatively affected by financial pressures on or changes to the travel industry. For example, certain jurisdictions, particularly in Europe, have implemented or are considering implementing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The United States has implemented or proposed, or is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considering, various travel restrictions and actions that could affect U.S. trade policy or practices, which could also adversely affect travel to or from the United States. If such events result in a long-term negative impact on the travel industry, such impact could have a material adverse effect on our business. The payment volume from our travel vertical represents less than 10% of our total payment volume. Because we seek to grow the payment volume and the revenue from this vertical in the future, failure to grow our payment volume and resulting revenue from this industry, may have an adverse effect on our business, operating results and financial condition.</w:t>
      </w:r>
    </w:p>
    <w:p>
      <w:pPr>
        <w:spacing w:after="0" w:line="15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With respect to the COVID-19 pandemic specifically, our 2020 financial results related to serving our existing travel clients and growing our client base in the travel sector were negatively impacted. During the years ended December 31, 2021, 2022 and 2023, we witnessed recoveries in our financial results and growth in revenue and payment volumes in our travel payment vertical. While improvements have been noted, sustaining this trend will in part be dependent on future developments that cannot be accurately predicted at this time, including, but not limited to, the emergence of variants and sub-variants, international regulations and restrictions that inhibit cross-border travel, global availability of vaccines and administration of vaccination, the rate of “herd immunity”, and the impact of these and other factors on travel behavior.</w:t>
      </w:r>
    </w:p>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If we are unable to enter or expand new client verticals or sub-verticals, including our relatively new B2B payment vertical, or if our solutions for any new vertical fail to achieve market acceptance, our operating results could be adversely affected and we may be required to reconsider our growth strategy.</w:t>
      </w:r>
    </w:p>
    <w:p>
      <w:pPr>
        <w:spacing w:after="0" w:line="11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growth strategy is influenced, in part, on our ability to expand into new client verticals and sub-verticals, including our relatively new B2B payment vertical. The B2B payment vertical represents a relatively new market for us, and we have limited prior experience with the key enterprise resource planning (ERP) platforms that are critical to the B2B payment vertical. Accordingly, our lack of experience in the B2B payment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Banking and other payment services partners may be more reluctant to support B2B payment flows, and countries with currency controls are less likely to permit payments of a B2B nature. The payment volume and resulting revenue from our B2B payment vertical represents, and is expected for the foreseeable future to represent, less than 10% 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p>
    <w:p>
      <w:pPr>
        <w:spacing w:after="0" w:line="156" w:lineRule="exact"/>
        <w:rPr>
          <w:sz w:val="20"/>
          <w:szCs w:val="20"/>
          <w:color w:val="auto"/>
        </w:rPr>
      </w:pPr>
    </w:p>
    <w:p>
      <w:pPr>
        <w:ind w:right="100" w:firstLine="509"/>
        <w:spacing w:after="0" w:line="252" w:lineRule="auto"/>
        <w:rPr>
          <w:sz w:val="20"/>
          <w:szCs w:val="20"/>
          <w:color w:val="auto"/>
        </w:rPr>
      </w:pPr>
      <w:r>
        <w:rPr>
          <w:rFonts w:ascii="Arial" w:cs="Arial" w:eastAsia="Arial" w:hAnsi="Arial"/>
          <w:sz w:val="18"/>
          <w:szCs w:val="18"/>
          <w:color w:val="auto"/>
        </w:rPr>
        <w:t>We may be unable to identify new verticals or sub-verticals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p>
    <w:p>
      <w:pPr>
        <w:spacing w:after="0" w:line="13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Even if we choose to enter new verticals or sub-verticals,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 acquisition, we may invest significant resources to develop and expand the functionality of our solutions to meet the needs of customers in those verticals, which investments will occur in advance of our realization of revenue from them.</w:t>
      </w:r>
    </w:p>
    <w:p>
      <w:pPr>
        <w:spacing w:after="0" w:line="146"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Consolidation in the payment processing or enablement industry could have a material adverse effect on our business, financial condition and results of operations.</w:t>
      </w:r>
    </w:p>
    <w:p>
      <w:pPr>
        <w:spacing w:after="0" w:line="112"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potential results of consolidation could have a material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global economic and political instability.</w:t>
      </w:r>
    </w:p>
    <w:p>
      <w:pPr>
        <w:spacing w:after="0" w:line="169"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As we seek to continue to operate and expand our business, our overall performance will depend in part on worldwide economic and geopolitical conditions. Economies domestically and internationally have been affected from time to time by falling demand for a variety of goods and services, restricted credit, poor liquidity, reduced corporate profitability, employment pressures in services sectors, volatility in the banking ecosystem or credit, equity and foreign exchange markets, bankruptcies, as well as war, terrorist activity, political or social unrest, civil strife and other geopolitical uncertainty, including the effects of ongoing United States-China and Canada-India diplomatic and trade friction, and the resulting impact on business continuity and travel, supply chain disruptions, inflation, security issues, and overall uncertainty with respect to the economy, including with respect to tariff and trade issues. To the extent that inflationary pressures and other global factors lead to an economic recession, demand for our solutions, our business and financial condition could be negatively impacted. In addition, from time to time we have reduced expenses and needed to restructure or reorganize certain portions of our operations in order to align our business with market conditions and our strategies, any of which can result in near term expense and harm to our growth prospects.</w:t>
      </w:r>
    </w:p>
    <w:p>
      <w:pPr>
        <w:spacing w:after="0" w:line="129"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For example, on February 24, 2022, Russian military forces invaded Ukraine, and continued conflict and disruption in the region is likely, and on October 7, 2023, Hamas terrorists infiltrated Israel’s southern border from the Gaza Strip and conducted a series of attacks on civilian and military targets. Hamas also launched extensive rocket attacks on the Israeli population and industrial centers located along Israel’s border with the Gaza Strip and in other areas within the State of Israel. On October 8, 2023, Israel formally declared war on Hamas, and thereafter commenced military operations against Hamas in Gaza and the armed conflict is ongoing as of the date of this filing, with Israel and Iran recently exchanging missile attacks. Although the length, impact and outcome of the ongoing conflicts in Ukraine and Israel are highly unpredictable, these conflicts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an increase in cyberattacks and espionage.</w:t>
      </w:r>
    </w:p>
    <w:p>
      <w:pPr>
        <w:spacing w:after="0" w:line="15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are actively monitoring the situations in Ukraine and Israel and assessing any potential impact on our business, but to date have not experienced any material impact. We have no way to predict the progress or outcome of the conflicts in Ukraine and Israel as the conflicts, and any resulting government reactions, continue to develop beyond our control and can quickly change. The extent and duration of the military action, sanctions and resulting market disruptions could be significant and could potentially have a substantial impact on the global economy and our business for an unknown period of time. As the adverse effects of these conflicts continue to develop and potentially spread, both in Europe, the Middle East and through the rest of the world, our customers, and customer behavior, may be negatively impacted, which could negatively affect sales and sales cycles and overall demand for our solutions. Further or prolonged impacts on the global economy could also cause businesses to curtail business expenses, which could hinder our ability to attract new clients or result in a decrease in payment volume. It is not possible to predict the ultimate broader consequences of these conflicts and any of the abovementioned factors could have a material adverse effect on our business, financial condition and results of operations, particularly to the extent the conflict escalates to involve additional countries, further economic sanctions and wider military conflicts. Any such disruptions could also magnify the impact of other risks described in this Quarterly Report on Form 10-Q.</w:t>
      </w:r>
    </w:p>
    <w:p>
      <w:pPr>
        <w:spacing w:after="0" w:line="139"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In addition, political instability or adverse political developments and new or continued economic deterioration in any of the countries in which we operate could harm our business, results of operations and financial condition.</w:t>
      </w:r>
    </w:p>
    <w:p>
      <w:pPr>
        <w:spacing w:after="0" w:line="11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Inflation and interest rate increases have and may in the future result in decreased demand for our solutions, increases in our operating costs including our labor costs, constrained credit and liquidity, and volatility in financial markets and the banking ecosystem. During 2023, the United States Federal Reserve raised, and may in the future raise, interest rates in response to concerns over inflation risk. There continues to be uncertainty in the changing market and economic conditions, including the possibility of additional measures that could be taken by the Federal Reserve and other government agencies, related to concerns over inflation risk. A sharp rise in interest rates could have an adverse impact on the fair market value of securities we may invest in as part of our portfolio investments, which could adversely affect our financial results. In addition, 2024 is a presidential election year in the U.S., and political conditions may contribute to economic uncertainty or volatility, irrespective of electoral outcomes, which could adversely affect our business, results of operations and financial condition.</w:t>
      </w:r>
    </w:p>
    <w:p>
      <w:pPr>
        <w:spacing w:after="0" w:line="156"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b w:val="1"/>
          <w:bCs w:val="1"/>
          <w:i w:val="1"/>
          <w:iCs w:val="1"/>
          <w:color w:val="auto"/>
        </w:rPr>
        <w:t>We have an office in Tel Aviv, Israel. Conditions in Israel, including the recent attack by Hamas and other terrorist organizations from the Gaza Strip and Israel’s war against them, may affect our operations.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jc w:val="both"/>
        <w:ind w:right="80" w:firstLine="509"/>
        <w:spacing w:after="0" w:line="246" w:lineRule="auto"/>
        <w:rPr>
          <w:sz w:val="20"/>
          <w:szCs w:val="20"/>
          <w:color w:val="auto"/>
        </w:rPr>
      </w:pPr>
      <w:r>
        <w:rPr>
          <w:rFonts w:ascii="Arial" w:cs="Arial" w:eastAsia="Arial" w:hAnsi="Arial"/>
          <w:sz w:val="18"/>
          <w:szCs w:val="18"/>
          <w:color w:val="auto"/>
        </w:rPr>
        <w:t>Because we have an office in Tel Aviv, Israel, our business and operations are directly affected by economic, political, geopolitical and military conditions in Israel. Since the establishment of the State of Israel in 1948, a number of armed conflicts have occurred between Israel and its neighboring countries and terrorist organizations active in the region. These conflicts have involved missile strikes, hostile infiltrations and terrorism against civilian targets in various parts of Israel, which have negatively affected business conditions in Israel.</w:t>
      </w:r>
    </w:p>
    <w:p>
      <w:pPr>
        <w:spacing w:after="0" w:line="149"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On October 7,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On October 8, 2023, Israel formally declared war on Hamas, and thereafter commenced military operations against Hamas in Gaza and the armed conflict is ongoing as of the date of this filing, and has resulted in extensive deaths, injuries and kidnapping of civilians and soldiers. Moreover, the clash between Israel and Hezbollah in Lebanon, and the drone attacks by Iran on Israel and Israel’s military response, may escalate in the future into a greater regional conflict.</w:t>
      </w:r>
    </w:p>
    <w:p>
      <w:pPr>
        <w:spacing w:after="0" w:line="142"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Although we currently do not expect the ongoing conflict to materially affect our business, financial condition and results of operations, there can be no assurances that further unforeseen events will not have a material adverse effect on our business, financial condition and results of operations in the future.</w:t>
      </w:r>
    </w:p>
    <w:p>
      <w:pPr>
        <w:spacing w:after="0" w:line="130"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The Israel Defense Force (IDF), the national military of Israel, is a conscripted military service, subject to certain exceptions. Since October 7, 2023, the IDF has called up more than 350,000 of its reserve forces to serve. It is possible that there will be further military reserve duty call-ups in the future, which may affect our business due to a shortage of skilled labor and loss of institutional knowledge, and necessary mitigation measures we may take to respond to a decrease in labor availability, such as overtime and third-party outsourcing, for example, may have unintended negative effects and adversely impact our business, financial condition and results of operations.</w:t>
      </w:r>
    </w:p>
    <w:p>
      <w:pPr>
        <w:spacing w:after="0" w:line="152"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Shelter-in-place and work-from-home measures, government-imposed restrictions on movement and travel and other precautions taken to address the ongoing conflict may temporarily disrupt our employees’ ability to effectively perform their daily tasks.</w:t>
      </w:r>
    </w:p>
    <w:p>
      <w:pPr>
        <w:spacing w:after="0" w:line="112" w:lineRule="exact"/>
        <w:rPr>
          <w:sz w:val="20"/>
          <w:szCs w:val="20"/>
          <w:color w:val="auto"/>
        </w:rPr>
      </w:pPr>
    </w:p>
    <w:p>
      <w:pPr>
        <w:ind w:right="400" w:firstLine="509"/>
        <w:spacing w:after="0" w:line="252" w:lineRule="auto"/>
        <w:rPr>
          <w:sz w:val="20"/>
          <w:szCs w:val="20"/>
          <w:color w:val="auto"/>
        </w:rPr>
      </w:pPr>
      <w:r>
        <w:rPr>
          <w:rFonts w:ascii="Arial" w:cs="Arial" w:eastAsia="Arial" w:hAnsi="Arial"/>
          <w:sz w:val="18"/>
          <w:szCs w:val="18"/>
          <w:color w:val="auto"/>
        </w:rPr>
        <w:t>It is currently not possible to predict the duration or severity of the ongoing conflict or its effects on our business, operations and financial conditions. The ongoing conflict is rapidly evolving and developing, and could disrupt our business and operations, interrupt our sources and availability of supply and hamper our ability to raise additional funds or sell our securities, among others.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86" w:lineRule="exact"/>
        <w:rPr>
          <w:sz w:val="20"/>
          <w:szCs w:val="20"/>
          <w:color w:val="auto"/>
        </w:rPr>
      </w:pPr>
    </w:p>
    <w:p>
      <w:pPr>
        <w:ind w:right="900"/>
        <w:spacing w:after="0" w:line="278"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growing client base, and if we are not able to grow efficiently, our operating results could be harmed.</w:t>
      </w:r>
    </w:p>
    <w:p>
      <w:pPr>
        <w:spacing w:after="0" w:line="98"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As usage of our solutions grows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multilingual support to clients’ customers and risk and compliance operations, to serve our growing client base.</w:t>
      </w:r>
    </w:p>
    <w:p>
      <w:pPr>
        <w:spacing w:after="0" w:line="13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8"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enable the transfer of large sums of funds to our clients daily, and are subject to the risk of errors, which could result in financial losses, damage to our reputation, or loss of trust in our brand, which would harm our business and financial results.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 ended December 31, 2023, we processed over $24.0 billion in payments on our solutions, compared to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$18.1 billion for the year ended December 31, 2022. For the three months ended March 31, 2024, we processed approximately $7.0 billion in</w:t>
      </w:r>
    </w:p>
    <w:p>
      <w:pPr>
        <w:spacing w:after="0" w:line="234" w:lineRule="auto"/>
        <w:rPr>
          <w:sz w:val="20"/>
          <w:szCs w:val="20"/>
          <w:color w:val="auto"/>
        </w:rPr>
      </w:pPr>
      <w:r>
        <w:rPr>
          <w:rFonts w:ascii="Arial" w:cs="Arial" w:eastAsia="Arial" w:hAnsi="Arial"/>
          <w:sz w:val="18"/>
          <w:szCs w:val="18"/>
          <w:color w:val="auto"/>
        </w:rPr>
        <w:t>payments on our solutions. We have grown rapidly and seek to continue to grow, and our business is subject to the risk of financial losses as</w:t>
      </w:r>
    </w:p>
    <w:p>
      <w:pPr>
        <w:spacing w:after="0" w:line="235" w:lineRule="auto"/>
        <w:rPr>
          <w:sz w:val="20"/>
          <w:szCs w:val="20"/>
          <w:color w:val="auto"/>
        </w:rPr>
      </w:pPr>
      <w:r>
        <w:rPr>
          <w:rFonts w:ascii="Arial" w:cs="Arial" w:eastAsia="Arial" w:hAnsi="Arial"/>
          <w:sz w:val="18"/>
          <w:szCs w:val="18"/>
          <w:color w:val="auto"/>
        </w:rPr>
        <w:t>a result of chargebacks for client-related losses, credit losses, operational errors, software defects, service disruption, employee misconduct,</w:t>
      </w:r>
    </w:p>
    <w:p>
      <w:pPr>
        <w:spacing w:after="0" w:line="234" w:lineRule="auto"/>
        <w:rPr>
          <w:sz w:val="20"/>
          <w:szCs w:val="20"/>
          <w:color w:val="auto"/>
        </w:rPr>
      </w:pPr>
      <w:r>
        <w:rPr>
          <w:rFonts w:ascii="Arial" w:cs="Arial" w:eastAsia="Arial" w:hAnsi="Arial"/>
          <w:sz w:val="18"/>
          <w:szCs w:val="18"/>
          <w:color w:val="auto"/>
        </w:rPr>
        <w:t>security breaches, or other similar actions or errors in our solutions. As a provider of accounts receivable and other payment solutions, we</w:t>
      </w:r>
    </w:p>
    <w:p>
      <w:pPr>
        <w:spacing w:after="0" w:line="235" w:lineRule="auto"/>
        <w:rPr>
          <w:sz w:val="20"/>
          <w:szCs w:val="20"/>
          <w:color w:val="auto"/>
        </w:rPr>
      </w:pPr>
      <w:r>
        <w:rPr>
          <w:rFonts w:ascii="Arial" w:cs="Arial" w:eastAsia="Arial" w:hAnsi="Arial"/>
          <w:sz w:val="18"/>
          <w:szCs w:val="18"/>
          <w:color w:val="auto"/>
        </w:rPr>
        <w:t>enable the transfer of funds to our clients from their customers. Software errors in our solutions, including as a result of ordinary course</w:t>
      </w:r>
    </w:p>
    <w:p>
      <w:pPr>
        <w:spacing w:after="0" w:line="234" w:lineRule="auto"/>
        <w:rPr>
          <w:sz w:val="20"/>
          <w:szCs w:val="20"/>
          <w:color w:val="auto"/>
        </w:rPr>
      </w:pPr>
      <w:r>
        <w:rPr>
          <w:rFonts w:ascii="Arial" w:cs="Arial" w:eastAsia="Arial" w:hAnsi="Arial"/>
          <w:sz w:val="18"/>
          <w:szCs w:val="18"/>
          <w:color w:val="auto"/>
        </w:rPr>
        <w:t>updates to our software and systems, and operational errors by our FlyMates and business partners may also expose us to losses. In our</w:t>
      </w:r>
    </w:p>
    <w:p>
      <w:pPr>
        <w:spacing w:after="0" w:line="235" w:lineRule="auto"/>
        <w:rPr>
          <w:sz w:val="20"/>
          <w:szCs w:val="20"/>
          <w:color w:val="auto"/>
        </w:rPr>
      </w:pPr>
      <w:r>
        <w:rPr>
          <w:rFonts w:ascii="Arial" w:cs="Arial" w:eastAsia="Arial" w:hAnsi="Arial"/>
          <w:sz w:val="18"/>
          <w:szCs w:val="18"/>
          <w:color w:val="auto"/>
        </w:rPr>
        <w:t>business model, subject to certain exceptions, we function as a merchant of record in connection with the receipt of payments by our clients’</w:t>
      </w:r>
    </w:p>
    <w:p>
      <w:pPr>
        <w:spacing w:after="0" w:line="234" w:lineRule="auto"/>
        <w:rPr>
          <w:sz w:val="20"/>
          <w:szCs w:val="20"/>
          <w:color w:val="auto"/>
        </w:rPr>
      </w:pPr>
      <w:r>
        <w:rPr>
          <w:rFonts w:ascii="Arial" w:cs="Arial" w:eastAsia="Arial" w:hAnsi="Arial"/>
          <w:sz w:val="18"/>
          <w:szCs w:val="18"/>
          <w:color w:val="auto"/>
        </w:rPr>
        <w:t>customers, which subjects us to chargeback risk in the event a client’s customer cancels or otherwise does not receive the services for which</w:t>
      </w:r>
    </w:p>
    <w:p>
      <w:pPr>
        <w:spacing w:after="0" w:line="235" w:lineRule="auto"/>
        <w:rPr>
          <w:sz w:val="20"/>
          <w:szCs w:val="20"/>
          <w:color w:val="auto"/>
        </w:rPr>
      </w:pPr>
      <w:r>
        <w:rPr>
          <w:rFonts w:ascii="Arial" w:cs="Arial" w:eastAsia="Arial" w:hAnsi="Arial"/>
          <w:sz w:val="18"/>
          <w:szCs w:val="18"/>
          <w:color w:val="auto"/>
        </w:rPr>
        <w:t>such customer paid. Although our client contracts allow us to pass such chargeback risk to our client, if a client has gone out of business, we</w:t>
      </w:r>
    </w:p>
    <w:p>
      <w:pPr>
        <w:spacing w:after="0"/>
        <w:rPr>
          <w:sz w:val="20"/>
          <w:szCs w:val="20"/>
          <w:color w:val="auto"/>
        </w:rPr>
      </w:pPr>
      <w:r>
        <w:rPr>
          <w:rFonts w:ascii="Arial" w:cs="Arial" w:eastAsia="Arial" w:hAnsi="Arial"/>
          <w:sz w:val="18"/>
          <w:szCs w:val="18"/>
          <w:color w:val="auto"/>
        </w:rPr>
        <w:t>are unable to collect on the chargeback and will bear the economic loss, which can negatively impact our business.</w:t>
      </w:r>
    </w:p>
    <w:p>
      <w:pPr>
        <w:spacing w:after="0" w:line="153" w:lineRule="exact"/>
        <w:rPr>
          <w:sz w:val="20"/>
          <w:szCs w:val="20"/>
          <w:color w:val="auto"/>
        </w:rPr>
      </w:pPr>
    </w:p>
    <w:p>
      <w:pPr>
        <w:jc w:val="both"/>
        <w:ind w:right="620" w:firstLine="509"/>
        <w:spacing w:after="0" w:line="246" w:lineRule="auto"/>
        <w:rPr>
          <w:sz w:val="20"/>
          <w:szCs w:val="20"/>
          <w:color w:val="auto"/>
        </w:rPr>
      </w:pPr>
      <w:r>
        <w:rPr>
          <w:rFonts w:ascii="Arial" w:cs="Arial" w:eastAsia="Arial" w:hAnsi="Arial"/>
          <w:sz w:val="18"/>
          <w:szCs w:val="18"/>
          <w:color w:val="auto"/>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p>
    <w:p>
      <w:pPr>
        <w:spacing w:after="0" w:line="136" w:lineRule="exact"/>
        <w:rPr>
          <w:sz w:val="20"/>
          <w:szCs w:val="20"/>
          <w:color w:val="auto"/>
        </w:rPr>
      </w:pPr>
    </w:p>
    <w:p>
      <w:pPr>
        <w:ind w:left="900" w:hanging="263"/>
        <w:spacing w:after="0"/>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loss of clients or a reduction in use of our solutions by our clients’ customers;</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lost or delayed market acceptance and acquisition of new clients;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legal claims against us;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enforcement action; or</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diversion of our resources, including through increased service expenses or financial concessions, and increased insurance costs.</w:t>
      </w:r>
    </w:p>
    <w:p>
      <w:pPr>
        <w:spacing w:after="0" w:line="195"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p>
    <w:p>
      <w:pPr>
        <w:spacing w:after="0" w:line="132"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Our management of our operating funds and client funds may be reliant on a limited number of our banking partners and other financial institutions.</w:t>
      </w:r>
    </w:p>
    <w:p>
      <w:pPr>
        <w:spacing w:after="0" w:line="112"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As to certain verticals that we may choose to serve, as well as in selected geographical locations, our network of banking and other financial institution partners may be limited. As a result, although we seek to distribute financial and credit risk among multiple financial institutions, from time to time there may be a concentration of operating funds or client fund flows among a more limited number of financial institution partners. These partners are generally heavily regulated by national and local governments, and in some locations may be involved in a multitude of related businesses or part of larger, higher-profile financial conglomerates. These partners and suppliers are often subject to strict regulatory requirements and enforcement actions or may experience failures to satisfy capital adequacy conditions that result in a suspension of operations, seizure of assets or closure, which could materially impact the safeguarding of our operating funds or client funds. If we are not able to access our own funds or if client funds were in any way impacted, we could be adversely impacted, including by experiencing reputational damage and claims for restitution, potentially interfering with our existing client relationships or making us less attractive to potential new clients.</w:t>
      </w:r>
    </w:p>
    <w:p>
      <w:pPr>
        <w:spacing w:after="0" w:line="147" w:lineRule="exact"/>
        <w:rPr>
          <w:sz w:val="20"/>
          <w:szCs w:val="20"/>
          <w:color w:val="auto"/>
        </w:rPr>
      </w:pPr>
    </w:p>
    <w:p>
      <w:pPr>
        <w:ind w:right="560"/>
        <w:spacing w:after="0" w:line="278" w:lineRule="auto"/>
        <w:rPr>
          <w:sz w:val="20"/>
          <w:szCs w:val="20"/>
          <w:color w:val="auto"/>
        </w:rPr>
      </w:pPr>
      <w:r>
        <w:rPr>
          <w:rFonts w:ascii="Arial" w:cs="Arial" w:eastAsia="Arial" w:hAnsi="Arial"/>
          <w:sz w:val="18"/>
          <w:szCs w:val="18"/>
          <w:b w:val="1"/>
          <w:bCs w:val="1"/>
          <w:i w:val="1"/>
          <w:iCs w:val="1"/>
          <w:color w:val="auto"/>
        </w:rPr>
        <w:t>Volatility in the banking and financial services ecosystems may impact our bank partnerships and relationships, which could adversely affect our operations and liquidity.</w:t>
      </w:r>
    </w:p>
    <w:p>
      <w:pPr>
        <w:spacing w:after="0" w:line="98" w:lineRule="exact"/>
        <w:rPr>
          <w:sz w:val="20"/>
          <w:szCs w:val="20"/>
          <w:color w:val="auto"/>
        </w:rPr>
      </w:pPr>
    </w:p>
    <w:p>
      <w:pPr>
        <w:ind w:right="20" w:firstLine="509"/>
        <w:spacing w:after="0" w:line="252" w:lineRule="auto"/>
        <w:rPr>
          <w:sz w:val="20"/>
          <w:szCs w:val="20"/>
          <w:color w:val="auto"/>
        </w:rPr>
      </w:pPr>
      <w:r>
        <w:rPr>
          <w:rFonts w:ascii="Arial" w:cs="Arial" w:eastAsia="Arial" w:hAnsi="Arial"/>
          <w:sz w:val="18"/>
          <w:szCs w:val="18"/>
          <w:color w:val="auto"/>
        </w:rPr>
        <w:t>Instability and volatility in the banking and financial services ecosystems, including limited liquidity, defaults, non-performance or other adverse developments that affect the banking ecosystem, or concerns or rumors about any such events or other similar risks, has and may in the future increase uncertainty in the global economy and the risk of a</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recession. Volatility in the banking and financial services sectors may impact our bank partnerships and relationships, which could adversely affect our operations and liquidity.</w:t>
      </w:r>
    </w:p>
    <w:p>
      <w:pPr>
        <w:spacing w:after="0" w:line="126"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Our cash equivalents include money market funds, which are AAA-rated and comprised of liquid, high-quality debt securities issued by the U.S. government. Our access to our cash and cash equivalents and client funds could be significantly impacted in volatile markets given our concentration in government money market funds or impaired by the financial institutions with which we have arrangements directly, if such financial institutions are facing liquidity constraints or failures. We regularly maintain cash balances at third-party financial institutions in excess of the Federal Deposit Insurance Corporation (FDIC) insurance limit. A failure of a depository institution to return these deposits, or if a depository institution is subject to other adverse conditions in the financial or credit markets, could further impact access to our invested cash or cash equivalents and could adversely impact our operating liquidity, financial performance and ability to recover or repay client funds. If one or more of our bank partners were to fail and enter receivership proceedings, we may not be able to withdraw our or our clients' funds in excess of FDIC insurance limits, or may not be able to withdraw such funds in a timely manner, which could adversely affect our brand, business and results of operations, and may lead to regulatory or other claims or litigation, which may be costly to address.</w:t>
      </w:r>
    </w:p>
    <w:p>
      <w:pPr>
        <w:spacing w:after="0" w:line="145"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14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i w:val="1"/>
          <w:iCs w:val="1"/>
          <w:color w:val="auto"/>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p>
    <w:p>
      <w:pPr>
        <w:spacing w:after="0" w:line="13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 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p>
    <w:p>
      <w:pPr>
        <w:spacing w:after="0" w:line="142"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 and operating results.</w:t>
      </w:r>
    </w:p>
    <w:p>
      <w:pPr>
        <w:spacing w:after="0" w:line="13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due to regulatory restrictions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p>
    <w:p>
      <w:pPr>
        <w:spacing w:after="0" w:line="16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p>
    <w:p>
      <w:pPr>
        <w:spacing w:after="0" w:line="118"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handling and protection of this data, and these risks will increase as our business continues to expand to include new solutions and technologies.</w:t>
      </w:r>
    </w:p>
    <w:p>
      <w:pPr>
        <w:spacing w:after="0" w:line="126"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the National Automated Clearing House Association (NACHA), which manages the governance of the Automated Clearing House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customers for our failure or the failure of third parties with whom we contract to protect this data in accordance with Payment Card Industry Data Security Standard (PCI DSS) and network requirements. The loss, destruction or unauthorized modification or disclosure of merchant or cardholder data by us or our contracted third parties could result in significant fines, sanctions, claims, litigation and proceedings or actions against us by the payment networks, governmental entities, clients, client customers or others and damage our reputation.</w:t>
      </w:r>
    </w:p>
    <w:p>
      <w:pPr>
        <w:spacing w:after="0" w:line="142"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Similarly, there are existing regulatory regimes designed to protect the privacy of categories of personal or otherwise sensitive data. Relevant U.S. federal privacy laws include the Family Educational Rights and Privacy Act (FERPA), the Gramm-Leach-Bliley Act (GLBA), and Health Insurance Portability and Accountability Act (HIPAA). We also are subject to stringent contractual obligations relating to the handling of such data, including obligations that are more restrictive than legally required. For example, under HIPAA, the information we collect during the payment experience may include protected health Information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safeguarding and proper destruction of personal information through the issuance of data security standards or guidelines. Privacy laws grant audit rights to our regulators and those of our clients. Any unauthorized disclosure of PHI or other data we are obligated to protect by regulation or contract could result in significant fines, sanctions, or requirements to take corrective action and could materially adversely affect our reputation and business.</w:t>
      </w:r>
    </w:p>
    <w:p>
      <w:pPr>
        <w:spacing w:after="0" w:line="145"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Threats may derive from human error, fraud, or malice on the part of employees or third parties, or from accidental technological failure. For example, certain of our FlyMates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p>
    <w:p>
      <w:pPr>
        <w:spacing w:after="0" w:line="15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Additionally, it is also possible that unauthorized access to sensitive customer and business data may be obtained through inadequate use of security controls by our customers, suppliers or other vendors. While we are still not currently aware of any impact that the SolarWinds supply chain attack had on our business, the scope of the attack is still undetermined. Therefore, there is residual risk that we could experience a security breach arising from the SolarWinds supply chain attack.</w:t>
      </w:r>
    </w:p>
    <w:p>
      <w:pPr>
        <w:spacing w:after="0" w:line="149"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 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 and our reputation may be harmed. Additional risks will emerge to the extent we incorporate artificial intelligence in our solutions. Artificial intelligence algorithms or automated processing of data may be flawed, and datasets may be insufficient or may use third party artificial intelligence with unclear intellectual property rights or interests. Inappropriate or controversial data practices by us or others could subject us to lawsuits, regulatory investigations, legal and financial liability, or reputational harm. Additionally, our use of artificial intelligence may create additional cybersecurity risks or increase cybersecurity risks, including risks of security breaches and incidents.</w:t>
      </w:r>
    </w:p>
    <w:p>
      <w:pPr>
        <w:spacing w:after="0" w:line="336"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company providing services to us or our clients could have similar effects.</w:t>
      </w:r>
    </w:p>
    <w:p>
      <w:pPr>
        <w:spacing w:after="0" w:line="141"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Cyberattacks and security vulnerabilities can disrupt our business and harm our competitive position.</w:t>
      </w:r>
    </w:p>
    <w:p>
      <w:pPr>
        <w:spacing w:after="0" w:line="169"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and due to the wars in the Ukraine and Gaza and continued political uncertainty involving Russia and Ukraine, and Israel and Hamas, respectively, and potentially other regions of Europe and the Middle East, there is an increased likelihood that escalation of tensions could result in cyberattacks that could either directly or indirectly impact our operations. Because of this, we face additional cybersecurity challenges, including threats to our own IT infrastructure or those of our clients, our customers’ clients, and/or third-party providers, that may take a variety of forms ranging from stolen bank accounts, business email</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 increasingly seek to compromise our security controls or gain unauthorized access to our sensitive corporate information or our clients’ (or our clients’ customers’) data.</w:t>
      </w:r>
    </w:p>
    <w:p>
      <w:pPr>
        <w:spacing w:after="0" w:line="154"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In February 2024, Change Healthcare (a part of UnitedHealth Group (UHG)) reported that it had been subject to a cyberattack, which resulted in electronic payments and medical claims not being processed by UHG through its claims clearinghouse. UHG has reported that medical claims processed through its systems are now flowing at more than 85% of pre-incident levels as its systems come back online or providers switch to other methods of submission. However, adverse effects of the cyberattack will continue to impact businesses involved in patient payments – including Flywire. Any continuation of these or other impacts caused by such cyberattacks may negatively affect our financial position, results of operations and cash flows.</w:t>
      </w:r>
    </w:p>
    <w:p>
      <w:pPr>
        <w:spacing w:after="0" w:line="14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Our business policies and internal security controls may not keep pace with these evolving threats. Despite the internal control measures, and security procedures we employ to safeguard our systems, we may still be vulnerable to a security breach, intrusion, or loss or theft of personal or sensitive data, which may harm our business, reputation and future financial results. The lost revenue and containment, remediation, investigation, legal and other costs could be significant and may exceed our insurance policy limits or may not be covered by insurance at all. Further, we may be subject to regulatory enforcement actions and litigation that could result in financial judgments or the payment of settlement amounts and disputes with insurance carriers concerning coverage. In addition, sufficient insurance coverage may become increasingly expensive to maintain as incidents increase globally.</w:t>
      </w:r>
    </w:p>
    <w:p>
      <w:pPr>
        <w:spacing w:after="0" w:line="144"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Our risk management efforts may not be effective to prevent fraudulent activities by our customers, FlyMates or other third parties, which could expose us to material financial losses and liability and otherwise harm our business.</w:t>
      </w:r>
    </w:p>
    <w:p>
      <w:pPr>
        <w:spacing w:after="0" w:line="112"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Our software provides payment facilitation solutions for a large number of our clients and their customers. We are responsible for performing KYC reviews of our clients, sanctions screening their customers, and monitoring transactions for fraud. We have been and may continue to be targeted by parties who seek to commit acts of financial fraud using techniques such as stolen identities and bank accounts, compromised business email accounts, employee or insider fraud, account takeover, false applications, and fake invoicing. We may suffer losses from acts of financial fraud committed by our clients, our clients’ customers and purported customers, our FlyMates and payment partners or third parties.</w:t>
      </w:r>
    </w:p>
    <w:p>
      <w:pPr>
        <w:spacing w:after="0" w:line="14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FlyMates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our clients' customers use our solutions, and we serve clients in industries that are at higher risk for fraudulent activity, our exposure to material risk losses from a single client, or from a small number of clients, will increase. In addition, our clients or their customers may suffer losses from acts of financial fraud by third parties posing as us through account takeover, credential harvesting, use of stolen identities and various other techniques, which could harm our reputation, consume significant time of our compliance, security and client relations teams to investigate and remediate, or prompt us to reimburse our clients for such losses in order to maintain client business relationships.</w:t>
      </w:r>
    </w:p>
    <w:p>
      <w:pPr>
        <w:spacing w:after="0" w:line="139"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Our current business, the changing and uncertain economic, geopolitical and regulatory environment, and our anticipated domestic and international growth will continue to place significant demands on our risk management and compliance efforts. As our business grows and becomes more complex, we will need to continue developing and improving and investing in our risk management infrastructure, policies, procedures, techniques, and processes. As techniques used to perpetrate fraud on our solutions evolve, we may need to modify our solutions to mitigate fraud risks.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p>
    <w:p>
      <w:pPr>
        <w:spacing w:after="0" w:line="15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If we fail to adapt and respond effectively to rapidly and significantly changing technology, evolving industry standards, changing regulations, and changing business needs, requirements, or preferences, or if we fail to continue to grow and develop our payments solutions, our business may be materially and adversely affected.</w:t>
      </w:r>
    </w:p>
    <w:p>
      <w:pPr>
        <w:spacing w:after="0" w:line="118"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Rapid and significant technological changes, evolving industry standards, changing regulations and business needs continue to confront the verticals in which we operate, including developments in digital banking, open banking, mobile financial apps, as well as developments in cryptocurrencies and in tokenization (e.g., replacing sensitive data such as payment card information) with symbols (tokens) to keep the data safe), blockchain, and artificial intelligence, including machine learning. The success of our business will depend, in part, on our ability to adapt and respond effectively to these changes through methods which include launching new solutions and incorporating new technologies, such as generative artificial intelligence, into our solutions.</w:t>
      </w:r>
    </w:p>
    <w:p>
      <w:pPr>
        <w:spacing w:after="0" w:line="14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Spain, Romania, the United States, Israel and Australia),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clients or clients' customer dissatisfaction and adversely affect our business.</w:t>
      </w:r>
    </w:p>
    <w:p>
      <w:pPr>
        <w:spacing w:after="0" w:line="161" w:lineRule="exact"/>
        <w:rPr>
          <w:sz w:val="20"/>
          <w:szCs w:val="20"/>
          <w:color w:val="auto"/>
        </w:rPr>
      </w:pPr>
    </w:p>
    <w:p>
      <w:pPr>
        <w:ind w:right="780"/>
        <w:spacing w:after="0" w:line="278" w:lineRule="auto"/>
        <w:rPr>
          <w:sz w:val="20"/>
          <w:szCs w:val="20"/>
          <w:color w:val="auto"/>
        </w:rPr>
      </w:pPr>
      <w:r>
        <w:rPr>
          <w:rFonts w:ascii="Arial" w:cs="Arial" w:eastAsia="Arial" w:hAnsi="Arial"/>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98"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to payment card networks fees or rules could harm our business.</w:t>
      </w:r>
    </w:p>
    <w:p>
      <w:pPr>
        <w:spacing w:after="0" w:line="182"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We are required to comply with Mastercard, American Express, and Visa payment card network operating rules and the rules of other regional card (such as China UnionPay or Japan Credit Bureau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difficult or even impossible to follow, or costly to implement. For example, the card networks could adopt new rules or reinterpret existing rules to substantially modify how we offer credit card payment methods to our clients, or impose new fees or costs (including demanding a cash reserve from Flywire) that could negatively impact our margins. 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 Additionally, from time to time, card networks, including Visa and Mastercard, increase the fees that they charge processors.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p>
    <w:p>
      <w:pPr>
        <w:spacing w:after="0" w:line="16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p>
    <w:p>
      <w:pPr>
        <w:spacing w:after="0" w:line="118"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Our solutions integrate with ERP systems, such as Ellucian Company, L.P. in education, Epic Systems Corporation in healthcare, Rezdy Pty Ltd in travel and Oracle Corporation in B2B payments.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p>
    <w:p>
      <w:pPr>
        <w:spacing w:after="0" w:line="136" w:lineRule="exact"/>
        <w:rPr>
          <w:sz w:val="20"/>
          <w:szCs w:val="20"/>
          <w:color w:val="auto"/>
        </w:rPr>
      </w:pPr>
    </w:p>
    <w:p>
      <w:pPr>
        <w:jc w:val="both"/>
        <w:ind w:right="480" w:firstLine="509"/>
        <w:spacing w:after="0" w:line="252" w:lineRule="auto"/>
        <w:rPr>
          <w:sz w:val="20"/>
          <w:szCs w:val="20"/>
          <w:color w:val="auto"/>
        </w:rPr>
      </w:pPr>
      <w:r>
        <w:rPr>
          <w:rFonts w:ascii="Arial" w:cs="Arial" w:eastAsia="Arial" w:hAnsi="Arial"/>
          <w:sz w:val="18"/>
          <w:szCs w:val="18"/>
          <w:color w:val="auto"/>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p>
    <w:p>
      <w:pPr>
        <w:spacing w:after="0" w:line="14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 particular, if we are unable to adapt to such changes, we may not be able to utilize these strategic partners and we may lose access to large numbers of clients as a result.</w:t>
      </w:r>
    </w:p>
    <w:p>
      <w:pPr>
        <w:spacing w:after="0" w:line="142"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If any of the third party software providers change the features of their application programming interfaces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p>
    <w:p>
      <w:pPr>
        <w:spacing w:after="0" w:line="138" w:lineRule="exact"/>
        <w:rPr>
          <w:sz w:val="20"/>
          <w:szCs w:val="20"/>
          <w:color w:val="auto"/>
        </w:rPr>
      </w:pPr>
    </w:p>
    <w:p>
      <w:pPr>
        <w:ind w:right="540"/>
        <w:spacing w:after="0" w:line="278" w:lineRule="auto"/>
        <w:rPr>
          <w:sz w:val="20"/>
          <w:szCs w:val="20"/>
          <w:color w:val="auto"/>
        </w:rPr>
      </w:pPr>
      <w:r>
        <w:rPr>
          <w:rFonts w:ascii="Arial" w:cs="Arial" w:eastAsia="Arial" w:hAnsi="Arial"/>
          <w:sz w:val="18"/>
          <w:szCs w:val="18"/>
          <w:b w:val="1"/>
          <w:bCs w:val="1"/>
          <w:i w:val="1"/>
          <w:iCs w:val="1"/>
          <w:color w:val="auto"/>
        </w:rPr>
        <w:t>If we fail to maintain, protect and enhance our brand, our ability to expand our client base will be impaired and our business, operating results, and financial condition may suffer.</w:t>
      </w:r>
    </w:p>
    <w:p>
      <w:pPr>
        <w:spacing w:after="0" w:line="11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believe that further developing, maintaining, protecting and enhancing our brand domestically and on a global basis is important to support the marketing and sale of our existing and future solutions to new clients and to 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solutions from competitive solutions. Our brand promotion activities may not generate client awareness or yield increased revenue, and even if they do, any increased revenue may not offset the expenses we incur in building our brand. If we fail to successfully promote and maintain our brand or if we incur excessive expenses in this effort, our business could suffer.</w:t>
      </w:r>
    </w:p>
    <w:p>
      <w:pPr>
        <w:spacing w:after="0" w:line="144" w:lineRule="exact"/>
        <w:rPr>
          <w:sz w:val="20"/>
          <w:szCs w:val="20"/>
          <w:color w:val="auto"/>
        </w:rPr>
      </w:pPr>
    </w:p>
    <w:p>
      <w:pPr>
        <w:ind w:right="460" w:firstLine="509"/>
        <w:spacing w:after="0" w:line="246" w:lineRule="auto"/>
        <w:rPr>
          <w:sz w:val="20"/>
          <w:szCs w:val="20"/>
          <w:color w:val="auto"/>
        </w:rPr>
      </w:pPr>
      <w:r>
        <w:rPr>
          <w:rFonts w:ascii="Arial" w:cs="Arial" w:eastAsia="Arial" w:hAnsi="Arial"/>
          <w:sz w:val="18"/>
          <w:szCs w:val="18"/>
          <w:color w:val="auto"/>
        </w:rPr>
        <w:t>The introduction and promotion of new solutions, as well as the promotion of existing solutions, may be partly dependent on our visibility on third-party advertising platforms, such as Google, LinkedIn, Facebook, or X. Changes in the way these platforms operate or changes in their advertising prices, data use practices or other terms could make the maintenance and promotion of our products and services and our brands more expensive or more difficult. If we are</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unable to market and promote our brands on third-party platforms effectively, our ability to acquire new clients would be materially harmed.</w:t>
      </w:r>
    </w:p>
    <w:p>
      <w:pPr>
        <w:spacing w:after="0" w:line="18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Harm to our brand can arise from many sources, including failure by us or our partners and service providers to satisfy expectations of service and quality; inadequate protection or misuse of sensitive information; fraud committed by third parties using our solutions; compliance failures and claims; litigation, regulatory and other claims; errors caused by us or our partners; and misconduct by our partners, service providers, or other counterparties. In addition, negative statements about us can cause and have caused a decline in the market price of our common stock, divert our management’s attention and resources, and could cause other adverse impacts to our business. Partners with whom we maintain relationships could engage in behavior or use their platforms to communicate directly with our clients and their customers in a manner that reflects poorly on our brand and such behavior or communications may adversely affect us. Further, negative publicity or commentary regarding the partners who are, or are perceived to be, affiliated with us may also damage our reputation, even if the negative publicity or commentary is not directly related to us. Any negative publicity about the industries we operate in or our company, the quality and reliability of our solutions, our risk management processes, changes to our products and services, our ability to effectively manage and resolve customer complaints, our privacy, data protection, and information security practices, litigation, regulatory activity, policy positions, and the experience of our customers with us, our products or services could adversely affect our reputation and the confidence in and use of our solutions. If we do not successfully maintain, protect or enhance our brands, our business could be materially and adversely affected.</w:t>
      </w:r>
    </w:p>
    <w:p>
      <w:pPr>
        <w:spacing w:after="0" w:line="138"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If we lose key members of our management team or are unable to attract and retain executives and employees we need to support our operations and growth, our business may be harmed.</w:t>
      </w:r>
    </w:p>
    <w:p>
      <w:pPr>
        <w:spacing w:after="0" w:line="98"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 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We appointed Cosmin Pitigoi as our new Chief Financial Officer effective March 2024. This or other changes in our senior management may be disruptive to our business, and, if we are unable to manage an orderly transition, our business may be adversely affected. We currently have “key person” insurance on our Chief Executive Officer, Michael Massaro, but not for any other members of our management team. Certain of our key employees have been with us for a long period of time and have fully vested stock options or other long-term equity incentives that are or may become valuable and are publicly tradable subject to Rule 144 limitations, which may reduce the incentive for each of these key employees to remain at our Company.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p>
    <w:p>
      <w:pPr>
        <w:spacing w:after="0" w:line="161"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 and growth plans.</w:t>
      </w:r>
    </w:p>
    <w:p>
      <w:pPr>
        <w:spacing w:after="0" w:line="98"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To execute our business strategy, we must attract and retain highly qualified personnel. Competition for executive officers, software developers, compliance and risk management personnel and other key employees in our industry and locations is intense and increasing, especially in the U.S., where wage inflation has been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If we fail to identify, attract, develop and integrate new personnel, or fail to retain and motivate our current personnel, our growth prospects would be adversely affected.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may be harmed.</w:t>
      </w:r>
    </w:p>
    <w:p>
      <w:pPr>
        <w:spacing w:after="0" w:line="182"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difficult to maintain these important aspects of our culture. If we fail to maintain our culture, our business and competitive position may be adversely affected.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cycles may be long and vary.</w:t>
      </w:r>
    </w:p>
    <w:p>
      <w:pPr>
        <w:spacing w:after="0" w:line="169" w:lineRule="exact"/>
        <w:rPr>
          <w:sz w:val="20"/>
          <w:szCs w:val="20"/>
          <w:color w:val="auto"/>
        </w:rPr>
      </w:pPr>
    </w:p>
    <w:p>
      <w:pPr>
        <w:ind w:right="300" w:firstLine="509"/>
        <w:spacing w:after="0" w:line="301" w:lineRule="auto"/>
        <w:rPr>
          <w:sz w:val="20"/>
          <w:szCs w:val="20"/>
          <w:color w:val="auto"/>
        </w:rPr>
      </w:pPr>
      <w:r>
        <w:rPr>
          <w:rFonts w:ascii="Arial" w:cs="Arial" w:eastAsia="Arial" w:hAnsi="Arial"/>
          <w:sz w:val="17"/>
          <w:szCs w:val="17"/>
          <w:color w:val="auto"/>
        </w:rPr>
        <w:t>We devote significant resources to establish relationships with new clients and deepen relationships with existing clients. The sales cycles of our solutions tend to vary depending on the client industry sector which may make forecasting more complex and uncertain.</w:t>
      </w:r>
    </w:p>
    <w:p>
      <w:pPr>
        <w:spacing w:after="0" w:line="9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addition, sales and sale cycles may be based in part or entirely on factors, or perceived factors, not directly related to the features of our solutions, including, among others, a client or prospective client’s projection of business growth, uncertainty about economic conditions (including as a result of increased inflationary conditions, recession concerns and the escalation of hostilities between Russia and Ukraine, and Israel and Hamas), capital budgets, anticipated cost savings from the implementation of our solution, potential preference for internally-developed software solutions, perceptions about our business and solutions, more favorable terms offered by potential competitors, and previous technology investments.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RFPs, which are generally a time- and resource-intensive process, with no assurances of being selected as a vendor after the RFP process is completed. Additionally,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 to realize an expected sale from a large end-client in a particular quarter or at all, our business, operating results, and financial condition could be materially and adversely affected.</w:t>
      </w:r>
    </w:p>
    <w:p>
      <w:pPr>
        <w:spacing w:after="0" w:line="152"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Decisions on timing of deployments may also be impacted by cost and availability of personnel. Any difficulties or delays in the initial implementation could cause clients to reject our solutions or lead to the delay or non-receipt of future orders, in which case our business, operating results and financial condition would be harmed.</w:t>
      </w:r>
    </w:p>
    <w:p>
      <w:pPr>
        <w:spacing w:after="0" w:line="141"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We typically incur significant upfront costs in our client relationships, and if we are unable to develop or grow these relationships over time, we are unlikely to recover these costs and our operating results may suffer.</w:t>
      </w:r>
    </w:p>
    <w:p>
      <w:pPr>
        <w:spacing w:after="0" w:line="98"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or maintain profitability. Any increased or unexpected costs or unanticipated delays, including delays caused by factors outside of our control, could cause our operating results to suffer.</w:t>
      </w:r>
    </w:p>
    <w:p>
      <w:pPr>
        <w:spacing w:after="0" w:line="160"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If we fail to offer high-quality client support, or if our support is more expensive than anticipated, our business and reputation could suffer.</w:t>
      </w:r>
    </w:p>
    <w:p>
      <w:pPr>
        <w:spacing w:after="0" w:line="98"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Providing an exceptional client experience requires significant time and resources from our client service team. Therefore, failure to scale our client service organization adequately may adversely impact our business results and financial condition.</w:t>
      </w:r>
    </w:p>
    <w:p>
      <w:pPr>
        <w:spacing w:after="0" w:line="126" w:lineRule="exact"/>
        <w:rPr>
          <w:sz w:val="20"/>
          <w:szCs w:val="20"/>
          <w:color w:val="auto"/>
        </w:rPr>
      </w:pPr>
    </w:p>
    <w:p>
      <w:pPr>
        <w:ind w:right="220" w:firstLine="509"/>
        <w:spacing w:after="0" w:line="246" w:lineRule="auto"/>
        <w:rPr>
          <w:sz w:val="20"/>
          <w:szCs w:val="20"/>
          <w:color w:val="auto"/>
        </w:rPr>
      </w:pPr>
      <w:r>
        <w:rPr>
          <w:rFonts w:ascii="Arial" w:cs="Arial" w:eastAsia="Arial" w:hAnsi="Arial"/>
          <w:sz w:val="18"/>
          <w:szCs w:val="18"/>
          <w:color w:val="auto"/>
        </w:rPr>
        <w:t>In addition, as we continue to operate and grow our operations and continue to expand to new jurisdictions, we need to be able to provide efficient client service that meets our clients’ needs globally at scale. In geographies where we sell through our channel partners, if we are unable to provide a high quality client experience tailored to the language and culture of the applicable jurisdiction, our business operations and reputation may suffer.</w:t>
      </w:r>
    </w:p>
    <w:p>
      <w:pPr>
        <w:spacing w:after="0" w:line="138"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98"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We have funded our operations since inception primarily through equity and debt financings, sales of our solutions, and fees.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as a result of the risks associated with our acquisitions.</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 completed.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acquisitions we undertake or have recently completed, including the acquisitions of StudyLink in November 2023 and Cohort Go in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July 2022, will likely be accompanied by business risks which may include, among other things:</w:t>
      </w:r>
    </w:p>
    <w:p>
      <w:pPr>
        <w:spacing w:after="0" w:line="166" w:lineRule="exact"/>
        <w:rPr>
          <w:sz w:val="20"/>
          <w:szCs w:val="20"/>
          <w:color w:val="auto"/>
        </w:rPr>
      </w:pPr>
    </w:p>
    <w:p>
      <w:pPr>
        <w:ind w:left="900" w:hanging="263"/>
        <w:spacing w:after="0"/>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the acquisition on our financial results, strategic position or reputation;</w:t>
      </w:r>
    </w:p>
    <w:p>
      <w:pPr>
        <w:spacing w:after="0" w:line="183" w:lineRule="exact"/>
        <w:rPr>
          <w:rFonts w:ascii="Times New Roman" w:cs="Times New Roman" w:eastAsia="Times New Roman" w:hAnsi="Times New Roman"/>
          <w:sz w:val="18"/>
          <w:szCs w:val="18"/>
          <w:color w:val="auto"/>
        </w:rPr>
      </w:pPr>
    </w:p>
    <w:p>
      <w:pPr>
        <w:ind w:left="900" w:right="140" w:hanging="263"/>
        <w:spacing w:after="0" w:line="270" w:lineRule="auto"/>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an acquisition to result in expected benefits, which may include benefits relating to enhanced revenues, technology, human resources, costs savings, operating efficiencies, goodwill and other synergies;</w:t>
      </w:r>
    </w:p>
    <w:p>
      <w:pPr>
        <w:spacing w:after="0" w:line="113" w:lineRule="exact"/>
        <w:rPr>
          <w:rFonts w:ascii="Times New Roman" w:cs="Times New Roman" w:eastAsia="Times New Roman" w:hAnsi="Times New Roman"/>
          <w:sz w:val="18"/>
          <w:szCs w:val="18"/>
          <w:color w:val="auto"/>
        </w:rPr>
      </w:pPr>
    </w:p>
    <w:p>
      <w:pPr>
        <w:ind w:left="900" w:right="1020" w:hanging="263"/>
        <w:spacing w:after="0" w:line="270" w:lineRule="auto"/>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difficulty, cost and management effort required to integrate the acquired businesses, including costs and delays in implementing common systems and procedures and costs and delays caused by communication difficulties;</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certain known or unknown liabilities of the acquired business, including litigation-related liabilities;</w:t>
      </w:r>
    </w:p>
    <w:p>
      <w:pPr>
        <w:spacing w:after="0" w:line="183" w:lineRule="exact"/>
        <w:rPr>
          <w:rFonts w:ascii="Times New Roman" w:cs="Times New Roman" w:eastAsia="Times New Roman" w:hAnsi="Times New Roman"/>
          <w:sz w:val="18"/>
          <w:szCs w:val="18"/>
          <w:color w:val="auto"/>
        </w:rPr>
      </w:pPr>
    </w:p>
    <w:p>
      <w:pPr>
        <w:ind w:left="900" w:right="460" w:hanging="263"/>
        <w:spacing w:after="0" w:line="270" w:lineRule="auto"/>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reduction of our cash available for operations and other uses, the increase in amortization expense related to identifiable assets acquired, potentially dilutive issuances of equity securities or the incurrence of debt;</w:t>
      </w:r>
    </w:p>
    <w:p>
      <w:pPr>
        <w:spacing w:after="0" w:line="113" w:lineRule="exact"/>
        <w:rPr>
          <w:rFonts w:ascii="Times New Roman" w:cs="Times New Roman" w:eastAsia="Times New Roman" w:hAnsi="Times New Roman"/>
          <w:sz w:val="18"/>
          <w:szCs w:val="18"/>
          <w:color w:val="auto"/>
        </w:rPr>
      </w:pPr>
    </w:p>
    <w:p>
      <w:pPr>
        <w:ind w:left="900" w:right="200" w:hanging="263"/>
        <w:spacing w:after="0" w:line="270" w:lineRule="auto"/>
        <w:tabs>
          <w:tab w:leader="none" w:pos="9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 lack of experience in new markets, new geographies, new business culture, products or technologies or an initial dependence on unfamiliar distribution partners;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left="900" w:hanging="263"/>
        <w:spacing w:after="0"/>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possibility that we will pay more than the value we derive from the acquisition;</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impairment of relationships with our clients, clients' customers, partners or suppliers or those of the acquired business; and</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loss of key employees of the acquired business.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factors could harm our business, results of operations or financial condition.</w:t>
      </w:r>
    </w:p>
    <w:p>
      <w:pPr>
        <w:spacing w:after="0" w:line="184" w:lineRule="exact"/>
        <w:rPr>
          <w:sz w:val="20"/>
          <w:szCs w:val="20"/>
          <w:color w:val="auto"/>
        </w:rPr>
      </w:pPr>
    </w:p>
    <w:p>
      <w:pPr>
        <w:ind w:right="140" w:firstLine="509"/>
        <w:spacing w:after="0" w:line="252" w:lineRule="auto"/>
        <w:rPr>
          <w:sz w:val="20"/>
          <w:szCs w:val="20"/>
          <w:color w:val="auto"/>
        </w:rPr>
      </w:pPr>
      <w:r>
        <w:rPr>
          <w:rFonts w:ascii="Arial" w:cs="Arial" w:eastAsia="Arial" w:hAnsi="Arial"/>
          <w:sz w:val="18"/>
          <w:szCs w:val="18"/>
          <w:color w:val="auto"/>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Systems failures and resulting interruptions in the availability of our solutions could harm our business.</w:t>
      </w:r>
    </w:p>
    <w:p>
      <w:pPr>
        <w:spacing w:after="0" w:line="169"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Our systems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including events resulting from climate change, war or other military conflict, including an escalation of the conflicts between Russia and Ukraine, and Israel and Hamas, respectively,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 business continuity, resiliency and disaster recovery plans, and more rigorous testing of such plans, which may be costly and time-consuming to implement, and may divert our resources from other business priorities.</w:t>
      </w:r>
    </w:p>
    <w:p>
      <w:pPr>
        <w:spacing w:after="0" w:line="147"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A prolonged interruption in the availability, speed, or functionality of our solutions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p>
    <w:p>
      <w:pPr>
        <w:spacing w:after="0" w:line="142"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We have undertaken and continue to make certain technology and network upgrades and redundancies which are designed to improve the reliability of our solutions.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14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use public cloud hosting with Amazon Web Services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war or other military conflict, including an escalation of the conflict between Russia and Ukraine, terrorist attacks, negligence, and other similar events beyond our control could negatively affect our solutions.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may experience financial losses due to a number of factors, including: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99" w:lineRule="exact"/>
        <w:rPr>
          <w:sz w:val="20"/>
          <w:szCs w:val="20"/>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party disruptions, including potential outages at network providers and other suppliers;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supply chain impacts, including shortages of goods, raw materials, increased prices or delays in shipment;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to the availability and reliability of our network due to changes to normal operations;</w:t>
      </w:r>
    </w:p>
    <w:p>
      <w:pPr>
        <w:spacing w:after="0" w:line="115" w:lineRule="exact"/>
        <w:rPr>
          <w:rFonts w:ascii="Times New Roman" w:cs="Times New Roman" w:eastAsia="Times New Roman" w:hAnsi="Times New Roman"/>
          <w:sz w:val="18"/>
          <w:szCs w:val="18"/>
          <w:color w:val="auto"/>
        </w:rPr>
      </w:pPr>
    </w:p>
    <w:p>
      <w:pPr>
        <w:ind w:left="1020" w:right="40" w:hanging="504"/>
        <w:spacing w:after="0" w:line="300" w:lineRule="auto"/>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increased cyber and payment fraud risk, as cybercriminals attempt DDoS related attacks, phishing scams and other disruptive actions, given the shift to online banking, e-commerce and other online activity, as well as more FlyMates working remotely; and</w:t>
      </w:r>
    </w:p>
    <w:p>
      <w:pPr>
        <w:spacing w:after="0" w:line="22" w:lineRule="exact"/>
        <w:rPr>
          <w:rFonts w:ascii="Times New Roman" w:cs="Times New Roman" w:eastAsia="Times New Roman" w:hAnsi="Times New Roman"/>
          <w:sz w:val="17"/>
          <w:szCs w:val="17"/>
          <w:color w:val="auto"/>
        </w:rPr>
      </w:pPr>
    </w:p>
    <w:p>
      <w:pPr>
        <w:ind w:left="1020" w:hanging="504"/>
        <w:spacing w:after="0" w:line="274" w:lineRule="auto"/>
        <w:tabs>
          <w:tab w:leader="none" w:pos="10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system failures or outages, including any potential disruptions due to significantly increased global demand on certain cloud-based systems, could compromise our ability to provide our solutions in a timely manner, which could harm our ability to conduct business or delay our financial reporting. Such failures could adversely affect our operating results and financial condition.</w:t>
      </w:r>
    </w:p>
    <w:p>
      <w:pPr>
        <w:spacing w:after="0" w:line="112"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Our solutions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solutions as well as delays and additional expense in arranging new facilities and services.</w:t>
      </w:r>
    </w:p>
    <w:p>
      <w:pPr>
        <w:spacing w:after="0" w:line="139"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p>
    <w:p>
      <w:pPr>
        <w:spacing w:after="0" w:line="139"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Regulatory and Compliance Landscape</w:t>
      </w:r>
    </w:p>
    <w:p>
      <w:pPr>
        <w:spacing w:after="0" w:line="186"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b w:val="1"/>
          <w:bCs w:val="1"/>
          <w:i w:val="1"/>
          <w:iCs w:val="1"/>
          <w:color w:val="auto"/>
        </w:rPr>
        <w:t>We currently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p>
    <w:p>
      <w:pPr>
        <w:spacing w:after="0" w:line="123" w:lineRule="exact"/>
        <w:rPr>
          <w:sz w:val="20"/>
          <w:szCs w:val="20"/>
          <w:color w:val="auto"/>
        </w:rPr>
      </w:pPr>
    </w:p>
    <w:p>
      <w:pPr>
        <w:ind w:right="140" w:firstLine="509"/>
        <w:spacing w:after="0" w:line="254" w:lineRule="auto"/>
        <w:rPr>
          <w:sz w:val="20"/>
          <w:szCs w:val="20"/>
          <w:color w:val="auto"/>
        </w:rPr>
      </w:pPr>
      <w:r>
        <w:rPr>
          <w:rFonts w:ascii="Arial" w:cs="Arial" w:eastAsia="Arial" w:hAnsi="Arial"/>
          <w:sz w:val="17"/>
          <w:szCs w:val="17"/>
          <w:color w:val="auto"/>
        </w:rPr>
        <w:t>Our business is subject to risks inherent in conducting business globally, including cross-border payments and domestic payments in the United States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possibility of renegotiated trade deals and international tax law treaties, United States-China and Canada -India diplomatic and trade friction, heightened tensions between China and Taiwan and the escalation of the conflicts between Russia and Ukraine, and Israel and Hamas, respectively,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p>
    <w:p>
      <w:pPr>
        <w:spacing w:after="0" w:line="129" w:lineRule="exact"/>
        <w:rPr>
          <w:sz w:val="20"/>
          <w:szCs w:val="20"/>
          <w:color w:val="auto"/>
        </w:rPr>
      </w:pPr>
    </w:p>
    <w:p>
      <w:pPr>
        <w:ind w:left="900" w:hanging="26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rate volatility;</w:t>
      </w:r>
    </w:p>
    <w:p>
      <w:pPr>
        <w:spacing w:after="0" w:line="196" w:lineRule="exact"/>
        <w:rPr>
          <w:rFonts w:ascii="Times New Roman" w:cs="Times New Roman" w:eastAsia="Times New Roman" w:hAnsi="Times New Roman"/>
          <w:sz w:val="18"/>
          <w:szCs w:val="18"/>
          <w:color w:val="auto"/>
        </w:rPr>
      </w:pPr>
    </w:p>
    <w:p>
      <w:pPr>
        <w:ind w:left="900" w:right="220" w:hanging="263"/>
        <w:spacing w:after="0" w:line="270" w:lineRule="auto"/>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adverse economic conditions in the United States and globally, including economic slowdown, inflation, recession concerns and the disruption, volatility and tightening of credit and capital markets;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left="900" w:hanging="263"/>
        <w:spacing w:after="0"/>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compliance with multiple complex, potentially conflicting and changing governmental laws and regulations;</w:t>
      </w:r>
    </w:p>
    <w:p>
      <w:pPr>
        <w:spacing w:after="0" w:line="196" w:lineRule="exact"/>
        <w:rPr>
          <w:rFonts w:ascii="Times New Roman" w:cs="Times New Roman" w:eastAsia="Times New Roman" w:hAnsi="Times New Roman"/>
          <w:sz w:val="18"/>
          <w:szCs w:val="18"/>
          <w:color w:val="auto"/>
        </w:rPr>
      </w:pPr>
    </w:p>
    <w:p>
      <w:pPr>
        <w:ind w:left="900" w:right="120" w:hanging="263"/>
        <w:spacing w:after="0" w:line="270" w:lineRule="auto"/>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local licensing and reporting obligations or the imposition of currency controls which make it impossible or increasingly difficult for our clients to collect payments from international customers;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local regulatory and legal obligations related to privacy, data protection, data localization, and user protections;</w:t>
      </w:r>
    </w:p>
    <w:p>
      <w:pPr>
        <w:spacing w:after="0" w:line="183" w:lineRule="exact"/>
        <w:rPr>
          <w:rFonts w:ascii="Times New Roman" w:cs="Times New Roman" w:eastAsia="Times New Roman" w:hAnsi="Times New Roman"/>
          <w:sz w:val="18"/>
          <w:szCs w:val="18"/>
          <w:color w:val="auto"/>
        </w:rPr>
      </w:pPr>
    </w:p>
    <w:p>
      <w:pPr>
        <w:ind w:left="900" w:right="720" w:hanging="263"/>
        <w:spacing w:after="0" w:line="300" w:lineRule="auto"/>
        <w:tabs>
          <w:tab w:leader="none" w:pos="90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need to localize our solutions, including offering clients and their customers the ability to transact business in the local currency and adapting our solutions to local preferences, in markets in which we may have limited or no experience;</w:t>
      </w:r>
    </w:p>
    <w:p>
      <w:pPr>
        <w:spacing w:after="0" w:line="103" w:lineRule="exact"/>
        <w:rPr>
          <w:rFonts w:ascii="Times New Roman" w:cs="Times New Roman" w:eastAsia="Times New Roman" w:hAnsi="Times New Roman"/>
          <w:sz w:val="17"/>
          <w:szCs w:val="17"/>
          <w:color w:val="auto"/>
        </w:rPr>
      </w:pPr>
    </w:p>
    <w:p>
      <w:pPr>
        <w:ind w:left="900" w:hanging="263"/>
        <w:spacing w:after="0"/>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trade barriers and changes in trade regulations;</w:t>
      </w:r>
    </w:p>
    <w:p>
      <w:pPr>
        <w:spacing w:after="0" w:line="183" w:lineRule="exact"/>
        <w:rPr>
          <w:rFonts w:ascii="Times New Roman" w:cs="Times New Roman" w:eastAsia="Times New Roman" w:hAnsi="Times New Roman"/>
          <w:sz w:val="18"/>
          <w:szCs w:val="18"/>
          <w:color w:val="auto"/>
        </w:rPr>
      </w:pPr>
    </w:p>
    <w:p>
      <w:pPr>
        <w:ind w:left="900" w:right="400" w:hanging="263"/>
        <w:spacing w:after="0" w:line="270" w:lineRule="auto"/>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government sanctions on our ability to offer services in a region, such as sanctions issued by the U.S. and other countries against Russia;</w:t>
      </w:r>
    </w:p>
    <w:p>
      <w:pPr>
        <w:spacing w:after="0" w:line="113" w:lineRule="exact"/>
        <w:rPr>
          <w:rFonts w:ascii="Times New Roman" w:cs="Times New Roman" w:eastAsia="Times New Roman" w:hAnsi="Times New Roman"/>
          <w:sz w:val="18"/>
          <w:szCs w:val="18"/>
          <w:color w:val="auto"/>
        </w:rPr>
      </w:pPr>
    </w:p>
    <w:p>
      <w:pPr>
        <w:ind w:left="900" w:right="280" w:hanging="263"/>
        <w:spacing w:after="0" w:line="270" w:lineRule="auto"/>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developing, staffing, and managing a large number of varying foreign operations as a result of distance, language, and cultural differences;</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stringent local labor laws and regulations;</w:t>
      </w:r>
    </w:p>
    <w:p>
      <w:pPr>
        <w:spacing w:after="0" w:line="183" w:lineRule="exact"/>
        <w:rPr>
          <w:rFonts w:ascii="Times New Roman" w:cs="Times New Roman" w:eastAsia="Times New Roman" w:hAnsi="Times New Roman"/>
          <w:sz w:val="18"/>
          <w:szCs w:val="18"/>
          <w:color w:val="auto"/>
        </w:rPr>
      </w:pPr>
    </w:p>
    <w:p>
      <w:pPr>
        <w:ind w:left="900" w:right="340" w:hanging="263"/>
        <w:spacing w:after="0" w:line="270" w:lineRule="auto"/>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on the repatriation of cash, including imposition or increase of withholding and other taxes on remittances and other payments by foreign subsidiaries;</w:t>
      </w:r>
    </w:p>
    <w:p>
      <w:pPr>
        <w:spacing w:after="0" w:line="113" w:lineRule="exact"/>
        <w:rPr>
          <w:rFonts w:ascii="Times New Roman" w:cs="Times New Roman" w:eastAsia="Times New Roman" w:hAnsi="Times New Roman"/>
          <w:sz w:val="18"/>
          <w:szCs w:val="18"/>
          <w:color w:val="auto"/>
        </w:rPr>
      </w:pPr>
    </w:p>
    <w:p>
      <w:pPr>
        <w:ind w:left="900" w:hanging="263"/>
        <w:spacing w:after="0" w:line="270" w:lineRule="auto"/>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diplomatic friction, political or social unrest, war or other military conflict, including an escalation of the conflict between Russia and Ukraine, and between Israel and Hamas, respectively, economic instability, repression, or human rights issues;</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global pandemics such as COVID-19 or other public health emergencies, acts of war, and terrorism;</w:t>
      </w:r>
    </w:p>
    <w:p>
      <w:pPr>
        <w:spacing w:after="0" w:line="183" w:lineRule="exact"/>
        <w:rPr>
          <w:rFonts w:ascii="Times New Roman" w:cs="Times New Roman" w:eastAsia="Times New Roman" w:hAnsi="Times New Roman"/>
          <w:sz w:val="18"/>
          <w:szCs w:val="18"/>
          <w:color w:val="auto"/>
        </w:rPr>
      </w:pPr>
    </w:p>
    <w:p>
      <w:pPr>
        <w:ind w:left="900" w:right="420" w:hanging="263"/>
        <w:spacing w:after="0" w:line="270" w:lineRule="auto"/>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U.S. laws and foreign laws prohibiting corrupt payments to government officials, such as the Foreign Corrupt Practices Act (FCPA) and the U.K. Bribery Act, and other local anti-corruption laws;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U.S. and foreign laws designed to combat money laundering and the financing of terrorist activities;</w:t>
      </w:r>
    </w:p>
    <w:p>
      <w:pPr>
        <w:spacing w:after="0" w:line="196" w:lineRule="exact"/>
        <w:rPr>
          <w:rFonts w:ascii="Times New Roman" w:cs="Times New Roman" w:eastAsia="Times New Roman" w:hAnsi="Times New Roman"/>
          <w:sz w:val="18"/>
          <w:szCs w:val="18"/>
          <w:color w:val="auto"/>
        </w:rPr>
      </w:pPr>
    </w:p>
    <w:p>
      <w:pPr>
        <w:ind w:left="900" w:right="40" w:hanging="263"/>
        <w:spacing w:after="0" w:line="270" w:lineRule="auto"/>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retaliatory tariffs and restrictions limiting free movement of currency and an unfavorable trade environment, including as a result of political conditions and changes in the laws in the United States and elsewhere and as described in more detail below;</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antitrust and competition regulations;</w:t>
      </w:r>
    </w:p>
    <w:p>
      <w:pPr>
        <w:spacing w:after="0" w:line="183" w:lineRule="exact"/>
        <w:rPr>
          <w:rFonts w:ascii="Times New Roman" w:cs="Times New Roman" w:eastAsia="Times New Roman" w:hAnsi="Times New Roman"/>
          <w:sz w:val="18"/>
          <w:szCs w:val="18"/>
          <w:color w:val="auto"/>
        </w:rPr>
      </w:pPr>
    </w:p>
    <w:p>
      <w:pPr>
        <w:ind w:left="900" w:right="320" w:hanging="263"/>
        <w:spacing w:after="0" w:line="265" w:lineRule="auto"/>
        <w:tabs>
          <w:tab w:leader="none" w:pos="90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or levels of enforcement, including the Inflation Reduction Act of 2022, which includes a minimum corporate tax which could result in an additional tax liability in a given year;</w:t>
      </w:r>
    </w:p>
    <w:p>
      <w:pPr>
        <w:spacing w:after="0" w:line="133" w:lineRule="exact"/>
        <w:rPr>
          <w:rFonts w:ascii="Times New Roman" w:cs="Times New Roman" w:eastAsia="Times New Roman" w:hAnsi="Times New Roman"/>
          <w:sz w:val="17"/>
          <w:szCs w:val="17"/>
          <w:color w:val="auto"/>
        </w:rPr>
      </w:pPr>
    </w:p>
    <w:p>
      <w:pPr>
        <w:ind w:left="900" w:right="500" w:hanging="263"/>
        <w:spacing w:after="0" w:line="270" w:lineRule="auto"/>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expected or actual extended federal government shutdowns, partisan gridlock that results in the inability of Congress to take action or changes to government policy;</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national or regional differences in macroeconomic growth rates; and</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difficulties in collecting accounts receivable.</w:t>
      </w:r>
    </w:p>
    <w:p>
      <w:pPr>
        <w:spacing w:after="0" w:line="197" w:lineRule="exact"/>
        <w:rPr>
          <w:sz w:val="20"/>
          <w:szCs w:val="20"/>
          <w:color w:val="auto"/>
        </w:rPr>
      </w:pPr>
    </w:p>
    <w:p>
      <w:pPr>
        <w:ind w:right="140" w:firstLine="509"/>
        <w:spacing w:after="0" w:line="252" w:lineRule="auto"/>
        <w:rPr>
          <w:sz w:val="20"/>
          <w:szCs w:val="20"/>
          <w:color w:val="auto"/>
        </w:rPr>
      </w:pPr>
      <w:r>
        <w:rPr>
          <w:rFonts w:ascii="Arial" w:cs="Arial" w:eastAsia="Arial" w:hAnsi="Arial"/>
          <w:sz w:val="18"/>
          <w:szCs w:val="18"/>
          <w:color w:val="auto"/>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p>
    <w:p>
      <w:pPr>
        <w:spacing w:after="0" w:line="14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 substantial amount of payments from China. The Chinese government imposes controls on the convertibility of the Renminbi the currency of China, into foreign currencies and, in certain cases, the remittance of currency out of China. The Chinese government may at its discretion further restrict access in the future to foreign currencies for current account transactions, or impose regulatory requirements that may require modifications to our business model for our clients' payors located in China.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p>
    <w:p>
      <w:pPr>
        <w:spacing w:after="0" w:line="14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p>
    <w:p>
      <w:pPr>
        <w:spacing w:after="0" w:line="141"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material to our business. Our failure to comply could materially harm our business.</w:t>
      </w:r>
    </w:p>
    <w:p>
      <w:pPr>
        <w:spacing w:after="0" w:line="112" w:lineRule="exact"/>
        <w:rPr>
          <w:sz w:val="20"/>
          <w:szCs w:val="20"/>
          <w:color w:val="auto"/>
        </w:rPr>
      </w:pPr>
    </w:p>
    <w:p>
      <w:pPr>
        <w:ind w:right="160" w:firstLine="509"/>
        <w:spacing w:after="0" w:line="237" w:lineRule="auto"/>
        <w:rPr>
          <w:sz w:val="20"/>
          <w:szCs w:val="20"/>
          <w:color w:val="auto"/>
        </w:rPr>
      </w:pPr>
      <w:r>
        <w:rPr>
          <w:rFonts w:ascii="Arial" w:cs="Arial" w:eastAsia="Arial" w:hAnsi="Arial"/>
          <w:sz w:val="18"/>
          <w:szCs w:val="18"/>
          <w:color w:val="auto"/>
        </w:rPr>
        <w:t>The local, state, and federal laws, rules, regulations, licensing schemes, and industry standards in the United States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AML and CFT, escheatment, international sanctions regimes, and compliance with the PCI DSS. These laws, rules, regulations, licensing schemes, and standards are enforced by multiple authorities and governing bodies in the United States, including the Department of the Treasury, the Federal Deposit Insurance Corporation, the SEC, Consumer Financial Protection Bureau (CFPB),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For additional discussion about the regulatory environment that we and our clients operate in, please see "Business–Regulation and Industry Standards" in our Annual Report on Form 10-K for the year ended December 31, 2023.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143"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Certain of our subsidiaries are registered with the U.S. Department of the Treasury’s Financial Crimes Enforcement Network (FinCEN). Our subsidiary Flywire Global Corp. has obtained licenses to operate as a money transmitter (or the statutory equivalent) in 43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client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 involved in maintaining and renewing our licenses, certifications, and approvals, and we could be subject to fines or other enforcement action if we are found to violate disclosure, reporting, AML, CFT, capitalization, corporate governance, or other requirements of such licenses.</w:t>
      </w:r>
    </w:p>
    <w:p>
      <w:pPr>
        <w:spacing w:after="0" w:line="129"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If we fail to predict how a U.S. law or regulation or a law or regulation from another jurisdiction in which we operate will be applied to us, we could be subject to additional licensure requirements and/or administrative enforcement actions.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could also require changes to the manner in which we conduct some aspects of our business or potential product changes, and require us to pay fines, penalties, or compensation to clients for past non-compliance. At the federal level, we are registered as a MSB with FinCEN. For additional discussion of the requirements of our MSB registration, please see "Business – Regulation and Industry Standards" in our Annual Report on Form 10-K for the year ended December 31, 2023.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p>
    <w:p>
      <w:pPr>
        <w:spacing w:after="0" w:line="155"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adoption of new money transmitter or MSB statutes in jurisdictions or changes in regulators’ interpretation of existing state and federal money transmitter or MSB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p>
    <w:p>
      <w:pPr>
        <w:spacing w:after="0" w:line="144"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The regulatory environment in which we operate is subject to constant change, and new regulations could make aspects of our business as currently conducted no longer possible.</w:t>
      </w:r>
    </w:p>
    <w:p>
      <w:pPr>
        <w:spacing w:after="0" w:line="98"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In the future, 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U.K. approved an exit from the E.U. (commonly referred to as Brexit), we were required to obtain a license from a member state of the European Economic Area (EEA) which would allow us to continue to provide our solutions to clients located in the EEA under a principle known as “passporting”. We were able to obtain a license as an authorized payment institution from the Bank of Lithuania in September 2019 and subsequently obtained the right to passport our solutions to other EEA member states.</w:t>
      </w:r>
    </w:p>
    <w:p>
      <w:pPr>
        <w:spacing w:after="0" w:line="158"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Government agencies may impose new or additional rules on money transmission, which may increase our costs of doing business, including, but not limited to regulations that:</w:t>
      </w:r>
    </w:p>
    <w:p>
      <w:pPr>
        <w:spacing w:after="0" w:line="112" w:lineRule="exact"/>
        <w:rPr>
          <w:sz w:val="20"/>
          <w:szCs w:val="20"/>
          <w:color w:val="auto"/>
        </w:rPr>
      </w:pPr>
    </w:p>
    <w:p>
      <w:pPr>
        <w:ind w:left="900" w:right="280" w:hanging="263"/>
        <w:spacing w:after="0" w:line="270" w:lineRule="auto"/>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prohibit, restrict, and/or impose taxes or fees on money transmission transactions in, to or from certain countries or with certain governments, individuals, and entities;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impose additional client identification and client due diligence requirements;</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impose additional reporting or recordkeeping requirements, or require enhanced transaction monitoring;</w:t>
      </w:r>
    </w:p>
    <w:p>
      <w:pPr>
        <w:spacing w:after="0" w:line="183" w:lineRule="exact"/>
        <w:rPr>
          <w:rFonts w:ascii="Times New Roman" w:cs="Times New Roman" w:eastAsia="Times New Roman" w:hAnsi="Times New Roman"/>
          <w:sz w:val="18"/>
          <w:szCs w:val="18"/>
          <w:color w:val="auto"/>
        </w:rPr>
      </w:pPr>
    </w:p>
    <w:p>
      <w:pPr>
        <w:ind w:left="900" w:right="800" w:hanging="263"/>
        <w:spacing w:after="0" w:line="270" w:lineRule="auto"/>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types of entities capable of providing money transmission services, or impose additional licensing or registration requirements;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impose minimum capital or other financial requirements;</w:t>
      </w:r>
    </w:p>
    <w:p>
      <w:pPr>
        <w:spacing w:after="0" w:line="196" w:lineRule="exact"/>
        <w:rPr>
          <w:rFonts w:ascii="Times New Roman" w:cs="Times New Roman" w:eastAsia="Times New Roman" w:hAnsi="Times New Roman"/>
          <w:sz w:val="18"/>
          <w:szCs w:val="18"/>
          <w:color w:val="auto"/>
        </w:rPr>
      </w:pPr>
    </w:p>
    <w:p>
      <w:pPr>
        <w:ind w:left="900" w:right="420" w:hanging="263"/>
        <w:spacing w:after="0" w:line="252" w:lineRule="auto"/>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limit or restrict the revenue that may be generated from money transmission, including revenue from the transaction value associated with the payment method used by our clients’ customers and platform-related fees for access to our solutions and invoice and payment plan fees;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left="900" w:hanging="263"/>
        <w:spacing w:after="0"/>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require enhanced disclosures to our money transmission clients or their customers;</w:t>
      </w:r>
    </w:p>
    <w:p>
      <w:pPr>
        <w:spacing w:after="0" w:line="196" w:lineRule="exact"/>
        <w:rPr>
          <w:rFonts w:ascii="Times New Roman" w:cs="Times New Roman" w:eastAsia="Times New Roman" w:hAnsi="Times New Roman"/>
          <w:sz w:val="18"/>
          <w:szCs w:val="18"/>
          <w:color w:val="auto"/>
        </w:rPr>
      </w:pPr>
    </w:p>
    <w:p>
      <w:pPr>
        <w:ind w:left="900" w:right="280" w:hanging="263"/>
        <w:spacing w:after="0" w:line="270"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the principal amount of money transmission transactions originated in a country to be invested in that country or held in trust until paid;</w:t>
      </w:r>
    </w:p>
    <w:p>
      <w:pPr>
        <w:spacing w:after="0" w:line="113" w:lineRule="exact"/>
        <w:rPr>
          <w:rFonts w:ascii="Times New Roman" w:cs="Times New Roman" w:eastAsia="Times New Roman" w:hAnsi="Times New Roman"/>
          <w:sz w:val="18"/>
          <w:szCs w:val="18"/>
          <w:color w:val="auto"/>
        </w:rPr>
      </w:pPr>
    </w:p>
    <w:p>
      <w:pPr>
        <w:ind w:left="900" w:right="120" w:hanging="263"/>
        <w:spacing w:after="0" w:line="270"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number or principal amount of money transmission transactions that may be sent to or from a jurisdiction, whether by an individual or in the aggregate; and</w:t>
      </w:r>
    </w:p>
    <w:p>
      <w:pPr>
        <w:spacing w:after="0" w:line="113" w:lineRule="exact"/>
        <w:rPr>
          <w:rFonts w:ascii="Times New Roman" w:cs="Times New Roman" w:eastAsia="Times New Roman" w:hAnsi="Times New Roman"/>
          <w:sz w:val="18"/>
          <w:szCs w:val="18"/>
          <w:color w:val="auto"/>
        </w:rPr>
      </w:pPr>
    </w:p>
    <w:p>
      <w:pPr>
        <w:ind w:left="900" w:right="520" w:hanging="263"/>
        <w:spacing w:after="0" w:line="270" w:lineRule="auto"/>
        <w:tabs>
          <w:tab w:leader="none" w:pos="9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restrict or limit our ability to process transactions using centralized databases, for example, by requiring that transactions be processed using a database maintained in a particular country or region.</w:t>
      </w:r>
    </w:p>
    <w:p>
      <w:pPr>
        <w:spacing w:after="0" w:line="129"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economic and trade sanctions, AML and CFT that could impair our ability to compete in international markets or subject us to criminal or civil liability if we violate them.</w:t>
      </w:r>
    </w:p>
    <w:p>
      <w:pPr>
        <w:spacing w:after="0" w:line="98"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We are currently required to comply with U.S. economic and trade sanctions administered OFAC and we have processes in place to comply with the OFAC regulations as well as similar requirements in the foreign jurisdictions in which we already operate. As part of our compliance efforts, we scan our clients and their customers against watch lists promulgated by OFAC and certain other international agencies. Our application can be accessed from nearly anywhere in the world, and if our service is accessed from a sanctioned country or otherwise accessed or used in violation of applicable trade and economic sanctions, we could be subject to fines or other enforcement actions. In the course of implementing geolocation data-based sanctions screening measures, we identified certain payments which, based on geolocation data, appear to have been initiated from Cuba, Iran, or Syria, in potential violation of applicable sanctions regimes. We have made a voluntary submission to OFAC in August 2023 to report the potential violations, and filed an additional submission in April 2024. Although the internal investigation completed to date suggests that any loss incurred as a result of this matter would not be material to our business, if OFAC ultimately concludes any violation has occurred in connection with these or other transactions, it could result in penalties, fines, costs, and restrictions on our ability to do business, which could also harm our operating results.</w:t>
      </w:r>
    </w:p>
    <w:p>
      <w:pPr>
        <w:spacing w:after="0" w:line="14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are also subject to various AML and CFT laws and regulations around the world that prohibit, among other things, our involvement in transferring the proceeds of criminal or terrorist activities. In the United States, most of our solutions are subject to AML laws and regulations, including the BSA, and similar laws and regulations. The BSA, among other things, requires MSBs to develop and implement risk-based AML programs, to report large cash transactions and suspicious activity, and in some cases, to collect and maintain information about clients who use their services and maintain other transaction records. Regulators and third-party auditors have identified gaps in how similar businesses have implemented AML programs, and we could likewise be subject to significant fines, penalties, inquiries, audits, investigations, enforcement actions, and criminal and civil liability if our AML program is found to be insufficient by a regulator.</w:t>
      </w:r>
    </w:p>
    <w:p>
      <w:pPr>
        <w:spacing w:after="0" w:line="156"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business operations in other parts of the world such as the U.K., Lithuania, Canada, Australia, Hong Kong, New Zealand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AML and CFT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 Furthermore, government sanctions imposed with respect to Russia's invasion of Ukraine in early 2022 are impacting our ability to offer our services in the region, and additional sanctions could be imposed in the future. Further instability or tension in Russia, Ukraine, and the surrounding region could also cause us to adjust our operating model, which would increase our costs of operations.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8"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b w:val="1"/>
          <w:bCs w:val="1"/>
          <w:i w:val="1"/>
          <w:iCs w:val="1"/>
          <w:color w:val="auto"/>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p>
    <w:p>
      <w:pPr>
        <w:spacing w:after="0" w:line="131"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p>
    <w:p>
      <w:pPr>
        <w:spacing w:after="0" w:line="142"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FERPA, HIPAA,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California Consumer Protection Act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 On August 24, 2022, the California Attorney General announced the entry of a final judgment enforcement action resulting in a fine and settlement under the CCPA, as the defendant was ordered to pay a $1.2 million penalty and, among other things, implement a monitoring and reporting program to demonstrate its ongoing compliance with the CCPA.</w:t>
      </w:r>
    </w:p>
    <w:p>
      <w:pPr>
        <w:spacing w:after="0" w:line="15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Additionally, the California Privacy Rights Act (CPRA), which was passed in November 2020 and became effective on January 1, 2023, imposed additional obligations on companies covered by the legislation and significantly modified the CCPA, including by expanding consumers’ rights with respect to certain sensitive personal information. The CPRA also created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55"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Several states in the U.S. have proposed or enacted laws that contain obligations similar to the CCPA and CPRA that have taken effect or will take effect in coming years. The U.S. federal government also is contemplating federal privacy legislation. The effects of recently proposed or enacted legislation potentially are far-reaching. Such legislation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44"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Many of the foreign jurisdictions where we or our clients operate or conduct business, including the E.U., have laws and regulations dealing with the collection, use, storage, and disclosure and other handling (collectively, processing) of personal information, which in some cases are more restrictive than those in the U.S.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we have multiple offices in Europe and serves clients and their customers throughout the E.U., where the General Data Protection Regulation (GDPR) went into effect in 2018. The GDPR, which is also the law in Iceland, Norway, Liechtenstein, and—to a large degree—the U.K., has an extensive global reach and imposes robust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spacing w:after="0" w:line="155"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 xml:space="preserve">Legal developments have created compliance uncertainty regarding some transfers of personal information from the U.K. and EEA to locations where we or our clients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 ruled in its “Schrems II” decision (C-311/18), that the Privacy Shield, a transfer mechanism used by thousands of companies to transfer data between those jurisdictions and United States (and also used by us),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clients continue to use alternative transfer strategies, including the European Commission’s Standard Contractual Clauses (SCCs), while the authorities interpret the </w:t>
      </w:r>
      <w:r>
        <w:rPr>
          <w:rFonts w:ascii="Arial" w:cs="Arial" w:eastAsia="Arial" w:hAnsi="Arial"/>
          <w:sz w:val="18"/>
          <w:szCs w:val="18"/>
          <w:i w:val="1"/>
          <w:iCs w:val="1"/>
          <w:color w:val="auto"/>
        </w:rPr>
        <w:t>Schrems</w:t>
      </w:r>
    </w:p>
    <w:p>
      <w:pPr>
        <w:spacing w:after="0" w:line="5" w:lineRule="exact"/>
        <w:rPr>
          <w:sz w:val="20"/>
          <w:szCs w:val="20"/>
          <w:color w:val="auto"/>
        </w:rPr>
      </w:pPr>
    </w:p>
    <w:p>
      <w:pPr>
        <w:ind w:right="20" w:firstLine="8"/>
        <w:spacing w:after="0" w:line="237" w:lineRule="auto"/>
        <w:tabs>
          <w:tab w:leader="none" w:pos="150" w:val="left"/>
        </w:tabs>
        <w:numPr>
          <w:ilvl w:val="0"/>
          <w:numId w:val="38"/>
        </w:numPr>
        <w:rPr>
          <w:rFonts w:ascii="Arial" w:cs="Arial" w:eastAsia="Arial" w:hAnsi="Arial"/>
          <w:sz w:val="18"/>
          <w:szCs w:val="18"/>
          <w:i w:val="1"/>
          <w:iCs w:val="1"/>
          <w:color w:val="auto"/>
        </w:rPr>
      </w:pPr>
      <w:r>
        <w:rPr>
          <w:rFonts w:ascii="Arial" w:cs="Arial" w:eastAsia="Arial" w:hAnsi="Arial"/>
          <w:sz w:val="18"/>
          <w:szCs w:val="18"/>
          <w:color w:val="auto"/>
        </w:rPr>
        <w:t xml:space="preserve">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may be further challenged, suspended or invalidated for transfers to some or all countries. For example, guidance regarding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 changes to internal business processes, changes to clients and clients' customer facing solutions, or may otherwise affect or restrict our sales and operations.</w:t>
      </w:r>
    </w:p>
    <w:p>
      <w:pPr>
        <w:spacing w:after="0" w:line="140"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On June 4, 2021, the European Commission released the final Implementing Decision on SCCs (New SCCs) for the transfer of personal data from the E.U. to “third countries” such as the US. The New SCCs will repeal and replace the existing SCCs (dating from 2001, 2004 and 2010) and address the entry into force of the GDPR) and the July 2020 decision of the CJEU in Schrems II, which invalidated the E.U.-U.S. Privacy Shield. The New SCCs broadly follow the draft implementing decision on standard contractual clauses (Draft SCCs) issued by the European Commission on November 12, 2020, but there are some material differences. The Draft SCCs’ significant and extensive new requirements for data importers that act as controllers (for example, obligations to give notice to data subjects and to notify personal data breaches to EU authorities) remain, but have been aligned more closely with the GDPR requirements. While the New SCCs are not immediately in force, compliance with them will be required for new transfer agreements entered into from late September 2021. SCCs then in effect were required to be replaced with the New SCCs by December 27, 2022.</w:t>
      </w:r>
    </w:p>
    <w:p>
      <w:pPr>
        <w:spacing w:after="0" w:line="141"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On July 10, 2023, the European Commission formally approved the new EU-U.S. Data Privacy Framework (the “Framework”), under which European entities will now be able to transfer personal data to Framework participants in the U.S. without having to put in place additional data protection safeguards or use the Standard Contractual Clauses for data transfers. We are in the process of evaluating how we may self-certify as a participating organization with the U.S. Department of Commerce.</w:t>
      </w:r>
    </w:p>
    <w:p>
      <w:pPr>
        <w:spacing w:after="0" w:line="14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E.U. data protection authorities have the power to impose administrative fines for violations of the GDPR of up to a maximum of € 20 million or 4% of a corporate family’s total worldwide global turnover for the preceding fiscal year, whichever is higher. Such penalties are in addition to any civil litigation claims by clients, data subjects or other third parties. We believe that the solutions that we currently offer subject us to the GDPR and other laws and regulations relating to privacy, data protection, and information security, and these may be modified or subject to new or different interpretations in the future. We will need to take steps to address compliance obligations in this rapidly evolving legal environment, but we cannot assure you that we will be able to implement changes in a timely manner or without significant disruption to our business, or that such steps will be effective, and we may face the risk of liability and loss of business.</w:t>
      </w:r>
    </w:p>
    <w:p>
      <w:pPr>
        <w:spacing w:after="0" w:line="142"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out the U.K.’s data protection regime, which is independent from but aligned to the E.U.’s data protection regime. Non-compliance with the U.K. GDPR may result in monetary penalties of up to £17.5 million or 4% of worldwide revenue, whichever is higher. Like the GDPR, the U.K. GDPR restricts personal data transfers outside the U.K. to countries not regarded by the U.K. as providing adequate protection (this means that personal data transfers from the U.K. to the EEA remain free flowing).</w:t>
      </w:r>
    </w:p>
    <w:p>
      <w:pPr>
        <w:spacing w:after="0" w:line="149"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On June 28, 2021, the European Commission adopted an adequacy decision under the GDPR, thereby recognizing that the U.K.’s data protection system continues to provide the same protections with respect to personal data as when it was an EU member state, and enabling the continued exchange of personal data between the E.U. and the U.K. The adequacy decision facilitates the implementation of the E.U.-U.K. Trade Cooperation Agreement, which foresaw the need for bilateral data flow and continued cooperation. The adequacy decision does, however, include a ‘sunset clause’, limiting its duration to four years, at which point the European Commission will need to once again review the safeguards in place in the U.K.’s post-Brexit legal system and decide if the adequacy decision may be renewed.</w:t>
      </w:r>
    </w:p>
    <w:p>
      <w:pPr>
        <w:spacing w:after="0" w:line="142" w:lineRule="exact"/>
        <w:rPr>
          <w:sz w:val="20"/>
          <w:szCs w:val="20"/>
          <w:color w:val="auto"/>
        </w:rPr>
      </w:pPr>
    </w:p>
    <w:p>
      <w:pPr>
        <w:ind w:right="320" w:firstLine="509"/>
        <w:spacing w:after="0" w:line="266" w:lineRule="auto"/>
        <w:rPr>
          <w:sz w:val="20"/>
          <w:szCs w:val="20"/>
          <w:color w:val="auto"/>
        </w:rPr>
      </w:pPr>
      <w:r>
        <w:rPr>
          <w:rFonts w:ascii="Arial" w:cs="Arial" w:eastAsia="Arial" w:hAnsi="Arial"/>
          <w:sz w:val="17"/>
          <w:szCs w:val="17"/>
          <w:color w:val="auto"/>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p>
    <w:p>
      <w:pPr>
        <w:spacing w:after="0" w:line="118" w:lineRule="exact"/>
        <w:rPr>
          <w:sz w:val="20"/>
          <w:szCs w:val="20"/>
          <w:color w:val="auto"/>
        </w:rPr>
      </w:pPr>
    </w:p>
    <w:p>
      <w:pPr>
        <w:ind w:right="100" w:firstLine="509"/>
        <w:spacing w:after="0" w:line="258" w:lineRule="auto"/>
        <w:rPr>
          <w:sz w:val="20"/>
          <w:szCs w:val="20"/>
          <w:color w:val="auto"/>
        </w:rPr>
      </w:pPr>
      <w:r>
        <w:rPr>
          <w:rFonts w:ascii="Arial" w:cs="Arial" w:eastAsia="Arial" w:hAnsi="Arial"/>
          <w:sz w:val="17"/>
          <w:szCs w:val="17"/>
          <w:color w:val="auto"/>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 APPI. We have taken steps to address compliance obligations that apply to us under the Amended APPI, but cannot assure you that such steps will be effective, and we may face the risk of increased costs, liability and loss of business.</w:t>
      </w:r>
    </w:p>
    <w:p>
      <w:pPr>
        <w:spacing w:after="0" w:line="142"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China (home to the most online users in the world) passed its DSL and its PIPL in 2021. The DSL applies to a wide range of data processing activities including, but not limited to, processing personal information. With extraterritorial scope and severe fines and penalties, these laws are set to impose an increasingly complex and comprehensive legal framework for processing personal information when doing business in China. The PIPL is enforced and administered by the Cyberspace Administration of China and relevant state and local government departments. The law draws from the GDPR, with heavy penalties up to the greater of 5% of the previous year’s revenue (possibly global) or $7.7 million. Chinese authorities have demonstrated a willingness to impose significant fines for violations of PIPL and other privacy laws, as evidenced by enforcement actions against Alibaba Group Holding Ltd and Didi Global Inc. in 2022.</w:t>
      </w:r>
    </w:p>
    <w:p>
      <w:pPr>
        <w:spacing w:after="0" w:line="142"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As a reaction to data security concerns, in 2022, the Australian parliament approved a bill to amend the country's privacy legislation, significantly increasing the maximum penalties for companies and data controllers who suffer large-scale data breaches to the greater of: (i) AU$50 million, (ii) three times the value of any benefit obtained through the misuse of information, and (iii) 30% of a company's adjusted turnover in the relevant period. Previously, the penalty for severe data exposures was AU$2.22 million, considered by the current parliament to be wholly inadequate to incentivize companies to improve their data security mechanisms. The Office of the Australian Information Commissioner has new regulatory tools and flexibility that should, together with an ongoing focus on funding enforcement, see a more proactive regulator with capacity and capability to investigate and litigate more privacy incidents in Australia.</w:t>
      </w:r>
    </w:p>
    <w:p>
      <w:pPr>
        <w:spacing w:after="0" w:line="142" w:lineRule="exact"/>
        <w:rPr>
          <w:sz w:val="20"/>
          <w:szCs w:val="20"/>
          <w:color w:val="auto"/>
        </w:rPr>
      </w:pPr>
    </w:p>
    <w:p>
      <w:pPr>
        <w:jc w:val="both"/>
        <w:ind w:right="160" w:firstLine="509"/>
        <w:spacing w:after="0" w:line="252" w:lineRule="auto"/>
        <w:rPr>
          <w:sz w:val="20"/>
          <w:szCs w:val="20"/>
          <w:color w:val="auto"/>
        </w:rPr>
      </w:pPr>
      <w:r>
        <w:rPr>
          <w:rFonts w:ascii="Arial" w:cs="Arial" w:eastAsia="Arial" w:hAnsi="Arial"/>
          <w:sz w:val="18"/>
          <w:szCs w:val="18"/>
          <w:color w:val="auto"/>
        </w:rPr>
        <w:t>We have taken steps to address compliance obligations that apply to us under the Amended APPI, the DSL, the PIPL and applicable Australian regulations, but cannot assure you that such steps will be effective, and we may face the risk of increased costs, liability and loss of business.</w:t>
      </w:r>
    </w:p>
    <w:p>
      <w:pPr>
        <w:spacing w:after="0" w:line="14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if adopted, may apply to us, or which clients or clients'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p>
    <w:p>
      <w:pPr>
        <w:spacing w:after="0" w:line="15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144"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98"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 maintain operations and serve clients in several countries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FlyMates, representatives, contractors, partners, and agents, even if we do not explicitly authorize such activities.</w:t>
      </w:r>
    </w:p>
    <w:p>
      <w:pPr>
        <w:spacing w:after="0" w:line="156"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While we maintain policies and training programs for our FlyMates related to anti-corruption, anti-bribery and gift giving, and include representations regarding legal compliance in our contracts with vendors and strategic partners, there 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p>
    <w:p>
      <w:pPr>
        <w:spacing w:after="0" w:line="13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14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February 2022, following Russia’s invasion of Ukraine, the United States and other countries announced sanctions against Russia. The sanctions by the United States and other countries against Russia to date include restrictions on selling or importing goods, services or technology in or from affected regions, travel bans and asset freezes impacting connected individuals and political, military, business and financial organizations in Russia, severing Russia’s largest bank from the U.S. financial system, barring some Russian enterprises from raising money in the U.S. market and blocking the access of Russian banks to financial markets. The United States and other countries could impose wider sanctions and take other actions should the conflict further escalate. While it is difficult to anticipate the impact the sanctions announced to date may have on us, any further sanctions imposed or actions taken by the United States or</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other countries, and any retaliatory measures by Russia in response, could increase our costs, reduce our sales and earnings or otherwise have an adverse effect on our operations.</w:t>
      </w:r>
    </w:p>
    <w:p>
      <w:pPr>
        <w:spacing w:after="0" w:line="128"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If we fail to adequately protect our proprietary rights, our competitive position could be impaired and we may lose valuable assets, generate less revenue and incur costly litigation to protect our rights.</w:t>
      </w:r>
    </w:p>
    <w:p>
      <w:pPr>
        <w:spacing w:after="0" w:line="98"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p>
    <w:p>
      <w:pPr>
        <w:spacing w:after="0" w:line="145"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 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 Furthermore, the growing use of generative artificial intelligence presents an increased risk of unintentional and/or unauthorized disclosure or use of our intellectual property rights.</w:t>
      </w:r>
    </w:p>
    <w:p>
      <w:pPr>
        <w:spacing w:after="0" w:line="15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We endeavor to enter into agreements with our FlyMates, consultants and contractors and with parties with whom we do business in order to acquire intellectual property rights developed as a result of service to us, as well as to limit access to and disclosure of our proprietary information. No assurance can be given that our intellectual property related agreements with our FlyMates, consultants, contractors clients, their customers, or strategic partners and others will be effective in controlling access to and distribution of our solutions and proprietary information, potentially resulting in the 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p>
    <w:p>
      <w:pPr>
        <w:spacing w:after="0" w:line="141"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44"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We may in the future be subject to intellectual property disputes, which are costly and may subject us to significant liability and increased costs of doing business.</w:t>
      </w:r>
    </w:p>
    <w:p>
      <w:pPr>
        <w:spacing w:after="0" w:line="11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We may in the future become subject to intellectual property disputes. Lawsuits are time-consuming and expensive to resolve and they divert management’s time and attention. We cannot predict the outcome of lawsuits and cannot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clients in the event of infringement of a third party’s intellectual property rights.</w:t>
      </w:r>
    </w:p>
    <w:p>
      <w:pPr>
        <w:spacing w:after="0" w:line="161"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and sell access to our solutions and subject us to possible litigation.</w:t>
      </w:r>
    </w:p>
    <w:p>
      <w:pPr>
        <w:spacing w:after="0" w:line="98"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recently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p>
    <w:p>
      <w:pPr>
        <w:spacing w:after="0" w:line="142"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 party infringement claims. Although we have implemented policies to regulate the use and incorporation of open source software into our solutions, we cannot be certain that we have not incorporated open source software in our solutions in a manner that is inconsistent with such policies.</w:t>
      </w:r>
    </w:p>
    <w:p>
      <w:pPr>
        <w:spacing w:after="0" w:line="158" w:lineRule="exact"/>
        <w:rPr>
          <w:sz w:val="20"/>
          <w:szCs w:val="20"/>
          <w:color w:val="auto"/>
        </w:rPr>
      </w:pPr>
    </w:p>
    <w:p>
      <w:pPr>
        <w:ind w:right="600"/>
        <w:spacing w:after="0" w:line="278" w:lineRule="auto"/>
        <w:rPr>
          <w:sz w:val="20"/>
          <w:szCs w:val="20"/>
          <w:color w:val="auto"/>
        </w:rPr>
      </w:pPr>
      <w:r>
        <w:rPr>
          <w:rFonts w:ascii="Arial" w:cs="Arial" w:eastAsia="Arial" w:hAnsi="Arial"/>
          <w:sz w:val="18"/>
          <w:szCs w:val="18"/>
          <w:b w:val="1"/>
          <w:bCs w:val="1"/>
          <w:i w:val="1"/>
          <w:iCs w:val="1"/>
          <w:color w:val="auto"/>
        </w:rPr>
        <w:t>Indemnity and liability provisions in various agreements potentially expose us to substantial liability for intellectual property infringement, data protection, and other losses.</w:t>
      </w:r>
    </w:p>
    <w:p>
      <w:pPr>
        <w:spacing w:after="0" w:line="98"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client or clients' customer data, and any such coverage may not continue to be available to us on acceptable terms or at all.</w:t>
      </w:r>
    </w:p>
    <w:p>
      <w:pPr>
        <w:spacing w:after="0" w:line="144"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New or revised tax regulations, unfavorable resolution of tax contingencies or changes to enacted tax rates could adversely affect our tax expense.</w:t>
      </w:r>
    </w:p>
    <w:p>
      <w:pPr>
        <w:spacing w:after="0" w:line="112" w:lineRule="exact"/>
        <w:rPr>
          <w:sz w:val="20"/>
          <w:szCs w:val="20"/>
          <w:color w:val="auto"/>
        </w:rPr>
      </w:pPr>
    </w:p>
    <w:p>
      <w:pPr>
        <w:jc w:val="both"/>
        <w:ind w:right="240" w:firstLine="509"/>
        <w:spacing w:after="0" w:line="252" w:lineRule="auto"/>
        <w:rPr>
          <w:sz w:val="20"/>
          <w:szCs w:val="20"/>
          <w:color w:val="auto"/>
        </w:rPr>
      </w:pPr>
      <w:r>
        <w:rPr>
          <w:rFonts w:ascii="Arial" w:cs="Arial" w:eastAsia="Arial" w:hAnsi="Arial"/>
          <w:sz w:val="18"/>
          <w:szCs w:val="18"/>
          <w:color w:val="auto"/>
        </w:rPr>
        <w:t>As a multinational organization, we may be subject to taxation in several jurisdictions around the world with increasingly complex tax laws, the application, interpretation and enforcement of which can be uncertain. Changes in tax laws or their interpretations could result in changes to enacted tax rates and may require complex computations to be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jc w:val="both"/>
        <w:ind w:right="440"/>
        <w:spacing w:after="0" w:line="252" w:lineRule="auto"/>
        <w:rPr>
          <w:sz w:val="20"/>
          <w:szCs w:val="20"/>
          <w:color w:val="auto"/>
        </w:rPr>
      </w:pPr>
      <w:r>
        <w:rPr>
          <w:rFonts w:ascii="Arial" w:cs="Arial" w:eastAsia="Arial" w:hAnsi="Arial"/>
          <w:sz w:val="18"/>
          <w:szCs w:val="18"/>
          <w:color w:val="auto"/>
        </w:rPr>
        <w:t>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p>
    <w:p>
      <w:pPr>
        <w:spacing w:after="0" w:line="144" w:lineRule="exact"/>
        <w:rPr>
          <w:sz w:val="20"/>
          <w:szCs w:val="20"/>
          <w:color w:val="auto"/>
        </w:rPr>
      </w:pPr>
    </w:p>
    <w:p>
      <w:pPr>
        <w:ind w:right="220" w:firstLine="509"/>
        <w:spacing w:after="0" w:line="246" w:lineRule="auto"/>
        <w:rPr>
          <w:sz w:val="20"/>
          <w:szCs w:val="20"/>
          <w:color w:val="auto"/>
        </w:rPr>
      </w:pPr>
      <w:r>
        <w:rPr>
          <w:rFonts w:ascii="Arial" w:cs="Arial" w:eastAsia="Arial" w:hAnsi="Arial"/>
          <w:sz w:val="18"/>
          <w:szCs w:val="18"/>
          <w:color w:val="auto"/>
        </w:rPr>
        <w:t>For example, the Inflation Reduction Act of 2022 includes a minimum tax equal to fifteen percent of the adjusted financial statement income of certain corporations as well as a one percent excise tax on share buybacks, effective for tax years beginning in 2023. When effective, it is possible that the minimum tax could result in an additional tax liability over the regular federal corporate tax liability in a given year based on differences between book and taxable income (including as a result of temporary differences).</w:t>
      </w:r>
    </w:p>
    <w:p>
      <w:pPr>
        <w:spacing w:after="0" w:line="13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ruled in South Dakota v. Wayfair, Inc. et al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p>
    <w:p>
      <w:pPr>
        <w:spacing w:after="0" w:line="145"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Relevant foreign taxing authorities may disagree with our determinations as to whether we have established a taxable nexus, often referred to as a “permanent establishment”, or the income and expenses attributable to specific jurisdictions. In addition, these authorities may take aggressive tax recovery positions that the funds flows we process are subject to value added tax or goods and services tax. If disagreements with relevant taxing authorities on other unknown matters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55"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 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 financial amount no more than any related liability. An unfavorable resolution, therefore, could negatively affect our financial position, results of operations and cash flows in the current and/or future periods.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(NOL) to offset future taxable income may be subject to certain limitations.</w:t>
      </w:r>
    </w:p>
    <w:p>
      <w:pPr>
        <w:spacing w:after="0" w:line="16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As of March 31, 2024, we had U.S. federal NOL carryforwards of approximately $47.4 million and state NOL carryforwards of approximately $81.8 million. The federal and material state NOL carryforwards will begin to expire in 2030 and 2024, respectively. In general, under Sections 382 and 383 of the United States Internal Revenue Code of 1986, as amended (Code), a corporation that undergoes an “ownership change” is subject to limitations on its ability to utilize its pre-change NOLs and other tax attributes such as research tax credits to offset future taxable income.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Future changes in our stock ownership, many of which are outside of our control, could result in an ownership change under Sections 382 or 383 of the Code. Furthermore, our ability to utilize NOLs of companies that we may acquire in the future may be subject to limitations.</w:t>
      </w:r>
    </w:p>
    <w:p>
      <w:pPr>
        <w:spacing w:after="0" w:line="15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During 2022, the Company completed a Section 382 study and as a result of the ownership changes identified, $1.6 million of Flywire’s NOLs and $0.2 million of Simplee’s NOLs will expire unutilized, assuming sufficient taxable income is generated in the future. The Company is in the process of updating its Section 382 study and preliminary indications show there will be no additional limitations in using Federal and State NOL carryforwards.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220" w:firstLine="509"/>
        <w:spacing w:after="0" w:line="239" w:lineRule="auto"/>
        <w:rPr>
          <w:sz w:val="20"/>
          <w:szCs w:val="20"/>
          <w:color w:val="auto"/>
        </w:rPr>
      </w:pPr>
      <w:r>
        <w:rPr>
          <w:rFonts w:ascii="Arial" w:cs="Arial" w:eastAsia="Arial" w:hAnsi="Arial"/>
          <w:sz w:val="18"/>
          <w:szCs w:val="18"/>
          <w:color w:val="auto"/>
        </w:rPr>
        <w:t>Under the Tax Cuts and Jobs Act enacted in 2017 as modified by the Coronavirus Aid, Relief, and Economic Security Act enacted in 2020, U.S. federal NOL carryforwards generated in taxable periods beginning after December 31, 2017 may be carried forward indefinitely, but the deductibility of such NOL carryforwards in taxable years beginning after December 31, 2020 is limited to 80% of taxable income. In addition, federal NOLs arising in tax years ending after December 31, 2017 can be carried forward indefinitely, but carryback is generally prohibited. NOLs generated in tax years beginning before January 1, 2018 will not be subject to the taxable income limitation, and NOLs generated in tax years ending before January 1, 2018 will continue to have a two-year carryback and twenty-year carryforward period. Deferred tax assets for NOLs will need to be measured at the applicable tax rate in effect when the NOL is expected to be utilized. Similar rules may apply under state tax laws. The changes in the carryforward/carryback periods as well as the new limitation on use of NOLs may significantly impact our valuation allowance assessments for NOLs generated after December 31,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As a public company, we are obligated to develop and maintain proper and effective internal control over financial reporting, and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1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Sarbanes-Oxley Act of 2002 (Sarbanes-Oxley Act), the Dodd-Frank Wall Street Reform and Consumer Protection Act of 2010 (Dodd-Frank), the listing requirements of The Nasdaq Global Select Market (Nasdaq), and other applicable securities rules and regulations. Compliance with these rules and regulations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p>
    <w:p>
      <w:pPr>
        <w:spacing w:after="0" w:line="156"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As a "large accelerated" filer, we are required, pursuant to Section 404 of the Sarbanes-Oxley Act (Section 404),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142"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This assessment includes disclosure of any material weaknesses identified by our management in our internal control over financial reporting and our independent registered public accounting firm will be required to issue an opinion on the effectiveness of our internal control over financial reporting. We expect to incur significant expenses and devote substantial management effort toward ensuring compliance with the auditor attestation requirements of Section 404. Furthermore, we will also have to file a more expansive proxy statement and are subject to shorter filing deadlines, which will require additional time and expense as well.</w:t>
      </w:r>
    </w:p>
    <w:p>
      <w:pPr>
        <w:spacing w:after="0" w:line="139"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are required to disclose changes made in our internal control and procedures on a quarterly basis. To comply with the requirements of being a public company, we have undertaken and expect to need to continue to undertake various actions, such as implementing new internal controls and procedures, hiring risk professionals, accounting and internal audit staff, and engaging outside consultants, which will increase our operating expenses.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actively engaged in the ongoing costly and challenging process of performing the evaluation needed to comply with Section</w:t>
      </w:r>
    </w:p>
    <w:p>
      <w:pPr>
        <w:spacing w:after="0" w:line="13" w:lineRule="exact"/>
        <w:rPr>
          <w:sz w:val="20"/>
          <w:szCs w:val="20"/>
          <w:color w:val="auto"/>
        </w:rPr>
      </w:pPr>
    </w:p>
    <w:p>
      <w:pPr>
        <w:ind w:right="100" w:firstLine="8"/>
        <w:spacing w:after="0" w:line="242" w:lineRule="auto"/>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Increased scrutiny from investors and others or changes in regulations regarding our environmental, social, governance, or sustainability responsibilities could result in additional costs or risks and adversely impact our reputation, employee retention, and willingness of partners, clients or our clients’ customers to do business with us.</w:t>
      </w:r>
    </w:p>
    <w:p>
      <w:pPr>
        <w:spacing w:after="0" w:line="118"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Investor advocacy groups, certain institutional investors, investment funds, other market participants, stockholders, and consumer groups have focused increasingly on ESG or “sustainability” practices of companies. These parties have placed increased importance on the implications of the social cost of their investments. We have convened a cross-functional working group to further enhance our commitment to sustainability and ESG, and recognize the importance of communicating our progress on ESG to our stakeholders. As part of its responsibilities, our ESG working group is assessing opportunities for communicating progress on our priority initiatives. However, if our ESG practices do not meet (or are viewed as not meeting) investor or other industry stakeholder expectations and standards, which continue to evolve, our brand, reputation and employee retention may be negatively impacted, including based on an assessment of our ESG practices. Any sustainability report that we publish or sustainability disclosure we make may include our policies and practices on a variety of social and ethical matters, including corporate governance, community involvement, environmental compliance, employee health and safety practices, cybersecurity and privacy, human capital management, and workforce equity, inclusion and diversity. It is possible that stakeholders may not be satisfied with our ESG practices or the speed of their adoption. We could also incur additional costs and require additional resources to monitor, report, and comply with various ESG practices. Also, our failure, or perceived failure, to meet the standards included in any sustainability disclosure could negatively impact our reputation, employee retention, and the willingness of our partners, clients or our clients’ customers to do business with us.</w:t>
      </w:r>
    </w:p>
    <w:p>
      <w:pPr>
        <w:spacing w:after="0" w:line="145"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In addition, increasing governmental interest in, and public awareness of, the impacts and effects of climate change and greater emphasis on sustainability by federal, state, and international governments could lead to further regulatory efforts to address the carbon impact of housing and travel. In particular, the current regulatory landscape regarding climate change (including disclosure requirements and requirements regarding energy and water use and efficiency), both within the United States and in many other locations where we operate worldwide, is evolving at a pace, and is likely to continue to develop in ways, that require our business to adapt. Many U.S. states, either individually or through multi-state regional initiatives, have begun to address greenhouse gas emissions, including disclosure requirements relating thereto, and some U.S. states have also adopted various ESG-related efforts, initiatives and requirements. As a result, governments may enact new laws and regulations and/or view matters or interpret laws and regulations differently than they have in the past, including laws and regulations which are responsive to ESG trends or otherwise seek to reduce the carbon emissions relating to travel and set minimum energy efficiency requirements, which could materially adversely affect our business, results of operations, and financial condition. The legislative landscape continues to be in a state of constant change as well as legal challenge with respect to these laws and regulations, making it difficult to predict with certainty the ultimate impact they will have on our business in the aggregate.</w:t>
      </w:r>
    </w:p>
    <w:p>
      <w:pPr>
        <w:spacing w:after="0" w:line="155"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compliance with our public company responsibilities and corporate governance practices.</w:t>
      </w:r>
    </w:p>
    <w:p>
      <w:pPr>
        <w:spacing w:after="0" w:line="98"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As a public company, we will continue to incur significant legal, accounting, and other expenses as a result of operating as a public company, which increased during 2023 as a result of becoming a "large accelerated" filer.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86"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The price of our common stock may be volatile or may decline regardless of our operating performance and you may not be able to resell your shares at or above the price you paid for them.</w:t>
      </w:r>
    </w:p>
    <w:p>
      <w:pPr>
        <w:spacing w:after="0" w:line="98" w:lineRule="exact"/>
        <w:rPr>
          <w:sz w:val="20"/>
          <w:szCs w:val="20"/>
          <w:color w:val="auto"/>
        </w:rPr>
      </w:pPr>
    </w:p>
    <w:p>
      <w:pPr>
        <w:ind w:right="800" w:firstLine="509"/>
        <w:spacing w:after="0" w:line="271" w:lineRule="auto"/>
        <w:rPr>
          <w:sz w:val="20"/>
          <w:szCs w:val="20"/>
          <w:color w:val="auto"/>
        </w:rPr>
      </w:pPr>
      <w:r>
        <w:rPr>
          <w:rFonts w:ascii="Arial" w:cs="Arial" w:eastAsia="Arial" w:hAnsi="Arial"/>
          <w:sz w:val="18"/>
          <w:szCs w:val="18"/>
          <w:color w:val="auto"/>
        </w:rPr>
        <w:t>An active or liquid market in our common stock may not be sustainable. The market price of our common stock may fluctuate significantly in response to numerous factors, many of which are beyond our control, including:</w:t>
      </w:r>
    </w:p>
    <w:p>
      <w:pPr>
        <w:spacing w:after="0" w:line="112" w:lineRule="exact"/>
        <w:rPr>
          <w:sz w:val="20"/>
          <w:szCs w:val="20"/>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overall performance of the equity markets;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our operating performance and the performance of other similar companies;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the roll out of new solutions;</w:t>
      </w:r>
    </w:p>
    <w:p>
      <w:pPr>
        <w:spacing w:after="0" w:line="183" w:lineRule="exact"/>
        <w:rPr>
          <w:rFonts w:ascii="Times New Roman" w:cs="Times New Roman" w:eastAsia="Times New Roman" w:hAnsi="Times New Roman"/>
          <w:sz w:val="18"/>
          <w:szCs w:val="18"/>
          <w:color w:val="auto"/>
        </w:rPr>
      </w:pPr>
    </w:p>
    <w:p>
      <w:pPr>
        <w:ind w:left="1020" w:right="480" w:hanging="504"/>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12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actions with respect to our payment solutions;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expenses related to our solutions;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of acquisitions, strategic alliances or significant agreements by us or by our competitors;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recruitment or departure of key personnel;</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economy as a whole and market conditions in our industry;</w:t>
      </w:r>
    </w:p>
    <w:p>
      <w:pPr>
        <w:spacing w:after="0" w:line="183" w:lineRule="exact"/>
        <w:rPr>
          <w:rFonts w:ascii="Times New Roman" w:cs="Times New Roman" w:eastAsia="Times New Roman" w:hAnsi="Times New Roman"/>
          <w:sz w:val="18"/>
          <w:szCs w:val="18"/>
          <w:color w:val="auto"/>
        </w:rPr>
      </w:pPr>
    </w:p>
    <w:p>
      <w:pPr>
        <w:ind w:left="1020" w:right="400" w:hanging="504"/>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or social unrest, war or other military conflict, including an escalation of the conflict between Russia and Ukraine, or between Israel and Hamas, respectively, economic instability, repression, or human rights issues;</w:t>
      </w:r>
    </w:p>
    <w:p>
      <w:pPr>
        <w:spacing w:after="0" w:line="11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financing or other corporate transactions, or inability to obtain additional funding;</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that negatively impact international travel, study or commerce;</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payment systems;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effects of ongoing United States-China and Canada-India diplomatic and trade friction;</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trading activity by a limited number of stockholders who together beneficially own a majority of our outstanding common stock;</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expiration of market standoff or contractual lock-up agreements;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size of our market float; and</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factors discussed in this Quarterly Report on Form 10-Q and our other SEC filings.</w:t>
      </w:r>
    </w:p>
    <w:p>
      <w:pPr>
        <w:spacing w:after="0" w:line="183"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w:t>
      </w:r>
    </w:p>
    <w:p>
      <w:pPr>
        <w:spacing w:after="0" w:line="126" w:lineRule="exact"/>
        <w:rPr>
          <w:sz w:val="20"/>
          <w:szCs w:val="20"/>
          <w:color w:val="auto"/>
        </w:rPr>
      </w:pPr>
    </w:p>
    <w:p>
      <w:pPr>
        <w:ind w:right="160" w:firstLine="509"/>
        <w:spacing w:after="0" w:line="252" w:lineRule="auto"/>
        <w:rPr>
          <w:sz w:val="20"/>
          <w:szCs w:val="20"/>
          <w:color w:val="auto"/>
        </w:rPr>
      </w:pPr>
      <w:r>
        <w:rPr>
          <w:rFonts w:ascii="Arial" w:cs="Arial" w:eastAsia="Arial" w:hAnsi="Arial"/>
          <w:sz w:val="18"/>
          <w:szCs w:val="18"/>
          <w:color w:val="auto"/>
        </w:rPr>
        <w:t>Concerns over economic recession, interest rate increases and inflation, supply chain delays and disruptions, policy priorities of the U.S. presidential administration and Congress, trade wars, unemployment, or prolonged government shutdown may contribute to increased volatility and diminished expectations for the economy and markets. Additionally,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concern over geopolitical issues may also contribute to prolonged market volatility and instability. For example, the conflict between Russia and Ukraine could lead to disruption, instability and volatility in global markets and industries. The U.S. government and other governments in jurisdictions have imposed severe economic sanctions and export controls against Russia and Russian interests, have removed Russia from the SWIFT system, and have threatened additional sanctions and controls. The full impact of these measures, as well as potential responses to them by Russia, is unknown.</w:t>
      </w:r>
    </w:p>
    <w:p>
      <w:pPr>
        <w:spacing w:after="0" w:line="152"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Stock prices of many companies, and technology companies in particular,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38"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intellectual property on unfavorable terms to us.</w:t>
      </w:r>
    </w:p>
    <w:p>
      <w:pPr>
        <w:spacing w:after="0" w:line="9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government or private party grants, debt financings and strategic partnership agreements. We may seek additional capital through a variety of means, including through strategic partnership arrangements, public or private equity or debt financings, third-party funding and marketing and distribution arrangements, as well as other strategic alliances and licensing arrangements or any combination of these approaches. However, disruptions in the capital markets, particularly with respect to financial technology companies,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 additional capital pursuant to collaborations, licensing arrangements or other strategic partnerships, such agreements may require us to relinquish rights to our technologies.</w:t>
      </w:r>
    </w:p>
    <w:p>
      <w:pPr>
        <w:spacing w:after="0" w:line="153"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If we are unable to raise additional funds through equity or debt financing or through collaborations or strategic partnerships when needed, we may be required to delay, limit, reduce or terminate the development of our solutions or commercialization efforts.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allocate our cash and cash equivalents in ways that you and other stockholders may not approve.</w:t>
      </w:r>
    </w:p>
    <w:p>
      <w:pPr>
        <w:spacing w:after="0" w:line="16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management has broad discretion in the application of our cash and cash equivalents. Because of the number and variability of factors that determine our use of our cash and cash equivalents, their ultimate use may vary substantially from their currently intended use. Our management might not apply cash and cash equivalents in ways that ultimately increase the value of your investment.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and cash equivalents in ways that enhance stockholder value, we may fail to achieve expected financial results, which could cause our stock price to decline.</w:t>
      </w:r>
    </w:p>
    <w:p>
      <w:pPr>
        <w:spacing w:after="0" w:line="158"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9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41"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markets could cause the market price of our common stock to decline.</w:t>
      </w:r>
    </w:p>
    <w:p>
      <w:pPr>
        <w:spacing w:after="0" w:line="112"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The price of our common stock could decline if there are substantial sales of our common stock, particularly sales by our directors, executive officers and significant stockholders, or if there is a large number of shares of our common stock</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available for sale and the market perceives that sales will occur. We had a total of 122,255,050 shares of our voting common stock and 1,873,320 shares of our non-voting common stock outstanding as of March 31, 2024. Other than shares held by directors, executive officers and other affiliates that are subject to volume limitations under Rule 144 under the Securities Act and various vesting agreements, these shares of common stock generally are freely tradable without restrictions or further registration under the Securities Act.</w:t>
      </w:r>
    </w:p>
    <w:p>
      <w:pPr>
        <w:spacing w:after="0" w:line="149"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Certain of our stockholders will have rights, subject to some conditions, to require us to file registration statements covering their shares or to include their shares in registration statements that we may file for ourselves or our stockholders, subject to market standoff and lock-up agreements. We registered shares of common stock that we have issued and may issue under our equity incentive plans. These shares will be able to be sold freely in the public market upon issuance, subject to securities laws.</w:t>
      </w:r>
    </w:p>
    <w:p>
      <w:pPr>
        <w:spacing w:after="0" w:line="136" w:lineRule="exact"/>
        <w:rPr>
          <w:sz w:val="20"/>
          <w:szCs w:val="20"/>
          <w:color w:val="auto"/>
        </w:rPr>
      </w:pPr>
    </w:p>
    <w:p>
      <w:pPr>
        <w:ind w:right="340" w:firstLine="509"/>
        <w:spacing w:after="0" w:line="301" w:lineRule="auto"/>
        <w:rPr>
          <w:sz w:val="20"/>
          <w:szCs w:val="20"/>
          <w:color w:val="auto"/>
        </w:rPr>
      </w:pPr>
      <w:r>
        <w:rPr>
          <w:rFonts w:ascii="Arial" w:cs="Arial" w:eastAsia="Arial" w:hAnsi="Arial"/>
          <w:sz w:val="17"/>
          <w:szCs w:val="17"/>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92" w:lineRule="exact"/>
        <w:rPr>
          <w:sz w:val="20"/>
          <w:szCs w:val="20"/>
          <w:color w:val="auto"/>
        </w:rPr>
      </w:pPr>
    </w:p>
    <w:p>
      <w:pPr>
        <w:ind w:right="740"/>
        <w:spacing w:after="0" w:line="278" w:lineRule="auto"/>
        <w:rPr>
          <w:sz w:val="20"/>
          <w:szCs w:val="20"/>
          <w:color w:val="auto"/>
        </w:rPr>
      </w:pPr>
      <w:r>
        <w:rPr>
          <w:rFonts w:ascii="Arial" w:cs="Arial" w:eastAsia="Arial" w:hAnsi="Arial"/>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112"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As of March 31, 2024, our current executive officers, directors and the holders of more than 5% of our outstanding voting and non-voting common stock, in the aggregate, beneficially owned a significant percentage of our outstanding voting and non-voting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spacing w:after="0" w:line="144"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98"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have never declared or paid any cash dividend on our common stock and do not currently intend to do so for the foreseeable future. We currently anticipate that we will retain future earnings for the development, operation and expansion of our business and do not anticipate declaring or paying any cash dividends for the foreseeable future. In addition, our senior secured revolving credit syndication loan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spacing w:after="0" w:line="160"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98"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139" w:lineRule="exact"/>
        <w:rPr>
          <w:sz w:val="20"/>
          <w:szCs w:val="20"/>
          <w:color w:val="auto"/>
        </w:rPr>
      </w:pPr>
    </w:p>
    <w:p>
      <w:pPr>
        <w:ind w:left="900" w:right="700" w:hanging="263"/>
        <w:spacing w:after="0" w:line="270" w:lineRule="auto"/>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26" w:lineRule="exact"/>
        <w:rPr>
          <w:rFonts w:ascii="Times New Roman" w:cs="Times New Roman" w:eastAsia="Times New Roman" w:hAnsi="Times New Roman"/>
          <w:sz w:val="18"/>
          <w:szCs w:val="18"/>
          <w:color w:val="auto"/>
        </w:rPr>
      </w:pPr>
    </w:p>
    <w:p>
      <w:pPr>
        <w:jc w:val="both"/>
        <w:ind w:left="900" w:right="140" w:hanging="263"/>
        <w:spacing w:after="0" w:line="252" w:lineRule="auto"/>
        <w:tabs>
          <w:tab w:leader="none" w:pos="9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left="900" w:hanging="263"/>
        <w:spacing w:after="0" w:line="252"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42" w:lineRule="exact"/>
        <w:rPr>
          <w:rFonts w:ascii="Times New Roman" w:cs="Times New Roman" w:eastAsia="Times New Roman" w:hAnsi="Times New Roman"/>
          <w:sz w:val="18"/>
          <w:szCs w:val="18"/>
          <w:color w:val="auto"/>
        </w:rPr>
      </w:pPr>
    </w:p>
    <w:p>
      <w:pPr>
        <w:ind w:left="900" w:right="20" w:hanging="263"/>
        <w:spacing w:after="0" w:line="270"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3" w:lineRule="exact"/>
        <w:rPr>
          <w:rFonts w:ascii="Times New Roman" w:cs="Times New Roman" w:eastAsia="Times New Roman" w:hAnsi="Times New Roman"/>
          <w:sz w:val="18"/>
          <w:szCs w:val="18"/>
          <w:color w:val="auto"/>
        </w:rPr>
      </w:pPr>
    </w:p>
    <w:p>
      <w:pPr>
        <w:ind w:left="900" w:right="200" w:hanging="263"/>
        <w:spacing w:after="0" w:line="252"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29" w:lineRule="exact"/>
        <w:rPr>
          <w:rFonts w:ascii="Times New Roman" w:cs="Times New Roman" w:eastAsia="Times New Roman" w:hAnsi="Times New Roman"/>
          <w:sz w:val="18"/>
          <w:szCs w:val="18"/>
          <w:color w:val="auto"/>
        </w:rPr>
      </w:pPr>
    </w:p>
    <w:p>
      <w:pPr>
        <w:ind w:left="900" w:right="200" w:hanging="263"/>
        <w:spacing w:after="0" w:line="246"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148" w:lineRule="exact"/>
        <w:rPr>
          <w:rFonts w:ascii="Times New Roman" w:cs="Times New Roman" w:eastAsia="Times New Roman" w:hAnsi="Times New Roman"/>
          <w:sz w:val="18"/>
          <w:szCs w:val="18"/>
          <w:color w:val="auto"/>
        </w:rPr>
      </w:pPr>
    </w:p>
    <w:p>
      <w:pPr>
        <w:ind w:left="900" w:right="200" w:hanging="263"/>
        <w:spacing w:after="0" w:line="252" w:lineRule="auto"/>
        <w:tabs>
          <w:tab w:leader="none" w:pos="9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29"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36"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54"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FlyMates.</w:t>
      </w:r>
    </w:p>
    <w:p>
      <w:pPr>
        <w:spacing w:after="0" w:line="123"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FlyMates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During the quarter ended March 31, 2024, we issued an aggregate of 14,166 shares of common stock (the Shares) as part of a settlement with a former stockholder of WPM. The Shares were issued to a former stockholder of WPM that was not a “U.S. person”, as defined in Rule 902 of Regulation S under the Securities Act, or were an “accredited investor,” and the issuance was exempt from the registration requirements of the Securities Act under Regulation S and Rule 506 of Regulation D, respectively. The certificates evidencing the Shares are endorsed with a restrictive Securities Act legend.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 Trading Plans</w:t>
      </w:r>
    </w:p>
    <w:p>
      <w:pPr>
        <w:spacing w:after="0" w:line="182"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On February 29, 2024, Robert Orgel, our President and Chief Operating Officer, adopted a trading arrangement for the sale of shares of our common stock (a "Rule 10b-5 Trading Plan") that is intended to satisfy the affirmative defense conditions of Securities Exchange Act Rule 10b5-1(c). Mr. Orgel's Rule 10b-5 Trading Plan provides for the sale of up to 285,548 shares of common stock pursuant to the terms of the plan. The plan is effective through June 15, 2025 unless earlier terminated in accordance with the terms of the plan.</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4"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900" w:type="dxa"/>
            <w:vAlign w:val="bottom"/>
          </w:tcPr>
          <w:p>
            <w:pPr>
              <w:ind w:left="180"/>
              <w:spacing w:after="0"/>
              <w:rPr>
                <w:sz w:val="20"/>
                <w:szCs w:val="20"/>
                <w:color w:val="auto"/>
              </w:rPr>
            </w:pPr>
            <w:r>
              <w:rPr>
                <w:rFonts w:ascii="Arial" w:cs="Arial" w:eastAsia="Arial" w:hAnsi="Arial"/>
                <w:sz w:val="16"/>
                <w:szCs w:val="16"/>
                <w:b w:val="1"/>
                <w:bCs w:val="1"/>
                <w:color w:val="auto"/>
              </w:rPr>
              <w:t>Exhibit</w:t>
            </w:r>
          </w:p>
        </w:tc>
        <w:tc>
          <w:tcPr>
            <w:tcW w:w="2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60" w:type="dxa"/>
            <w:vAlign w:val="bottom"/>
            <w:gridSpan w:val="13"/>
          </w:tcPr>
          <w:p>
            <w:pPr>
              <w:ind w:left="8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Number</w:t>
            </w:r>
          </w:p>
        </w:tc>
        <w:tc>
          <w:tcPr>
            <w:tcW w:w="240" w:type="dxa"/>
            <w:vAlign w:val="bottom"/>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line="169"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4"/>
                <w:szCs w:val="14"/>
                <w:color w:val="auto"/>
              </w:rPr>
            </w:pPr>
          </w:p>
        </w:tc>
        <w:tc>
          <w:tcPr>
            <w:tcW w:w="9960" w:type="dxa"/>
            <w:vAlign w:val="bottom"/>
            <w:gridSpan w:val="17"/>
          </w:tcPr>
          <w:p>
            <w:pPr>
              <w:spacing w:after="0" w:line="169" w:lineRule="exact"/>
              <w:rPr>
                <w:rFonts w:ascii="Arial" w:cs="Arial" w:eastAsia="Arial" w:hAnsi="Arial"/>
                <w:sz w:val="18"/>
                <w:szCs w:val="18"/>
                <w:color w:val="0000FF"/>
              </w:rPr>
            </w:pPr>
            <w:hyperlink r:id="rId370">
              <w:r>
                <w:rPr>
                  <w:rFonts w:ascii="Arial" w:cs="Arial" w:eastAsia="Arial" w:hAnsi="Arial"/>
                  <w:sz w:val="18"/>
                  <w:szCs w:val="18"/>
                  <w:color w:val="0000FF"/>
                </w:rPr>
                <w:t>Amended and Restated Certificate of Incorporation of Flywire Corporation, incorporated by reference to Exhibit 3.1 to the</w:t>
              </w:r>
            </w:hyperlink>
          </w:p>
        </w:tc>
        <w:tc>
          <w:tcPr>
            <w:tcW w:w="0" w:type="dxa"/>
            <w:vAlign w:val="bottom"/>
          </w:tcPr>
          <w:p>
            <w:pPr>
              <w:spacing w:after="0"/>
              <w:rPr>
                <w:sz w:val="1"/>
                <w:szCs w:val="1"/>
                <w:color w:val="auto"/>
              </w:rPr>
            </w:pPr>
          </w:p>
        </w:tc>
      </w:tr>
      <w:tr>
        <w:trPr>
          <w:trHeight w:val="182"/>
        </w:trPr>
        <w:tc>
          <w:tcPr>
            <w:tcW w:w="900" w:type="dxa"/>
            <w:vAlign w:val="bottom"/>
            <w:vMerge w:val="restart"/>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5"/>
                <w:szCs w:val="15"/>
                <w:color w:val="auto"/>
              </w:rPr>
            </w:pPr>
          </w:p>
        </w:tc>
        <w:tc>
          <w:tcPr>
            <w:tcW w:w="964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370">
              <w:r>
                <w:rPr>
                  <w:rFonts w:ascii="Arial" w:cs="Arial" w:eastAsia="Arial" w:hAnsi="Arial"/>
                  <w:sz w:val="18"/>
                  <w:szCs w:val="18"/>
                  <w:color w:val="0000FF"/>
                </w:rPr>
                <w:t>Registrant’s Current Report on Form 8-K filed on June 1, 2021.</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960" w:type="dxa"/>
            <w:vAlign w:val="bottom"/>
            <w:gridSpan w:val="17"/>
          </w:tcPr>
          <w:p>
            <w:pPr>
              <w:spacing w:after="0" w:line="195" w:lineRule="exact"/>
              <w:rPr>
                <w:rFonts w:ascii="Arial" w:cs="Arial" w:eastAsia="Arial" w:hAnsi="Arial"/>
                <w:sz w:val="18"/>
                <w:szCs w:val="18"/>
                <w:color w:val="0000FF"/>
              </w:rPr>
            </w:pPr>
            <w:hyperlink r:id="rId371">
              <w:r>
                <w:rPr>
                  <w:rFonts w:ascii="Arial" w:cs="Arial" w:eastAsia="Arial" w:hAnsi="Arial"/>
                  <w:sz w:val="18"/>
                  <w:szCs w:val="18"/>
                  <w:color w:val="0000FF"/>
                </w:rPr>
                <w:t>Amended and Restated Bylaws of Flywire Corporation, incorporated by reference to Exhibit 3.1 to the Registrant’s Current</w:t>
              </w:r>
            </w:hyperlink>
          </w:p>
        </w:tc>
        <w:tc>
          <w:tcPr>
            <w:tcW w:w="0" w:type="dxa"/>
            <w:vAlign w:val="bottom"/>
          </w:tcPr>
          <w:p>
            <w:pPr>
              <w:spacing w:after="0"/>
              <w:rPr>
                <w:sz w:val="1"/>
                <w:szCs w:val="1"/>
                <w:color w:val="auto"/>
              </w:rPr>
            </w:pPr>
          </w:p>
        </w:tc>
      </w:tr>
      <w:tr>
        <w:trPr>
          <w:trHeight w:val="182"/>
        </w:trPr>
        <w:tc>
          <w:tcPr>
            <w:tcW w:w="900" w:type="dxa"/>
            <w:vAlign w:val="bottom"/>
            <w:vMerge w:val="restart"/>
          </w:tcPr>
          <w:p>
            <w:pPr>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15"/>
                <w:szCs w:val="15"/>
                <w:color w:val="auto"/>
              </w:rPr>
            </w:pPr>
          </w:p>
        </w:tc>
        <w:tc>
          <w:tcPr>
            <w:tcW w:w="358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r:id="rId371">
              <w:r>
                <w:rPr>
                  <w:rFonts w:ascii="Arial" w:cs="Arial" w:eastAsia="Arial" w:hAnsi="Arial"/>
                  <w:sz w:val="18"/>
                  <w:szCs w:val="18"/>
                  <w:color w:val="0000FF"/>
                  <w:w w:val="99"/>
                </w:rPr>
                <w:t>Report on Form 8-K filed on March 19, 2024.</w:t>
              </w:r>
            </w:hyperlink>
          </w:p>
        </w:tc>
        <w:tc>
          <w:tcPr>
            <w:tcW w:w="20" w:type="dxa"/>
            <w:vAlign w:val="bottom"/>
            <w:tcBorders>
              <w:top w:val="single" w:sz="8" w:color="0000FF"/>
              <w:bottom w:val="single" w:sz="8" w:color="0000EE"/>
            </w:tcBorders>
          </w:tcPr>
          <w:p>
            <w:pPr>
              <w:spacing w:after="0"/>
              <w:rPr>
                <w:sz w:val="15"/>
                <w:szCs w:val="15"/>
                <w:color w:val="auto"/>
              </w:rPr>
            </w:pPr>
          </w:p>
        </w:tc>
        <w:tc>
          <w:tcPr>
            <w:tcW w:w="616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960" w:type="dxa"/>
            <w:vAlign w:val="bottom"/>
            <w:gridSpan w:val="17"/>
          </w:tcPr>
          <w:p>
            <w:pPr>
              <w:spacing w:after="0" w:line="195" w:lineRule="exact"/>
              <w:rPr>
                <w:sz w:val="20"/>
                <w:szCs w:val="20"/>
                <w:color w:val="auto"/>
              </w:rPr>
            </w:pPr>
            <w:r>
              <w:rPr>
                <w:rFonts w:ascii="Arial" w:cs="Arial" w:eastAsia="Arial" w:hAnsi="Arial"/>
                <w:sz w:val="18"/>
                <w:szCs w:val="18"/>
                <w:color w:val="0000FF"/>
              </w:rPr>
              <w:t>Amended and Restated Credit Agreement, dated as of February 23, 2024, by and among Flywire Corporation, the other</w:t>
            </w: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560" w:type="dxa"/>
            <w:vAlign w:val="bottom"/>
            <w:tcBorders>
              <w:top w:val="single" w:sz="8" w:color="0000FF"/>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99"/>
              </w:rPr>
              <w:t>Loan Parties party thereto from time to time, the Lenders party thereto from time to time, the Issuing Banks party thereto</w:t>
            </w:r>
          </w:p>
        </w:tc>
        <w:tc>
          <w:tcPr>
            <w:tcW w:w="20" w:type="dxa"/>
            <w:vAlign w:val="bottom"/>
            <w:tcBorders>
              <w:bottom w:val="single" w:sz="8" w:color="0000FF"/>
            </w:tcBorders>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00" w:type="dxa"/>
            <w:vAlign w:val="bottom"/>
            <w:vMerge w:val="restart"/>
          </w:tcPr>
          <w:p>
            <w:pPr>
              <w:spacing w:after="0"/>
              <w:rPr>
                <w:sz w:val="20"/>
                <w:szCs w:val="20"/>
                <w:color w:val="auto"/>
              </w:rPr>
            </w:pPr>
            <w:r>
              <w:rPr>
                <w:rFonts w:ascii="Arial" w:cs="Arial" w:eastAsia="Arial" w:hAnsi="Arial"/>
                <w:sz w:val="18"/>
                <w:szCs w:val="18"/>
                <w:color w:val="auto"/>
              </w:rPr>
              <w:t>10.20*#</w:t>
            </w:r>
          </w:p>
        </w:tc>
        <w:tc>
          <w:tcPr>
            <w:tcW w:w="240" w:type="dxa"/>
            <w:vAlign w:val="bottom"/>
          </w:tcPr>
          <w:p>
            <w:pPr>
              <w:spacing w:after="0"/>
              <w:rPr>
                <w:sz w:val="15"/>
                <w:szCs w:val="15"/>
                <w:color w:val="auto"/>
              </w:rPr>
            </w:pPr>
          </w:p>
        </w:tc>
        <w:tc>
          <w:tcPr>
            <w:tcW w:w="2900" w:type="dxa"/>
            <w:vAlign w:val="bottom"/>
            <w:tcBorders>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9"/>
              </w:rPr>
              <w:t>from time to time, and Citibank, N.A.</w:t>
            </w:r>
          </w:p>
        </w:tc>
        <w:tc>
          <w:tcPr>
            <w:tcW w:w="6680" w:type="dxa"/>
            <w:vAlign w:val="bottom"/>
            <w:gridSpan w:val="8"/>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480" w:type="dxa"/>
            <w:vAlign w:val="bottom"/>
            <w:tcBorders>
              <w:bottom w:val="single" w:sz="8" w:color="0000FF"/>
            </w:tcBorders>
            <w:gridSpan w:val="8"/>
          </w:tcPr>
          <w:p>
            <w:pPr>
              <w:spacing w:after="0" w:line="195" w:lineRule="exact"/>
              <w:rPr>
                <w:sz w:val="20"/>
                <w:szCs w:val="20"/>
                <w:color w:val="auto"/>
              </w:rPr>
            </w:pPr>
            <w:r>
              <w:rPr>
                <w:rFonts w:ascii="Arial" w:cs="Arial" w:eastAsia="Arial" w:hAnsi="Arial"/>
                <w:sz w:val="18"/>
                <w:szCs w:val="18"/>
                <w:color w:val="0000FF"/>
                <w:w w:val="99"/>
              </w:rPr>
              <w:t>Employment Agreement, dated as of February 8, 2024, by and between the Registrant and Cosmin Pitigoi.</w:t>
            </w:r>
          </w:p>
        </w:tc>
        <w:tc>
          <w:tcPr>
            <w:tcW w:w="14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line="195" w:lineRule="exact"/>
              <w:rPr>
                <w:sz w:val="20"/>
                <w:szCs w:val="20"/>
                <w:color w:val="auto"/>
              </w:rPr>
            </w:pPr>
            <w:r>
              <w:rPr>
                <w:rFonts w:ascii="Arial" w:cs="Arial" w:eastAsia="Arial" w:hAnsi="Arial"/>
                <w:sz w:val="18"/>
                <w:szCs w:val="18"/>
                <w:color w:val="auto"/>
              </w:rPr>
              <w:t>31.1*</w:t>
            </w:r>
          </w:p>
        </w:tc>
        <w:tc>
          <w:tcPr>
            <w:tcW w:w="240" w:type="dxa"/>
            <w:vAlign w:val="bottom"/>
          </w:tcPr>
          <w:p>
            <w:pPr>
              <w:spacing w:after="0"/>
              <w:rPr>
                <w:sz w:val="17"/>
                <w:szCs w:val="17"/>
                <w:color w:val="auto"/>
              </w:rPr>
            </w:pPr>
          </w:p>
        </w:tc>
        <w:tc>
          <w:tcPr>
            <w:tcW w:w="9960" w:type="dxa"/>
            <w:vAlign w:val="bottom"/>
            <w:gridSpan w:val="17"/>
          </w:tcPr>
          <w:p>
            <w:pPr>
              <w:spacing w:after="0" w:line="195" w:lineRule="exact"/>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c>
          <w:tcPr>
            <w:tcW w:w="0" w:type="dxa"/>
            <w:vAlign w:val="bottom"/>
          </w:tcPr>
          <w:p>
            <w:pPr>
              <w:spacing w:after="0"/>
              <w:rPr>
                <w:sz w:val="1"/>
                <w:szCs w:val="1"/>
                <w:color w:val="auto"/>
              </w:rPr>
            </w:pPr>
          </w:p>
        </w:tc>
      </w:tr>
      <w:tr>
        <w:trPr>
          <w:trHeight w:val="182"/>
        </w:trPr>
        <w:tc>
          <w:tcPr>
            <w:tcW w:w="90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5"/>
                <w:szCs w:val="15"/>
                <w:color w:val="auto"/>
              </w:rPr>
            </w:pPr>
          </w:p>
        </w:tc>
        <w:tc>
          <w:tcPr>
            <w:tcW w:w="624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580" w:type="dxa"/>
            <w:vAlign w:val="bottom"/>
            <w:tcBorders>
              <w:top w:val="single" w:sz="8" w:color="0000FF"/>
            </w:tcBorders>
            <w:gridSpan w:val="9"/>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960" w:type="dxa"/>
            <w:vAlign w:val="bottom"/>
            <w:gridSpan w:val="17"/>
          </w:tcPr>
          <w:p>
            <w:pPr>
              <w:spacing w:after="0" w:line="195" w:lineRule="exact"/>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c>
          <w:tcPr>
            <w:tcW w:w="0" w:type="dxa"/>
            <w:vAlign w:val="bottom"/>
          </w:tcPr>
          <w:p>
            <w:pPr>
              <w:spacing w:after="0"/>
              <w:rPr>
                <w:sz w:val="1"/>
                <w:szCs w:val="1"/>
                <w:color w:val="auto"/>
              </w:rPr>
            </w:pPr>
          </w:p>
        </w:tc>
      </w:tr>
      <w:tr>
        <w:trPr>
          <w:trHeight w:val="182"/>
        </w:trPr>
        <w:tc>
          <w:tcPr>
            <w:tcW w:w="90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5"/>
                <w:szCs w:val="15"/>
                <w:color w:val="auto"/>
              </w:rPr>
            </w:pPr>
          </w:p>
        </w:tc>
        <w:tc>
          <w:tcPr>
            <w:tcW w:w="624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520" w:type="dxa"/>
            <w:vAlign w:val="bottom"/>
            <w:tcBorders>
              <w:top w:val="single" w:sz="8" w:color="0000FF"/>
            </w:tcBorders>
            <w:gridSpan w:val="8"/>
          </w:tcPr>
          <w:p>
            <w:pPr>
              <w:spacing w:after="0"/>
              <w:rPr>
                <w:sz w:val="15"/>
                <w:szCs w:val="15"/>
                <w:color w:val="auto"/>
              </w:rPr>
            </w:pPr>
          </w:p>
        </w:tc>
        <w:tc>
          <w:tcPr>
            <w:tcW w:w="1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960" w:type="dxa"/>
            <w:vAlign w:val="bottom"/>
            <w:gridSpan w:val="17"/>
          </w:tcPr>
          <w:p>
            <w:pPr>
              <w:spacing w:after="0" w:line="195" w:lineRule="exact"/>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82"/>
        </w:trPr>
        <w:tc>
          <w:tcPr>
            <w:tcW w:w="90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5"/>
                <w:szCs w:val="15"/>
                <w:color w:val="auto"/>
              </w:rPr>
            </w:pPr>
          </w:p>
        </w:tc>
        <w:tc>
          <w:tcPr>
            <w:tcW w:w="9720" w:type="dxa"/>
            <w:vAlign w:val="bottom"/>
            <w:tcBorders>
              <w:top w:val="single" w:sz="8" w:color="0000FF"/>
            </w:tcBorders>
            <w:gridSpan w:val="13"/>
          </w:tcPr>
          <w:p>
            <w:pPr>
              <w:spacing w:after="0" w:line="182" w:lineRule="exact"/>
              <w:rPr>
                <w:sz w:val="20"/>
                <w:szCs w:val="20"/>
                <w:color w:val="auto"/>
              </w:rPr>
            </w:pPr>
            <w:r>
              <w:rPr>
                <w:rFonts w:ascii="Arial" w:cs="Arial" w:eastAsia="Arial" w:hAnsi="Arial"/>
                <w:sz w:val="18"/>
                <w:szCs w:val="18"/>
                <w:color w:val="0000FF"/>
              </w:rPr>
              <w:t>Sarbanes-Oxley Act of 2002.</w:t>
            </w:r>
          </w:p>
        </w:tc>
        <w:tc>
          <w:tcPr>
            <w:tcW w:w="2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7340" w:type="dxa"/>
            <w:vAlign w:val="bottom"/>
            <w:gridSpan w:val="11"/>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960" w:type="dxa"/>
            <w:vAlign w:val="bottom"/>
            <w:gridSpan w:val="17"/>
          </w:tcPr>
          <w:p>
            <w:pPr>
              <w:spacing w:after="0" w:line="195" w:lineRule="exact"/>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82"/>
        </w:trPr>
        <w:tc>
          <w:tcPr>
            <w:tcW w:w="90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15"/>
                <w:szCs w:val="15"/>
                <w:color w:val="auto"/>
              </w:rPr>
            </w:pPr>
          </w:p>
        </w:tc>
        <w:tc>
          <w:tcPr>
            <w:tcW w:w="966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Sarbanes-Oxley Act of 2002.</w:t>
            </w:r>
          </w:p>
        </w:tc>
        <w:tc>
          <w:tcPr>
            <w:tcW w:w="3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764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960" w:type="dxa"/>
            <w:vAlign w:val="bottom"/>
            <w:gridSpan w:val="17"/>
          </w:tcPr>
          <w:p>
            <w:pPr>
              <w:spacing w:after="0" w:line="204"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60" w:type="dxa"/>
            <w:vAlign w:val="bottom"/>
            <w:gridSpan w:val="17"/>
          </w:tcPr>
          <w:p>
            <w:pPr>
              <w:spacing w:after="0"/>
              <w:rPr>
                <w:sz w:val="20"/>
                <w:szCs w:val="20"/>
                <w:color w:val="auto"/>
              </w:rPr>
            </w:pPr>
            <w:r>
              <w:rPr>
                <w:rFonts w:ascii="Arial" w:cs="Arial" w:eastAsia="Arial" w:hAnsi="Arial"/>
                <w:sz w:val="18"/>
                <w:szCs w:val="18"/>
                <w:color w:val="auto"/>
              </w:rPr>
              <w:t>are embedded within the Inline XBRL document.</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0"/>
                <w:szCs w:val="20"/>
                <w:color w:val="auto"/>
              </w:rPr>
            </w:pPr>
          </w:p>
        </w:tc>
        <w:tc>
          <w:tcPr>
            <w:tcW w:w="996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left="1220" w:hanging="1138"/>
        <w:spacing w:after="0"/>
        <w:tabs>
          <w:tab w:leader="none" w:pos="12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4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238061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 Indicates a management contract or compensatory plan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FLYWIRE CORPORATION</w:t>
      </w:r>
    </w:p>
    <w:p>
      <w:pPr>
        <w:spacing w:after="0" w:line="251"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17780</wp:posOffset>
            </wp:positionV>
            <wp:extent cx="370776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3707765" cy="8255"/>
                    </a:xfrm>
                    <a:prstGeom prst="rect">
                      <a:avLst/>
                    </a:prstGeom>
                    <a:noFill/>
                  </pic:spPr>
                </pic:pic>
              </a:graphicData>
            </a:graphic>
          </wp:anchor>
        </w:drawing>
      </w:r>
    </w:p>
    <w:p>
      <w:pPr>
        <w:spacing w:after="0" w:line="29" w:lineRule="exact"/>
        <w:rPr>
          <w:sz w:val="20"/>
          <w:szCs w:val="20"/>
          <w:color w:val="auto"/>
        </w:rPr>
      </w:pPr>
    </w:p>
    <w:p>
      <w:pPr>
        <w:ind w:left="180"/>
        <w:spacing w:after="0"/>
        <w:tabs>
          <w:tab w:leader="none" w:pos="4860" w:val="left"/>
        </w:tabs>
        <w:rPr>
          <w:sz w:val="20"/>
          <w:szCs w:val="20"/>
          <w:color w:val="auto"/>
        </w:rPr>
      </w:pPr>
      <w:r>
        <w:rPr>
          <w:rFonts w:ascii="Arial" w:cs="Arial" w:eastAsia="Arial" w:hAnsi="Arial"/>
          <w:sz w:val="18"/>
          <w:szCs w:val="18"/>
          <w:color w:val="auto"/>
        </w:rPr>
        <w:t>Date: May 7, 2024</w:t>
      </w:r>
      <w:r>
        <w:rPr>
          <w:sz w:val="20"/>
          <w:szCs w:val="20"/>
          <w:color w:val="auto"/>
        </w:rPr>
        <w:tab/>
      </w:r>
      <w:r>
        <w:rPr>
          <w:rFonts w:ascii="Arial" w:cs="Arial" w:eastAsia="Arial" w:hAnsi="Arial"/>
          <w:sz w:val="17"/>
          <w:szCs w:val="17"/>
          <w:color w:val="auto"/>
        </w:rPr>
        <w:t>By:</w:t>
      </w:r>
    </w:p>
    <w:p>
      <w:pPr>
        <w:spacing w:after="0" w:line="32"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Michael Massaro</w:t>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2"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(Principal Executive Officer)</w:t>
      </w:r>
    </w:p>
    <w:p>
      <w:pPr>
        <w:spacing w:after="0" w:line="234"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Cosmin Pitigoi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17780</wp:posOffset>
            </wp:positionV>
            <wp:extent cx="370776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3707765" cy="8255"/>
                    </a:xfrm>
                    <a:prstGeom prst="rect">
                      <a:avLst/>
                    </a:prstGeom>
                    <a:noFill/>
                  </pic:spPr>
                </pic:pic>
              </a:graphicData>
            </a:graphic>
          </wp:anchor>
        </w:drawing>
      </w:r>
    </w:p>
    <w:p>
      <w:pPr>
        <w:spacing w:after="0" w:line="29" w:lineRule="exact"/>
        <w:rPr>
          <w:sz w:val="20"/>
          <w:szCs w:val="20"/>
          <w:color w:val="auto"/>
        </w:rPr>
      </w:pPr>
    </w:p>
    <w:p>
      <w:pPr>
        <w:ind w:left="180"/>
        <w:spacing w:after="0"/>
        <w:tabs>
          <w:tab w:leader="none" w:pos="4860" w:val="left"/>
        </w:tabs>
        <w:rPr>
          <w:sz w:val="20"/>
          <w:szCs w:val="20"/>
          <w:color w:val="auto"/>
        </w:rPr>
      </w:pPr>
      <w:r>
        <w:rPr>
          <w:rFonts w:ascii="Arial" w:cs="Arial" w:eastAsia="Arial" w:hAnsi="Arial"/>
          <w:sz w:val="18"/>
          <w:szCs w:val="18"/>
          <w:color w:val="auto"/>
        </w:rPr>
        <w:t>Date: May 7, 2024</w:t>
      </w:r>
      <w:r>
        <w:rPr>
          <w:sz w:val="20"/>
          <w:szCs w:val="20"/>
          <w:color w:val="auto"/>
        </w:rPr>
        <w:tab/>
      </w:r>
      <w:r>
        <w:rPr>
          <w:rFonts w:ascii="Arial" w:cs="Arial" w:eastAsia="Arial" w:hAnsi="Arial"/>
          <w:sz w:val="17"/>
          <w:szCs w:val="17"/>
          <w:color w:val="auto"/>
        </w:rPr>
        <w:t>By:</w:t>
      </w:r>
    </w:p>
    <w:p>
      <w:pPr>
        <w:spacing w:after="0" w:line="32" w:lineRule="exact"/>
        <w:rPr>
          <w:sz w:val="20"/>
          <w:szCs w:val="20"/>
          <w:color w:val="auto"/>
        </w:rPr>
      </w:pPr>
    </w:p>
    <w:p>
      <w:pPr>
        <w:jc w:val="center"/>
        <w:ind w:left="5320"/>
        <w:spacing w:after="0"/>
        <w:rPr>
          <w:sz w:val="20"/>
          <w:szCs w:val="20"/>
          <w:color w:val="auto"/>
        </w:rPr>
      </w:pPr>
      <w:r>
        <w:rPr>
          <w:rFonts w:ascii="Arial" w:cs="Arial" w:eastAsia="Arial" w:hAnsi="Arial"/>
          <w:sz w:val="18"/>
          <w:szCs w:val="18"/>
          <w:b w:val="1"/>
          <w:bCs w:val="1"/>
          <w:color w:val="auto"/>
        </w:rPr>
        <w:t>Cosmin Pitigoi</w:t>
      </w:r>
    </w:p>
    <w:p>
      <w:pPr>
        <w:spacing w:after="0" w:line="30" w:lineRule="exact"/>
        <w:rPr>
          <w:sz w:val="20"/>
          <w:szCs w:val="20"/>
          <w:color w:val="auto"/>
        </w:rPr>
      </w:pPr>
    </w:p>
    <w:p>
      <w:pPr>
        <w:jc w:val="center"/>
        <w:ind w:left="5320"/>
        <w:spacing w:after="0"/>
        <w:rPr>
          <w:sz w:val="20"/>
          <w:szCs w:val="20"/>
          <w:color w:val="auto"/>
        </w:rPr>
      </w:pPr>
      <w:r>
        <w:rPr>
          <w:rFonts w:ascii="Arial" w:cs="Arial" w:eastAsia="Arial" w:hAnsi="Arial"/>
          <w:sz w:val="18"/>
          <w:szCs w:val="18"/>
          <w:b w:val="1"/>
          <w:bCs w:val="1"/>
          <w:color w:val="auto"/>
        </w:rPr>
        <w:t>Chief Financial Officer</w:t>
      </w:r>
    </w:p>
    <w:p>
      <w:pPr>
        <w:spacing w:after="0" w:line="22" w:lineRule="exact"/>
        <w:rPr>
          <w:sz w:val="20"/>
          <w:szCs w:val="20"/>
          <w:color w:val="auto"/>
        </w:rPr>
      </w:pPr>
    </w:p>
    <w:p>
      <w:pPr>
        <w:jc w:val="center"/>
        <w:ind w:left="53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768" w:right="7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0"/>
          <w:szCs w:val="20"/>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25400</wp:posOffset>
            </wp:positionV>
            <wp:extent cx="706374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extLst>
                        <a:ext uri="{28A0092B-C50C-407E-A947-70E740481C1C}"/>
                      </a:extLst>
                    </a:blip>
                    <a:srcRect/>
                    <a:stretch>
                      <a:fillRect/>
                    </a:stretch>
                  </pic:blipFill>
                  <pic:spPr bwMode="auto">
                    <a:xfrm>
                      <a:off x="0" y="0"/>
                      <a:ext cx="7063740" cy="17145"/>
                    </a:xfrm>
                    <a:prstGeom prst="rect">
                      <a:avLst/>
                    </a:prstGeom>
                    <a:noFill/>
                  </pic:spPr>
                </pic:pic>
              </a:graphicData>
            </a:graphic>
          </wp:anchor>
        </w:drawing>
        <w:drawing>
          <wp:anchor simplePos="0" relativeHeight="251657728" behindDoc="1" locked="0" layoutInCell="0" allowOverlap="1">
            <wp:simplePos x="0" y="0"/>
            <wp:positionH relativeFrom="column">
              <wp:posOffset>2204720</wp:posOffset>
            </wp:positionH>
            <wp:positionV relativeFrom="paragraph">
              <wp:posOffset>692785</wp:posOffset>
            </wp:positionV>
            <wp:extent cx="1275715" cy="3251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9">
                      <a:extLst>
                        <a:ext uri="{28A0092B-C50C-407E-A947-70E740481C1C}"/>
                      </a:extLst>
                    </a:blip>
                    <a:srcRect/>
                    <a:stretch>
                      <a:fillRect/>
                    </a:stretch>
                  </pic:blipFill>
                  <pic:spPr bwMode="auto">
                    <a:xfrm>
                      <a:off x="0" y="0"/>
                      <a:ext cx="1275715" cy="32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AMENDED AND RESTATED CREDIT AGREEMENT</w:t>
      </w:r>
    </w:p>
    <w:p>
      <w:pPr>
        <w:spacing w:after="0" w:line="3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dated as of</w:t>
      </w:r>
    </w:p>
    <w:p>
      <w:pPr>
        <w:spacing w:after="0" w:line="32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February 23, 2024</w:t>
      </w:r>
    </w:p>
    <w:p>
      <w:pPr>
        <w:spacing w:after="0" w:line="3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among</w:t>
      </w:r>
    </w:p>
    <w:p>
      <w:pPr>
        <w:spacing w:after="0" w:line="32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FLYWIRE CORPORATION,</w:t>
      </w:r>
    </w:p>
    <w:p>
      <w:pPr>
        <w:spacing w:after="0" w:line="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as the Borrower,</w:t>
      </w:r>
    </w:p>
    <w:p>
      <w:pPr>
        <w:spacing w:after="0" w:line="30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color w:val="auto"/>
        </w:rPr>
        <w:t>the other Loan Parties party hereto,</w:t>
      </w:r>
    </w:p>
    <w:p>
      <w:pPr>
        <w:spacing w:after="0" w:line="32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32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and</w:t>
      </w:r>
    </w:p>
    <w:p>
      <w:pPr>
        <w:spacing w:after="0" w:line="32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CITIBANK, N.A.,</w:t>
      </w:r>
    </w:p>
    <w:p>
      <w:pPr>
        <w:spacing w:after="0" w:line="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30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____________</w:t>
      </w:r>
    </w:p>
    <w:p>
      <w:pPr>
        <w:spacing w:after="0" w:line="32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CITIBANK, N.A.,</w:t>
      </w:r>
    </w:p>
    <w:p>
      <w:pPr>
        <w:spacing w:after="0" w:line="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as Sole Lead Arranger and Sole Bookrunner</w:t>
      </w:r>
    </w:p>
    <w:p>
      <w:pPr>
        <w:spacing w:after="0" w:line="20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BANK OF AMERICA, N.A. and</w:t>
      </w:r>
    </w:p>
    <w:p>
      <w:pPr>
        <w:spacing w:after="0" w:line="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JPMORGAN CHASE BANK, N.A.,</w:t>
      </w:r>
    </w:p>
    <w:p>
      <w:pPr>
        <w:jc w:val="center"/>
        <w:ind w:right="1020"/>
        <w:spacing w:after="0"/>
        <w:rPr>
          <w:sz w:val="20"/>
          <w:szCs w:val="20"/>
          <w:color w:val="auto"/>
        </w:rPr>
      </w:pPr>
      <w:r>
        <w:rPr>
          <w:rFonts w:ascii="Times New Roman" w:cs="Times New Roman" w:eastAsia="Times New Roman" w:hAnsi="Times New Roman"/>
          <w:sz w:val="20"/>
          <w:szCs w:val="20"/>
          <w:color w:val="auto"/>
        </w:rPr>
        <w:t>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2033905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1440" w:top="760" w:right="439" w:bottom="1440" w:gutter="0" w:footer="0" w:header="0"/>
        </w:sectPr>
      </w:pPr>
    </w:p>
    <w:bookmarkStart w:id="88" w:name="page89"/>
    <w:bookmarkEnd w:id="88"/>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ARTICLE I</w:t>
            </w:r>
          </w:p>
        </w:tc>
        <w:tc>
          <w:tcPr>
            <w:tcW w:w="14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DEFINITIONS</w:t>
            </w:r>
          </w:p>
        </w:tc>
        <w:tc>
          <w:tcPr>
            <w:tcW w:w="678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1.01</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Defined Terms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1.02</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Classification of Loans and Borrowings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1.03</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Terms Generally</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1.04</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Accounting Terms; GAAP</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1.05</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Status of Obligations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1.06</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Financial Ratios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1.07</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Division</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1.08</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Foreign Currency; Exchange Rate</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1.09</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Calculations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364"/>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ARTICLE II</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THE CREDITS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2.01</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Commitments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2.02</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Loans and Borrowings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2.03</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Requests for Borrowings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2.04</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Swingline Loans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2.05</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[Reserved]</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2.06</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Letters of Credit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2.07</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Funding of Borrowings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2.08</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Elections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2.09</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Termination and Reduction of Commitments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2.10</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Repayment of Loans; Evidence of Debt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2.11</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Prepayment of Loans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2.12</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Fees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2.13</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2.14</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Alternate Rate of Interest; Illegality</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2.15</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Increased Costs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2.16</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Break Funding Payments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2.17</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Withholding of Taxes; Gross-Up</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2.18</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Payments Generally; Allocation of Proceeds; Sharing of Setoffs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2.19</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Mitigation Obligations; Replacement of Lenders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2.20</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Defaulting Lenders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2.21</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Returned Payments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2.22</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Increase of Commitments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364"/>
        </w:trPr>
        <w:tc>
          <w:tcPr>
            <w:tcW w:w="25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2.23</w:t>
            </w:r>
          </w:p>
        </w:tc>
        <w:tc>
          <w:tcPr>
            <w:tcW w:w="6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Banking Services and Swap Agreements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bl>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721995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89" w:name="page90"/>
    <w:bookmarkEnd w:id="89"/>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2.24</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Amend and Extend Transactions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2.25</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Benchmark Replacement Setting</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364"/>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ARTICLE III</w:t>
            </w:r>
          </w:p>
        </w:tc>
        <w:tc>
          <w:tcPr>
            <w:tcW w:w="82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REPRESENTATIONS AND WARRANTIES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3.01</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Organization; Powers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3.02</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Authorization; Enforceability</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3.03</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Governmental and Third Party Approvals; No Conflicts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3.04</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Financial Condition; No Material Adverse Change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3.05</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Properties, Permits, etc</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3.06</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Litigation and Environmental Matters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3.07</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Compliance with Laws and Agreements; No Default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3.08</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Investment Company Status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3.09</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Taxes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3.10</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ERISA</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3.11</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Disclosure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3.12</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Capitalization and Subsidiaries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3.13</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Security Interest in Collateral</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3.14</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Federal Reserve Regulations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3.15</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Anti-Corruption Laws and Sanctions; USA PATRIOT Act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3.16</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Not an Affected Financial Institution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3.17</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Solvency</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3.18</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Governmental Authorities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3.19</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Insurance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3.20</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Employee Relations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3.21</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Data Security; Privacy</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364"/>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ARTICLE IV</w:t>
            </w:r>
          </w:p>
        </w:tc>
        <w:tc>
          <w:tcPr>
            <w:tcW w:w="82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CONDITIONS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4.01</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Conditions to Initial Loans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4.02</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Each Credit Event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364"/>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ARTICLE V</w:t>
            </w: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AFFIRMATIVE COVENANTS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5.01</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Financial Statements and Other Information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5.02</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Notices of Material Events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5.03</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Existence; Conduct of Business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5.04</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Payment of Taxes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5.05</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Maintenance of Properties; Insurance; Casualty and Condemnation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5.06</w:t>
            </w:r>
          </w:p>
        </w:tc>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Books and Records; Inspection Rights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bl>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721995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90" w:name="page91"/>
    <w:bookmarkEnd w:id="90"/>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5.07</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Compliance with Laws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5.08</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Use of Proceeds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5.09</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Additional Collateral; Further Assurances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5.10</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Anti-Corruption Laws and Sanctions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5.11</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Compliance with Environmental Laws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5.12</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Intellectual Property</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5.13</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ERISA</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5.14</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PCI Compliance; Data Security</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364"/>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ARTICLE VI</w:t>
            </w:r>
          </w:p>
        </w:tc>
        <w:tc>
          <w:tcPr>
            <w:tcW w:w="91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NEGATIVE COVENANTS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6.01</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Indebtedness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6.02</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Liens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6.03</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Fundamental Changes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6.04</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Investments, Loans, Advances, Guarantees and Acquisitions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6.05</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Asset Dispositions; Sale and Leaseback Transactions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6.06</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Swap Agreements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6.07</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Restricted Payments; Prepayments of Junior Debt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6.08</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6.09</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Restrictive Agreements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6.10</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Amendment of Material Documents; End of Fiscal Years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6.11</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Financial Covenants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6.12</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ERISA</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364"/>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ARTICLE VII</w:t>
            </w:r>
          </w:p>
        </w:tc>
        <w:tc>
          <w:tcPr>
            <w:tcW w:w="91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EVENTS OF DEFAULT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364"/>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ARTICLE VIII</w:t>
            </w:r>
          </w:p>
        </w:tc>
        <w:tc>
          <w:tcPr>
            <w:tcW w:w="91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THE ADMINISTRATIVE AGENT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8.01</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Appointment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8.02</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Rights as a Lender</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8.03</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Duties and Obligations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8.04</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Reliance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8.05</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Actions through Sub-Agents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8.06</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Resignation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8.07</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Non-Reliance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8.08</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Not Partners or Co-Venturers; Administrative Agent as Representative of the Secured Parties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8.09</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Lenders Not Subject to ERISA</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364"/>
        </w:trPr>
        <w:tc>
          <w:tcPr>
            <w:tcW w:w="21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8.10</w:t>
            </w:r>
          </w:p>
        </w:tc>
        <w:tc>
          <w:tcPr>
            <w:tcW w:w="8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Erroneous Payment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bl>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721995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91" w:name="page92"/>
    <w:bookmarkEnd w:id="91"/>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ARTICLE IX</w:t>
            </w:r>
          </w:p>
        </w:tc>
        <w:tc>
          <w:tcPr>
            <w:tcW w:w="8540" w:type="dxa"/>
            <w:vAlign w:val="bottom"/>
            <w:gridSpan w:val="2"/>
          </w:tcPr>
          <w:p>
            <w:pPr>
              <w:jc w:val="right"/>
              <w:ind w:right="6581"/>
              <w:spacing w:after="0"/>
              <w:rPr>
                <w:sz w:val="20"/>
                <w:szCs w:val="20"/>
                <w:color w:val="auto"/>
              </w:rPr>
            </w:pPr>
            <w:r>
              <w:rPr>
                <w:rFonts w:ascii="Times New Roman" w:cs="Times New Roman" w:eastAsia="Times New Roman" w:hAnsi="Times New Roman"/>
                <w:sz w:val="20"/>
                <w:szCs w:val="20"/>
                <w:color w:val="auto"/>
              </w:rPr>
              <w:t>MISCELLANEOUS</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9.01</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Notices</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9.02</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Waivers; Amendments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9.03</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Expenses; Indemnity; Damage Waiver</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9.04</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Successors and Assigns</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9.05</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Survival</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9.06</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Counterparts; Integration; Effectiveness; Electronic Execution</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9.07</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Severability</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9.08</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Right of Setoff</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9.09</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Governing Law; Jurisdiction; Consent to Service of Process</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9.10</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WAIVER OF JURY TRIAL</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9.11</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Headings</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9.12</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Confidentiality</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9.13</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Several Obligations; Nonreliance; Violation of Law</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9.14</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USA PATRIOT Act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9.15</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Disclosure</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9.16</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Appointment for Perfection</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9.17</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Interest Rate Limitation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9.18</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No Advisory or Fiduciary Responsibility</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9.19</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Acknowledgement and Consent to Bail-In of Affected Financial Institutions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9.20</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Acknowledgment Regarding any Supported QFCs</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9.21</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Amendment and Restatement of Existing Credit Agreement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364"/>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ARTICLE X</w:t>
            </w:r>
          </w:p>
        </w:tc>
        <w:tc>
          <w:tcPr>
            <w:tcW w:w="8540" w:type="dxa"/>
            <w:vAlign w:val="bottom"/>
            <w:gridSpan w:val="2"/>
          </w:tcPr>
          <w:p>
            <w:pPr>
              <w:jc w:val="right"/>
              <w:ind w:right="6601"/>
              <w:spacing w:after="0"/>
              <w:rPr>
                <w:sz w:val="20"/>
                <w:szCs w:val="20"/>
                <w:color w:val="auto"/>
              </w:rPr>
            </w:pPr>
            <w:r>
              <w:rPr>
                <w:rFonts w:ascii="Times New Roman" w:cs="Times New Roman" w:eastAsia="Times New Roman" w:hAnsi="Times New Roman"/>
                <w:sz w:val="20"/>
                <w:szCs w:val="20"/>
                <w:color w:val="auto"/>
              </w:rPr>
              <w:t>LOAN GUARANTY</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10.01</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Guaranty</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10.02</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Guaranty of Payment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10.03</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No Discharge or Diminishment of Loan Guaranty</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10.04</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Defenses Waived</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10.05</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Rights of Subrogation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10.06</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Reinstatement; Stay of Acceleration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10.07</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Information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10.08</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Termination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10.09</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[Reserved]</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10.10</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Maximum Liability</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r>
      <w:tr>
        <w:trPr>
          <w:trHeight w:val="364"/>
        </w:trPr>
        <w:tc>
          <w:tcPr>
            <w:tcW w:w="21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Section 10.11</w:t>
            </w:r>
          </w:p>
        </w:tc>
        <w:tc>
          <w:tcPr>
            <w:tcW w:w="7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Contribution</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r>
    </w:tbl>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721995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92" w:name="page93"/>
    <w:bookmarkEnd w:id="92"/>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0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Section 10.12</w:t>
            </w:r>
          </w:p>
        </w:tc>
        <w:tc>
          <w:tcPr>
            <w:tcW w:w="500" w:type="dxa"/>
            <w:vAlign w:val="bottom"/>
          </w:tcPr>
          <w:p>
            <w:pPr>
              <w:spacing w:after="0"/>
              <w:rPr>
                <w:sz w:val="22"/>
                <w:szCs w:val="22"/>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Liability Cumulative</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364"/>
        </w:trPr>
        <w:tc>
          <w:tcPr>
            <w:tcW w:w="20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Section 10.13</w:t>
            </w:r>
          </w:p>
        </w:tc>
        <w:tc>
          <w:tcPr>
            <w:tcW w:w="500" w:type="dxa"/>
            <w:vAlign w:val="bottom"/>
          </w:tcPr>
          <w:p>
            <w:pPr>
              <w:spacing w:after="0"/>
              <w:rPr>
                <w:sz w:val="24"/>
                <w:szCs w:val="24"/>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Keepwell</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763"/>
        </w:trPr>
        <w:tc>
          <w:tcPr>
            <w:tcW w:w="2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SCHEDULES:</w:t>
            </w:r>
          </w:p>
        </w:tc>
        <w:tc>
          <w:tcPr>
            <w:tcW w:w="50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69"/>
        </w:trPr>
        <w:tc>
          <w:tcPr>
            <w:tcW w:w="2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Commitment Schedule</w:t>
            </w:r>
          </w:p>
        </w:tc>
        <w:tc>
          <w:tcPr>
            <w:tcW w:w="500" w:type="dxa"/>
            <w:vAlign w:val="bottom"/>
          </w:tcPr>
          <w:p>
            <w:pPr>
              <w:spacing w:after="0"/>
              <w:rPr>
                <w:sz w:val="23"/>
                <w:szCs w:val="23"/>
                <w:color w:val="auto"/>
              </w:rPr>
            </w:pPr>
          </w:p>
        </w:tc>
        <w:tc>
          <w:tcPr>
            <w:tcW w:w="81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470"/>
        </w:trPr>
        <w:tc>
          <w:tcPr>
            <w:tcW w:w="2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3.12</w:t>
            </w:r>
          </w:p>
        </w:tc>
        <w:tc>
          <w:tcPr>
            <w:tcW w:w="50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w:t>
            </w:r>
          </w:p>
        </w:tc>
        <w:tc>
          <w:tcPr>
            <w:tcW w:w="8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Capitalization and Subsidiaries</w:t>
            </w:r>
          </w:p>
        </w:tc>
        <w:tc>
          <w:tcPr>
            <w:tcW w:w="440" w:type="dxa"/>
            <w:vAlign w:val="bottom"/>
          </w:tcPr>
          <w:p>
            <w:pPr>
              <w:spacing w:after="0"/>
              <w:rPr>
                <w:sz w:val="24"/>
                <w:szCs w:val="24"/>
                <w:color w:val="auto"/>
              </w:rPr>
            </w:pPr>
          </w:p>
        </w:tc>
      </w:tr>
      <w:tr>
        <w:trPr>
          <w:trHeight w:val="243"/>
        </w:trPr>
        <w:tc>
          <w:tcPr>
            <w:tcW w:w="2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5.09</w:t>
            </w:r>
          </w:p>
        </w:tc>
        <w:tc>
          <w:tcPr>
            <w:tcW w:w="50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w:t>
            </w:r>
          </w:p>
        </w:tc>
        <w:tc>
          <w:tcPr>
            <w:tcW w:w="8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Post-Closing Deliverables</w:t>
            </w:r>
          </w:p>
        </w:tc>
        <w:tc>
          <w:tcPr>
            <w:tcW w:w="440" w:type="dxa"/>
            <w:vAlign w:val="bottom"/>
          </w:tcPr>
          <w:p>
            <w:pPr>
              <w:spacing w:after="0"/>
              <w:rPr>
                <w:sz w:val="21"/>
                <w:szCs w:val="21"/>
                <w:color w:val="auto"/>
              </w:rPr>
            </w:pPr>
          </w:p>
        </w:tc>
      </w:tr>
      <w:tr>
        <w:trPr>
          <w:trHeight w:val="243"/>
        </w:trPr>
        <w:tc>
          <w:tcPr>
            <w:tcW w:w="2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6.01</w:t>
            </w:r>
          </w:p>
        </w:tc>
        <w:tc>
          <w:tcPr>
            <w:tcW w:w="50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w:t>
            </w:r>
          </w:p>
        </w:tc>
        <w:tc>
          <w:tcPr>
            <w:tcW w:w="8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Existing Indebtedness</w:t>
            </w:r>
          </w:p>
        </w:tc>
        <w:tc>
          <w:tcPr>
            <w:tcW w:w="440" w:type="dxa"/>
            <w:vAlign w:val="bottom"/>
          </w:tcPr>
          <w:p>
            <w:pPr>
              <w:spacing w:after="0"/>
              <w:rPr>
                <w:sz w:val="21"/>
                <w:szCs w:val="21"/>
                <w:color w:val="auto"/>
              </w:rPr>
            </w:pPr>
          </w:p>
        </w:tc>
      </w:tr>
      <w:tr>
        <w:trPr>
          <w:trHeight w:val="243"/>
        </w:trPr>
        <w:tc>
          <w:tcPr>
            <w:tcW w:w="2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6.02</w:t>
            </w:r>
          </w:p>
        </w:tc>
        <w:tc>
          <w:tcPr>
            <w:tcW w:w="50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w:t>
            </w:r>
          </w:p>
        </w:tc>
        <w:tc>
          <w:tcPr>
            <w:tcW w:w="8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Existing Liens</w:t>
            </w:r>
          </w:p>
        </w:tc>
        <w:tc>
          <w:tcPr>
            <w:tcW w:w="440" w:type="dxa"/>
            <w:vAlign w:val="bottom"/>
          </w:tcPr>
          <w:p>
            <w:pPr>
              <w:spacing w:after="0"/>
              <w:rPr>
                <w:sz w:val="21"/>
                <w:szCs w:val="21"/>
                <w:color w:val="auto"/>
              </w:rPr>
            </w:pPr>
          </w:p>
        </w:tc>
      </w:tr>
      <w:tr>
        <w:trPr>
          <w:trHeight w:val="243"/>
        </w:trPr>
        <w:tc>
          <w:tcPr>
            <w:tcW w:w="2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6.04</w:t>
            </w:r>
          </w:p>
        </w:tc>
        <w:tc>
          <w:tcPr>
            <w:tcW w:w="50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w:t>
            </w:r>
          </w:p>
        </w:tc>
        <w:tc>
          <w:tcPr>
            <w:tcW w:w="8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Existing Investments</w:t>
            </w:r>
          </w:p>
        </w:tc>
        <w:tc>
          <w:tcPr>
            <w:tcW w:w="440" w:type="dxa"/>
            <w:vAlign w:val="bottom"/>
          </w:tcPr>
          <w:p>
            <w:pPr>
              <w:spacing w:after="0"/>
              <w:rPr>
                <w:sz w:val="21"/>
                <w:szCs w:val="21"/>
                <w:color w:val="auto"/>
              </w:rPr>
            </w:pPr>
          </w:p>
        </w:tc>
      </w:tr>
      <w:tr>
        <w:trPr>
          <w:trHeight w:val="243"/>
        </w:trPr>
        <w:tc>
          <w:tcPr>
            <w:tcW w:w="2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6.08</w:t>
            </w:r>
          </w:p>
        </w:tc>
        <w:tc>
          <w:tcPr>
            <w:tcW w:w="50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w:t>
            </w:r>
          </w:p>
        </w:tc>
        <w:tc>
          <w:tcPr>
            <w:tcW w:w="8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440" w:type="dxa"/>
            <w:vAlign w:val="bottom"/>
          </w:tcPr>
          <w:p>
            <w:pPr>
              <w:spacing w:after="0"/>
              <w:rPr>
                <w:sz w:val="21"/>
                <w:szCs w:val="21"/>
                <w:color w:val="auto"/>
              </w:rPr>
            </w:pPr>
          </w:p>
        </w:tc>
      </w:tr>
      <w:tr>
        <w:trPr>
          <w:trHeight w:val="258"/>
        </w:trPr>
        <w:tc>
          <w:tcPr>
            <w:tcW w:w="2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6.09</w:t>
            </w:r>
          </w:p>
        </w:tc>
        <w:tc>
          <w:tcPr>
            <w:tcW w:w="50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w:t>
            </w:r>
          </w:p>
        </w:tc>
        <w:tc>
          <w:tcPr>
            <w:tcW w:w="8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Restrictive Agreements</w:t>
            </w:r>
          </w:p>
        </w:tc>
        <w:tc>
          <w:tcPr>
            <w:tcW w:w="440" w:type="dxa"/>
            <w:vAlign w:val="bottom"/>
          </w:tcPr>
          <w:p>
            <w:pPr>
              <w:spacing w:after="0"/>
              <w:rPr>
                <w:sz w:val="22"/>
                <w:szCs w:val="22"/>
                <w:color w:val="auto"/>
              </w:rPr>
            </w:pPr>
          </w:p>
        </w:tc>
      </w:tr>
      <w:tr>
        <w:trPr>
          <w:trHeight w:val="439"/>
        </w:trPr>
        <w:tc>
          <w:tcPr>
            <w:tcW w:w="2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EXHIBITS:</w:t>
            </w:r>
          </w:p>
        </w:tc>
        <w:tc>
          <w:tcPr>
            <w:tcW w:w="50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97"/>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Exhibit A</w:t>
            </w:r>
          </w:p>
        </w:tc>
        <w:tc>
          <w:tcPr>
            <w:tcW w:w="1180" w:type="dxa"/>
            <w:vAlign w:val="bottom"/>
            <w:gridSpan w:val="2"/>
          </w:tcPr>
          <w:p>
            <w:pPr>
              <w:spacing w:after="0"/>
              <w:rPr>
                <w:sz w:val="24"/>
                <w:szCs w:val="24"/>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w:t>
            </w:r>
          </w:p>
        </w:tc>
        <w:tc>
          <w:tcPr>
            <w:tcW w:w="8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Form of Assignment and Assumption</w:t>
            </w:r>
          </w:p>
        </w:tc>
        <w:tc>
          <w:tcPr>
            <w:tcW w:w="440" w:type="dxa"/>
            <w:vAlign w:val="bottom"/>
          </w:tcPr>
          <w:p>
            <w:pPr>
              <w:spacing w:after="0"/>
              <w:rPr>
                <w:sz w:val="24"/>
                <w:szCs w:val="24"/>
                <w:color w:val="auto"/>
              </w:rPr>
            </w:pPr>
          </w:p>
        </w:tc>
      </w:tr>
      <w:tr>
        <w:trPr>
          <w:trHeight w:val="243"/>
        </w:trPr>
        <w:tc>
          <w:tcPr>
            <w:tcW w:w="2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B</w:t>
            </w:r>
          </w:p>
        </w:tc>
        <w:tc>
          <w:tcPr>
            <w:tcW w:w="50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w:t>
            </w:r>
          </w:p>
        </w:tc>
        <w:tc>
          <w:tcPr>
            <w:tcW w:w="8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Form of Compliance Certificate</w:t>
            </w:r>
          </w:p>
        </w:tc>
        <w:tc>
          <w:tcPr>
            <w:tcW w:w="440" w:type="dxa"/>
            <w:vAlign w:val="bottom"/>
          </w:tcPr>
          <w:p>
            <w:pPr>
              <w:spacing w:after="0"/>
              <w:rPr>
                <w:sz w:val="21"/>
                <w:szCs w:val="21"/>
                <w:color w:val="auto"/>
              </w:rPr>
            </w:pPr>
          </w:p>
        </w:tc>
      </w:tr>
      <w:tr>
        <w:trPr>
          <w:trHeight w:val="243"/>
        </w:trPr>
        <w:tc>
          <w:tcPr>
            <w:tcW w:w="2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C</w:t>
            </w:r>
          </w:p>
        </w:tc>
        <w:tc>
          <w:tcPr>
            <w:tcW w:w="50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w:t>
            </w:r>
          </w:p>
        </w:tc>
        <w:tc>
          <w:tcPr>
            <w:tcW w:w="8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Form of Joinder Agreement</w:t>
            </w:r>
          </w:p>
        </w:tc>
        <w:tc>
          <w:tcPr>
            <w:tcW w:w="440" w:type="dxa"/>
            <w:vAlign w:val="bottom"/>
          </w:tcPr>
          <w:p>
            <w:pPr>
              <w:spacing w:after="0"/>
              <w:rPr>
                <w:sz w:val="21"/>
                <w:szCs w:val="21"/>
                <w:color w:val="auto"/>
              </w:rPr>
            </w:pPr>
          </w:p>
        </w:tc>
      </w:tr>
      <w:tr>
        <w:trPr>
          <w:trHeight w:val="243"/>
        </w:trPr>
        <w:tc>
          <w:tcPr>
            <w:tcW w:w="2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D</w:t>
            </w:r>
          </w:p>
        </w:tc>
        <w:tc>
          <w:tcPr>
            <w:tcW w:w="50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w:t>
            </w:r>
          </w:p>
        </w:tc>
        <w:tc>
          <w:tcPr>
            <w:tcW w:w="8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Form of Solvency Certificate</w:t>
            </w:r>
          </w:p>
        </w:tc>
        <w:tc>
          <w:tcPr>
            <w:tcW w:w="440" w:type="dxa"/>
            <w:vAlign w:val="bottom"/>
          </w:tcPr>
          <w:p>
            <w:pPr>
              <w:spacing w:after="0"/>
              <w:rPr>
                <w:sz w:val="21"/>
                <w:szCs w:val="21"/>
                <w:color w:val="auto"/>
              </w:rPr>
            </w:pPr>
          </w:p>
        </w:tc>
      </w:tr>
      <w:tr>
        <w:trPr>
          <w:trHeight w:val="229"/>
        </w:trPr>
        <w:tc>
          <w:tcPr>
            <w:tcW w:w="2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E - 1</w:t>
            </w:r>
          </w:p>
        </w:tc>
        <w:tc>
          <w:tcPr>
            <w:tcW w:w="50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w:t>
            </w:r>
          </w:p>
        </w:tc>
        <w:tc>
          <w:tcPr>
            <w:tcW w:w="8180" w:type="dxa"/>
            <w:vAlign w:val="bottom"/>
          </w:tcPr>
          <w:p>
            <w:pPr>
              <w:ind w:left="460"/>
              <w:spacing w:after="0"/>
              <w:rPr>
                <w:sz w:val="20"/>
                <w:szCs w:val="20"/>
                <w:color w:val="auto"/>
              </w:rPr>
            </w:pPr>
            <w:r>
              <w:rPr>
                <w:rFonts w:ascii="Times New Roman" w:cs="Times New Roman" w:eastAsia="Times New Roman" w:hAnsi="Times New Roman"/>
                <w:sz w:val="20"/>
                <w:szCs w:val="20"/>
                <w:color w:val="auto"/>
                <w:w w:val="99"/>
              </w:rPr>
              <w:t>U.S. Tax Certificate (For Foreign Lenders that are not Partnerships for U.S. Federal Income Tax</w:t>
            </w:r>
          </w:p>
        </w:tc>
        <w:tc>
          <w:tcPr>
            <w:tcW w:w="440" w:type="dxa"/>
            <w:vAlign w:val="bottom"/>
          </w:tcPr>
          <w:p>
            <w:pPr>
              <w:spacing w:after="0"/>
              <w:rPr>
                <w:sz w:val="19"/>
                <w:szCs w:val="19"/>
                <w:color w:val="auto"/>
              </w:rPr>
            </w:pPr>
          </w:p>
        </w:tc>
      </w:tr>
      <w:tr>
        <w:trPr>
          <w:trHeight w:val="243"/>
        </w:trPr>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Purposes)</w:t>
            </w:r>
          </w:p>
        </w:tc>
        <w:tc>
          <w:tcPr>
            <w:tcW w:w="440" w:type="dxa"/>
            <w:vAlign w:val="bottom"/>
          </w:tcPr>
          <w:p>
            <w:pPr>
              <w:spacing w:after="0"/>
              <w:rPr>
                <w:sz w:val="21"/>
                <w:szCs w:val="21"/>
                <w:color w:val="auto"/>
              </w:rPr>
            </w:pPr>
          </w:p>
        </w:tc>
      </w:tr>
      <w:tr>
        <w:trPr>
          <w:trHeight w:val="229"/>
        </w:trPr>
        <w:tc>
          <w:tcPr>
            <w:tcW w:w="2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E - 2</w:t>
            </w:r>
          </w:p>
        </w:tc>
        <w:tc>
          <w:tcPr>
            <w:tcW w:w="50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w:t>
            </w:r>
          </w:p>
        </w:tc>
        <w:tc>
          <w:tcPr>
            <w:tcW w:w="862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U.S. Tax Certificate (For Foreign Participants that are not Partnerships for U.S. Federal Income Tax</w:t>
            </w:r>
          </w:p>
        </w:tc>
      </w:tr>
      <w:tr>
        <w:trPr>
          <w:trHeight w:val="243"/>
        </w:trPr>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Purposes)</w:t>
            </w:r>
          </w:p>
        </w:tc>
        <w:tc>
          <w:tcPr>
            <w:tcW w:w="440" w:type="dxa"/>
            <w:vAlign w:val="bottom"/>
          </w:tcPr>
          <w:p>
            <w:pPr>
              <w:spacing w:after="0"/>
              <w:rPr>
                <w:sz w:val="21"/>
                <w:szCs w:val="21"/>
                <w:color w:val="auto"/>
              </w:rPr>
            </w:pPr>
          </w:p>
        </w:tc>
      </w:tr>
      <w:tr>
        <w:trPr>
          <w:trHeight w:val="229"/>
        </w:trPr>
        <w:tc>
          <w:tcPr>
            <w:tcW w:w="2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E - 3</w:t>
            </w:r>
          </w:p>
        </w:tc>
        <w:tc>
          <w:tcPr>
            <w:tcW w:w="50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w:t>
            </w:r>
          </w:p>
        </w:tc>
        <w:tc>
          <w:tcPr>
            <w:tcW w:w="8180" w:type="dxa"/>
            <w:vAlign w:val="bottom"/>
          </w:tcPr>
          <w:p>
            <w:pPr>
              <w:ind w:left="460"/>
              <w:spacing w:after="0"/>
              <w:rPr>
                <w:sz w:val="20"/>
                <w:szCs w:val="20"/>
                <w:color w:val="auto"/>
              </w:rPr>
            </w:pPr>
            <w:r>
              <w:rPr>
                <w:rFonts w:ascii="Times New Roman" w:cs="Times New Roman" w:eastAsia="Times New Roman" w:hAnsi="Times New Roman"/>
                <w:sz w:val="20"/>
                <w:szCs w:val="20"/>
                <w:color w:val="auto"/>
                <w:w w:val="99"/>
              </w:rPr>
              <w:t>U.S. Tax Certificate (For Foreign Participants that are Partnerships for U.S. Federal Income Tax</w:t>
            </w:r>
          </w:p>
        </w:tc>
        <w:tc>
          <w:tcPr>
            <w:tcW w:w="440" w:type="dxa"/>
            <w:vAlign w:val="bottom"/>
          </w:tcPr>
          <w:p>
            <w:pPr>
              <w:spacing w:after="0"/>
              <w:rPr>
                <w:sz w:val="19"/>
                <w:szCs w:val="19"/>
                <w:color w:val="auto"/>
              </w:rPr>
            </w:pPr>
          </w:p>
        </w:tc>
      </w:tr>
      <w:tr>
        <w:trPr>
          <w:trHeight w:val="243"/>
        </w:trPr>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Purposes)</w:t>
            </w:r>
          </w:p>
        </w:tc>
        <w:tc>
          <w:tcPr>
            <w:tcW w:w="440" w:type="dxa"/>
            <w:vAlign w:val="bottom"/>
          </w:tcPr>
          <w:p>
            <w:pPr>
              <w:spacing w:after="0"/>
              <w:rPr>
                <w:sz w:val="21"/>
                <w:szCs w:val="21"/>
                <w:color w:val="auto"/>
              </w:rPr>
            </w:pPr>
          </w:p>
        </w:tc>
      </w:tr>
      <w:tr>
        <w:trPr>
          <w:trHeight w:val="243"/>
        </w:trPr>
        <w:tc>
          <w:tcPr>
            <w:tcW w:w="2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E - 4</w:t>
            </w:r>
          </w:p>
        </w:tc>
        <w:tc>
          <w:tcPr>
            <w:tcW w:w="50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w:t>
            </w:r>
          </w:p>
        </w:tc>
        <w:tc>
          <w:tcPr>
            <w:tcW w:w="862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w w:val="98"/>
              </w:rPr>
              <w:t>U.S. Tax Certificate (For Foreign Lenders that are Partnerships for U.S. Federal Income Tax Purposes)</w:t>
            </w:r>
          </w:p>
        </w:tc>
      </w:tr>
      <w:tr>
        <w:trPr>
          <w:trHeight w:val="243"/>
        </w:trPr>
        <w:tc>
          <w:tcPr>
            <w:tcW w:w="2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F</w:t>
            </w:r>
          </w:p>
        </w:tc>
        <w:tc>
          <w:tcPr>
            <w:tcW w:w="50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w:t>
            </w:r>
          </w:p>
        </w:tc>
        <w:tc>
          <w:tcPr>
            <w:tcW w:w="8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Form of Borrowing Request</w:t>
            </w:r>
          </w:p>
        </w:tc>
        <w:tc>
          <w:tcPr>
            <w:tcW w:w="440" w:type="dxa"/>
            <w:vAlign w:val="bottom"/>
          </w:tcPr>
          <w:p>
            <w:pPr>
              <w:spacing w:after="0"/>
              <w:rPr>
                <w:sz w:val="21"/>
                <w:szCs w:val="21"/>
                <w:color w:val="auto"/>
              </w:rPr>
            </w:pPr>
          </w:p>
        </w:tc>
      </w:tr>
      <w:tr>
        <w:trPr>
          <w:trHeight w:val="243"/>
        </w:trPr>
        <w:tc>
          <w:tcPr>
            <w:tcW w:w="2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G</w:t>
            </w:r>
          </w:p>
        </w:tc>
        <w:tc>
          <w:tcPr>
            <w:tcW w:w="50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w:t>
            </w:r>
          </w:p>
        </w:tc>
        <w:tc>
          <w:tcPr>
            <w:tcW w:w="8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Form of Notice of Continuation/Conversion</w:t>
            </w:r>
          </w:p>
        </w:tc>
        <w:tc>
          <w:tcPr>
            <w:tcW w:w="440" w:type="dxa"/>
            <w:vAlign w:val="bottom"/>
          </w:tcPr>
          <w:p>
            <w:pPr>
              <w:spacing w:after="0"/>
              <w:rPr>
                <w:sz w:val="21"/>
                <w:szCs w:val="21"/>
                <w:color w:val="auto"/>
              </w:rPr>
            </w:pPr>
          </w:p>
        </w:tc>
      </w:tr>
      <w:tr>
        <w:trPr>
          <w:trHeight w:val="243"/>
        </w:trPr>
        <w:tc>
          <w:tcPr>
            <w:tcW w:w="2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H</w:t>
            </w:r>
          </w:p>
        </w:tc>
        <w:tc>
          <w:tcPr>
            <w:tcW w:w="50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w:t>
            </w:r>
          </w:p>
        </w:tc>
        <w:tc>
          <w:tcPr>
            <w:tcW w:w="8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Form of Swingline Request</w:t>
            </w:r>
          </w:p>
        </w:tc>
        <w:tc>
          <w:tcPr>
            <w:tcW w:w="440" w:type="dxa"/>
            <w:vAlign w:val="bottom"/>
          </w:tcPr>
          <w:p>
            <w:pPr>
              <w:spacing w:after="0"/>
              <w:rPr>
                <w:sz w:val="21"/>
                <w:szCs w:val="21"/>
                <w:color w:val="auto"/>
              </w:rPr>
            </w:pPr>
          </w:p>
        </w:tc>
      </w:tr>
      <w:tr>
        <w:trPr>
          <w:trHeight w:val="258"/>
        </w:trPr>
        <w:tc>
          <w:tcPr>
            <w:tcW w:w="2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I</w:t>
            </w:r>
          </w:p>
        </w:tc>
        <w:tc>
          <w:tcPr>
            <w:tcW w:w="50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9"/>
              </w:rPr>
              <w:t>—</w:t>
            </w:r>
          </w:p>
        </w:tc>
        <w:tc>
          <w:tcPr>
            <w:tcW w:w="8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Form of Promissory Note</w:t>
            </w:r>
          </w:p>
        </w:tc>
        <w:tc>
          <w:tcPr>
            <w:tcW w:w="4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725805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93" w:name="page94"/>
    <w:bookmarkEnd w:id="93"/>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AMENDED AND RESTATED CREDIT AGREEMENT, dated as of February 23, 2024 (as it may be amended, restated, amended and restated, supplemented, and/or otherwise modified from time to time,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among FLYWIRE CORPORATION, a Delaware corporation, as the Borrower, the other Loan Parties party hereto from time to time, the Lenders party hereto from time to time, the Issuing Banks party hereto from time to time and CITIBANK, N.A., as the Administrative Agent.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parties hereto agree as follows: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1.01</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Agreement, the following terms have the meanings specified below:</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w:t>
      </w:r>
      <w:r>
        <w:rPr>
          <w:rFonts w:ascii="Times New Roman" w:cs="Times New Roman" w:eastAsia="Times New Roman" w:hAnsi="Times New Roman"/>
          <w:sz w:val="20"/>
          <w:szCs w:val="20"/>
          <w:color w:val="auto"/>
        </w:rPr>
        <w:t>”, when used in reference to any Loan or Borrowing, refers to whether such Loan, or the Loans comprising such Borrowing, are bearing interest at a rate determined by reference to the Alternate Base Rate.</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Accounting Firm</w:t>
      </w:r>
      <w:r>
        <w:rPr>
          <w:rFonts w:ascii="Times New Roman" w:cs="Times New Roman" w:eastAsia="Times New Roman" w:hAnsi="Times New Roman"/>
          <w:sz w:val="20"/>
          <w:szCs w:val="20"/>
          <w:color w:val="auto"/>
        </w:rPr>
        <w:t>” means PricewaterhouseCoopers LLP, or any other independent registered public accounting firm of nationally recognized standing.</w:t>
      </w:r>
    </w:p>
    <w:p>
      <w:pPr>
        <w:spacing w:after="0" w:line="16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xml:space="preserve">” means any transaction or series of related transactions for the purpose of or resulting, directly or indirectly, in (a) the acquisition of all or substantially all of the assets of a Person, or of any business or division of a Person, (b) the acquisition of in excess of 50% of the Equity Interests of any Person, or otherwise causing any Person to become a Subsidiary, or (c) a merger, amalgamation or consolidation or any other combination with another Person (other than a Person that is a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Borrower or the applicable Subsidiary of the Borrower is the surviving entity.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2.22(a)(ii)</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SOFR</w:t>
      </w:r>
      <w:r>
        <w:rPr>
          <w:rFonts w:ascii="Times New Roman" w:cs="Times New Roman" w:eastAsia="Times New Roman" w:hAnsi="Times New Roman"/>
          <w:sz w:val="20"/>
          <w:szCs w:val="20"/>
          <w:color w:val="auto"/>
        </w:rPr>
        <w:t xml:space="preserve">” means, for the purposes of any calculation, a rate per annum equal to the sum of (a) Term SOFR for such Interest Period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(b) the SOFR Adjustment;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Adjusted Term SOFR as so determined shall ever be less than 0.00%, then Adjusted Term SOFR shall be deemed to be 0.00%.</w:t>
      </w:r>
    </w:p>
    <w:p>
      <w:pPr>
        <w:spacing w:after="0" w:line="176"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Citibank, N.A., in its capacities as administrative agent and collateral agent for the Lenders hereunder, or any successor administrative agent.</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5"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specified Person.</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9.01(d)(ii)</w:t>
      </w:r>
      <w:r>
        <w:rPr>
          <w:rFonts w:ascii="Times New Roman" w:cs="Times New Roman" w:eastAsia="Times New Roman" w:hAnsi="Times New Roman"/>
          <w:sz w:val="20"/>
          <w:szCs w:val="20"/>
          <w:color w:val="auto"/>
        </w:rPr>
        <w: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4" w:name="page95"/>
    <w:bookmarkEnd w:id="94"/>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Credit Exposure</w:t>
      </w:r>
      <w:r>
        <w:rPr>
          <w:rFonts w:ascii="Times New Roman" w:cs="Times New Roman" w:eastAsia="Times New Roman" w:hAnsi="Times New Roman"/>
          <w:sz w:val="20"/>
          <w:szCs w:val="20"/>
          <w:color w:val="auto"/>
        </w:rPr>
        <w:t>” means, at any time, the aggregate Credit Exposure of all the Lenders at such time.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assigned to such term in the introductory paragraph.</w:t>
      </w:r>
    </w:p>
    <w:p>
      <w:pPr>
        <w:spacing w:after="0" w:line="21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Base Rate</w:t>
      </w:r>
      <w:r>
        <w:rPr>
          <w:rFonts w:ascii="Times New Roman" w:cs="Times New Roman" w:eastAsia="Times New Roman" w:hAnsi="Times New Roman"/>
          <w:sz w:val="20"/>
          <w:szCs w:val="20"/>
          <w:color w:val="auto"/>
        </w:rPr>
        <w:t xml:space="preserve">” means, for any day, a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the greatest of (a) the Prime Rate in effect on such day, (b) the Federal Funds Effective Rate in effect on such day plus ½ of 1% and (c) Adjusted Term SOFR for a one month tenor in effect on such day plus 1%. Any change in the Alternate Base Rate due to a change in the Prime Rate, the Federal Funds Effective Rate or Adjusted Term SOFR shall be effective from and including the effective date of such change in the Prime Rate, the Federal Funds Effective Rate or Adjusted Term SOFR, respectively. If the Alternate Base Rate is being used as an alternate rate of interest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hereof, then the Alternate Base Rate shall be the greater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and shall be determined without reference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 In the event that that the Alternate Base Rate is less than zero, it shall be deemed to be zero for purposes of this Agreement.</w:t>
      </w:r>
    </w:p>
    <w:p>
      <w:pPr>
        <w:spacing w:after="0" w:line="18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the Borrower or any of its Subsidiaries from time to time concerning or relating to (a) bribery and/or corruption and (b) terrorism financing and/or money laundering, including any applicable provision of the USA PATRIOT Act and The Currency and Foreign Transactions Reporting Act (also known as the “Bank Secrecy Act,” 31 U.S.C. §§ 5311-5330 and 12 U.S.C. §§ 1818(s), 1820(b) and 1951-1959).</w:t>
      </w:r>
    </w:p>
    <w:p>
      <w:pPr>
        <w:spacing w:after="0" w:line="178"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Percentage</w:t>
      </w:r>
      <w:r>
        <w:rPr>
          <w:rFonts w:ascii="Times New Roman" w:cs="Times New Roman" w:eastAsia="Times New Roman" w:hAnsi="Times New Roman"/>
          <w:sz w:val="19"/>
          <w:szCs w:val="19"/>
          <w:color w:val="auto"/>
        </w:rPr>
        <w:t xml:space="preserve">” means, with respect to any Lender, (a) with respect to Loans and LC Exposure, a percentage equal to a fraction the numerator of which is such Lender’s Commitment and the denominator of which is the aggregate Commitment of all Lenders (if the Commitments have terminated or expired, the Applicable Percentage shall be determined based upon such Lender’s share of the Aggregate Credit Exposure at that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when a Defaulting Lender shall exist, any such Defaulting Lender’s Commitment shall be disregarded in the calculation, and (b) with respect to the Aggregate Credit Exposure, a percentage based upon its share of the Aggregate Credit Exposure and the unused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when a Defaulting Lender shall exist, any such Defaulting Lender’s Aggregate Credit Exposure and Commitment shall be disregarded in the calculation.</w:t>
      </w:r>
    </w:p>
    <w:p>
      <w:pPr>
        <w:spacing w:after="0" w:line="17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xml:space="preserve">” means, for any day, with respect to any ABR Loan or Term SOFR Loan, or with respect to the commitment fees or letter of credit fees payable hereunder, as the case may be, the applicable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set forth below under the caption “Applicable Rate for Term SOFR Loans”, “Applicable Rate for ABR Loans” or “Commitment Fee Rate”, as the case may be, based upon the Borrower’s Consolidated Total Net Leverage Ratio as of the most recent determination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until the delivery to the Administrative Agent, pursuant to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of the Borrower’s consolidated financial information for the Borrower’s first fiscal quarter ending after the Effective Date, the “Applicable Rate” shall be the applicable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set forth below in Level I:</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150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21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7"/>
              </w:rPr>
              <w:t>Consolidated Total Net</w:t>
            </w:r>
          </w:p>
        </w:tc>
        <w:tc>
          <w:tcPr>
            <w:tcW w:w="2520" w:type="dxa"/>
            <w:vAlign w:val="bottom"/>
            <w:tcBorders>
              <w:top w:val="single" w:sz="8" w:color="auto"/>
              <w:right w:val="single" w:sz="8" w:color="auto"/>
            </w:tcBorders>
            <w:shd w:val="clear" w:color="auto" w:fill="D9D9D9"/>
          </w:tcPr>
          <w:p>
            <w:pPr>
              <w:jc w:val="center"/>
              <w:ind w:right="1"/>
              <w:spacing w:after="0"/>
              <w:rPr>
                <w:sz w:val="20"/>
                <w:szCs w:val="20"/>
                <w:color w:val="auto"/>
              </w:rPr>
            </w:pPr>
            <w:r>
              <w:rPr>
                <w:rFonts w:ascii="Times New Roman" w:cs="Times New Roman" w:eastAsia="Times New Roman" w:hAnsi="Times New Roman"/>
                <w:sz w:val="20"/>
                <w:szCs w:val="20"/>
                <w:color w:val="auto"/>
                <w:w w:val="98"/>
              </w:rPr>
              <w:t>Applicable Rate for Term</w:t>
            </w:r>
          </w:p>
        </w:tc>
        <w:tc>
          <w:tcPr>
            <w:tcW w:w="24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8"/>
              </w:rPr>
              <w:t>Applicable Rate for</w:t>
            </w:r>
          </w:p>
        </w:tc>
        <w:tc>
          <w:tcPr>
            <w:tcW w:w="2560" w:type="dxa"/>
            <w:vAlign w:val="bottom"/>
            <w:tcBorders>
              <w:top w:val="single" w:sz="8" w:color="auto"/>
              <w:right w:val="single" w:sz="8" w:color="auto"/>
            </w:tcBorders>
            <w:shd w:val="clear" w:color="auto" w:fill="D9D9D9"/>
          </w:tcPr>
          <w:p>
            <w:pPr>
              <w:spacing w:after="0"/>
              <w:rPr>
                <w:sz w:val="24"/>
                <w:szCs w:val="24"/>
                <w:color w:val="auto"/>
              </w:rPr>
            </w:pPr>
          </w:p>
        </w:tc>
      </w:tr>
      <w:tr>
        <w:trPr>
          <w:trHeight w:val="321"/>
        </w:trPr>
        <w:tc>
          <w:tcPr>
            <w:tcW w:w="150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6"/>
              </w:rPr>
              <w:t>Level</w:t>
            </w:r>
          </w:p>
        </w:tc>
        <w:tc>
          <w:tcPr>
            <w:tcW w:w="21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9"/>
              </w:rPr>
              <w:t>Leverage Ratio</w:t>
            </w:r>
          </w:p>
        </w:tc>
        <w:tc>
          <w:tcPr>
            <w:tcW w:w="25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rPr>
              <w:t>SOFR Loans</w:t>
            </w:r>
          </w:p>
        </w:tc>
        <w:tc>
          <w:tcPr>
            <w:tcW w:w="24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8"/>
              </w:rPr>
              <w:t>ABR Loans</w:t>
            </w:r>
          </w:p>
        </w:tc>
        <w:tc>
          <w:tcPr>
            <w:tcW w:w="256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8"/>
              </w:rPr>
              <w:t>Commitment Fee Rate</w:t>
            </w:r>
          </w:p>
        </w:tc>
      </w:tr>
      <w:tr>
        <w:trPr>
          <w:trHeight w:val="299"/>
        </w:trPr>
        <w:tc>
          <w:tcPr>
            <w:tcW w:w="1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Level I</w:t>
            </w:r>
          </w:p>
        </w:tc>
        <w:tc>
          <w:tcPr>
            <w:tcW w:w="2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 1.50 to 1.00</w:t>
            </w:r>
          </w:p>
        </w:tc>
        <w:tc>
          <w:tcPr>
            <w:tcW w:w="2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2.000%</w:t>
            </w:r>
          </w:p>
        </w:tc>
        <w:tc>
          <w:tcPr>
            <w:tcW w:w="2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1.000%</w:t>
            </w:r>
          </w:p>
        </w:tc>
        <w:tc>
          <w:tcPr>
            <w:tcW w:w="2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0.250%</w:t>
            </w:r>
          </w:p>
        </w:tc>
      </w:tr>
      <w:tr>
        <w:trPr>
          <w:trHeight w:val="61"/>
        </w:trPr>
        <w:tc>
          <w:tcPr>
            <w:tcW w:w="1500" w:type="dxa"/>
            <w:vAlign w:val="bottom"/>
            <w:tcBorders>
              <w:left w:val="single" w:sz="8" w:color="auto"/>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560" w:type="dxa"/>
            <w:vAlign w:val="bottom"/>
            <w:tcBorders>
              <w:bottom w:val="single" w:sz="8" w:color="auto"/>
              <w:right w:val="single" w:sz="8" w:color="auto"/>
            </w:tcBorders>
          </w:tcPr>
          <w:p>
            <w:pPr>
              <w:spacing w:after="0"/>
              <w:rPr>
                <w:sz w:val="5"/>
                <w:szCs w:val="5"/>
                <w:color w:val="auto"/>
              </w:rPr>
            </w:pPr>
          </w:p>
        </w:tc>
      </w:tr>
      <w:tr>
        <w:trPr>
          <w:trHeight w:val="296"/>
        </w:trPr>
        <w:tc>
          <w:tcPr>
            <w:tcW w:w="1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Level II</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 2.50 to 1.00, but</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2.250%</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1.250%</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0.300%</w:t>
            </w:r>
          </w:p>
        </w:tc>
      </w:tr>
      <w:tr>
        <w:trPr>
          <w:trHeight w:val="283"/>
        </w:trPr>
        <w:tc>
          <w:tcPr>
            <w:tcW w:w="15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&gt; 1.50 to 1.00</w:t>
            </w:r>
          </w:p>
        </w:tc>
        <w:tc>
          <w:tcPr>
            <w:tcW w:w="252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r>
      <w:tr>
        <w:trPr>
          <w:trHeight w:val="61"/>
        </w:trPr>
        <w:tc>
          <w:tcPr>
            <w:tcW w:w="1500" w:type="dxa"/>
            <w:vAlign w:val="bottom"/>
            <w:tcBorders>
              <w:left w:val="single" w:sz="8" w:color="auto"/>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2560" w:type="dxa"/>
            <w:vAlign w:val="bottom"/>
            <w:tcBorders>
              <w:bottom w:val="single" w:sz="8" w:color="auto"/>
              <w:right w:val="single" w:sz="8" w:color="auto"/>
            </w:tcBorders>
          </w:tcPr>
          <w:p>
            <w:pPr>
              <w:spacing w:after="0"/>
              <w:rPr>
                <w:sz w:val="5"/>
                <w:szCs w:val="5"/>
                <w:color w:val="auto"/>
              </w:rPr>
            </w:pPr>
          </w:p>
        </w:tc>
      </w:tr>
    </w:tbl>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716915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5" w:name="page96"/>
    <w:bookmarkEnd w:id="95"/>
    <w:tbl>
      <w:tblPr>
        <w:tblLayout w:type="fixed"/>
        <w:tblInd w:w="10" w:type="dxa"/>
        <w:tblCellMar>
          <w:top w:w="0" w:type="dxa"/>
          <w:left w:w="0" w:type="dxa"/>
          <w:bottom w:w="0" w:type="dxa"/>
          <w:right w:w="0" w:type="dxa"/>
        </w:tblCellMar>
      </w:tblPr>
      <w:tr>
        <w:trPr>
          <w:trHeight w:val="319"/>
        </w:trPr>
        <w:tc>
          <w:tcPr>
            <w:tcW w:w="1480" w:type="dxa"/>
            <w:vAlign w:val="bottom"/>
            <w:tcBorders>
              <w:top w:val="single" w:sz="8" w:color="auto"/>
              <w:left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0"/>
                <w:szCs w:val="20"/>
                <w:color w:val="auto"/>
              </w:rPr>
              <w:t>Level III</w:t>
            </w:r>
          </w:p>
        </w:tc>
        <w:tc>
          <w:tcPr>
            <w:tcW w:w="2200" w:type="dxa"/>
            <w:vAlign w:val="bottom"/>
            <w:tcBorders>
              <w:top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20"/>
                <w:szCs w:val="20"/>
                <w:color w:val="auto"/>
              </w:rPr>
              <w:t>&gt; 2.50 to 1.00</w:t>
            </w:r>
          </w:p>
        </w:tc>
        <w:tc>
          <w:tcPr>
            <w:tcW w:w="2520" w:type="dxa"/>
            <w:vAlign w:val="bottom"/>
            <w:tcBorders>
              <w:top w:val="single" w:sz="8" w:color="auto"/>
              <w:right w:val="single" w:sz="8" w:color="auto"/>
            </w:tcBorders>
          </w:tcPr>
          <w:p>
            <w:pPr>
              <w:jc w:val="right"/>
              <w:ind w:right="881"/>
              <w:spacing w:after="0"/>
              <w:rPr>
                <w:sz w:val="20"/>
                <w:szCs w:val="20"/>
                <w:color w:val="auto"/>
              </w:rPr>
            </w:pPr>
            <w:r>
              <w:rPr>
                <w:rFonts w:ascii="Times New Roman" w:cs="Times New Roman" w:eastAsia="Times New Roman" w:hAnsi="Times New Roman"/>
                <w:sz w:val="20"/>
                <w:szCs w:val="20"/>
                <w:color w:val="auto"/>
              </w:rPr>
              <w:t>2.500%</w:t>
            </w:r>
          </w:p>
        </w:tc>
        <w:tc>
          <w:tcPr>
            <w:tcW w:w="2480" w:type="dxa"/>
            <w:vAlign w:val="bottom"/>
            <w:tcBorders>
              <w:top w:val="single" w:sz="8" w:color="auto"/>
              <w:right w:val="single" w:sz="8" w:color="auto"/>
            </w:tcBorders>
          </w:tcPr>
          <w:p>
            <w:pPr>
              <w:jc w:val="right"/>
              <w:ind w:right="861"/>
              <w:spacing w:after="0"/>
              <w:rPr>
                <w:sz w:val="20"/>
                <w:szCs w:val="20"/>
                <w:color w:val="auto"/>
              </w:rPr>
            </w:pPr>
            <w:r>
              <w:rPr>
                <w:rFonts w:ascii="Times New Roman" w:cs="Times New Roman" w:eastAsia="Times New Roman" w:hAnsi="Times New Roman"/>
                <w:sz w:val="20"/>
                <w:szCs w:val="20"/>
                <w:color w:val="auto"/>
              </w:rPr>
              <w:t>1.500%</w:t>
            </w:r>
          </w:p>
        </w:tc>
        <w:tc>
          <w:tcPr>
            <w:tcW w:w="2560" w:type="dxa"/>
            <w:vAlign w:val="bottom"/>
            <w:tcBorders>
              <w:top w:val="single" w:sz="8" w:color="auto"/>
              <w:right w:val="single" w:sz="8" w:color="auto"/>
            </w:tcBorders>
          </w:tcPr>
          <w:p>
            <w:pPr>
              <w:jc w:val="right"/>
              <w:ind w:right="881"/>
              <w:spacing w:after="0"/>
              <w:rPr>
                <w:sz w:val="20"/>
                <w:szCs w:val="20"/>
                <w:color w:val="auto"/>
              </w:rPr>
            </w:pPr>
            <w:r>
              <w:rPr>
                <w:rFonts w:ascii="Times New Roman" w:cs="Times New Roman" w:eastAsia="Times New Roman" w:hAnsi="Times New Roman"/>
                <w:sz w:val="20"/>
                <w:szCs w:val="20"/>
                <w:color w:val="auto"/>
              </w:rPr>
              <w:t>0.350%</w:t>
            </w:r>
          </w:p>
        </w:tc>
      </w:tr>
      <w:tr>
        <w:trPr>
          <w:trHeight w:val="233"/>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r>
    </w:tbl>
    <w:p>
      <w:pPr>
        <w:spacing w:after="0" w:line="19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 xml:space="preserve">For purposes of the foregoing, (a) the Applicable Rate shall be determined as of the end of each fiscal quarter of the Borrower based upon the Borrower’s annual or quarterly consolidated financial statements delivered pursuant to </w:t>
      </w:r>
      <w:r>
        <w:rPr>
          <w:rFonts w:ascii="Times New Roman" w:cs="Times New Roman" w:eastAsia="Times New Roman" w:hAnsi="Times New Roman"/>
          <w:sz w:val="19"/>
          <w:szCs w:val="19"/>
          <w:u w:val="single" w:color="auto"/>
          <w:color w:val="auto"/>
        </w:rPr>
        <w:t>Section 5.01</w:t>
      </w:r>
      <w:r>
        <w:rPr>
          <w:rFonts w:ascii="Times New Roman" w:cs="Times New Roman" w:eastAsia="Times New Roman" w:hAnsi="Times New Roman"/>
          <w:sz w:val="19"/>
          <w:szCs w:val="19"/>
          <w:color w:val="auto"/>
        </w:rPr>
        <w:t xml:space="preserve"> and (b) each change in the Applicable Rate resulting from a change in the Consolidated Total Net Leverage Ratio shall be effective five (5) Business Days after the date of delivery to the Administrative Agent of such consolidated financial statements indicating such change and ending on the date immediately preceding the effective date of the next such change;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Consolidated Total Net Leverage Ratio shall be deemed to be in Level</w:t>
      </w:r>
    </w:p>
    <w:p>
      <w:pPr>
        <w:spacing w:after="0" w:line="3" w:lineRule="exact"/>
        <w:rPr>
          <w:sz w:val="20"/>
          <w:szCs w:val="20"/>
          <w:color w:val="auto"/>
        </w:rPr>
      </w:pPr>
    </w:p>
    <w:p>
      <w:pPr>
        <w:jc w:val="both"/>
        <w:ind w:firstLine="8"/>
        <w:spacing w:after="0" w:line="242" w:lineRule="auto"/>
        <w:tabs>
          <w:tab w:leader="none" w:pos="2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period commencing five (5) Business Days after the Borrower fails to deliver the annual or quarterly consolidated financial statements required to be delivered by it pursuant to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and ending on the date which is five (5) Business Days after such statements or certificates are actually delivered.</w:t>
      </w:r>
    </w:p>
    <w:p>
      <w:pPr>
        <w:spacing w:after="0" w:line="18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In the event that any financial statement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any compliance certificate delivered pursuant to </w:t>
      </w:r>
      <w:r>
        <w:rPr>
          <w:rFonts w:ascii="Times New Roman" w:cs="Times New Roman" w:eastAsia="Times New Roman" w:hAnsi="Times New Roman"/>
          <w:sz w:val="20"/>
          <w:szCs w:val="20"/>
          <w:u w:val="single" w:color="auto"/>
          <w:color w:val="auto"/>
        </w:rPr>
        <w:t>Section 5.01(c)</w:t>
      </w:r>
      <w:r>
        <w:rPr>
          <w:rFonts w:ascii="Times New Roman" w:cs="Times New Roman" w:eastAsia="Times New Roman" w:hAnsi="Times New Roman"/>
          <w:sz w:val="20"/>
          <w:szCs w:val="20"/>
          <w:color w:val="auto"/>
        </w:rPr>
        <w:t>, as applicable, is inaccurate, and such inaccuracy, if corrected, would have led to the imposition of a higher Applicable Rate for any period than the Applicable Rate applied for that period, then (i) Borrower shall promptly deliver to Administrative Agent a corrected financial statement and a corrected compliance certificate for that period (the “</w:t>
      </w:r>
      <w:r>
        <w:rPr>
          <w:rFonts w:ascii="Times New Roman" w:cs="Times New Roman" w:eastAsia="Times New Roman" w:hAnsi="Times New Roman"/>
          <w:sz w:val="20"/>
          <w:szCs w:val="20"/>
          <w:u w:val="single" w:color="auto"/>
          <w:color w:val="auto"/>
        </w:rPr>
        <w:t>Corrected Financials Date</w:t>
      </w:r>
      <w:r>
        <w:rPr>
          <w:rFonts w:ascii="Times New Roman" w:cs="Times New Roman" w:eastAsia="Times New Roman" w:hAnsi="Times New Roman"/>
          <w:sz w:val="20"/>
          <w:szCs w:val="20"/>
          <w:color w:val="auto"/>
        </w:rPr>
        <w:t xml:space="preserve">”), (ii) the Applicable Rate shall be determined based on the corrected compliance certificate for that period, and (iii) Borrower shall promptly pay to Administrative Agent (for the account of the Lenders that hold the Commitments and Loans at the time such payment is received, regardless of whether those Lenders held the Commitments and Loans during the relevant period) the accrued additional interest owing as a result of such increased Applicable Rate for that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for the avoidance of doubt, such deficiency shall be due and payable as at such Corrected Financials Date and no Default or Event of Default under clause (b)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shall be deemed to have occurred with respect to such deficiency prior to such date (but if not so paid on such date, shall constitute an Event of Default immediately thereafter). This paragraph shall not limit the rights of Administrative Agent or the Lenders with respect to </w:t>
      </w:r>
      <w:r>
        <w:rPr>
          <w:rFonts w:ascii="Times New Roman" w:cs="Times New Roman" w:eastAsia="Times New Roman" w:hAnsi="Times New Roman"/>
          <w:sz w:val="20"/>
          <w:szCs w:val="20"/>
          <w:u w:val="single" w:color="auto"/>
          <w:color w:val="auto"/>
        </w:rPr>
        <w:t>Section 2.13(c)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hereof, and shall survive the termination of this Agreement until Payment in Full.</w:t>
      </w:r>
    </w:p>
    <w:p>
      <w:pPr>
        <w:spacing w:after="0" w:line="19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and accepted by the Administrative Agent,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other form (including electronic records generated by the use of an electronic platform) approved by the Administrative Agent.</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means the period from and including the Effective Date to but excluding the earlier of the Maturity Date and the date of termination of the Commitments.</w:t>
      </w:r>
    </w:p>
    <w:p>
      <w:pPr>
        <w:spacing w:after="0" w:line="157"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Commitment</w:t>
      </w:r>
      <w:r>
        <w:rPr>
          <w:rFonts w:ascii="Times New Roman" w:cs="Times New Roman" w:eastAsia="Times New Roman" w:hAnsi="Times New Roman"/>
          <w:sz w:val="20"/>
          <w:szCs w:val="20"/>
          <w:color w:val="auto"/>
        </w:rPr>
        <w:t xml:space="preserve">” means, at any time, the aggregate Commitments of all Lenders then in effect </w:t>
      </w:r>
      <w:r>
        <w:rPr>
          <w:rFonts w:ascii="Times New Roman" w:cs="Times New Roman" w:eastAsia="Times New Roman" w:hAnsi="Times New Roman"/>
          <w:sz w:val="20"/>
          <w:szCs w:val="20"/>
          <w:i w:val="1"/>
          <w:iCs w:val="1"/>
          <w:u w:val="single" w:color="auto"/>
          <w:color w:val="auto"/>
        </w:rPr>
        <w:t>minus</w:t>
      </w:r>
      <w:r>
        <w:rPr>
          <w:rFonts w:ascii="Times New Roman" w:cs="Times New Roman" w:eastAsia="Times New Roman" w:hAnsi="Times New Roman"/>
          <w:sz w:val="20"/>
          <w:szCs w:val="20"/>
          <w:color w:val="auto"/>
        </w:rPr>
        <w:t xml:space="preserve"> the Aggregate Credit Exposure at such time.</w:t>
      </w:r>
    </w:p>
    <w:p>
      <w:pPr>
        <w:spacing w:after="0" w:line="15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means, as of any date of determination with respect to the then-current Benchmark, as applicable, (x) if such Benchmark is a term rate, any tenor for such Benchmark (or component thereof) that is or may be used for determining the length of an Interest Period pursuant to this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6" w:name="page97"/>
    <w:bookmarkEnd w:id="96"/>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2.25(d)</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61"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Banking Services</w:t>
      </w:r>
      <w:r>
        <w:rPr>
          <w:rFonts w:ascii="Times New Roman" w:cs="Times New Roman" w:eastAsia="Times New Roman" w:hAnsi="Times New Roman"/>
          <w:sz w:val="20"/>
          <w:szCs w:val="20"/>
          <w:color w:val="auto"/>
        </w:rPr>
        <w:t>” means each and any of the following bank, payment and treasury services provided to any Loan Party or any Subsidiary: (a) credit cards for commercial customers (including, without limitation, “commercial credit cards” and purchasing cards) or for corporate purposes, (b) stored value cards, (c) treasury management services (including, without limitation, controlled disbursement, automated clearinghouse transactions and other payment processing services, return items, overdrafts and interstate depository network services), (d) documentary services and foreign currency exchange services and (e) any arrangement or services similar to, or for the purpose of effectuating, any of the foregoing.</w:t>
      </w:r>
    </w:p>
    <w:p>
      <w:pPr>
        <w:spacing w:after="0" w:line="18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Banking Services Obligations</w:t>
      </w:r>
      <w:r>
        <w:rPr>
          <w:rFonts w:ascii="Times New Roman" w:cs="Times New Roman" w:eastAsia="Times New Roman" w:hAnsi="Times New Roman"/>
          <w:sz w:val="20"/>
          <w:szCs w:val="20"/>
          <w:color w:val="auto"/>
        </w:rPr>
        <w:t>” means any and all obligations of the Loan Parties or any Subsidiary, whether absolute or contingent and howsoever and whensoever created, arising, evidenced or acquired (including all renewals, extensions and modifications thereof and substitutions therefor) in connection with Banking Services, but excluding any Swap Agreement Obligations, provided by a Person that, at the time of entering into the agreements or arrangements giving effect to the Banking Services, is the Administrative Agent, a Lender or an Affiliate of a Lender (and so long as such Person does not cease to be the Administrative Agent or a Lender or such Person’s Affiliate does not cease to be the Administrative Agent or a Lender).</w:t>
      </w:r>
    </w:p>
    <w:p>
      <w:pPr>
        <w:spacing w:after="0" w:line="18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Event</w:t>
      </w:r>
      <w:r>
        <w:rPr>
          <w:rFonts w:ascii="Times New Roman" w:cs="Times New Roman" w:eastAsia="Times New Roman" w:hAnsi="Times New Roman"/>
          <w:sz w:val="20"/>
          <w:szCs w:val="20"/>
          <w:color w:val="auto"/>
        </w:rPr>
        <w:t xml:space="preserve">”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had had any order for relief in such proceeding entered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89"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means, initially, the Term SOFR Reference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 Benchmark Transition Event has occurred with respect to the Term SOFR Reference Rate or the then-current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7" w:name="page98"/>
    <w:bookmarkEnd w:id="97"/>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2.25(a)</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xml:space="preserve">”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on the applicable Benchmark Replacement Date or (ii) any evolving or then- prevailing market convention for determining a benchmark rate as a replacement to the then-current Benchmark for Dollar-denominated credit facilities and (b) the related Benchmark Replacement Adjustment;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such Benchmark Replacement as so determined would be less than 0.00%, such Benchmark Replacement will be deemed to be 0.00% for the purposes of this Agreement and the other Loan Documents. All parties hereto acknowledge that the establishment of any such Benchmark Replacement (together with any necessary or related changes, including Conforming Changes) is not intended to result in a deemed exchange for U.S. federal income tax purposes of any obligation of any Borrower under any Loan Document.</w:t>
      </w:r>
    </w:p>
    <w:p>
      <w:pPr>
        <w:spacing w:after="0" w:line="192"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Adjustment</w:t>
      </w:r>
      <w:r>
        <w:rPr>
          <w:rFonts w:ascii="Times New Roman" w:cs="Times New Roman" w:eastAsia="Times New Roman" w:hAnsi="Times New Roman"/>
          <w:sz w:val="19"/>
          <w:szCs w:val="19"/>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the earliest to occur of the following events with respect to the then-current Benchmark:</w:t>
      </w:r>
    </w:p>
    <w:p>
      <w:pPr>
        <w:spacing w:after="0" w:line="215" w:lineRule="exact"/>
        <w:rPr>
          <w:sz w:val="20"/>
          <w:szCs w:val="20"/>
          <w:color w:val="auto"/>
        </w:rPr>
      </w:pPr>
    </w:p>
    <w:p>
      <w:pPr>
        <w:jc w:val="both"/>
        <w:ind w:firstLine="944"/>
        <w:spacing w:after="0" w:line="249" w:lineRule="auto"/>
        <w:rPr>
          <w:sz w:val="20"/>
          <w:szCs w:val="20"/>
          <w:color w:val="auto"/>
        </w:rPr>
      </w:pPr>
      <w:r>
        <w:rPr>
          <w:rFonts w:ascii="Times New Roman" w:cs="Times New Roman" w:eastAsia="Times New Roman" w:hAnsi="Times New Roman"/>
          <w:sz w:val="20"/>
          <w:szCs w:val="20"/>
          <w:color w:val="auto"/>
        </w:rPr>
        <w:t>(a)in the case of clause (a) or (b) of the definition of “Benchmark Transition Event,” the later of (i) the date of the public statement or publication of information referenced therein and (ii) the date on which the administrator of such Benchmark (or published component used in the calculation thereof) permanently or indefinitely ceases to provide all Available Tenors of such Benchmark (or such component thereof); or</w:t>
      </w:r>
    </w:p>
    <w:p>
      <w:pPr>
        <w:spacing w:after="0" w:line="178" w:lineRule="exact"/>
        <w:rPr>
          <w:sz w:val="20"/>
          <w:szCs w:val="20"/>
          <w:color w:val="auto"/>
        </w:rPr>
      </w:pPr>
    </w:p>
    <w:p>
      <w:pPr>
        <w:jc w:val="both"/>
        <w:ind w:firstLine="944"/>
        <w:spacing w:after="0" w:line="244" w:lineRule="auto"/>
        <w:rPr>
          <w:sz w:val="20"/>
          <w:szCs w:val="20"/>
          <w:color w:val="auto"/>
        </w:rPr>
      </w:pPr>
      <w:r>
        <w:rPr>
          <w:rFonts w:ascii="Times New Roman" w:cs="Times New Roman" w:eastAsia="Times New Roman" w:hAnsi="Times New Roman"/>
          <w:sz w:val="20"/>
          <w:szCs w:val="20"/>
          <w:color w:val="auto"/>
        </w:rPr>
        <w:t xml:space="preserve">(b)in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18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8" w:name="page99"/>
    <w:bookmarkEnd w:id="98"/>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the occurrence of one or more of the following events with respect to the then-current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Benchmark:</w:t>
      </w:r>
    </w:p>
    <w:p>
      <w:pPr>
        <w:spacing w:after="0" w:line="193" w:lineRule="exact"/>
        <w:rPr>
          <w:sz w:val="20"/>
          <w:szCs w:val="20"/>
          <w:color w:val="auto"/>
        </w:rPr>
      </w:pPr>
    </w:p>
    <w:p>
      <w:pPr>
        <w:jc w:val="both"/>
        <w:ind w:firstLine="757"/>
        <w:spacing w:after="0" w:line="246" w:lineRule="auto"/>
        <w:tabs>
          <w:tab w:leader="none" w:pos="101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as of a specified future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83"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with jurisdiction over the administrator for such Benchmark (or such component), which states that the administrator of such Benchmark (or such component), in each case, has ceased or will cease to provide all Available Tenors of such Benchmark (or such component thereof), permanently or indefinitely as of a specified future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186"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For the avoidance of doubt,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Start Date</w:t>
      </w:r>
      <w:r>
        <w:rPr>
          <w:rFonts w:ascii="Times New Roman" w:cs="Times New Roman" w:eastAsia="Times New Roman" w:hAnsi="Times New Roman"/>
          <w:sz w:val="20"/>
          <w:szCs w:val="20"/>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xml:space="preserve"> and (b)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w:t>
      </w:r>
      <w:r>
        <w:rPr>
          <w:rFonts w:ascii="Times New Roman" w:cs="Times New Roman" w:eastAsia="Times New Roman" w:hAnsi="Times New Roman"/>
          <w:sz w:val="20"/>
          <w:szCs w:val="20"/>
          <w:color w:val="auto"/>
        </w:rPr>
        <w:t>” means, with respect to any U.S. Federal withholding Tax, the beneficial owner, for U.S. Federal income tax purposes, to whom such Tax relates.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9" w:name="page100"/>
    <w:bookmarkEnd w:id="99"/>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or control as required by the Beneficial Ownership Regulation.</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Section 3(2) of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BHC Act Affiliate</w:t>
      </w:r>
      <w:r>
        <w:rPr>
          <w:rFonts w:ascii="Times New Roman" w:cs="Times New Roman" w:eastAsia="Times New Roman" w:hAnsi="Times New Roman"/>
          <w:sz w:val="19"/>
          <w:szCs w:val="19"/>
          <w:color w:val="auto"/>
        </w:rPr>
        <w:t>” means an “affiliate” (as such term is defined under, and interpreted in accordance with 12 U.S.C. 1841(k)) of 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party.</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Billing Statement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2.18(g)</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Governors of the Federal Reserve System of the United States of America.</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means Flywire Corporation, a Delaware corporation.</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Loans of the same Type, made, converted or continued on the same date and, in the case of Term SOFR Loans, as to which a single Interest Period is in effect or (b) a Swingline Loan.</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xml:space="preserve">” means a request by the Borrower for a Borrowing in accordance with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means any day that is not a Saturday, Sunday or other day on which commercial banks in New York City are authorized or required by law to remain closed;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when used in connection with a Term SOFR Loan, the term “</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shall also exclude any day which is not a U.S. Government Securities Business Day.</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it being understood that, with respect to the Borrower and its Subsidiaries, the determination of whether any lease constitutes an operating lease or capital lease shall be made on a basis consistent with that reflected in the financial statements delivered pursuant to </w:t>
      </w:r>
      <w:r>
        <w:rPr>
          <w:rFonts w:ascii="Times New Roman" w:cs="Times New Roman" w:eastAsia="Times New Roman" w:hAnsi="Times New Roman"/>
          <w:sz w:val="20"/>
          <w:szCs w:val="20"/>
          <w:u w:val="single" w:color="auto"/>
          <w:color w:val="auto"/>
        </w:rPr>
        <w:t>Section 4.01(b)</w:t>
      </w:r>
      <w:r>
        <w:rPr>
          <w:rFonts w:ascii="Times New Roman" w:cs="Times New Roman" w:eastAsia="Times New Roman" w:hAnsi="Times New Roman"/>
          <w:sz w:val="20"/>
          <w:szCs w:val="20"/>
          <w:color w:val="auto"/>
        </w:rPr>
        <w:t xml:space="preserve"> without regard to any classification or reclassification as an operating lease or capital lease upon the Borrower’s adoption of Accounting Standards Codification 842.</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w:t>
      </w:r>
    </w:p>
    <w:p>
      <w:pPr>
        <w:spacing w:after="0" w:line="215" w:lineRule="exact"/>
        <w:rPr>
          <w:sz w:val="20"/>
          <w:szCs w:val="20"/>
          <w:color w:val="auto"/>
        </w:rPr>
      </w:pPr>
    </w:p>
    <w:p>
      <w:pPr>
        <w:jc w:val="both"/>
        <w:ind w:firstLine="757"/>
        <w:spacing w:after="0" w:line="253" w:lineRule="auto"/>
        <w:tabs>
          <w:tab w:leader="none" w:pos="101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0" w:name="page101"/>
    <w:bookmarkEnd w:id="100"/>
    <w:p>
      <w:pPr>
        <w:ind w:firstLine="757"/>
        <w:spacing w:after="0" w:line="268" w:lineRule="auto"/>
        <w:tabs>
          <w:tab w:leader="none" w:pos="101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commercial paper maturing within one (1) year from the date of acquisition thereof and having, at such date of acquisition, the highest credit rating obtainable from S&amp;P or from Moody’s;</w:t>
      </w:r>
    </w:p>
    <w:p>
      <w:pPr>
        <w:spacing w:after="0" w:line="160"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certificates of deposit, bankers’ acceptances and time deposits maturing within one (1) year from the date of acquisition thereof issued or guaranteed by or placed with, and demand deposit accounts and money market deposit accounts issued or offered by any domestic office of any commercial bank organized under the laws of the United States of America or any State thereof which has a combined capital and surplus and undivided profits of not less than $500.0 million;</w:t>
      </w:r>
    </w:p>
    <w:p>
      <w:pPr>
        <w:spacing w:after="0" w:line="178"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fully collateralized repurchase agreements with a term of not more than thirty (30) days for securities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and entered into with a financial institution satisfying the criteria described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w:t>
      </w:r>
    </w:p>
    <w:p>
      <w:pPr>
        <w:spacing w:after="0" w:line="160"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money market funds that (i) comply with the criteria set forth in SEC Rule 2a-7 under the Investment Company Act of 1940, (ii) are rated AAA by S&amp;P and Aaa by Moody’s and (iii) have portfolio assets of at least $5.0 billion;</w:t>
      </w:r>
    </w:p>
    <w:p>
      <w:pPr>
        <w:spacing w:after="0" w:line="160"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marketable direct obligations issued by any state of the United States or any political subdivision of any such state or any public instrumentality thereof maturing within one (1) year from the date of acquisition thereof and, at the time of acquisition, having one of the two highest ratings obtainable from either S&amp;P or Moody’s; and</w:t>
      </w:r>
    </w:p>
    <w:p>
      <w:pPr>
        <w:spacing w:after="0" w:line="176"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Foreign Subsidiary, other short-term investments that are analogous to the foregoing, are of comparable credit quality and are customarily used in the jurisdiction of such Foreign Subsidiary for cash management purposes.</w:t>
      </w:r>
    </w:p>
    <w:p>
      <w:pPr>
        <w:spacing w:after="0" w:line="16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Pooling Arrangement</w:t>
      </w:r>
      <w:r>
        <w:rPr>
          <w:rFonts w:ascii="Times New Roman" w:cs="Times New Roman" w:eastAsia="Times New Roman" w:hAnsi="Times New Roman"/>
          <w:sz w:val="20"/>
          <w:szCs w:val="20"/>
          <w:color w:val="auto"/>
        </w:rPr>
        <w:t>” means any centralized cash pooling arrangement among the Borrower and/or any group of its Subsidiaries with a Cash Pooling Bank under which the Borrower and/or such Subsidiaries make deposits with and receive advances from such Cash Pooling Bank or similar arrangements, in each case, in the ordinary course of business.</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Pooling Bank</w:t>
      </w:r>
      <w:r>
        <w:rPr>
          <w:rFonts w:ascii="Times New Roman" w:cs="Times New Roman" w:eastAsia="Times New Roman" w:hAnsi="Times New Roman"/>
          <w:sz w:val="20"/>
          <w:szCs w:val="20"/>
          <w:color w:val="auto"/>
        </w:rPr>
        <w:t>” means each bank that is a provider of Cash Pooling Arrangements to the Borrower and/or any group of its Subsidiaries and reasonably acceptable to the Administrative Agent.</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Pooling Guaranty Obligations</w:t>
      </w:r>
      <w:r>
        <w:rPr>
          <w:rFonts w:ascii="Times New Roman" w:cs="Times New Roman" w:eastAsia="Times New Roman" w:hAnsi="Times New Roman"/>
          <w:sz w:val="20"/>
          <w:szCs w:val="20"/>
          <w:color w:val="auto"/>
        </w:rPr>
        <w:t>” means the obligations of the Borrower and/or its Subsidiaries to guaranty the Cash Pooling Obligations under any Cash Pooling Arrangement.</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Pooling Obligations</w:t>
      </w:r>
      <w:r>
        <w:rPr>
          <w:rFonts w:ascii="Times New Roman" w:cs="Times New Roman" w:eastAsia="Times New Roman" w:hAnsi="Times New Roman"/>
          <w:sz w:val="20"/>
          <w:szCs w:val="20"/>
          <w:color w:val="auto"/>
        </w:rPr>
        <w:t>” means, with respect to any Cash Pooling Arrangement, the aggregate outstanding amount of borrowings by the Borrower and/or its Subsidiaries under such Cash Pooling Arrangement.</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means a “controlled foreign corporation” as defined in Section 957 of the Code.</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CFPB</w:t>
      </w:r>
      <w:r>
        <w:rPr>
          <w:rFonts w:ascii="Times New Roman" w:cs="Times New Roman" w:eastAsia="Times New Roman" w:hAnsi="Times New Roman"/>
          <w:sz w:val="20"/>
          <w:szCs w:val="20"/>
          <w:color w:val="auto"/>
        </w:rPr>
        <w:t>” means the Consumer Financial Protection Bureau or any Governmental Authority succeeding to any or all of the functions of the Consumer Financial Protection Bureau.</w:t>
      </w:r>
    </w:p>
    <w:p>
      <w:pPr>
        <w:spacing w:after="0" w:line="16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(a) the acquisition of ownership, directly or indirectly, beneficially or of record, by any Person or group (within the meaning of the Securities Exchange Act of 1934 and the rules of the SEC thereunder as in effect on the date hereof) of Equity Interests representing more than 40% of the aggregate ordinary voting power represented by the issued and outstanding Equity Interests of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1" w:name="page102"/>
    <w:bookmarkEnd w:id="101"/>
    <w:p>
      <w:pPr>
        <w:jc w:val="both"/>
        <w:spacing w:after="0" w:line="246" w:lineRule="auto"/>
        <w:rPr>
          <w:sz w:val="20"/>
          <w:szCs w:val="20"/>
          <w:color w:val="auto"/>
        </w:rPr>
      </w:pPr>
      <w:r>
        <w:rPr>
          <w:rFonts w:ascii="Times New Roman" w:cs="Times New Roman" w:eastAsia="Times New Roman" w:hAnsi="Times New Roman"/>
          <w:sz w:val="20"/>
          <w:szCs w:val="20"/>
          <w:color w:val="auto"/>
        </w:rPr>
        <w:t>Borrower, (b) the occupation of a majority of the seats (other than vacant seats) on the board of directors of the Borrower by Persons who were neither (i) nominated or approved (either by a specific vote or by approval of a proxy statement issued by the Borrower on behalf of its board of directors (as constituted at the time of such proxy statement) in which such individual is named as a nominee for director) by the board of directors of the Borrower nor (ii) appointed by directors so nominated or (c) the occurrence of any “change of control” or similar event with respect to any Material Indebtedness.</w:t>
      </w:r>
    </w:p>
    <w:p>
      <w:pPr>
        <w:spacing w:after="0" w:line="18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date of this Agreement (or, with respect to any Lender, such later date on which such Lender becomes a party to this Agreement) of any of the following: (a) the adoption or taking effect of any law, rule, regulation or treaty; (b) any change in any law, rule, regulation or treaty or in the administration, interpretation, implementation or application thereof by any Governmental Authority; or (c) compliance by any Lender or any Issuing Bank (or, for purposes of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xml:space="preserve">, by any lending office of such Lender or by such Lender’s or such Issuing Bank’s holding company, if any) with any request, guideline, requirement or directive (whether or not having the force of law) of any Governmental Authority made or issued after the date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Citi</w:t>
      </w:r>
      <w:r>
        <w:rPr>
          <w:rFonts w:ascii="Times New Roman" w:cs="Times New Roman" w:eastAsia="Times New Roman" w:hAnsi="Times New Roman"/>
          <w:sz w:val="20"/>
          <w:szCs w:val="20"/>
          <w:color w:val="auto"/>
        </w:rPr>
        <w:t>” means Citibank, N.A., a national banking association, in its individual capacity, and its successors.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 from time to time.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has the meaning given to “Collateral” in the Security Agreement.</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means, collectively, the Security Agreement and any other documents granting a Lien upon the Collateral as security for payment of the Secured Obligations.</w:t>
      </w:r>
    </w:p>
    <w:p>
      <w:pPr>
        <w:spacing w:after="0" w:line="161"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means, with respect to each Lender, the commitment, if any, of such Lender to make Loans and to acquire participations in Letters of Credit and Swingline Loans hereunder, expressed as an amount representing the maximum possible aggregate amount of such Lender’s Credit Exposure hereunder, as such commitment may be reduced or increased from time to time pursuant to (a) </w:t>
      </w:r>
      <w:r>
        <w:rPr>
          <w:rFonts w:ascii="Times New Roman" w:cs="Times New Roman" w:eastAsia="Times New Roman" w:hAnsi="Times New Roman"/>
          <w:sz w:val="20"/>
          <w:szCs w:val="20"/>
          <w:u w:val="single" w:color="auto"/>
          <w:color w:val="auto"/>
        </w:rPr>
        <w:t>Section 2.09 or 2.22</w:t>
      </w:r>
      <w:r>
        <w:rPr>
          <w:rFonts w:ascii="Times New Roman" w:cs="Times New Roman" w:eastAsia="Times New Roman" w:hAnsi="Times New Roman"/>
          <w:sz w:val="20"/>
          <w:szCs w:val="20"/>
          <w:color w:val="auto"/>
        </w:rPr>
        <w:t xml:space="preserve"> and (b) assignments by or to such Lender pursuant to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The initial amount of each Lender’s Commitment is set forth on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or in the Assignment and Assumption pursuant to which such Lender shall have assumed its Commitment, as applicable. The initial aggregate amount of the Lenders’ Commitments as of the Effective Date is $125.0 million.</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Date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2.22(a)(i)</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Increase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means the Schedule attached hereto identified as such.</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2" w:name="page103"/>
    <w:bookmarkEnd w:id="102"/>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means the Commodity Exchange Act (7 U.S.C. § 1 et seq.), as amended from time to time, and any successor statute.</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9.01(d)</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xml:space="preserve">” means, with respect to either the use or administration of Adjusted Term SOFR or the use, administration, adoption or implementation of any Benchmark Replacement, any technical, administrative or operational changes (including changes to the definition of “ABR”, the definition of “Business Day,” the definition of “U.S. Government Securities Business Day,” the definition of “Interest Period” or “Interest Payment Date”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9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Adjusted EBITDA</w:t>
      </w:r>
      <w:r>
        <w:rPr>
          <w:rFonts w:ascii="Times New Roman" w:cs="Times New Roman" w:eastAsia="Times New Roman" w:hAnsi="Times New Roman"/>
          <w:sz w:val="20"/>
          <w:szCs w:val="20"/>
          <w:color w:val="auto"/>
        </w:rPr>
        <w:t>” means, for any period, the sum of:</w:t>
      </w:r>
    </w:p>
    <w:p>
      <w:pPr>
        <w:spacing w:after="0" w:line="211" w:lineRule="exact"/>
        <w:rPr>
          <w:sz w:val="20"/>
          <w:szCs w:val="20"/>
          <w:color w:val="auto"/>
        </w:rPr>
      </w:pPr>
    </w:p>
    <w:p>
      <w:pPr>
        <w:ind w:left="1500" w:hanging="369"/>
        <w:spacing w:after="0"/>
        <w:tabs>
          <w:tab w:leader="none" w:pos="15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Net Income for such period; </w:t>
      </w:r>
      <w:r>
        <w:rPr>
          <w:rFonts w:ascii="Times New Roman" w:cs="Times New Roman" w:eastAsia="Times New Roman" w:hAnsi="Times New Roman"/>
          <w:sz w:val="20"/>
          <w:szCs w:val="20"/>
          <w:i w:val="1"/>
          <w:iCs w:val="1"/>
          <w:u w:val="single" w:color="auto"/>
          <w:color w:val="auto"/>
        </w:rPr>
        <w:t>plus</w:t>
      </w:r>
    </w:p>
    <w:p>
      <w:pPr>
        <w:spacing w:after="0" w:line="218"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and to the extent deducted in determining Net Income for such period, the sum of:</w:t>
      </w:r>
    </w:p>
    <w:p>
      <w:pPr>
        <w:spacing w:after="0" w:line="210" w:lineRule="exact"/>
        <w:rPr>
          <w:rFonts w:ascii="Times New Roman" w:cs="Times New Roman" w:eastAsia="Times New Roman" w:hAnsi="Times New Roman"/>
          <w:sz w:val="20"/>
          <w:szCs w:val="20"/>
          <w:color w:val="auto"/>
        </w:rPr>
      </w:pPr>
    </w:p>
    <w:p>
      <w:pPr>
        <w:ind w:left="2620" w:hanging="740"/>
        <w:spacing w:after="0"/>
        <w:tabs>
          <w:tab w:leader="none" w:pos="262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Expense for such period; </w:t>
      </w:r>
      <w:r>
        <w:rPr>
          <w:rFonts w:ascii="Times New Roman" w:cs="Times New Roman" w:eastAsia="Times New Roman" w:hAnsi="Times New Roman"/>
          <w:sz w:val="20"/>
          <w:szCs w:val="20"/>
          <w:i w:val="1"/>
          <w:iCs w:val="1"/>
          <w:u w:val="single" w:color="auto"/>
          <w:color w:val="auto"/>
        </w:rPr>
        <w:t>plus</w:t>
      </w:r>
    </w:p>
    <w:p>
      <w:pPr>
        <w:spacing w:after="0" w:line="214" w:lineRule="exact"/>
        <w:rPr>
          <w:rFonts w:ascii="Times New Roman" w:cs="Times New Roman" w:eastAsia="Times New Roman" w:hAnsi="Times New Roman"/>
          <w:sz w:val="20"/>
          <w:szCs w:val="20"/>
          <w:color w:val="auto"/>
        </w:rPr>
      </w:pPr>
    </w:p>
    <w:p>
      <w:pPr>
        <w:ind w:left="2620" w:hanging="740"/>
        <w:spacing w:after="0"/>
        <w:tabs>
          <w:tab w:leader="none" w:pos="262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federal, state, local and foreign income tax expense for such period net of tax refunds; </w:t>
      </w:r>
      <w:r>
        <w:rPr>
          <w:rFonts w:ascii="Times New Roman" w:cs="Times New Roman" w:eastAsia="Times New Roman" w:hAnsi="Times New Roman"/>
          <w:sz w:val="20"/>
          <w:szCs w:val="20"/>
          <w:i w:val="1"/>
          <w:iCs w:val="1"/>
          <w:u w:val="single" w:color="auto"/>
          <w:color w:val="auto"/>
        </w:rPr>
        <w:t>plus</w:t>
      </w:r>
    </w:p>
    <w:p>
      <w:pPr>
        <w:spacing w:after="0" w:line="214" w:lineRule="exact"/>
        <w:rPr>
          <w:rFonts w:ascii="Times New Roman" w:cs="Times New Roman" w:eastAsia="Times New Roman" w:hAnsi="Times New Roman"/>
          <w:sz w:val="20"/>
          <w:szCs w:val="20"/>
          <w:color w:val="auto"/>
        </w:rPr>
      </w:pPr>
    </w:p>
    <w:p>
      <w:pPr>
        <w:ind w:left="2620" w:hanging="740"/>
        <w:spacing w:after="0"/>
        <w:tabs>
          <w:tab w:leader="none" w:pos="262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amounts attributable to depreciation and amortization expense for such period; </w:t>
      </w:r>
      <w:r>
        <w:rPr>
          <w:rFonts w:ascii="Times New Roman" w:cs="Times New Roman" w:eastAsia="Times New Roman" w:hAnsi="Times New Roman"/>
          <w:sz w:val="20"/>
          <w:szCs w:val="20"/>
          <w:i w:val="1"/>
          <w:iCs w:val="1"/>
          <w:u w:val="single" w:color="auto"/>
          <w:color w:val="auto"/>
        </w:rPr>
        <w:t>plus</w:t>
      </w:r>
    </w:p>
    <w:p>
      <w:pPr>
        <w:spacing w:after="0" w:line="214" w:lineRule="exact"/>
        <w:rPr>
          <w:rFonts w:ascii="Times New Roman" w:cs="Times New Roman" w:eastAsia="Times New Roman" w:hAnsi="Times New Roman"/>
          <w:sz w:val="20"/>
          <w:szCs w:val="20"/>
          <w:color w:val="auto"/>
        </w:rPr>
      </w:pPr>
    </w:p>
    <w:p>
      <w:pPr>
        <w:ind w:left="2620" w:hanging="740"/>
        <w:spacing w:after="0"/>
        <w:tabs>
          <w:tab w:leader="none" w:pos="262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amortization of intangibles (including, but not limited to, goodwill) for such period; </w:t>
      </w:r>
      <w:r>
        <w:rPr>
          <w:rFonts w:ascii="Times New Roman" w:cs="Times New Roman" w:eastAsia="Times New Roman" w:hAnsi="Times New Roman"/>
          <w:sz w:val="20"/>
          <w:szCs w:val="20"/>
          <w:i w:val="1"/>
          <w:iCs w:val="1"/>
          <w:u w:val="single" w:color="auto"/>
          <w:color w:val="auto"/>
        </w:rPr>
        <w:t>plus</w:t>
      </w:r>
    </w:p>
    <w:p>
      <w:pPr>
        <w:spacing w:after="0" w:line="214" w:lineRule="exact"/>
        <w:rPr>
          <w:rFonts w:ascii="Times New Roman" w:cs="Times New Roman" w:eastAsia="Times New Roman" w:hAnsi="Times New Roman"/>
          <w:sz w:val="20"/>
          <w:szCs w:val="20"/>
          <w:color w:val="auto"/>
        </w:rPr>
      </w:pPr>
    </w:p>
    <w:p>
      <w:pPr>
        <w:ind w:left="2620" w:hanging="740"/>
        <w:spacing w:after="0"/>
        <w:tabs>
          <w:tab w:leader="none" w:pos="262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extraordinary non-cash charges, expenses or losses for such period; </w:t>
      </w:r>
      <w:r>
        <w:rPr>
          <w:rFonts w:ascii="Times New Roman" w:cs="Times New Roman" w:eastAsia="Times New Roman" w:hAnsi="Times New Roman"/>
          <w:sz w:val="20"/>
          <w:szCs w:val="20"/>
          <w:i w:val="1"/>
          <w:iCs w:val="1"/>
          <w:u w:val="single" w:color="auto"/>
          <w:color w:val="auto"/>
        </w:rPr>
        <w:t>plus</w:t>
      </w:r>
    </w:p>
    <w:p>
      <w:pPr>
        <w:spacing w:after="0" w:line="218" w:lineRule="exact"/>
        <w:rPr>
          <w:rFonts w:ascii="Times New Roman" w:cs="Times New Roman" w:eastAsia="Times New Roman" w:hAnsi="Times New Roman"/>
          <w:sz w:val="20"/>
          <w:szCs w:val="20"/>
          <w:color w:val="auto"/>
        </w:rPr>
      </w:pPr>
    </w:p>
    <w:p>
      <w:pPr>
        <w:ind w:left="2620" w:hanging="740"/>
        <w:spacing w:after="0" w:line="268" w:lineRule="auto"/>
        <w:tabs>
          <w:tab w:leader="none" w:pos="262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non-cash compensation expenses, including as a result of any grant of equity or options to employees, officers, directors or contractors; </w:t>
      </w:r>
      <w:r>
        <w:rPr>
          <w:rFonts w:ascii="Times New Roman" w:cs="Times New Roman" w:eastAsia="Times New Roman" w:hAnsi="Times New Roman"/>
          <w:sz w:val="20"/>
          <w:szCs w:val="20"/>
          <w:i w:val="1"/>
          <w:iCs w:val="1"/>
          <w:u w:val="single" w:color="auto"/>
          <w:color w:val="auto"/>
        </w:rPr>
        <w:t>plus</w:t>
      </w:r>
    </w:p>
    <w:p>
      <w:pPr>
        <w:spacing w:after="0" w:line="156" w:lineRule="exact"/>
        <w:rPr>
          <w:rFonts w:ascii="Times New Roman" w:cs="Times New Roman" w:eastAsia="Times New Roman" w:hAnsi="Times New Roman"/>
          <w:sz w:val="20"/>
          <w:szCs w:val="20"/>
          <w:color w:val="auto"/>
        </w:rPr>
      </w:pPr>
    </w:p>
    <w:p>
      <w:pPr>
        <w:ind w:left="2620" w:hanging="740"/>
        <w:spacing w:after="0"/>
        <w:tabs>
          <w:tab w:leader="none" w:pos="262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costs and expenses incurred on or prior to the Effective Date with respect to the Transactions; </w:t>
      </w:r>
      <w:r>
        <w:rPr>
          <w:rFonts w:ascii="Times New Roman" w:cs="Times New Roman" w:eastAsia="Times New Roman" w:hAnsi="Times New Roman"/>
          <w:sz w:val="20"/>
          <w:szCs w:val="20"/>
          <w:i w:val="1"/>
          <w:iCs w:val="1"/>
          <w:u w:val="single" w:color="auto"/>
          <w:color w:val="auto"/>
        </w:rPr>
        <w:t>plus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3" w:name="page104"/>
    <w:bookmarkEnd w:id="103"/>
    <w:p>
      <w:pPr>
        <w:jc w:val="both"/>
        <w:ind w:left="2620" w:hanging="740"/>
        <w:spacing w:after="0" w:line="253" w:lineRule="auto"/>
        <w:tabs>
          <w:tab w:leader="none" w:pos="26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expenses, charges and losses incurred in such period and which are reimbursed in cash during such period by Persons (other than the Borrower and its Subsidiaries) so long as such payments were not added in determining Net Income for such period; </w:t>
      </w:r>
      <w:r>
        <w:rPr>
          <w:rFonts w:ascii="Times New Roman" w:cs="Times New Roman" w:eastAsia="Times New Roman" w:hAnsi="Times New Roman"/>
          <w:sz w:val="20"/>
          <w:szCs w:val="20"/>
          <w:i w:val="1"/>
          <w:iCs w:val="1"/>
          <w:u w:val="single" w:color="auto"/>
          <w:color w:val="auto"/>
        </w:rPr>
        <w:t>plus</w:t>
      </w:r>
    </w:p>
    <w:p>
      <w:pPr>
        <w:spacing w:after="0" w:line="176" w:lineRule="exact"/>
        <w:rPr>
          <w:rFonts w:ascii="Times New Roman" w:cs="Times New Roman" w:eastAsia="Times New Roman" w:hAnsi="Times New Roman"/>
          <w:sz w:val="20"/>
          <w:szCs w:val="20"/>
          <w:color w:val="auto"/>
        </w:rPr>
      </w:pPr>
    </w:p>
    <w:p>
      <w:pPr>
        <w:jc w:val="both"/>
        <w:ind w:left="2620" w:hanging="740"/>
        <w:spacing w:after="0" w:line="245" w:lineRule="auto"/>
        <w:tabs>
          <w:tab w:leader="none" w:pos="26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non-recurring fees, costs and expenses directly incurred during such period in connection with any of the following which are attempted, whether or not consummated: any Permitted Acquisition and any related debt or equity offering undertaken in connection therewith (in respect of which all or substantially all of the proceeds are intended to be used to pay the cash consideration for such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addback shall be limited to $1,000,000 for any period for such fees, costs and expenses incurred in connection with non-consummated transactions; </w:t>
      </w:r>
      <w:r>
        <w:rPr>
          <w:rFonts w:ascii="Times New Roman" w:cs="Times New Roman" w:eastAsia="Times New Roman" w:hAnsi="Times New Roman"/>
          <w:sz w:val="20"/>
          <w:szCs w:val="20"/>
          <w:i w:val="1"/>
          <w:iCs w:val="1"/>
          <w:u w:val="single" w:color="auto"/>
          <w:color w:val="auto"/>
        </w:rPr>
        <w:t>plus</w:t>
      </w:r>
    </w:p>
    <w:p>
      <w:pPr>
        <w:spacing w:after="0" w:line="178" w:lineRule="exact"/>
        <w:rPr>
          <w:rFonts w:ascii="Times New Roman" w:cs="Times New Roman" w:eastAsia="Times New Roman" w:hAnsi="Times New Roman"/>
          <w:sz w:val="20"/>
          <w:szCs w:val="20"/>
          <w:color w:val="auto"/>
        </w:rPr>
      </w:pPr>
    </w:p>
    <w:p>
      <w:pPr>
        <w:ind w:left="2620" w:hanging="740"/>
        <w:spacing w:after="0"/>
        <w:tabs>
          <w:tab w:leader="none" w:pos="26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non-cash purchase accounting adjustments made during such period; </w:t>
      </w:r>
      <w:r>
        <w:rPr>
          <w:rFonts w:ascii="Times New Roman" w:cs="Times New Roman" w:eastAsia="Times New Roman" w:hAnsi="Times New Roman"/>
          <w:sz w:val="20"/>
          <w:szCs w:val="20"/>
          <w:i w:val="1"/>
          <w:iCs w:val="1"/>
          <w:u w:val="single" w:color="auto"/>
          <w:color w:val="auto"/>
        </w:rPr>
        <w:t>plus</w:t>
      </w:r>
    </w:p>
    <w:p>
      <w:pPr>
        <w:spacing w:after="0" w:line="218" w:lineRule="exact"/>
        <w:rPr>
          <w:rFonts w:ascii="Times New Roman" w:cs="Times New Roman" w:eastAsia="Times New Roman" w:hAnsi="Times New Roman"/>
          <w:sz w:val="20"/>
          <w:szCs w:val="20"/>
          <w:color w:val="auto"/>
        </w:rPr>
      </w:pPr>
    </w:p>
    <w:p>
      <w:pPr>
        <w:jc w:val="both"/>
        <w:ind w:left="2620" w:hanging="740"/>
        <w:spacing w:after="0" w:line="242" w:lineRule="auto"/>
        <w:tabs>
          <w:tab w:leader="none" w:pos="26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“run-rate” cost savings, operating expense reductions and other cost synergies (collectively, “</w:t>
      </w:r>
      <w:r>
        <w:rPr>
          <w:rFonts w:ascii="Times New Roman" w:cs="Times New Roman" w:eastAsia="Times New Roman" w:hAnsi="Times New Roman"/>
          <w:sz w:val="20"/>
          <w:szCs w:val="20"/>
          <w:u w:val="single" w:color="auto"/>
          <w:color w:val="auto"/>
        </w:rPr>
        <w:t>Expected Cost Savings</w:t>
      </w:r>
      <w:r>
        <w:rPr>
          <w:rFonts w:ascii="Times New Roman" w:cs="Times New Roman" w:eastAsia="Times New Roman" w:hAnsi="Times New Roman"/>
          <w:sz w:val="20"/>
          <w:szCs w:val="20"/>
          <w:color w:val="auto"/>
        </w:rPr>
        <w:t xml:space="preserve">”) (net of actual amounts realized) that are reasonably projected in good faith to result from actions taken (including those taken prior to the Effective Date) within 12 months and permitted as an adjustment pursuant to Article 11 of Regulation S-X under the Securities Act of 1933;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 Responsible Officer shall have certified to the Administrative Agent in writing that such Expected Cost Savings are reasonably identifiable, reasonably attributable to the actions specified and reasonably anticipated to result from the actions specified and (B) the aggregate amount of Expected Cost Savings, together with the addback in clause (xii) for such period, shall not exceed, in the aggregate, 25% of Consolidated Adjusted EBITDA for the relevant period (calculated prior to giving effect to such addbacks); </w:t>
      </w:r>
      <w:r>
        <w:rPr>
          <w:rFonts w:ascii="Times New Roman" w:cs="Times New Roman" w:eastAsia="Times New Roman" w:hAnsi="Times New Roman"/>
          <w:sz w:val="20"/>
          <w:szCs w:val="20"/>
          <w:i w:val="1"/>
          <w:iCs w:val="1"/>
          <w:u w:val="single" w:color="auto"/>
          <w:color w:val="auto"/>
        </w:rPr>
        <w:t>plus</w:t>
      </w:r>
    </w:p>
    <w:p>
      <w:pPr>
        <w:spacing w:after="0" w:line="189" w:lineRule="exact"/>
        <w:rPr>
          <w:rFonts w:ascii="Times New Roman" w:cs="Times New Roman" w:eastAsia="Times New Roman" w:hAnsi="Times New Roman"/>
          <w:sz w:val="20"/>
          <w:szCs w:val="20"/>
          <w:color w:val="auto"/>
        </w:rPr>
      </w:pPr>
    </w:p>
    <w:p>
      <w:pPr>
        <w:jc w:val="both"/>
        <w:ind w:left="2620" w:hanging="740"/>
        <w:spacing w:after="0" w:line="266" w:lineRule="auto"/>
        <w:tabs>
          <w:tab w:leader="none" w:pos="262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extraordinary, unusual, infrequent or non-recurring items, in each case, as reasonably acceptable to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added back pursuant to this clause (xii), together with the addback in clause (xi) for such period, shall not exceed, in the aggregate, 25% of Consolidated Adjusted EBITDA for the relevant period (calculated prior to giving effect to such addbacks); </w:t>
      </w:r>
      <w:r>
        <w:rPr>
          <w:rFonts w:ascii="Times New Roman" w:cs="Times New Roman" w:eastAsia="Times New Roman" w:hAnsi="Times New Roman"/>
          <w:sz w:val="19"/>
          <w:szCs w:val="19"/>
          <w:i w:val="1"/>
          <w:iCs w:val="1"/>
          <w:u w:val="single" w:color="auto"/>
          <w:color w:val="auto"/>
        </w:rPr>
        <w:t>plus</w:t>
      </w:r>
    </w:p>
    <w:p>
      <w:pPr>
        <w:spacing w:after="0" w:line="164" w:lineRule="exact"/>
        <w:rPr>
          <w:rFonts w:ascii="Times New Roman" w:cs="Times New Roman" w:eastAsia="Times New Roman" w:hAnsi="Times New Roman"/>
          <w:sz w:val="19"/>
          <w:szCs w:val="19"/>
          <w:color w:val="auto"/>
        </w:rPr>
      </w:pPr>
    </w:p>
    <w:p>
      <w:pPr>
        <w:ind w:left="2620" w:hanging="740"/>
        <w:spacing w:after="0" w:line="268" w:lineRule="auto"/>
        <w:tabs>
          <w:tab w:leader="none" w:pos="26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proceeds of business interruption insurance received during such period to the extent actually received and not already included in Net Income; </w:t>
      </w:r>
      <w:r>
        <w:rPr>
          <w:rFonts w:ascii="Times New Roman" w:cs="Times New Roman" w:eastAsia="Times New Roman" w:hAnsi="Times New Roman"/>
          <w:sz w:val="20"/>
          <w:szCs w:val="20"/>
          <w:i w:val="1"/>
          <w:iCs w:val="1"/>
          <w:u w:val="single" w:color="auto"/>
          <w:color w:val="auto"/>
        </w:rPr>
        <w:t>minus</w:t>
      </w:r>
    </w:p>
    <w:p>
      <w:pPr>
        <w:spacing w:after="0" w:line="161" w:lineRule="exact"/>
        <w:rPr>
          <w:sz w:val="20"/>
          <w:szCs w:val="20"/>
          <w:color w:val="auto"/>
        </w:rPr>
      </w:pPr>
    </w:p>
    <w:p>
      <w:pPr>
        <w:ind w:left="1500" w:right="200" w:hanging="369"/>
        <w:spacing w:after="0" w:line="268" w:lineRule="auto"/>
        <w:tabs>
          <w:tab w:leader="none" w:pos="15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and to the extent included in Net Income, any extraordinary gains and any non-cash items of income for such period;</w:t>
      </w:r>
    </w:p>
    <w:p>
      <w:pPr>
        <w:spacing w:after="0" w:line="16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all calculated for the Borrower and its Subsidiaries on a consolidated basis in accordance with GAAP. For the purposes of calculating Consolidated Adjusted EBITDA for any Reference Period, (i) if at any time during such Reference Period the Borrower or any Subsidiary shall have made any sale, transfer, or disposition of property, Consolidated Adjusted EBITDA for such Reference Period shall be reduced by an amount equal to the Consolidated Adjusted EBITDA (if positive) attributable to the property that is the subject of such sale, transfer, or disposition, as applicable, for such Reference Period or increased by an amount equal to the Consolidated Adjusted EBITDA (if negative) attributable thereto for such Reference Period, and (ii) if during such Reference Period the Borrower or any of its Subsidiaries shall have made a</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4" w:name="page105"/>
    <w:bookmarkEnd w:id="104"/>
    <w:p>
      <w:pPr>
        <w:spacing w:after="0" w:line="268" w:lineRule="auto"/>
        <w:rPr>
          <w:sz w:val="20"/>
          <w:szCs w:val="20"/>
          <w:color w:val="auto"/>
        </w:rPr>
      </w:pPr>
      <w:r>
        <w:rPr>
          <w:rFonts w:ascii="Times New Roman" w:cs="Times New Roman" w:eastAsia="Times New Roman" w:hAnsi="Times New Roman"/>
          <w:sz w:val="20"/>
          <w:szCs w:val="20"/>
          <w:color w:val="auto"/>
        </w:rPr>
        <w:t>Permitted Acquisition, Consolidated Adjusted EBITDA for such Reference Period shall be calculated after giving effect thereto on a pro forma basis as if such Permitted Acquisition occurred on the first day of such Reference Period.</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means, as of any date of determination, the ratio of (a) Consolidated Adjusted EBITDA to</w:t>
      </w:r>
    </w:p>
    <w:p>
      <w:pPr>
        <w:spacing w:after="0" w:line="21" w:lineRule="exact"/>
        <w:rPr>
          <w:sz w:val="20"/>
          <w:szCs w:val="20"/>
          <w:color w:val="auto"/>
        </w:rPr>
      </w:pPr>
    </w:p>
    <w:p>
      <w:pPr>
        <w:jc w:val="both"/>
        <w:ind w:firstLine="8"/>
        <w:spacing w:after="0" w:line="242" w:lineRule="auto"/>
        <w:tabs>
          <w:tab w:leader="none" w:pos="28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Interest Expense, all calculated for the Borrower and its Subsidiaries on a consolidated basis for the period of four consecutive fiscal quarters ended on such date (or, if such date is not the last day of a fiscal quarter, ended on the last day of the fiscal quarter most recently ended prior to such date).</w:t>
      </w:r>
    </w:p>
    <w:p>
      <w:pPr>
        <w:spacing w:after="0" w:line="19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xml:space="preserve">” means the consolidated total assets of the Borrower and its Subsidiaries, determined in accordance with GAAP, as of the date of the financial statements most recently delivered pursuant to </w:t>
      </w:r>
      <w:r>
        <w:rPr>
          <w:rFonts w:ascii="Times New Roman" w:cs="Times New Roman" w:eastAsia="Times New Roman" w:hAnsi="Times New Roman"/>
          <w:sz w:val="20"/>
          <w:szCs w:val="20"/>
          <w:u w:val="single" w:color="auto"/>
          <w:color w:val="auto"/>
        </w:rPr>
        <w:t>Section 4.01(b)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 as applicable.</w:t>
      </w:r>
    </w:p>
    <w:p>
      <w:pPr>
        <w:spacing w:after="0" w:line="17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Debt</w:t>
      </w:r>
      <w:r>
        <w:rPr>
          <w:rFonts w:ascii="Times New Roman" w:cs="Times New Roman" w:eastAsia="Times New Roman" w:hAnsi="Times New Roman"/>
          <w:sz w:val="20"/>
          <w:szCs w:val="20"/>
          <w:color w:val="auto"/>
        </w:rPr>
        <w:t xml:space="preserve">” means, as of any date of determination, (a) the aggregate principal amount of Indebtedness (other than Indebtedness pursuant to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 of the definition thereof) of the Borrower and its Subsidiaries outstanding on such date, determined on a consolidated basis in accordance with GAAP and (b) Indebtedness of the type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hereof of another Person guaranteed by the Borrower or any of its Subsidiaries.</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Net Leverage Ratio</w:t>
      </w:r>
      <w:r>
        <w:rPr>
          <w:rFonts w:ascii="Times New Roman" w:cs="Times New Roman" w:eastAsia="Times New Roman" w:hAnsi="Times New Roman"/>
          <w:sz w:val="20"/>
          <w:szCs w:val="20"/>
          <w:color w:val="auto"/>
        </w:rPr>
        <w:t xml:space="preserve">” means, as of any date of determination, the ratio of (a) Consolidated Total Debt as of such date </w:t>
      </w:r>
      <w:r>
        <w:rPr>
          <w:rFonts w:ascii="Times New Roman" w:cs="Times New Roman" w:eastAsia="Times New Roman" w:hAnsi="Times New Roman"/>
          <w:sz w:val="20"/>
          <w:szCs w:val="20"/>
          <w:i w:val="1"/>
          <w:iCs w:val="1"/>
          <w:u w:val="single" w:color="auto"/>
          <w:color w:val="auto"/>
        </w:rPr>
        <w:t>minus</w:t>
      </w:r>
      <w:r>
        <w:rPr>
          <w:rFonts w:ascii="Times New Roman" w:cs="Times New Roman" w:eastAsia="Times New Roman" w:hAnsi="Times New Roman"/>
          <w:sz w:val="20"/>
          <w:szCs w:val="20"/>
          <w:color w:val="auto"/>
        </w:rPr>
        <w:t xml:space="preserve"> Unrestricted Domestic Cash and Cash Equivalents as of such date up to an aggregate amount equal to the Domestic Cash Netting Cap to (b) Consolidated Adjusted EBITDA of the Borrower and its Subsidiaries on a consolidated basis for the period of four consecutive fiscal quarters ended on such date (or, if such date is not the last day of a fiscal quarter, ended on the last day of the fiscal quarter most recently ended prior to such date).</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 Agreement</w:t>
      </w:r>
      <w:r>
        <w:rPr>
          <w:rFonts w:ascii="Times New Roman" w:cs="Times New Roman" w:eastAsia="Times New Roman" w:hAnsi="Times New Roman"/>
          <w:sz w:val="20"/>
          <w:szCs w:val="20"/>
          <w:color w:val="auto"/>
        </w:rPr>
        <w:t>” has the meaning assigned to such term in the Security Agreement.</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Convertible Debt</w:t>
      </w:r>
      <w:r>
        <w:rPr>
          <w:rFonts w:ascii="Times New Roman" w:cs="Times New Roman" w:eastAsia="Times New Roman" w:hAnsi="Times New Roman"/>
          <w:sz w:val="20"/>
          <w:szCs w:val="20"/>
          <w:color w:val="auto"/>
        </w:rPr>
        <w:t xml:space="preserve">” means debt securities or other Indebtedness, the terms of which provide for conversion into, or exchange for, Equity Interests (other than Disqualified Equity Interests) of the Borrower, cash </w:t>
      </w:r>
      <w:r>
        <w:rPr>
          <w:rFonts w:ascii="Times New Roman" w:cs="Times New Roman" w:eastAsia="Times New Roman" w:hAnsi="Times New Roman"/>
          <w:sz w:val="20"/>
          <w:szCs w:val="20"/>
          <w:i w:val="1"/>
          <w:iCs w:val="1"/>
          <w:color w:val="auto"/>
        </w:rPr>
        <w:t>in lieu</w:t>
      </w:r>
      <w:r>
        <w:rPr>
          <w:rFonts w:ascii="Times New Roman" w:cs="Times New Roman" w:eastAsia="Times New Roman" w:hAnsi="Times New Roman"/>
          <w:sz w:val="20"/>
          <w:szCs w:val="20"/>
          <w:color w:val="auto"/>
        </w:rPr>
        <w:t xml:space="preserve"> thereof or a combination of such Equity Interests and cash </w:t>
      </w:r>
      <w:r>
        <w:rPr>
          <w:rFonts w:ascii="Times New Roman" w:cs="Times New Roman" w:eastAsia="Times New Roman" w:hAnsi="Times New Roman"/>
          <w:sz w:val="20"/>
          <w:szCs w:val="20"/>
          <w:i w:val="1"/>
          <w:iCs w:val="1"/>
          <w:color w:val="auto"/>
        </w:rPr>
        <w:t>in lieu</w:t>
      </w:r>
      <w:r>
        <w:rPr>
          <w:rFonts w:ascii="Times New Roman" w:cs="Times New Roman" w:eastAsia="Times New Roman" w:hAnsi="Times New Roman"/>
          <w:sz w:val="20"/>
          <w:szCs w:val="20"/>
          <w:color w:val="auto"/>
        </w:rPr>
        <w:t xml:space="preserve"> thereof.</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Corrected Financials Date</w:t>
      </w:r>
      <w:r>
        <w:rPr>
          <w:rFonts w:ascii="Times New Roman" w:cs="Times New Roman" w:eastAsia="Times New Roman" w:hAnsi="Times New Roman"/>
          <w:sz w:val="20"/>
          <w:szCs w:val="20"/>
          <w:color w:val="auto"/>
        </w:rPr>
        <w:t>” has the meaning assigned to such term in the definition of “Applicable Rate”.</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Liabilities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9.19</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9.20</w:t>
      </w:r>
      <w:r>
        <w:rPr>
          <w:rFonts w:ascii="Times New Roman" w:cs="Times New Roman" w:eastAsia="Times New Roman" w:hAnsi="Times New Roman"/>
          <w:sz w:val="20"/>
          <w:szCs w:val="20"/>
          <w:color w:val="auto"/>
        </w:rPr>
        <w: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5" w:name="page106"/>
    <w:bookmarkEnd w:id="105"/>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Exposure</w:t>
      </w:r>
      <w:r>
        <w:rPr>
          <w:rFonts w:ascii="Times New Roman" w:cs="Times New Roman" w:eastAsia="Times New Roman" w:hAnsi="Times New Roman"/>
          <w:sz w:val="20"/>
          <w:szCs w:val="20"/>
          <w:color w:val="auto"/>
        </w:rPr>
        <w:t>” means, with respect to any Lender at any time, the sum of the outstanding principal amount of such Lender’s Loans (including any Swingline Loans) and its LC Exposure at such time.</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means the Administrative Agent, any Issuing Bank, any Swingline Lender or any Lender.</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Data Protection Laws</w:t>
      </w:r>
      <w:r>
        <w:rPr>
          <w:rFonts w:ascii="Times New Roman" w:cs="Times New Roman" w:eastAsia="Times New Roman" w:hAnsi="Times New Roman"/>
          <w:sz w:val="20"/>
          <w:szCs w:val="20"/>
          <w:color w:val="auto"/>
        </w:rPr>
        <w:t>” shall mean any and all applicable national/federal or state/provincial data protection and privacy laws and regulations covering the processing of Personal Information, including but not limited to U.S. federal and state laws, the EU General Data Protection Regulation (“</w:t>
      </w:r>
      <w:r>
        <w:rPr>
          <w:rFonts w:ascii="Times New Roman" w:cs="Times New Roman" w:eastAsia="Times New Roman" w:hAnsi="Times New Roman"/>
          <w:sz w:val="20"/>
          <w:szCs w:val="20"/>
          <w:u w:val="single" w:color="auto"/>
          <w:color w:val="auto"/>
        </w:rPr>
        <w:t>GDPR</w:t>
      </w:r>
      <w:r>
        <w:rPr>
          <w:rFonts w:ascii="Times New Roman" w:cs="Times New Roman" w:eastAsia="Times New Roman" w:hAnsi="Times New Roman"/>
          <w:sz w:val="20"/>
          <w:szCs w:val="20"/>
          <w:color w:val="auto"/>
        </w:rPr>
        <w:t>”), any national implementing laws of the GDPR, and the e-Privacy Directive 2002/58/EC.</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which constitutes an Event of Default or which upon notice, lapse of time or both would, unless cured or waived, become an Event of Default.</w:t>
      </w:r>
    </w:p>
    <w:p>
      <w:pPr>
        <w:spacing w:after="0" w:line="161"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such term in, and shall be interpreted in accordance with, 12 C.F.R. §§ 252.81, 47.2 or 382.1, as applicable.</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means any Lender that (a) has failed, within two (2) Business Days of the date required to be funded or paid, to</w:t>
      </w:r>
    </w:p>
    <w:p>
      <w:pPr>
        <w:spacing w:after="0" w:line="33" w:lineRule="exact"/>
        <w:rPr>
          <w:sz w:val="20"/>
          <w:szCs w:val="20"/>
          <w:color w:val="auto"/>
        </w:rPr>
      </w:pPr>
    </w:p>
    <w:p>
      <w:pPr>
        <w:jc w:val="both"/>
        <w:ind w:firstLine="8"/>
        <w:spacing w:after="0" w:line="251" w:lineRule="auto"/>
        <w:tabs>
          <w:tab w:leader="none" w:pos="252"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fund any portion of its Loans, (ii) fund any portion of its participations in Letters of Credit or Swingline Loans or (iii) pay over to any Credit Party any other amount required to be paid by it hereunder, unless, in the case of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cease to be a Defaulting Lender pursuant to this </w:t>
      </w:r>
      <w:r>
        <w:rPr>
          <w:rFonts w:ascii="Times New Roman" w:cs="Times New Roman" w:eastAsia="Times New Roman" w:hAnsi="Times New Roman"/>
          <w:sz w:val="19"/>
          <w:szCs w:val="19"/>
          <w:u w:val="single" w:color="auto"/>
          <w:color w:val="auto"/>
        </w:rPr>
        <w:t>clause</w:t>
      </w:r>
    </w:p>
    <w:p>
      <w:pPr>
        <w:spacing w:after="0" w:line="8" w:lineRule="exact"/>
        <w:rPr>
          <w:rFonts w:ascii="Times New Roman" w:cs="Times New Roman" w:eastAsia="Times New Roman" w:hAnsi="Times New Roman"/>
          <w:sz w:val="19"/>
          <w:szCs w:val="19"/>
          <w:color w:val="auto"/>
        </w:rPr>
      </w:pPr>
    </w:p>
    <w:p>
      <w:pPr>
        <w:jc w:val="both"/>
        <w:ind w:firstLine="8"/>
        <w:spacing w:after="0" w:line="242" w:lineRule="auto"/>
        <w:tabs>
          <w:tab w:leader="none" w:pos="300" w:val="left"/>
        </w:tabs>
        <w:numPr>
          <w:ilvl w:val="0"/>
          <w:numId w:val="5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upon such Credit Party’s receipt of such certification in form and substance satisfactory to it and the Administrative Agent, (d) has become the subject of a Bankruptcy Event, or (e) has become (or whose direct or indirect parent company has become) subject to a Bail-In Action.</w:t>
      </w:r>
    </w:p>
    <w:p>
      <w:pPr>
        <w:spacing w:after="0" w:line="186" w:lineRule="exact"/>
        <w:rPr>
          <w:sz w:val="20"/>
          <w:szCs w:val="20"/>
          <w:color w:val="auto"/>
        </w:rPr>
      </w:pPr>
    </w:p>
    <w:p>
      <w:pPr>
        <w:jc w:val="both"/>
        <w:ind w:right="20"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Deferred Acquisition Consideration</w:t>
      </w:r>
      <w:r>
        <w:rPr>
          <w:rFonts w:ascii="Times New Roman" w:cs="Times New Roman" w:eastAsia="Times New Roman" w:hAnsi="Times New Roman"/>
          <w:sz w:val="20"/>
          <w:szCs w:val="20"/>
          <w:color w:val="auto"/>
        </w:rPr>
        <w:t>” means any purchase price adjustments, royalty, earn-out, milestone payments, contingent or other deferred payments of a similar nature (including any non-compete payments and consulting payments) made in connection with any Permitted Acquisition or other Acquisition permitted under this Agreement.</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Deferred Revenue</w:t>
      </w:r>
      <w:r>
        <w:rPr>
          <w:rFonts w:ascii="Times New Roman" w:cs="Times New Roman" w:eastAsia="Times New Roman" w:hAnsi="Times New Roman"/>
          <w:sz w:val="20"/>
          <w:szCs w:val="20"/>
          <w:color w:val="auto"/>
        </w:rPr>
        <w:t>” means, with respect to the Borrower and its Domestic Subsidiaries on any date, all amounts received or invoiced in advance of performance under contracts and not yet recognized as revenue on such date.</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Department of the Treasury</w:t>
      </w:r>
      <w:r>
        <w:rPr>
          <w:rFonts w:ascii="Times New Roman" w:cs="Times New Roman" w:eastAsia="Times New Roman" w:hAnsi="Times New Roman"/>
          <w:sz w:val="20"/>
          <w:szCs w:val="20"/>
          <w:color w:val="auto"/>
        </w:rPr>
        <w:t>” means the United States Department of the Treasury or any Governmental Authority succeeding to any or all of the functions of the United States Department of the Treasury.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6" w:name="page107"/>
    <w:bookmarkEnd w:id="106"/>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means the sale, transfer, license, lease or other disposition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Equity Interest</w:t>
      </w:r>
      <w:r>
        <w:rPr>
          <w:rFonts w:ascii="Times New Roman" w:cs="Times New Roman" w:eastAsia="Times New Roman" w:hAnsi="Times New Roman"/>
          <w:sz w:val="20"/>
          <w:szCs w:val="20"/>
          <w:color w:val="auto"/>
        </w:rPr>
        <w:t>” means any Equity Interest that, by its terms (or by the terms of any security into which it is convertible or for which it is exchangeable) or upon the happening of any event, matures or is mandatorily redeemable for any consideration other than another Equity Interest (which would not constitute a Disqualified Equity Interest), pursuant to a sinking fund obligation or otherwise (except as a result of a change of control or asset sale so long as any rights of the holders thereof upon the occurrence of such change of control or asset sale event shall be subject to prior Payment in Full), or is convertible or exchangeable for Indebtedness or redeemable for any consideration other than any Equity Interest (which would not constitute a Disqualified Equity Interest) at the option of the holder thereof, in whole or in part, on or prior to the date that is ninety-one (91) days after the Maturity Date; provided that if such Equity Interest is issued pursuant to any plan for the benefit of the Borrower or its Subsidiaries or their officers or employees, such Equity Interest shall not constitute a Disqualified Equity Interest solely because it may be required to be repurchased by the Borrower or any of its Subsidiaries in order to satisfy applicable statutory or regulatory obligations, or as a result of such employee’s or officer’s termination, death or disability.</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Dividing Person</w:t>
      </w:r>
      <w:r>
        <w:rPr>
          <w:rFonts w:ascii="Times New Roman" w:cs="Times New Roman" w:eastAsia="Times New Roman" w:hAnsi="Times New Roman"/>
          <w:sz w:val="20"/>
          <w:szCs w:val="20"/>
          <w:color w:val="auto"/>
        </w:rPr>
        <w:t>” has the meaning assigned to it in the definition of “Division.”</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Division</w:t>
      </w:r>
      <w:r>
        <w:rPr>
          <w:rFonts w:ascii="Times New Roman" w:cs="Times New Roman" w:eastAsia="Times New Roman" w:hAnsi="Times New Roman"/>
          <w:sz w:val="20"/>
          <w:szCs w:val="20"/>
          <w:color w:val="auto"/>
        </w:rPr>
        <w:t>” means the division of the assets, liabilities and/or obligations of a Person (the “</w:t>
      </w:r>
      <w:r>
        <w:rPr>
          <w:rFonts w:ascii="Times New Roman" w:cs="Times New Roman" w:eastAsia="Times New Roman" w:hAnsi="Times New Roman"/>
          <w:sz w:val="20"/>
          <w:szCs w:val="20"/>
          <w:u w:val="single" w:color="auto"/>
          <w:color w:val="auto"/>
        </w:rPr>
        <w:t>Dividing Person</w:t>
      </w:r>
      <w:r>
        <w:rPr>
          <w:rFonts w:ascii="Times New Roman" w:cs="Times New Roman" w:eastAsia="Times New Roman" w:hAnsi="Times New Roman"/>
          <w:sz w:val="20"/>
          <w:szCs w:val="20"/>
          <w:color w:val="auto"/>
        </w:rPr>
        <w:t>”) among two or more Persons (whether pursuant to a “plan of division” or similar arrangement), which may or may not include the Dividing Person and pursuant to which the Dividing Person may or may not survive.</w:t>
      </w:r>
    </w:p>
    <w:p>
      <w:pPr>
        <w:spacing w:after="0" w:line="17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Division Successor</w:t>
      </w:r>
      <w:r>
        <w:rPr>
          <w:rFonts w:ascii="Times New Roman" w:cs="Times New Roman" w:eastAsia="Times New Roman" w:hAnsi="Times New Roman"/>
          <w:sz w:val="20"/>
          <w:szCs w:val="20"/>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refers to lawful money of the United States of America.</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Cash Netting Cap</w:t>
      </w:r>
      <w:r>
        <w:rPr>
          <w:rFonts w:ascii="Times New Roman" w:cs="Times New Roman" w:eastAsia="Times New Roman" w:hAnsi="Times New Roman"/>
          <w:sz w:val="20"/>
          <w:szCs w:val="20"/>
          <w:color w:val="auto"/>
        </w:rPr>
        <w:t>” means an amount equal to 50% of Consolidated Adjusted EBITDA for the most recently ended Reference Period.</w:t>
      </w:r>
    </w:p>
    <w:p>
      <w:pPr>
        <w:spacing w:after="0" w:line="161"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Domestic Subsidiary</w:t>
      </w:r>
      <w:r>
        <w:rPr>
          <w:rFonts w:ascii="Times New Roman" w:cs="Times New Roman" w:eastAsia="Times New Roman" w:hAnsi="Times New Roman"/>
          <w:sz w:val="19"/>
          <w:szCs w:val="19"/>
          <w:color w:val="auto"/>
        </w:rPr>
        <w:t>” means any Subsidiary of the Borrower organized under the laws of any state of the United States of America or the District of Columbia or any entity disregarded for U.S. tax purposes that is wholly owned by the Borrower or a Domestic Subsidiary.</w:t>
      </w:r>
    </w:p>
    <w:p>
      <w:pPr>
        <w:spacing w:after="0" w:line="137"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ECP</w:t>
      </w:r>
      <w:r>
        <w:rPr>
          <w:rFonts w:ascii="Times New Roman" w:cs="Times New Roman" w:eastAsia="Times New Roman" w:hAnsi="Times New Roman"/>
          <w:sz w:val="20"/>
          <w:szCs w:val="20"/>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6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 and is subject to consolidated supervision with its parent.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7" w:name="page108"/>
    <w:bookmarkEnd w:id="107"/>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15"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February 23, 2024.</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73" w:lineRule="exact"/>
        <w:rPr>
          <w:sz w:val="20"/>
          <w:szCs w:val="20"/>
          <w:color w:val="auto"/>
        </w:rPr>
      </w:pPr>
    </w:p>
    <w:p>
      <w:pPr>
        <w:jc w:val="both"/>
        <w:ind w:firstLine="749"/>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System</w:t>
      </w:r>
      <w:r>
        <w:rPr>
          <w:rFonts w:ascii="Times New Roman" w:cs="Times New Roman" w:eastAsia="Times New Roman" w:hAnsi="Times New Roman"/>
          <w:sz w:val="20"/>
          <w:szCs w:val="20"/>
          <w:color w:val="auto"/>
        </w:rPr>
        <w:t>” means any electronic system, including e-mail, e-fax, Intralinks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ClearPar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Debt Domain, Syndtrak and any other Internet or extranet-based site, whether such electronic system is owned, operated or hosted by the Administrative Agent and the Issuing Banks and any of its respective Related Parties or any other Person, providing for access to data protected by passcodes or other security system.</w:t>
      </w:r>
    </w:p>
    <w:p>
      <w:pPr>
        <w:spacing w:after="0" w:line="190"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w:t>
      </w:r>
      <w:r>
        <w:rPr>
          <w:rFonts w:ascii="Times New Roman" w:cs="Times New Roman" w:eastAsia="Times New Roman" w:hAnsi="Times New Roman"/>
          <w:sz w:val="20"/>
          <w:szCs w:val="20"/>
          <w:u w:val="single" w:color="auto"/>
          <w:color w:val="auto"/>
        </w:rPr>
        <w:t>Section 9.04(b)</w:t>
      </w:r>
      <w:r>
        <w:rPr>
          <w:rFonts w:ascii="Times New Roman" w:cs="Times New Roman" w:eastAsia="Times New Roman" w:hAnsi="Times New Roman"/>
          <w:sz w:val="20"/>
          <w:szCs w:val="20"/>
          <w:color w:val="auto"/>
        </w:rPr>
        <w:t xml:space="preserve"> (subject to such consents, if any, as may be required thereunder).</w:t>
      </w:r>
    </w:p>
    <w:p>
      <w:pPr>
        <w:spacing w:after="0" w:line="16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laws, rules, regulations, codes, ordinances, orders, decrees, judgments, injunctions, notices or binding agreements issued, promulgated, or entered into by any Governmental Authority, relating in any way to the environment, the preservation or reclamation of natural resources, the management, Release or threatened Release of any Hazardous Material or relating to employee health and safety matters.</w:t>
      </w:r>
    </w:p>
    <w:p>
      <w:pPr>
        <w:spacing w:after="0" w:line="17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of the Borrower or any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Indebtedness convertible for, or exchangeable into, any of the foregoing.</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from time to time.</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any “reportable event”, as defined in Section 4043 of ERISA or the regulations issued thereunder with respect to a Plan (other than an event for which the 30 day notice period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8" w:name="page109"/>
    <w:bookmarkEnd w:id="108"/>
    <w:p>
      <w:pPr>
        <w:jc w:val="both"/>
        <w:spacing w:after="0" w:line="242" w:lineRule="auto"/>
        <w:rPr>
          <w:sz w:val="20"/>
          <w:szCs w:val="20"/>
          <w:color w:val="auto"/>
        </w:rPr>
      </w:pPr>
      <w:r>
        <w:rPr>
          <w:rFonts w:ascii="Times New Roman" w:cs="Times New Roman" w:eastAsia="Times New Roman" w:hAnsi="Times New Roman"/>
          <w:sz w:val="20"/>
          <w:szCs w:val="20"/>
          <w:color w:val="auto"/>
        </w:rPr>
        <w:t>is waived); (b) the failure to make any “minimum required contribution” (as defined in Section 430(a) of the Code) with respect to any Plan, at the time and in the amount provided for in Section 430 of the Code; (c) the filing pursuant to Section 412(d) of the Code or Section 303(d) of ERISA of an application for a waiver of the minimum funding standard with respect to any Plan; (d) the incurrence by the Borrower or any of its ERISA Affiliates of any liability under Title IV of ERISA with respect to the termination of any Plan (other than a standard termination to which Section 4041(b) of ERISA applies); (e) the receipt by the Borrower or any ERISA Affiliate from the PBGC or a plan administrator of any notice relating to an intention to terminate any Plan or Plans in a distress termination described in Section 4041(c) of ERISA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8.10(a)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Deficiency Assignmen</w:t>
      </w:r>
      <w:r>
        <w:rPr>
          <w:rFonts w:ascii="Times New Roman" w:cs="Times New Roman" w:eastAsia="Times New Roman" w:hAnsi="Times New Roman"/>
          <w:sz w:val="20"/>
          <w:szCs w:val="20"/>
          <w:color w:val="auto"/>
        </w:rPr>
        <w:t xml:space="preserve">t” has the meaning assigned to it in </w:t>
      </w:r>
      <w:r>
        <w:rPr>
          <w:rFonts w:ascii="Times New Roman" w:cs="Times New Roman" w:eastAsia="Times New Roman" w:hAnsi="Times New Roman"/>
          <w:sz w:val="20"/>
          <w:szCs w:val="20"/>
          <w:u w:val="single" w:color="auto"/>
          <w:color w:val="auto"/>
        </w:rPr>
        <w:t>Section 8.10(d)</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Impacted Class</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8.10(d)</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Return Deficiency</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8.10(d)</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Subrogation Rights</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8.10(e)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Person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9.03(d)</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means, with respect to any Loan Guarantor, any Swap Obligation if, and to the extent that, all or a portion of the Guarantee of such Loan Guarantor of, or the grant by such Loan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Guarantor’s failure for any reason to constitute an ECP at the time the Guarantee of such Loan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a resident of, being organized under the laws of, or having its principal office or, in the case of any Lender, its applicable lending office located in, the jurisdiction imposing such Taxes (or any political subdivision thereof) or (ii) that are Other Connection Taxes; (b) in the case of a Lender, U.S. federal withholding Taxes imposed on amounts payable to or for the account of such Lender with respect to an applicable interest in a Loan, Note, Letter of Credit, Commitment or other Loan Document pursuant to a law in effect on the date on which (i) such Lender acquires such interest in the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9" w:name="page110"/>
    <w:bookmarkEnd w:id="109"/>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Loan, Note, Letter of Credit, Commitment or other Loan Document (other than pursuant to an assignment request by the Borrower under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 xml:space="preserve">) or (ii)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acquired the applicable interest in a Loan, Note, Letter of Credit, Commitment or other Loan Document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2.17(f)</w:t>
      </w:r>
      <w:r>
        <w:rPr>
          <w:rFonts w:ascii="Times New Roman" w:cs="Times New Roman" w:eastAsia="Times New Roman" w:hAnsi="Times New Roman"/>
          <w:sz w:val="20"/>
          <w:szCs w:val="20"/>
          <w:color w:val="auto"/>
        </w:rPr>
        <w:t>; and (d) any U.S. federal withholding Taxes imposed under FATCA.</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means that certain Credit Agreement, dated as of July 29, 2021, by and among the Borrower, the other Loan Parties party thereto and Citi, as administrative agent, as amended, restated, amended and restated, supplemented or otherwise modified from time to time prior to the Effective Date.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Commitment</w:t>
      </w:r>
      <w:r>
        <w:rPr>
          <w:rFonts w:ascii="Times New Roman" w:cs="Times New Roman" w:eastAsia="Times New Roman" w:hAnsi="Times New Roman"/>
          <w:sz w:val="20"/>
          <w:szCs w:val="20"/>
          <w:color w:val="auto"/>
        </w:rPr>
        <w:t xml:space="preserve">” means the Commitments, the maturity of which shall have been extended pursuant to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Loans</w:t>
      </w:r>
      <w:r>
        <w:rPr>
          <w:rFonts w:ascii="Times New Roman" w:cs="Times New Roman" w:eastAsia="Times New Roman" w:hAnsi="Times New Roman"/>
          <w:sz w:val="20"/>
          <w:szCs w:val="20"/>
          <w:color w:val="auto"/>
        </w:rPr>
        <w:t>” means any Loans made pursuant to the Extended Commitments.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2.24(a)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Amendment</w:t>
      </w:r>
      <w:r>
        <w:rPr>
          <w:rFonts w:ascii="Times New Roman" w:cs="Times New Roman" w:eastAsia="Times New Roman" w:hAnsi="Times New Roman"/>
          <w:sz w:val="20"/>
          <w:szCs w:val="20"/>
          <w:color w:val="auto"/>
        </w:rPr>
        <w:t xml:space="preserve">” means an amendment to this Agreement (which may, at the option of the Administrative Agent and Borrower, be in the form of an amendment and restatement of this Agreement) among the Loan Parties, the applicable extending Lenders, the Administrative Agent and, to the extent required by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the Issuing Bank implementing an Extension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2.24</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Offer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2.24(a)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any intergovernmental agreements entered into in connection with the implementation of such sections of the Code and any fiscal or regulatory legislation, rules or official practices adopted pursuant to such intergovernmental agreement or pursuant to any treaty or convention among Governmental Authorities and implementing such Sections of the Code.</w:t>
      </w:r>
    </w:p>
    <w:p>
      <w:pPr>
        <w:spacing w:after="0" w:line="18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FDIC</w:t>
      </w:r>
      <w:r>
        <w:rPr>
          <w:rFonts w:ascii="Times New Roman" w:cs="Times New Roman" w:eastAsia="Times New Roman" w:hAnsi="Times New Roman"/>
          <w:sz w:val="20"/>
          <w:szCs w:val="20"/>
          <w:color w:val="auto"/>
        </w:rPr>
        <w:t>” means the Federal Deposit Insurance Corporation or any Governmental Authority succeeding to any or all of the functions of the Federal Deposit Insurance Corporation.</w:t>
      </w:r>
    </w:p>
    <w:p>
      <w:pPr>
        <w:spacing w:after="0" w:line="16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(3) Federal funds brokers of recognized standing selected by it.</w:t>
      </w:r>
    </w:p>
    <w:p>
      <w:pPr>
        <w:spacing w:after="0" w:line="18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means that certain Fee Letter, dated as of January 19, 2024, by and between the Borrower and Citi, as the same may be amended, restated, amended and restated, supplemented or otherwise modified from time to time.</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Covenants</w:t>
      </w:r>
      <w:r>
        <w:rPr>
          <w:rFonts w:ascii="Times New Roman" w:cs="Times New Roman" w:eastAsia="Times New Roman" w:hAnsi="Times New Roman"/>
          <w:sz w:val="20"/>
          <w:szCs w:val="20"/>
          <w:color w:val="auto"/>
        </w:rPr>
        <w:t xml:space="preserve">” means the covenants set forth in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0" w:name="page111"/>
    <w:bookmarkEnd w:id="110"/>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means the chief financial officer, president, principal accounting officer, treasurer, controller or officer of equivalent duties of the Borrower.</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any Lender that is not a “United States person” as defined in Section 7701(a)(30) of the Code.</w:t>
      </w:r>
    </w:p>
    <w:p>
      <w:pPr>
        <w:spacing w:after="0" w:line="21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Pension Plan</w:t>
      </w:r>
      <w:r>
        <w:rPr>
          <w:rFonts w:ascii="Times New Roman" w:cs="Times New Roman" w:eastAsia="Times New Roman" w:hAnsi="Times New Roman"/>
          <w:sz w:val="20"/>
          <w:szCs w:val="20"/>
          <w:color w:val="auto"/>
        </w:rPr>
        <w:t>” means any plan, fund (including any superannuation fund) or other similar program established or maintained outside the United States by the Borrower or any one or more of its Subsidiaries primarily for the benefit of employees of the Borrower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of the Borrower that is not a Domestic Subsidiary.</w:t>
      </w:r>
    </w:p>
    <w:p>
      <w:pPr>
        <w:spacing w:after="0" w:line="21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 Holding Company</w:t>
      </w:r>
      <w:r>
        <w:rPr>
          <w:rFonts w:ascii="Times New Roman" w:cs="Times New Roman" w:eastAsia="Times New Roman" w:hAnsi="Times New Roman"/>
          <w:sz w:val="20"/>
          <w:szCs w:val="20"/>
          <w:color w:val="auto"/>
        </w:rPr>
        <w:t>” means any Domestic Subsidiary that owns no material assets (whether held directly or through one or more entities disregarded for U.S. federal income tax purposes) other than capital stock (including any debt instrument treated as equity for U.S. federal income tax purposes) of one or more Foreign Subsidiaries that are CFCs and engages in no material activities other than the ownership of such capital stock.</w:t>
      </w:r>
    </w:p>
    <w:p>
      <w:pPr>
        <w:spacing w:after="0" w:line="17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FTC</w:t>
      </w:r>
      <w:r>
        <w:rPr>
          <w:rFonts w:ascii="Times New Roman" w:cs="Times New Roman" w:eastAsia="Times New Roman" w:hAnsi="Times New Roman"/>
          <w:sz w:val="20"/>
          <w:szCs w:val="20"/>
          <w:color w:val="auto"/>
        </w:rPr>
        <w:t>” means the Federal Trade Commission or any Governmental Authority succeeding to any or all of the functions of the Federal Trade Commission.</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of America.</w:t>
      </w:r>
    </w:p>
    <w:p>
      <w:pPr>
        <w:spacing w:after="0" w:line="21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of America, any other nation or any political subdivision of any of the foregoing, whether state or local, and any agency, authority, instrumentality, regulatory or self-regulatory body, court, central bank or other entity exercising executive, legislative, judicial, taxing, regulatory or administrative powers or functions of or pertaining to government.</w:t>
      </w:r>
    </w:p>
    <w:p>
      <w:pPr>
        <w:spacing w:after="0" w:line="178"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of or by any Person (the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term Guarantee shall not include endorsements for collection or deposit in the ordinary course of business.</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Guaranteed Obligations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 Payment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 any substance, material, or waste that is included within the definitions of “hazardous substances,” “hazardous materials,” “hazardous waste,” “toxic substances,” “toxic materials,” “toxic waste,” or words of similar import in any Environmental Law; (b) those substances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1" w:name="page112"/>
    <w:bookmarkEnd w:id="111"/>
    <w:p>
      <w:pPr>
        <w:jc w:val="both"/>
        <w:spacing w:after="0" w:line="246" w:lineRule="auto"/>
        <w:rPr>
          <w:sz w:val="20"/>
          <w:szCs w:val="20"/>
          <w:color w:val="auto"/>
        </w:rPr>
      </w:pPr>
      <w:r>
        <w:rPr>
          <w:rFonts w:ascii="Times New Roman" w:cs="Times New Roman" w:eastAsia="Times New Roman" w:hAnsi="Times New Roman"/>
          <w:sz w:val="20"/>
          <w:szCs w:val="20"/>
          <w:color w:val="auto"/>
        </w:rPr>
        <w:t>listed as hazardous substances by the United States Department of Transportation (or any successor agency) (49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w:t>
      </w:r>
    </w:p>
    <w:p>
      <w:pPr>
        <w:spacing w:after="0" w:line="18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Subsidiary</w:t>
      </w:r>
      <w:r>
        <w:rPr>
          <w:rFonts w:ascii="Times New Roman" w:cs="Times New Roman" w:eastAsia="Times New Roman" w:hAnsi="Times New Roman"/>
          <w:sz w:val="20"/>
          <w:szCs w:val="20"/>
          <w:color w:val="auto"/>
        </w:rPr>
        <w:t>” means any Subsidiary of the Borrower that, as of the date of determination, does not have (a) (i) total assets in excess of 7.50% of the Borrower’s Consolidated Total Assets or (ii) revenues for the applicable Reference Period in excess of 7.50% of consolidated revenues of the Borrower for the applicable Reference Period (provided, that if, as of the last day of or for any such Reference Period, the total assets or revenues of all Subsidiaries that under clause (i) and (ii) above would constitute Immaterial Subsidiaries shall have exceeded 10.00% of Consolidated Total Assets or revenues, as the case may be, of the Borrower and its Subsidiaries for the applicable Reference Period in the aggregate, then one or more of such Subsidiaries shall for all purposes of the Loan Documents be deemed to no longer constitute Immaterial Subsidiaries in descending order based on the amounts (determined on a consolidated basis for such Subsidiary and its Subsidiaries) of their total assets or revenues, as the case may be, until such excess shall have been eliminated), (b) Equity Interests of any Subsidiary that is not an Immaterial Subsidiary and (c) material intellectual property; provided that (x) no Subsidiary shall constitute an Immaterial Subsidiary until, and for so long as, the Borrower shall have designated such Subsidiary’s status as such in writing to the Administrative Agent and (y) the Borrower shall designate as such in writing to the Administrative Agent any Subsidiary that no longer constitutes an Immaterial Subsidiary.</w:t>
      </w:r>
    </w:p>
    <w:p>
      <w:pPr>
        <w:spacing w:after="0" w:line="1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Increasing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2.22(a)(i)</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(i) accounts payable, accrued interest or other liabilities to trade creditors (including funds payable, amounts due to sellers and any amounts relating to the processing of payments on the Borrower’s and its Subsidiaries’ payments platform and any intercompany accounts payable in connection therewith) incurred in the ordinary course of business, (ii) Deferred Revenue, (iii) deferred compensation and severance, pension, health and welfare retirement and equivalent benefits to current or former employees, directors or managers of such Person and its Subsidiaries, and (iv) any Deferred Acquisition Consideration),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(i) all obligations, contingent or otherwise, of such Person in respect of bankers’ acceptances, (j) any other Off-Balance Sheet Liability, (k) any net obligations of such Person with respect to any Swap Agreements and (l) Disqualified Equity Interests.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8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Other Taxes.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2" w:name="page113"/>
    <w:bookmarkEnd w:id="112"/>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9.03(b)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xml:space="preserve">” means a (a) natural person, (b) a Defaulting Lender, (c) holding company, investment vehicle or trust for, or owned and operated for the primary benefit of, a natural person or relative(s)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holding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$500.0 million and a significant part of its activities consist of making or purchasing commercial loans and similar extensions of credit in the ordinary course of its business or (d) a Loan Party or a Subsidiary or other Affiliate of a Loan Party.</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Election Request</w:t>
      </w:r>
      <w:r>
        <w:rPr>
          <w:rFonts w:ascii="Times New Roman" w:cs="Times New Roman" w:eastAsia="Times New Roman" w:hAnsi="Times New Roman"/>
          <w:sz w:val="20"/>
          <w:szCs w:val="20"/>
          <w:color w:val="auto"/>
        </w:rPr>
        <w:t xml:space="preserve">” means a request by the Borrower to convert or continue a Borrowing in accordance with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Expense</w:t>
      </w:r>
      <w:r>
        <w:rPr>
          <w:rFonts w:ascii="Times New Roman" w:cs="Times New Roman" w:eastAsia="Times New Roman" w:hAnsi="Times New Roman"/>
          <w:sz w:val="19"/>
          <w:szCs w:val="19"/>
          <w:color w:val="auto"/>
        </w:rPr>
        <w:t>” means, with reference to any period, total interest expense (including that attributable to Capital Lease Obligations) of the Borrower and its Subsidiaries for such period with respect to all outstanding Indebtedness of the Borrower and its Subsidiaries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calculated on a consolidated basis for the Borrower and its Subsidiaries for such period in accordance with GAAP.</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means (a) with respect to any ABR Loan (including any Swingline Loan), the last Business Day of each March, June, September and December and the Maturity Date and (b) with respect to any Term SOFR Loan, the last day of the Interest Period applicable to the Borrowing of which such Loan is a part and, in the case of an Interest Period of more than three months’ duration, each day prior to the last day of such Interest Period that occurs at intervals of three months’ duration after the first day of such Interest Period and the Maturity Date.</w:t>
      </w:r>
    </w:p>
    <w:p>
      <w:pPr>
        <w:spacing w:after="0" w:line="18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with respect to any Term SOFR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may elect;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Interest Period may extend beyond the Maturity Date. For purposes hereof, the date of a Borrowing initially shall be the date on which such Borrowing is made and thereafter shall be the effective date of the most recent conversion or continuation of such Borrowing.</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3" w:name="page114"/>
    <w:bookmarkEnd w:id="113"/>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Banks</w:t>
      </w:r>
      <w:r>
        <w:rPr>
          <w:rFonts w:ascii="Times New Roman" w:cs="Times New Roman" w:eastAsia="Times New Roman" w:hAnsi="Times New Roman"/>
          <w:sz w:val="20"/>
          <w:szCs w:val="20"/>
          <w:color w:val="auto"/>
        </w:rPr>
        <w:t>” means, individually and collectively as the context may require, (a) Citi, in its capacity as an issuer of Letters of Credit hereunder, and any successors in such capacity, and (b) and any other Lender from time to time designated by the Borrower as an Issuing Bank, with the consent of such Lender and the Administrative Agent and such Lender’s successors in such capacity. Any Issuing Bank may, in its discretion, arrange for one or more Letters of Credit to be issued by Affiliates of such Issuing Bank, in which case the term “Issuing Bank” shall include any such Affiliate with respect to Letters of Credit issued by such Affiliate.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5.09(a)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Junior Debt</w:t>
      </w:r>
      <w:r>
        <w:rPr>
          <w:rFonts w:ascii="Times New Roman" w:cs="Times New Roman" w:eastAsia="Times New Roman" w:hAnsi="Times New Roman"/>
          <w:sz w:val="20"/>
          <w:szCs w:val="20"/>
          <w:color w:val="auto"/>
        </w:rPr>
        <w:t xml:space="preserve">” means (a) any Indebtedness of any Loan Party or any of its Subsidiaries that is secured on a junior lien basis, (b) any Subordinated Indebtedness, (c) any Indebtedness incurred or issued pursuant to </w:t>
      </w:r>
      <w:r>
        <w:rPr>
          <w:rFonts w:ascii="Times New Roman" w:cs="Times New Roman" w:eastAsia="Times New Roman" w:hAnsi="Times New Roman"/>
          <w:sz w:val="20"/>
          <w:szCs w:val="20"/>
          <w:u w:val="single" w:color="auto"/>
          <w:color w:val="auto"/>
        </w:rPr>
        <w:t>Section 6.01(s)</w:t>
      </w:r>
      <w:r>
        <w:rPr>
          <w:rFonts w:ascii="Times New Roman" w:cs="Times New Roman" w:eastAsia="Times New Roman" w:hAnsi="Times New Roman"/>
          <w:sz w:val="20"/>
          <w:szCs w:val="20"/>
          <w:color w:val="auto"/>
        </w:rPr>
        <w:t xml:space="preserve"> and/or (d) any Indebtedness which refinances any of the foregoing to the extent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Collateral Account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2.06(j)</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Disbursement</w:t>
      </w:r>
      <w:r>
        <w:rPr>
          <w:rFonts w:ascii="Times New Roman" w:cs="Times New Roman" w:eastAsia="Times New Roman" w:hAnsi="Times New Roman"/>
          <w:sz w:val="20"/>
          <w:szCs w:val="20"/>
          <w:color w:val="auto"/>
        </w:rPr>
        <w:t>” means a payment made by any Issuing Bank pursuant to a Letter of Credit.</w:t>
      </w:r>
    </w:p>
    <w:p>
      <w:pPr>
        <w:spacing w:after="0" w:line="21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Exposure</w:t>
      </w:r>
      <w:r>
        <w:rPr>
          <w:rFonts w:ascii="Times New Roman" w:cs="Times New Roman" w:eastAsia="Times New Roman" w:hAnsi="Times New Roman"/>
          <w:sz w:val="19"/>
          <w:szCs w:val="19"/>
          <w:color w:val="auto"/>
        </w:rPr>
        <w:t xml:space="preserve">” means, at any time, the sum of (a) the aggregate undrawn amount of all outstanding Letters of Credit at such time, </w:t>
      </w:r>
      <w:r>
        <w:rPr>
          <w:rFonts w:ascii="Times New Roman" w:cs="Times New Roman" w:eastAsia="Times New Roman" w:hAnsi="Times New Roman"/>
          <w:sz w:val="19"/>
          <w:szCs w:val="19"/>
          <w:i w:val="1"/>
          <w:iCs w:val="1"/>
          <w:u w:val="single" w:color="auto"/>
          <w:color w:val="auto"/>
        </w:rPr>
        <w:t>plus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 the aggregate amount of all LC Disbursements relating to Letters of Credit that have not yet been reimbursed by or on behalf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Borrower at such time. The LC Exposure of any Lender at any time shall be its Applicable Percentage of the total LC Exposure at such time.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Lead Arranger</w:t>
      </w:r>
      <w:r>
        <w:rPr>
          <w:rFonts w:ascii="Times New Roman" w:cs="Times New Roman" w:eastAsia="Times New Roman" w:hAnsi="Times New Roman"/>
          <w:sz w:val="20"/>
          <w:szCs w:val="20"/>
          <w:color w:val="auto"/>
        </w:rPr>
        <w:t>” means Citibank, N.A.</w:t>
      </w:r>
    </w:p>
    <w:p>
      <w:pPr>
        <w:spacing w:after="0" w:line="215" w:lineRule="exact"/>
        <w:rPr>
          <w:sz w:val="20"/>
          <w:szCs w:val="20"/>
          <w:color w:val="auto"/>
        </w:rPr>
      </w:pPr>
    </w:p>
    <w:p>
      <w:pPr>
        <w:jc w:val="both"/>
        <w:ind w:right="20"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means the Persons listed on the Commitment Schedule and any other Person that shall have become a party hereto pursuant to an Assignment and Assumption, other than any such Person that ceases to be a party hereto pursuant to an Assignment and Assumption. Unless the context otherwise requires, the term “Lenders” includes the Issuing Banks and the Swingline Lenders.</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the standby and trade letters of credit issued pursuant to this Agreement, and the term “Letter of Credit” means any one of them or each of them singularly, as the context may require.</w:t>
      </w:r>
    </w:p>
    <w:p>
      <w:pPr>
        <w:spacing w:after="0" w:line="16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78"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Documents</w:t>
      </w:r>
      <w:r>
        <w:rPr>
          <w:rFonts w:ascii="Times New Roman" w:cs="Times New Roman" w:eastAsia="Times New Roman" w:hAnsi="Times New Roman"/>
          <w:sz w:val="19"/>
          <w:szCs w:val="19"/>
          <w:color w:val="auto"/>
        </w:rPr>
        <w:t xml:space="preserve">” means, collectively, this Agreement, the Notes, any Letter of Credit applications, the Collateral Documents, the Loan Guaranty, the Fee Letter, the Reaffirmation of Collateral Documents and all other agreements, instruments, documents and certificates identified in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xml:space="preserve"> executed and delivered by a Loan Party to, or in favor of, the Administrative Agent or any Lenders and including all other pledges, powers of attorney, consents, assignments, contracts, notices, letter of credit agreements and all other written matter whether heretofore, now or hereafter executed by or on behalf of any Loan Party and delivered to the Administrative Agent or any Lender in connection with this Agreement or the transactions contemplated hereby. Any reference in this Agreement or any other Loan Document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4" w:name="page115"/>
    <w:bookmarkEnd w:id="114"/>
    <w:p>
      <w:pPr>
        <w:jc w:val="both"/>
        <w:spacing w:after="0" w:line="253" w:lineRule="auto"/>
        <w:rPr>
          <w:sz w:val="20"/>
          <w:szCs w:val="20"/>
          <w:color w:val="auto"/>
        </w:rPr>
      </w:pPr>
      <w:r>
        <w:rPr>
          <w:rFonts w:ascii="Times New Roman" w:cs="Times New Roman" w:eastAsia="Times New Roman" w:hAnsi="Times New Roman"/>
          <w:sz w:val="20"/>
          <w:szCs w:val="20"/>
          <w:color w:val="auto"/>
        </w:rPr>
        <w:t>a Loan Document shall include all appendices, exhibits or schedules thereto, and all amendments, restatements, supplements or other modifications thereto, and shall refer to the Agreement or such Loan Document as the same may be in effect at any and all times such reference becomes operative.</w:t>
      </w:r>
    </w:p>
    <w:p>
      <w:pPr>
        <w:spacing w:after="0" w:line="17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Guarantor</w:t>
      </w:r>
      <w:r>
        <w:rPr>
          <w:rFonts w:ascii="Times New Roman" w:cs="Times New Roman" w:eastAsia="Times New Roman" w:hAnsi="Times New Roman"/>
          <w:sz w:val="20"/>
          <w:szCs w:val="20"/>
          <w:color w:val="auto"/>
        </w:rPr>
        <w:t xml:space="preserve">” means (a) each of the Borrower’s wholly owned Material Domestic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definition shall not be deemed to exclude (or release) any Domestic Subsidiary which is a Loan Guarantor in the case of a disposition of a portion of the Equity Interests in such Loan Guarantor as a result of (i) the disposition or issuance of Equity Interests of such Domestic Subsidiary in either case to an Affiliate that is not the Borrower or a Subsidiary, (ii) any transaction entered into primarily in contemplation of such Domestic Subsidiary’s ceasing to constitute a Loan Party or (iii) the disposition or issuance of Equity Interests of such Domestic Subsidiary for materially less than the fair market value of such shares as reasonably determined by the Borrower; and (b) with respect to Secured Obligations owed by any other Loan Party or other Subsidiary,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subject to any administrative requirements of the Administrative Agent, the Borrower may elect to add additional Domestic Subsidiaries as Loan Guarantors so long as each such added Loan Guarantor complies with </w:t>
      </w:r>
      <w:r>
        <w:rPr>
          <w:rFonts w:ascii="Times New Roman" w:cs="Times New Roman" w:eastAsia="Times New Roman" w:hAnsi="Times New Roman"/>
          <w:sz w:val="20"/>
          <w:szCs w:val="20"/>
          <w:u w:val="single" w:color="auto"/>
          <w:color w:val="auto"/>
        </w:rPr>
        <w:t>Section 5.09</w:t>
      </w:r>
      <w:r>
        <w:rPr>
          <w:rFonts w:ascii="Times New Roman" w:cs="Times New Roman" w:eastAsia="Times New Roman" w:hAnsi="Times New Roman"/>
          <w:sz w:val="20"/>
          <w:szCs w:val="20"/>
          <w:color w:val="auto"/>
        </w:rPr>
        <w:t xml:space="preserve"> of this Agreement as if it were a newly acquired wholly-owned Material Domestic Subsidiary at the time of such designation;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Borrower, with the consent of the Administrative Agent, may elect to make any Foreign Subsidiary become a Loan Guarantor (each, a “</w:t>
      </w:r>
      <w:r>
        <w:rPr>
          <w:rFonts w:ascii="Times New Roman" w:cs="Times New Roman" w:eastAsia="Times New Roman" w:hAnsi="Times New Roman"/>
          <w:sz w:val="20"/>
          <w:szCs w:val="20"/>
          <w:u w:val="single" w:color="auto"/>
          <w:color w:val="auto"/>
        </w:rPr>
        <w:t>Voluntary Foreign Guarantor</w:t>
      </w:r>
      <w:r>
        <w:rPr>
          <w:rFonts w:ascii="Times New Roman" w:cs="Times New Roman" w:eastAsia="Times New Roman" w:hAnsi="Times New Roman"/>
          <w:sz w:val="20"/>
          <w:szCs w:val="20"/>
          <w:color w:val="auto"/>
        </w:rPr>
        <w:t xml:space="preserve">”) in accordance with the terms of the Loan Documents and </w:t>
      </w:r>
      <w:r>
        <w:rPr>
          <w:rFonts w:ascii="Times New Roman" w:cs="Times New Roman" w:eastAsia="Times New Roman" w:hAnsi="Times New Roman"/>
          <w:sz w:val="20"/>
          <w:szCs w:val="20"/>
          <w:u w:val="single" w:color="auto"/>
          <w:color w:val="auto"/>
        </w:rPr>
        <w:t>Section 5.09</w:t>
      </w:r>
      <w:r>
        <w:rPr>
          <w:rFonts w:ascii="Times New Roman" w:cs="Times New Roman" w:eastAsia="Times New Roman" w:hAnsi="Times New Roman"/>
          <w:sz w:val="20"/>
          <w:szCs w:val="20"/>
          <w:color w:val="auto"/>
        </w:rPr>
        <w:t xml:space="preserve"> hereof, and such election and conversion shall be subject to customary conditions, including, but not limited to, (i) jurisdiction of incorporation of such potential Voluntary Foreign Guarantor being reasonably satisfactory to each Lender, (ii) any reasonable and customary local law guaranty documentation (to the extent reasonably necessary to effect such guaranty) and security documentation with respect to Voluntary Foreign Guarantors organized under the laws of any non-U.S. jurisdiction shall be governed by reasonable and customary local law security documentation acceptable to the Administrative Agent and (iii) Voluntary Foreign Guarantor Amendments to this Agreement and the other Loan Documents as may be reasonably necessary or appropriate, in the reasonable opinion of the Administrative Agent, in connection with a Foreign Subsidiary becoming a Loan Guarantor.</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Guaranty</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of this Agreement.</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collectively, the Borrower, each Loan Guarantor and any other Person who becomes a party to this Agreement pursuant to a Joinder Agreement and each of their successors and assigns, and the term “Loan Party” means any one of them or all of them individually, as the context may require.</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means the loans and advances made by the Lenders pursuant to this Agreement, including Revolving Credit Loans and Swingline Loans.</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Acquisition</w:t>
      </w:r>
      <w:r>
        <w:rPr>
          <w:rFonts w:ascii="Times New Roman" w:cs="Times New Roman" w:eastAsia="Times New Roman" w:hAnsi="Times New Roman"/>
          <w:sz w:val="20"/>
          <w:szCs w:val="20"/>
          <w:color w:val="auto"/>
        </w:rPr>
        <w:t>” means a Permitted Acquisition the aggregate consideration with respect to which exceeds $30.0 million.</w:t>
      </w:r>
    </w:p>
    <w:p>
      <w:pPr>
        <w:spacing w:after="0" w:line="21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 adverse effect on (a) the business, assets, contracts, agreements, liabilities (including contingent liabilities), operations, or condition (financial or otherwise) or prospects of the Borrower and its Subsidiaries, taken as a whole, (b) the ability of the Loan Parties to perform any of their material obligations under the Loan Documents, (c) any material portion of the Collateral, or the Administrative Agent’s Liens (on behalf of itself and the Lenders) on any material portion of the Collateral or the priority of such Liens (in each case subject to Permitted Liens), or (d) the rights of or benefits available to the Administrative Agent, the Issuing Banks or the Lenders under the Loan Documents.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5" w:name="page116"/>
    <w:bookmarkEnd w:id="115"/>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Domestic Subsidiary</w:t>
      </w:r>
      <w:r>
        <w:rPr>
          <w:rFonts w:ascii="Times New Roman" w:cs="Times New Roman" w:eastAsia="Times New Roman" w:hAnsi="Times New Roman"/>
          <w:sz w:val="20"/>
          <w:szCs w:val="20"/>
          <w:color w:val="auto"/>
        </w:rPr>
        <w:t>” means any Domestic Subsidiary of the Borrower that is not (a) directly or indirectly owned by a Foreign Subsidiary that is a CFC, unless the inclusion of such Domestic Subsidiary as a Loan Guarantor would not reasonably be expected by the Borrower in consultation with the Administrative Agent to result in material adverse tax consequences for the Borrower, (b) a Foreign Subsidiary Holding Company, unless the inclusion of such Domestic Subsidiary as a Loan Guarantor would not reasonably be expected by the Borrower in consultation with the Administrative Agent to result in material adverse tax consequences for the Borrower or (c) an Immaterial Subsidiary.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Foreign Subsidiary</w:t>
      </w:r>
      <w:r>
        <w:rPr>
          <w:rFonts w:ascii="Times New Roman" w:cs="Times New Roman" w:eastAsia="Times New Roman" w:hAnsi="Times New Roman"/>
          <w:sz w:val="20"/>
          <w:szCs w:val="20"/>
          <w:color w:val="auto"/>
        </w:rPr>
        <w:t>” means any Foreign Subsidiary of the Borrower that is not an Immaterial Subsidiary.</w:t>
      </w:r>
    </w:p>
    <w:p>
      <w:pPr>
        <w:spacing w:after="0" w:line="21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means any Indebtedness (other than the Loans, Letters of Credit and intercompany loans among the Loan Parties and their Subsidiaries), or any obligations under Swap Agreements, of any one or more of the Borrower and its Subsidiaries in an aggregate principal amount exceeding $10.0 million. For purposes of determining Material Indebtedness, the aggregate principal amount of “obligations” of the Borrower or any Subsidiary in respect of any Swap Agreement at any time shall be the Swap Termination Value.</w:t>
      </w:r>
    </w:p>
    <w:p>
      <w:pPr>
        <w:spacing w:after="0" w:line="17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xml:space="preserve">” means the earliest to occur of (a) the Revolving Credit Termination Date, (b) any earlier date on which the Commitments are reduced to zero or otherwise terminated pursuant to the terms hereof and (c) the date that the Loans, if any, are declared due and payable pursuant to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individual Lenders may elect to extend the Maturity Date applicable to their Loans and Commitments pursuant to the terms and conditions of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 multiemployer plan as defined in Section 4001(a)(3) of ERISA to which Borrower or any ERISA Affiliate is obligated to make contributions or has any liability.</w:t>
      </w:r>
    </w:p>
    <w:p>
      <w:pPr>
        <w:spacing w:after="0" w:line="16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Income</w:t>
      </w:r>
      <w:r>
        <w:rPr>
          <w:rFonts w:ascii="Times New Roman" w:cs="Times New Roman" w:eastAsia="Times New Roman" w:hAnsi="Times New Roman"/>
          <w:sz w:val="20"/>
          <w:szCs w:val="20"/>
          <w:color w:val="auto"/>
        </w:rPr>
        <w:t xml:space="preserve">” means, for any period, the consolidated net income (or loss) of the Borrower and its Subsidiaries, determined on a consolidated basis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there shall be excluded from such net income (to the extent otherwise included therein), without duplication: (a) the income (or deficit) of any Person accrued prior to the date it becomes a Subsidiary or is merged into or consolidated with any Loan Party or any of its Subsidiaries, (b) the income (or deficit) of any Person (other than a Subsidiary) in which any Loan Party or any of its Subsidiaries has an ownership interest, except to the extent that any such income is actually received by any Loan Party or such Subsidiary in the form of dividends or similar distributions and (c) the undistributed earnings of any Subsidiary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9.02(d)</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xml:space="preserve">” have the meanings assigned to such terms in </w:t>
      </w:r>
      <w:r>
        <w:rPr>
          <w:rFonts w:ascii="Times New Roman" w:cs="Times New Roman" w:eastAsia="Times New Roman" w:hAnsi="Times New Roman"/>
          <w:sz w:val="20"/>
          <w:szCs w:val="20"/>
          <w:u w:val="single" w:color="auto"/>
          <w:color w:val="auto"/>
        </w:rPr>
        <w:t>Section 2.10(e)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Increase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2.22(a)(i)</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Obligated Party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unpaid principal of and accrued and unpaid interest on the Loans, all LC Exposure, all accrued and unpaid fees and all expenses, reimbursements, indemnities and other obligations,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6" w:name="page117"/>
    <w:bookmarkEnd w:id="116"/>
    <w:p>
      <w:pPr>
        <w:jc w:val="both"/>
        <w:spacing w:after="0" w:line="243" w:lineRule="auto"/>
        <w:rPr>
          <w:sz w:val="20"/>
          <w:szCs w:val="20"/>
          <w:color w:val="auto"/>
        </w:rPr>
      </w:pPr>
      <w:r>
        <w:rPr>
          <w:rFonts w:ascii="Times New Roman" w:cs="Times New Roman" w:eastAsia="Times New Roman" w:hAnsi="Times New Roman"/>
          <w:sz w:val="20"/>
          <w:szCs w:val="20"/>
          <w:color w:val="auto"/>
        </w:rPr>
        <w:t>indebtedness (including interest and fees accruing during the pendency of any bankruptcy, insolvency, receivership or other similar proceeding, regardless of whether allowed or allowable in such proceeding), obligations and liabilities of any of the Borrower and its Subsidiaries to any of the Lenders, the Administrative Agent, any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in each case arising or incurred under this Agreement or any of the other Loan Documents or in respect of any of the Loans made or reimbursement or other obligations incurred or any of the Letters of Credit or other instruments at any time evidencing any thereof. For the avoidance of doubt, the “Obligations” of any Loan Guarantor shall include the Guaranteed Obligations.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United States Department of the Treasury.</w:t>
      </w:r>
    </w:p>
    <w:p>
      <w:pPr>
        <w:spacing w:after="0" w:line="21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Off-Balance Sheet Liability</w:t>
      </w:r>
      <w:r>
        <w:rPr>
          <w:rFonts w:ascii="Times New Roman" w:cs="Times New Roman" w:eastAsia="Times New Roman" w:hAnsi="Times New Roman"/>
          <w:sz w:val="20"/>
          <w:szCs w:val="20"/>
          <w:color w:val="auto"/>
        </w:rPr>
        <w:t>” of a Person means (a) any repurchase obligation or liability of such Person with respect to accounts or notes receivable sold by such Person (other than any customary repurchase obligations resulting from a breach of representations and warranties, covenants, servicing obligations and indemnities under a securitization facility), or (b) any Indebtedness, liability or obligation under any so-called “synthetic lease” transaction entered into by such Person.</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Taxes (other than a connection solely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18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PA-DSS Requirements</w:t>
      </w:r>
      <w:r>
        <w:rPr>
          <w:rFonts w:ascii="Times New Roman" w:cs="Times New Roman" w:eastAsia="Times New Roman" w:hAnsi="Times New Roman"/>
          <w:sz w:val="20"/>
          <w:szCs w:val="20"/>
          <w:color w:val="auto"/>
        </w:rPr>
        <w:t>” has the meaning assigned to such term in the definition of “PCI Compliance Program.”</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means, with respect to any Lender, any Person as to which such Lender is, directly or indirectly, a subsidiary.</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9.04(c)</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9.04(c)</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Brand Member</w:t>
      </w:r>
      <w:r>
        <w:rPr>
          <w:rFonts w:ascii="Times New Roman" w:cs="Times New Roman" w:eastAsia="Times New Roman" w:hAnsi="Times New Roman"/>
          <w:sz w:val="20"/>
          <w:szCs w:val="20"/>
          <w:color w:val="auto"/>
        </w:rPr>
        <w:t>” means American Express, Discover and MasterCard or Visa.</w:t>
      </w:r>
    </w:p>
    <w:p>
      <w:pPr>
        <w:spacing w:after="0" w:line="21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in Full</w:t>
      </w:r>
      <w:r>
        <w:rPr>
          <w:rFonts w:ascii="Times New Roman" w:cs="Times New Roman" w:eastAsia="Times New Roman" w:hAnsi="Times New Roman"/>
          <w:sz w:val="20"/>
          <w:szCs w:val="20"/>
          <w:color w:val="auto"/>
        </w:rPr>
        <w:t>” means as of any date of determination, that: (a) the entire amount of principal of and interest due on the Loans, and all other amounts of fees, payments and other obligations due under this Agreement, the other Loan Documents and the Notes are paid in full in cash (other than contingent indemnification obligations and reimbursement obligations in respect of which no claim for payment has yet been asserted by the Person entitled thereto, and any Banking Services Obligations not then due and owing); (b) the commitments to lend under this Agreement have been terminated; (c) there are no</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7" w:name="page118"/>
    <w:bookmarkEnd w:id="117"/>
    <w:p>
      <w:pPr>
        <w:jc w:val="both"/>
        <w:spacing w:after="0" w:line="245" w:lineRule="auto"/>
        <w:rPr>
          <w:sz w:val="20"/>
          <w:szCs w:val="20"/>
          <w:color w:val="auto"/>
        </w:rPr>
      </w:pPr>
      <w:r>
        <w:rPr>
          <w:rFonts w:ascii="Times New Roman" w:cs="Times New Roman" w:eastAsia="Times New Roman" w:hAnsi="Times New Roman"/>
          <w:sz w:val="20"/>
          <w:szCs w:val="20"/>
          <w:color w:val="auto"/>
        </w:rPr>
        <w:t>outstanding Letters of Credit (other than Letters of Credit that have been cash collateralized in accordance with the requirements of this Agreement or other arrangements acceptable to the Issuing Bank); (d) there are no outstanding Swap Agreement Obligations (or arrangements with respect thereto have been implemented which are acceptable to the relevant counterparty); and (e) all other Obligations (other than contingent indemnification obligations and reimbursement obligations in respect of which no claim for payment has yet been asserted by the Person entitled thereto, and any Banking Services Obligations not then due and owing) have been paid in full in cash. “Paid in Full” shall have a correlative meaning.</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8.10(a)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referred to and defined in ERISA and any successor entity performing similar functions.</w:t>
      </w:r>
    </w:p>
    <w:p>
      <w:pPr>
        <w:spacing w:after="0" w:line="16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PCI Compliance Program</w:t>
      </w:r>
      <w:r>
        <w:rPr>
          <w:rFonts w:ascii="Times New Roman" w:cs="Times New Roman" w:eastAsia="Times New Roman" w:hAnsi="Times New Roman"/>
          <w:sz w:val="20"/>
          <w:szCs w:val="20"/>
          <w:color w:val="auto"/>
        </w:rPr>
        <w:t>” means the then current Payment Card Industry Data Security Standard (or any successor) requirements (“</w:t>
      </w:r>
      <w:r>
        <w:rPr>
          <w:rFonts w:ascii="Times New Roman" w:cs="Times New Roman" w:eastAsia="Times New Roman" w:hAnsi="Times New Roman"/>
          <w:sz w:val="20"/>
          <w:szCs w:val="20"/>
          <w:u w:val="single" w:color="auto"/>
          <w:color w:val="auto"/>
        </w:rPr>
        <w:t>PCI-DSS Requirements</w:t>
      </w:r>
      <w:r>
        <w:rPr>
          <w:rFonts w:ascii="Times New Roman" w:cs="Times New Roman" w:eastAsia="Times New Roman" w:hAnsi="Times New Roman"/>
          <w:sz w:val="20"/>
          <w:szCs w:val="20"/>
          <w:color w:val="auto"/>
        </w:rPr>
        <w:t>”) and/or Payment Application Data Security Standard (or any successor) requirements (“</w:t>
      </w:r>
      <w:r>
        <w:rPr>
          <w:rFonts w:ascii="Times New Roman" w:cs="Times New Roman" w:eastAsia="Times New Roman" w:hAnsi="Times New Roman"/>
          <w:sz w:val="20"/>
          <w:szCs w:val="20"/>
          <w:u w:val="single" w:color="auto"/>
          <w:color w:val="auto"/>
        </w:rPr>
        <w:t>PA-DSS Requirements</w:t>
      </w:r>
      <w:r>
        <w:rPr>
          <w:rFonts w:ascii="Times New Roman" w:cs="Times New Roman" w:eastAsia="Times New Roman" w:hAnsi="Times New Roman"/>
          <w:sz w:val="20"/>
          <w:szCs w:val="20"/>
          <w:color w:val="auto"/>
        </w:rPr>
        <w:t>”) for each of the Loan Parties’ and each of its Subsidiaries’ Payment Brand Members, as well as any mandate issued by any applicable Payment Brand Member to the extent that it implements PCI-DSS Requirements and/or PA-DSS Requirements.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PCI-DSS Requirements</w:t>
      </w:r>
      <w:r>
        <w:rPr>
          <w:rFonts w:ascii="Times New Roman" w:cs="Times New Roman" w:eastAsia="Times New Roman" w:hAnsi="Times New Roman"/>
          <w:sz w:val="20"/>
          <w:szCs w:val="20"/>
          <w:color w:val="auto"/>
        </w:rPr>
        <w:t>” has the meaning assigned to such term in the definition of “PCI Compliance Program.”</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PCI Requirements</w:t>
      </w:r>
      <w:r>
        <w:rPr>
          <w:rFonts w:ascii="Times New Roman" w:cs="Times New Roman" w:eastAsia="Times New Roman" w:hAnsi="Times New Roman"/>
          <w:sz w:val="20"/>
          <w:szCs w:val="20"/>
          <w:color w:val="auto"/>
        </w:rPr>
        <w:t>” means PCI-DSS Requirements or PA-DSS Requirements, as applicable.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has the meaning assigned to such term in the definition of “Term SOFR”.</w:t>
      </w:r>
    </w:p>
    <w:p>
      <w:pPr>
        <w:spacing w:after="0" w:line="21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Permits</w:t>
      </w:r>
      <w:r>
        <w:rPr>
          <w:rFonts w:ascii="Times New Roman" w:cs="Times New Roman" w:eastAsia="Times New Roman" w:hAnsi="Times New Roman"/>
          <w:sz w:val="20"/>
          <w:szCs w:val="20"/>
          <w:color w:val="auto"/>
        </w:rPr>
        <w:t>” means, with respect to any Person, any permit, approval, clearance, authorization, license, registration, certificate, concession, grant, franchise, variance or permission from, and any other contractual obligations with, any Governmental Authority, in each case whether or not having the force of law and applicable to or binding upon such Person or any of its property or Products or to which such Person or any of its property or Products is subject, including all registrations with Governmental Authorities.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means any Acquisition in which each of the following conditions is satisfied:</w:t>
      </w:r>
    </w:p>
    <w:p>
      <w:pPr>
        <w:spacing w:after="0" w:line="215" w:lineRule="exact"/>
        <w:rPr>
          <w:sz w:val="20"/>
          <w:szCs w:val="20"/>
          <w:color w:val="auto"/>
        </w:rPr>
      </w:pPr>
    </w:p>
    <w:p>
      <w:pPr>
        <w:ind w:left="1020" w:hanging="263"/>
        <w:spacing w:after="0"/>
        <w:tabs>
          <w:tab w:leader="none" w:pos="102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Person or business or assets which is the subject of such Acquisition is in a line of business permitted under </w:t>
      </w:r>
      <w:r>
        <w:rPr>
          <w:rFonts w:ascii="Times New Roman" w:cs="Times New Roman" w:eastAsia="Times New Roman" w:hAnsi="Times New Roman"/>
          <w:sz w:val="19"/>
          <w:szCs w:val="19"/>
          <w:u w:val="single" w:color="auto"/>
          <w:color w:val="auto"/>
        </w:rPr>
        <w:t>Section 6.03(b)</w:t>
      </w:r>
      <w:r>
        <w:rPr>
          <w:rFonts w:ascii="Times New Roman" w:cs="Times New Roman" w:eastAsia="Times New Roman" w:hAnsi="Times New Roman"/>
          <w:sz w:val="19"/>
          <w:szCs w:val="19"/>
          <w:color w:val="auto"/>
        </w:rPr>
        <w:t>;</w:t>
      </w:r>
    </w:p>
    <w:p>
      <w:pPr>
        <w:spacing w:after="0" w:line="226" w:lineRule="exact"/>
        <w:rPr>
          <w:rFonts w:ascii="Times New Roman" w:cs="Times New Roman" w:eastAsia="Times New Roman" w:hAnsi="Times New Roman"/>
          <w:sz w:val="19"/>
          <w:szCs w:val="19"/>
          <w:color w:val="auto"/>
        </w:rPr>
      </w:pPr>
    </w:p>
    <w:p>
      <w:pPr>
        <w:ind w:firstLine="757"/>
        <w:spacing w:after="0" w:line="268" w:lineRule="auto"/>
        <w:tabs>
          <w:tab w:leader="none" w:pos="101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material governmental, corporate and third-party approvals and consents reasonably necessary in connection with such Acquisition shall have been obtained and be in full force and effect;</w:t>
      </w:r>
    </w:p>
    <w:p>
      <w:pPr>
        <w:spacing w:after="0" w:line="160"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acquiring a Person, unless such Person is contemporaneously merged with and into the Borrower or a Subsidiary of the Borrower, such Person becomes a wholly-owned direct or indirect Subsidiary of the Borrower and, simultaneously with such Acquisition, a Loan Party to the extent required by </w:t>
      </w:r>
      <w:r>
        <w:rPr>
          <w:rFonts w:ascii="Times New Roman" w:cs="Times New Roman" w:eastAsia="Times New Roman" w:hAnsi="Times New Roman"/>
          <w:sz w:val="20"/>
          <w:szCs w:val="20"/>
          <w:u w:val="single" w:color="auto"/>
          <w:color w:val="auto"/>
        </w:rPr>
        <w:t>Section 5.09</w:t>
      </w:r>
      <w:r>
        <w:rPr>
          <w:rFonts w:ascii="Times New Roman" w:cs="Times New Roman" w:eastAsia="Times New Roman" w:hAnsi="Times New Roman"/>
          <w:sz w:val="20"/>
          <w:szCs w:val="20"/>
          <w:color w:val="auto"/>
        </w:rPr>
        <w:t xml:space="preserve">, with such Person’s Equity Interests being pledged as Collateral to the extent required by </w:t>
      </w:r>
      <w:r>
        <w:rPr>
          <w:rFonts w:ascii="Times New Roman" w:cs="Times New Roman" w:eastAsia="Times New Roman" w:hAnsi="Times New Roman"/>
          <w:sz w:val="20"/>
          <w:szCs w:val="20"/>
          <w:u w:val="single" w:color="auto"/>
          <w:color w:val="auto"/>
        </w:rPr>
        <w:t>Section 5.09</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Acquisition shall be consummated in all material respects in accordance with the terms of the purchase or acquisition agreement executed in connection therewith and with all other material</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8" w:name="page119"/>
    <w:bookmarkEnd w:id="118"/>
    <w:p>
      <w:pPr>
        <w:spacing w:after="0" w:line="268" w:lineRule="auto"/>
        <w:rPr>
          <w:sz w:val="20"/>
          <w:szCs w:val="20"/>
          <w:color w:val="auto"/>
        </w:rPr>
      </w:pPr>
      <w:r>
        <w:rPr>
          <w:rFonts w:ascii="Times New Roman" w:cs="Times New Roman" w:eastAsia="Times New Roman" w:hAnsi="Times New Roman"/>
          <w:sz w:val="20"/>
          <w:szCs w:val="20"/>
          <w:color w:val="auto"/>
        </w:rPr>
        <w:t>agreements, instruments and documents implementing such Acquisition and in compliance in all material respects with applicable law and regulatory approvals;</w:t>
      </w:r>
    </w:p>
    <w:p>
      <w:pPr>
        <w:spacing w:after="0" w:line="161" w:lineRule="exact"/>
        <w:rPr>
          <w:sz w:val="20"/>
          <w:szCs w:val="20"/>
          <w:color w:val="auto"/>
        </w:rPr>
      </w:pPr>
    </w:p>
    <w:p>
      <w:pPr>
        <w:ind w:right="20" w:firstLine="757"/>
        <w:spacing w:after="0" w:line="268" w:lineRule="auto"/>
        <w:tabs>
          <w:tab w:leader="none" w:pos="101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Acquisition shall, prior to the date of such Acquisition, have been approved by the board of directors (or similar governing body) of such Person to be acquired (and such approval shall not have been rescinded);</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(m)no Default or Event of Default shall have occurred and be continuing or would result therefrom;</w:t>
      </w:r>
    </w:p>
    <w:p>
      <w:pPr>
        <w:spacing w:after="0" w:line="215" w:lineRule="exact"/>
        <w:rPr>
          <w:sz w:val="20"/>
          <w:szCs w:val="20"/>
          <w:color w:val="auto"/>
        </w:rPr>
      </w:pPr>
    </w:p>
    <w:p>
      <w:pPr>
        <w:jc w:val="both"/>
        <w:ind w:firstLine="757"/>
        <w:spacing w:after="0" w:line="249" w:lineRule="auto"/>
        <w:tabs>
          <w:tab w:leader="none" w:pos="101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such Acquisition (including the incurrence, assumption or acquisition of any Indebtedness in connection therewith) the Consolidated Total Net Leverage Ratio, calculated on a pro forma basis as if such Acquisition (including the incurrence, assumption or acquisition of any Indebtedness in connection therewith) had been consummated at the beginning of such period, shall not exceed 3.25 to 1.00;</w:t>
      </w:r>
    </w:p>
    <w:p>
      <w:pPr>
        <w:spacing w:after="0" w:line="178"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cash purchase price for all Permitted Acquisitions of any Persons which do not become Loan Guarantors (together with the aggregate amount of investments, loans or advances described in </w:t>
      </w:r>
      <w:r>
        <w:rPr>
          <w:rFonts w:ascii="Times New Roman" w:cs="Times New Roman" w:eastAsia="Times New Roman" w:hAnsi="Times New Roman"/>
          <w:sz w:val="20"/>
          <w:szCs w:val="20"/>
          <w:u w:val="single" w:color="auto"/>
          <w:color w:val="auto"/>
        </w:rPr>
        <w:t>Sections 6.04(c), (d)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(l)(iv)</w:t>
      </w:r>
      <w:r>
        <w:rPr>
          <w:rFonts w:ascii="Times New Roman" w:cs="Times New Roman" w:eastAsia="Times New Roman" w:hAnsi="Times New Roman"/>
          <w:sz w:val="20"/>
          <w:szCs w:val="20"/>
          <w:color w:val="auto"/>
        </w:rPr>
        <w:t>) shall not exceed an amount equal to the greater of (i) $50.0 million and (ii) 25% of Consolidated Adjusted EBITDA for the most recently ended Reference Period, on a pro forma basis; and</w:t>
      </w:r>
    </w:p>
    <w:p>
      <w:pPr>
        <w:spacing w:after="0" w:line="178"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have delivered a notice to the Administrative Agent and the Lenders setting forth the calculations demonstrating compliance with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of this definition.</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Encumbrances</w:t>
      </w:r>
      <w:r>
        <w:rPr>
          <w:rFonts w:ascii="Times New Roman" w:cs="Times New Roman" w:eastAsia="Times New Roman" w:hAnsi="Times New Roman"/>
          <w:sz w:val="20"/>
          <w:szCs w:val="20"/>
          <w:color w:val="auto"/>
        </w:rPr>
        <w:t>” means:</w:t>
      </w:r>
    </w:p>
    <w:p>
      <w:pPr>
        <w:spacing w:after="0" w:line="215" w:lineRule="exact"/>
        <w:rPr>
          <w:sz w:val="20"/>
          <w:szCs w:val="20"/>
          <w:color w:val="auto"/>
        </w:rPr>
      </w:pPr>
    </w:p>
    <w:p>
      <w:pPr>
        <w:ind w:firstLine="757"/>
        <w:spacing w:after="0" w:line="268" w:lineRule="auto"/>
        <w:tabs>
          <w:tab w:leader="none" w:pos="10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imposed by law for taxes, fees, assessments or other governmental charges that are not yet delinquent or are being contested in compliance with </w:t>
      </w:r>
      <w:r>
        <w:rPr>
          <w:rFonts w:ascii="Times New Roman" w:cs="Times New Roman" w:eastAsia="Times New Roman" w:hAnsi="Times New Roman"/>
          <w:sz w:val="20"/>
          <w:szCs w:val="20"/>
          <w:u w:val="single" w:color="auto"/>
          <w:color w:val="auto"/>
        </w:rPr>
        <w:t>Section 5.04</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carriers’, warehousemen’s, mechanics’, materialmen’s, repairmen’s and other like Liens imposed by law, arising in the ordinary course of business and securing obligations that are not overdue by more than sixty (60) days or are being contested in compliance with </w:t>
      </w:r>
      <w:r>
        <w:rPr>
          <w:rFonts w:ascii="Times New Roman" w:cs="Times New Roman" w:eastAsia="Times New Roman" w:hAnsi="Times New Roman"/>
          <w:sz w:val="20"/>
          <w:szCs w:val="20"/>
          <w:u w:val="single" w:color="auto"/>
          <w:color w:val="auto"/>
        </w:rPr>
        <w:t>Section 5.04</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made in the ordinary course of business in compliance with workers’ compensation, unemployment insurance and other social security laws or regulations;</w:t>
      </w:r>
    </w:p>
    <w:p>
      <w:pPr>
        <w:spacing w:after="0" w:line="160"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6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judgment liens in respect of judgments that do not constitute an Event of Default under </w:t>
      </w:r>
      <w:r>
        <w:rPr>
          <w:rFonts w:ascii="Times New Roman" w:cs="Times New Roman" w:eastAsia="Times New Roman" w:hAnsi="Times New Roman"/>
          <w:sz w:val="20"/>
          <w:szCs w:val="20"/>
          <w:u w:val="single" w:color="auto"/>
          <w:color w:val="auto"/>
        </w:rPr>
        <w:t>clause (k)</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covenants, conditions, zoning restrictions, rights-of-way, minor defects or other irregularities in title and/or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9" w:name="page120"/>
    <w:bookmarkEnd w:id="119"/>
    <w:p>
      <w:pPr>
        <w:ind w:right="20" w:firstLine="749"/>
        <w:spacing w:after="0" w:line="268" w:lineRule="auto"/>
        <w:rPr>
          <w:sz w:val="20"/>
          <w:szCs w:val="20"/>
          <w:color w:val="auto"/>
        </w:rPr>
      </w:pPr>
      <w:r>
        <w:rPr>
          <w:rFonts w:ascii="Times New Roman" w:cs="Times New Roman" w:eastAsia="Times New Roman" w:hAnsi="Times New Roman"/>
          <w:sz w:val="20"/>
          <w:szCs w:val="20"/>
          <w:color w:val="auto"/>
        </w:rPr>
        <w:t>(w)UCC financing statements filed (or similar filings under applicable law) solely as a precautionary measure in connection with operating leases; and</w:t>
      </w:r>
    </w:p>
    <w:p>
      <w:pPr>
        <w:spacing w:after="0" w:line="161" w:lineRule="exact"/>
        <w:rPr>
          <w:sz w:val="20"/>
          <w:szCs w:val="20"/>
          <w:color w:val="auto"/>
        </w:rPr>
      </w:pPr>
    </w:p>
    <w:p>
      <w:pPr>
        <w:jc w:val="both"/>
        <w:ind w:firstLine="757"/>
        <w:spacing w:after="0" w:line="253" w:lineRule="auto"/>
        <w:tabs>
          <w:tab w:leader="none" w:pos="101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representing any interest or title of a licensor, lessor or sublicensor or sublessor, or a licensee, lessee or sublicensee or sublessee, in the property subject to any lease, license or sublicense or concession agreement, in each case to the extent permitted by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term “Permitted Encumbrances” shall not include any Lien securing Indebtedness.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xml:space="preserve">” means all Liens permitted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61"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Personal Information</w:t>
      </w:r>
      <w:r>
        <w:rPr>
          <w:rFonts w:ascii="Times New Roman" w:cs="Times New Roman" w:eastAsia="Times New Roman" w:hAnsi="Times New Roman"/>
          <w:sz w:val="20"/>
          <w:szCs w:val="20"/>
          <w:color w:val="auto"/>
        </w:rPr>
        <w:t>” shall mean (i) any information that identifies or can be used to identify, alone or in the aggregate, a natural person, or (ii) any information or data that is defined as “personal information” or “personal data” under Data Protection Laws.</w:t>
      </w:r>
    </w:p>
    <w:p>
      <w:pPr>
        <w:spacing w:after="0" w:line="161" w:lineRule="exact"/>
        <w:rPr>
          <w:sz w:val="20"/>
          <w:szCs w:val="20"/>
          <w:color w:val="auto"/>
        </w:rPr>
      </w:pPr>
    </w:p>
    <w:p>
      <w:pPr>
        <w:jc w:val="both"/>
        <w:ind w:right="2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pension benefit plan” (within the meaning of Section 3(2) of ERISA) (other than a Multiemployer Plan or a Foreign Pension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7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Assets</w:t>
      </w:r>
      <w:r>
        <w:rPr>
          <w:rFonts w:ascii="Times New Roman" w:cs="Times New Roman" w:eastAsia="Times New Roman" w:hAnsi="Times New Roman"/>
          <w:sz w:val="20"/>
          <w:szCs w:val="20"/>
          <w:color w:val="auto"/>
        </w:rPr>
        <w:t>” shall mean “plan assets” of an “employee benefit plan” subject to Title I of ERISA or a “plan” subject to Section 4975 of the Code, as determined under 29 C.F.R. § 2510.3-101, as modified by Section 3(42) of ERISA.</w:t>
      </w:r>
    </w:p>
    <w:p>
      <w:pPr>
        <w:spacing w:after="0" w:line="15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xml:space="preserve">” means the rate of interest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publicly announced from time to time by Citibank, N.A. as its prime rate in effect at its principal offices in New York City. Each change in the Prime Rate shall be effective from and including the date such change is publicly announced as being effective.</w:t>
      </w:r>
    </w:p>
    <w:p>
      <w:pPr>
        <w:spacing w:after="0" w:line="174"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Products</w:t>
      </w:r>
      <w:r>
        <w:rPr>
          <w:rFonts w:ascii="Times New Roman" w:cs="Times New Roman" w:eastAsia="Times New Roman" w:hAnsi="Times New Roman"/>
          <w:sz w:val="20"/>
          <w:szCs w:val="20"/>
          <w:color w:val="auto"/>
        </w:rPr>
        <w:t>” means any item or any service that is designed, created, manufactured, managed, performed or otherwise used, offered or handled by or on behalf of the Loan Parties or any of their Subsidiaries.</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Prohibited Transaction</w:t>
      </w:r>
      <w:r>
        <w:rPr>
          <w:rFonts w:ascii="Times New Roman" w:cs="Times New Roman" w:eastAsia="Times New Roman" w:hAnsi="Times New Roman"/>
          <w:sz w:val="20"/>
          <w:szCs w:val="20"/>
          <w:color w:val="auto"/>
        </w:rPr>
        <w:t>” means the occurrence of a “prohibited transaction” within the meaning of Section 4975(c) of the Code or Section 406 of ERISA for which there is no exemption under Section 4975(d).</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5.01(d)</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5390(c)(8)(D).</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9.20</w:t>
      </w:r>
      <w:r>
        <w:rPr>
          <w:rFonts w:ascii="Times New Roman" w:cs="Times New Roman" w:eastAsia="Times New Roman" w:hAnsi="Times New Roman"/>
          <w:sz w:val="20"/>
          <w:szCs w:val="20"/>
          <w:color w:val="auto"/>
        </w:rPr>
        <w: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0" w:name="page121"/>
    <w:bookmarkEnd w:id="120"/>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ECP Guarantor</w:t>
      </w:r>
      <w:r>
        <w:rPr>
          <w:rFonts w:ascii="Times New Roman" w:cs="Times New Roman" w:eastAsia="Times New Roman" w:hAnsi="Times New Roman"/>
          <w:sz w:val="20"/>
          <w:szCs w:val="20"/>
          <w:color w:val="auto"/>
        </w:rPr>
        <w:t>” means, in respect of any Swap Obligation, each Loan Party that has total assets exceeding $10.0 million at the time the relevant Loan Guaranty or grant of the relevant security interest becomes or would become effective with respect to such Swap Obligation or such other person as constitutes an ECP and can cause another person to qualify as an ECP at such time by entering into a keepwell under Section 1a(18)(A)(v)(II) of the Commodity Exchange Act.</w:t>
      </w:r>
    </w:p>
    <w:p>
      <w:pPr>
        <w:spacing w:after="0" w:line="17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Reaffirmation of Collateral Documents</w:t>
      </w:r>
      <w:r>
        <w:rPr>
          <w:rFonts w:ascii="Times New Roman" w:cs="Times New Roman" w:eastAsia="Times New Roman" w:hAnsi="Times New Roman"/>
          <w:sz w:val="20"/>
          <w:szCs w:val="20"/>
          <w:color w:val="auto"/>
        </w:rPr>
        <w:t>” means that certain Reaffirmation of Collateral Documents, dated as of the Effective Date, among the Borrower, the Loan Guarantors and the Administrative Agent.</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as applicable, (a) the Administrative Agent, (b) any Lender and (c) any Issuing Bank, or any combination thereof (as the context requires).</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Period</w:t>
      </w:r>
      <w:r>
        <w:rPr>
          <w:rFonts w:ascii="Times New Roman" w:cs="Times New Roman" w:eastAsia="Times New Roman" w:hAnsi="Times New Roman"/>
          <w:sz w:val="20"/>
          <w:szCs w:val="20"/>
          <w:color w:val="auto"/>
        </w:rPr>
        <w:t>” means the most recently ended period of four consecutive fiscal quarters for which financial statements have been (or were required to be) delivered to the Administrative Agent.</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4.01(l)</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9.04(b)(iv)</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specified Person, such Person’s Affiliates and the respective directors, officers, employees, agents, partners and advisors of such Person and such Person’s Affiliates.</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means any releasing, spilling, leaking, pumping, pouring, emitting, emptying, discharging, injecting, escaping, leaching, migrating, disposing or dumping of any substance into the environment.</w:t>
      </w:r>
    </w:p>
    <w:p>
      <w:pPr>
        <w:spacing w:after="0" w:line="16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Requested Increase Date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2.22(a)(i)</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means, at any time, Lenders (other than Defaulting Lenders) having Credit Exposure and unused Commitments representing more than 50% of the sum of the total Credit Exposure and unused Commitments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at any time of determination there are two (but not more than two) Lenders party hereto that are not Affiliates or Approved Funds of one another, Required Lenders shall include such two Lenders who are not Affiliates or Approved Funds of one another.</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 of Law</w:t>
      </w:r>
      <w:r>
        <w:rPr>
          <w:rFonts w:ascii="Times New Roman" w:cs="Times New Roman" w:eastAsia="Times New Roman" w:hAnsi="Times New Roman"/>
          <w:sz w:val="20"/>
          <w:szCs w:val="20"/>
          <w:color w:val="auto"/>
        </w:rPr>
        <w:t>”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ERISA and Data Protection Laws), in each case applicable to or binding upon such Person or any of its property or to which such Person or any of its property is subject.</w:t>
      </w:r>
    </w:p>
    <w:p>
      <w:pPr>
        <w:spacing w:after="0" w:line="18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1" w:name="page122"/>
    <w:bookmarkEnd w:id="121"/>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means any Financial Officer, the chief executive officer, any executive vice president, any senior vice president, any vice president or the chief operating officer of the Borrower and any other individual or similar official thereof responsible for the administration of the obligations of the Borrower in respect of this Agreement.</w:t>
      </w:r>
    </w:p>
    <w:p>
      <w:pPr>
        <w:spacing w:after="0" w:line="17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option, warrant or other right to acquire any such Equity Interests in the Borrower.</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Loan</w:t>
      </w:r>
      <w:r>
        <w:rPr>
          <w:rFonts w:ascii="Times New Roman" w:cs="Times New Roman" w:eastAsia="Times New Roman" w:hAnsi="Times New Roman"/>
          <w:sz w:val="20"/>
          <w:szCs w:val="20"/>
          <w:color w:val="auto"/>
        </w:rPr>
        <w:t xml:space="preserve">” means a Loan made pursuant to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Termination Date</w:t>
      </w:r>
      <w:r>
        <w:rPr>
          <w:rFonts w:ascii="Times New Roman" w:cs="Times New Roman" w:eastAsia="Times New Roman" w:hAnsi="Times New Roman"/>
          <w:sz w:val="20"/>
          <w:szCs w:val="20"/>
          <w:color w:val="auto"/>
        </w:rPr>
        <w:t>” means the fifth anniversary of the Effective Date.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Ratings Services, a Standard &amp; Poor’s Financial Services LLC business.</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means, at any time, a country or territory which is the subject or target of any comprehensive Sanctions (which, as of the date of this Agreement, includes Cuba, Iran, North Korea, Syria and the Crimea, Zaporizhzhia and Kherson Regions of Ukraine).</w:t>
      </w:r>
    </w:p>
    <w:p>
      <w:pPr>
        <w:spacing w:after="0" w:line="17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xml:space="preserve">” means, at any time, (a) any Person listed in any Sanctions-related list of designated Persons maintained by the OFAC, the U.S. Department of State or by the United Nations Security Council, the European Union or any EU member state, (b) any Person operating, organized or resident in a Sanctioned Country or (c) any Person majority-owned or controlled by any such Person or Persons described in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or His Majesty’s Treasury of the United Kingdom.</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 or any Governmental Authority succeeding to any or all of the functions of the Securities and Exchange Commission.</w:t>
      </w:r>
    </w:p>
    <w:p>
      <w:pPr>
        <w:spacing w:after="0" w:line="16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Obligations</w:t>
      </w:r>
      <w:r>
        <w:rPr>
          <w:rFonts w:ascii="Times New Roman" w:cs="Times New Roman" w:eastAsia="Times New Roman" w:hAnsi="Times New Roman"/>
          <w:sz w:val="20"/>
          <w:szCs w:val="20"/>
          <w:color w:val="auto"/>
        </w:rPr>
        <w:t>” means all Obligations, together with all (a) Banking Services Obligations, (b) Swap Agreement Obligations owing to any Person that, at the time of entering into such arrangement with a Loan Party or any Subsidiary, was the Administrative Agent, a Lender or an Affiliate thereof, in each case, with respect to such Swap Agreement Obligations, to the extent designated by the Borrower in a written statement (including by way of email) to the Administrative Agent as constituting Secured Obligations (such Swap Agreement Obligations, “</w:t>
      </w:r>
      <w:r>
        <w:rPr>
          <w:rFonts w:ascii="Times New Roman" w:cs="Times New Roman" w:eastAsia="Times New Roman" w:hAnsi="Times New Roman"/>
          <w:sz w:val="20"/>
          <w:szCs w:val="20"/>
          <w:u w:val="single" w:color="auto"/>
          <w:color w:val="auto"/>
        </w:rPr>
        <w:t>Secured Swap Agreement Obligations</w:t>
      </w:r>
      <w:r>
        <w:rPr>
          <w:rFonts w:ascii="Times New Roman" w:cs="Times New Roman" w:eastAsia="Times New Roman" w:hAnsi="Times New Roman"/>
          <w:sz w:val="20"/>
          <w:szCs w:val="20"/>
          <w:color w:val="auto"/>
        </w:rPr>
        <w:t xml:space="preserve">”) and (c) Erroneous Payment Subrogation Rights;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definition of “Secured Obligations” shall not create any guarantee by any Loan Guarantor of (or grant of security interest by any Loan Guarantor to support, as applicable) any Excluded Swap Obligations of such Loan Guarantor for purposes of determining any obligations of any Loan Guarantor.</w:t>
      </w:r>
    </w:p>
    <w:p>
      <w:pPr>
        <w:spacing w:after="0" w:line="187"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means the Administrative Agent, each Lender, each Issuing Bank, each Swingline Lender and each other provider of Secured Obligations as permitted pursuant to the definition thereof.</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2" w:name="page123"/>
    <w:bookmarkEnd w:id="122"/>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Swap Agreement Obligations</w:t>
      </w:r>
      <w:r>
        <w:rPr>
          <w:rFonts w:ascii="Times New Roman" w:cs="Times New Roman" w:eastAsia="Times New Roman" w:hAnsi="Times New Roman"/>
          <w:sz w:val="20"/>
          <w:szCs w:val="20"/>
          <w:color w:val="auto"/>
        </w:rPr>
        <w:t>” has the meaning assigned to such term in the definition of “Secured Obligations”.</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of the United States, as amended, and the rules and regulations of the Commission promulgated thereunder.</w:t>
      </w:r>
    </w:p>
    <w:p>
      <w:pPr>
        <w:spacing w:after="0" w:line="16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means that certain Pledge and Security Agreement, dated as of July 29, 2021, among the Borrower, each Subsidiary of the Borrower party thereto from time to time, and the Administrative Agent, for the benefit of the Administrative Agent, the Lenders and the other Secured Parties, and any other pledge or security agreement entered into, after the date of this Agreement by any Loan Party (as required by this Agreement or any other Loan Document), as the same may be amended, restated, amended and restated, supplemented or otherwise modified from time to time.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Similar Law</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3.10(b)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equal to the secured overnight financing rate as administered by the SOFR Administrator.</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Adjustment</w:t>
      </w:r>
      <w:r>
        <w:rPr>
          <w:rFonts w:ascii="Times New Roman" w:cs="Times New Roman" w:eastAsia="Times New Roman" w:hAnsi="Times New Roman"/>
          <w:sz w:val="20"/>
          <w:szCs w:val="20"/>
          <w:color w:val="auto"/>
        </w:rPr>
        <w:t>” means a percentage per annum equal to 0.10%.</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Federal Reserve Bank of New York (or a successor administrator of the secured overnight financing rate).</w:t>
      </w:r>
    </w:p>
    <w:p>
      <w:pPr>
        <w:spacing w:after="0" w:line="16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Material Indebtedness</w:t>
      </w:r>
      <w:r>
        <w:rPr>
          <w:rFonts w:ascii="Times New Roman" w:cs="Times New Roman" w:eastAsia="Times New Roman" w:hAnsi="Times New Roman"/>
          <w:sz w:val="20"/>
          <w:szCs w:val="20"/>
          <w:color w:val="auto"/>
        </w:rPr>
        <w:t xml:space="preserve">” means Material Indebtedness of any Person that is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that has become due and payable as a result of such Person becoming a Subsidiary after the Effective Date or such acquisition of assets in connection with a Permitted Acquisition by the Borrower or any Subsidiary.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Quarter</w:t>
      </w:r>
      <w:r>
        <w:rPr>
          <w:rFonts w:ascii="Times New Roman" w:cs="Times New Roman" w:eastAsia="Times New Roman" w:hAnsi="Times New Roman"/>
          <w:sz w:val="20"/>
          <w:szCs w:val="20"/>
          <w:color w:val="auto"/>
        </w:rPr>
        <w:t>” means a fiscal quarter of the Borrower during which a Material Acquisition has been consummated by a Loan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Party.</w:t>
      </w:r>
    </w:p>
    <w:p>
      <w:pPr>
        <w:spacing w:after="0" w:line="193"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of a Person means any Indebtedness of such Person the payment of which by its terms is at all times subordinated to payment of the Obligations on terms reasonably satisfactory to the Administrative Agent.</w:t>
      </w:r>
    </w:p>
    <w:p>
      <w:pPr>
        <w:spacing w:after="0" w:line="16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at any date, any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by the parent.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any direct or indirect subsidiary of the Borrower or another Loan Party, as applicable.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9.20</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Agreement</w:t>
      </w:r>
      <w:r>
        <w:rPr>
          <w:rFonts w:ascii="Times New Roman" w:cs="Times New Roman" w:eastAsia="Times New Roman" w:hAnsi="Times New Roman"/>
          <w:sz w:val="20"/>
          <w:szCs w:val="20"/>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phantom stock or similar plan providing for payments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3" w:name="page124"/>
    <w:bookmarkEnd w:id="123"/>
    <w:p>
      <w:pPr>
        <w:jc w:val="both"/>
        <w:spacing w:after="0" w:line="268" w:lineRule="auto"/>
        <w:rPr>
          <w:sz w:val="20"/>
          <w:szCs w:val="20"/>
          <w:color w:val="auto"/>
        </w:rPr>
      </w:pPr>
      <w:r>
        <w:rPr>
          <w:rFonts w:ascii="Times New Roman" w:cs="Times New Roman" w:eastAsia="Times New Roman" w:hAnsi="Times New Roman"/>
          <w:sz w:val="20"/>
          <w:szCs w:val="20"/>
          <w:color w:val="auto"/>
        </w:rPr>
        <w:t>only on account of services provided by current or former directors, officers, employees or consultants of the Borrower or the Subsidiaries shall be a Swap Agreement.</w:t>
      </w:r>
    </w:p>
    <w:p>
      <w:pPr>
        <w:spacing w:after="0" w:line="161"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Agreement Obligations</w:t>
      </w:r>
      <w:r>
        <w:rPr>
          <w:rFonts w:ascii="Times New Roman" w:cs="Times New Roman" w:eastAsia="Times New Roman" w:hAnsi="Times New Roman"/>
          <w:sz w:val="20"/>
          <w:szCs w:val="20"/>
          <w:color w:val="auto"/>
        </w:rPr>
        <w:t>” means any and all obligations of the Loan Parties or any Subsidiary, whether absolute or contingent and howsoever and whensoever created, arising, evidenced or acquired (including all renewals, extensions and modifications thereof and substitutions therefor), under (a) any and all Swap Agreements permitted hereunder with a Person that, at the time of entering into such Swap Agreement, is the Administrative Agent, a Lender or an Affiliate of a Lender (and so long as such Person does not cease to be the Administrative Agent or a Lender or such Person’s Affiliate does not cease to be the Administrative Agent or a Lender), and (b) any and all cancellations, buy backs, reversals, terminations or assignments of any such Swap Agreement transaction.</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with respect to any Loan Guarantor, any obligation to pay or perform under any agreement, contract or transaction that constitutes a “swap” within the meaning of section 1a(47) of the Commodity Exchange Act or any rules or regulations promulgated thereunder.</w:t>
      </w:r>
    </w:p>
    <w:p>
      <w:pPr>
        <w:spacing w:after="0" w:line="17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Termination Value</w:t>
      </w:r>
      <w:r>
        <w:rPr>
          <w:rFonts w:ascii="Times New Roman" w:cs="Times New Roman" w:eastAsia="Times New Roman" w:hAnsi="Times New Roman"/>
          <w:sz w:val="20"/>
          <w:szCs w:val="20"/>
          <w:color w:val="auto"/>
        </w:rPr>
        <w:t>” means, in respect of any one or more Swap Agreements, after taking into account the effect of any legally enforceable netting agreement relating to such Swap Agreements, (a) for any date on or after the date such Swap Agreements have been closed out and termination value(s) determined in accordance therewith, such termination value(s), and (b) for any date prior to the date referenced in clause (a), the amount(s) determined as the mark-to-market value(s) for such Swap Agreements, as determined based upon one or more mid-market or other readily available quotations provided by any recognized dealer in such Swap Agreements (which may include the Lenders or any Affiliates of the Lenders).</w:t>
      </w:r>
    </w:p>
    <w:p>
      <w:pPr>
        <w:spacing w:after="0" w:line="18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Commitment</w:t>
      </w:r>
      <w:r>
        <w:rPr>
          <w:rFonts w:ascii="Times New Roman" w:cs="Times New Roman" w:eastAsia="Times New Roman" w:hAnsi="Times New Roman"/>
          <w:sz w:val="20"/>
          <w:szCs w:val="20"/>
          <w:color w:val="auto"/>
        </w:rPr>
        <w:t xml:space="preserve">” with respect to Citi, $5.0 million or such lesser amount as agreed upon by the Borrower and Citi, and with respect to any other Lender that becomes a Swingline Lender, an amount to be agreed upon by the Borrower and such Lender, with the consent of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aggregate principal amount of all such Swingline Commitments shall not exceed $5.0 million.</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Exposure</w:t>
      </w:r>
      <w:r>
        <w:rPr>
          <w:rFonts w:ascii="Times New Roman" w:cs="Times New Roman" w:eastAsia="Times New Roman" w:hAnsi="Times New Roman"/>
          <w:sz w:val="20"/>
          <w:szCs w:val="20"/>
          <w:color w:val="auto"/>
        </w:rPr>
        <w:t>” means, at any time, the aggregate principal amount of all Swingline Loans outstanding at such time. The Swingline Exposure of any Swingline Lender at any time shall be the sum of (a) its Applicable Percentage of the total Swingline Exposure at such time other than with respect to any Swingline Loans made by such Swingline Lender in its capacity as the Swingline Lender and (b) the principal amount of all Swingline Loans made by such Swingline Lender in its capacity as the Swingline Lender outstanding at such time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the amount of participations funded by the other Lenders in such Swingline Loans).</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Lenders</w:t>
      </w:r>
      <w:r>
        <w:rPr>
          <w:rFonts w:ascii="Times New Roman" w:cs="Times New Roman" w:eastAsia="Times New Roman" w:hAnsi="Times New Roman"/>
          <w:sz w:val="20"/>
          <w:szCs w:val="20"/>
          <w:color w:val="auto"/>
        </w:rPr>
        <w:t>” individually and collectively as the context may require, (a) Citi in its capacity as a lender of Swingline Loans hereunder and (b) and any other Lender from time to time designated by the Borrower as a Swingline Lender, with the consent of such Lender and the Administrative Agent and such Lender’s successors in such capacity.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Loan</w:t>
      </w:r>
      <w:r>
        <w:rPr>
          <w:rFonts w:ascii="Times New Roman" w:cs="Times New Roman" w:eastAsia="Times New Roman" w:hAnsi="Times New Roman"/>
          <w:sz w:val="20"/>
          <w:szCs w:val="20"/>
          <w:color w:val="auto"/>
        </w:rPr>
        <w:t xml:space="preserve">” means a Loan made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Request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any and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4" w:name="page125"/>
    <w:bookmarkEnd w:id="124"/>
    <w:p>
      <w:pPr>
        <w:jc w:val="both"/>
        <w:ind w:firstLine="749"/>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w:t>
      </w:r>
      <w:r>
        <w:rPr>
          <w:rFonts w:ascii="Times New Roman" w:cs="Times New Roman" w:eastAsia="Times New Roman" w:hAnsi="Times New Roman"/>
          <w:sz w:val="19"/>
          <w:szCs w:val="19"/>
          <w:color w:val="auto"/>
        </w:rPr>
        <w:t>” means, for any calculation with respect to a Term SOFR Loan, the Term SOFR Reference Rate for a tenor comparable to the applicable Interest Period on the day (such day, the “</w:t>
      </w:r>
      <w:r>
        <w:rPr>
          <w:rFonts w:ascii="Times New Roman" w:cs="Times New Roman" w:eastAsia="Times New Roman" w:hAnsi="Times New Roman"/>
          <w:sz w:val="19"/>
          <w:szCs w:val="19"/>
          <w:u w:val="single" w:color="auto"/>
          <w:color w:val="auto"/>
        </w:rPr>
        <w:t>Periodic Term SOFR Determination Day</w:t>
      </w:r>
      <w:r>
        <w:rPr>
          <w:rFonts w:ascii="Times New Roman" w:cs="Times New Roman" w:eastAsia="Times New Roman" w:hAnsi="Times New Roman"/>
          <w:sz w:val="19"/>
          <w:szCs w:val="19"/>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w:t>
      </w:r>
    </w:p>
    <w:p>
      <w:pPr>
        <w:spacing w:after="0" w:line="17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Administrative Agent in its reasonable discretion).</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Borrowing</w:t>
      </w:r>
      <w:r>
        <w:rPr>
          <w:rFonts w:ascii="Times New Roman" w:cs="Times New Roman" w:eastAsia="Times New Roman" w:hAnsi="Times New Roman"/>
          <w:sz w:val="20"/>
          <w:szCs w:val="20"/>
          <w:color w:val="auto"/>
        </w:rPr>
        <w:t>” means a Borrowing hereunder bearing interest based on Adjusted Term SOFR other than pursuant to clause (c) of the definition of “Alternate Base Rate”.</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Loan</w:t>
      </w:r>
      <w:r>
        <w:rPr>
          <w:rFonts w:ascii="Times New Roman" w:cs="Times New Roman" w:eastAsia="Times New Roman" w:hAnsi="Times New Roman"/>
          <w:sz w:val="20"/>
          <w:szCs w:val="20"/>
          <w:color w:val="auto"/>
        </w:rPr>
        <w:t>” means a Loan that bears interest at a rate based on Adjusted Term SOFR other than pursuant to clause (c) of the definition of “Alternate Base Rate”.</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the forward-looking term rate based on SOFR.</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means the execution, delivery and performance by the Borrower of this Agreement, the borrowing of Loans and other credit extensions, the use of the proceeds thereof, the issuance of Letters of Credit hereunder and the Refinancing.</w:t>
      </w:r>
    </w:p>
    <w:p>
      <w:pPr>
        <w:spacing w:after="0" w:line="161"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when used in reference to any Loan or Borrowing, refers to whether the rate of interest on such Loan, or on the Loans comprising such Borrowing, is determined by reference to Adjusted Term SOFR or the Alternate Base Rate.</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6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means the United States of America.</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5" w:name="page126"/>
    <w:bookmarkEnd w:id="125"/>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Unliquidated Obligations</w:t>
      </w:r>
      <w:r>
        <w:rPr>
          <w:rFonts w:ascii="Times New Roman" w:cs="Times New Roman" w:eastAsia="Times New Roman" w:hAnsi="Times New Roman"/>
          <w:sz w:val="20"/>
          <w:szCs w:val="20"/>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Cash and Cash Equivalents</w:t>
      </w:r>
      <w:r>
        <w:rPr>
          <w:rFonts w:ascii="Times New Roman" w:cs="Times New Roman" w:eastAsia="Times New Roman" w:hAnsi="Times New Roman"/>
          <w:sz w:val="20"/>
          <w:szCs w:val="20"/>
          <w:color w:val="auto"/>
        </w:rPr>
        <w:t>” means, at any date, the cash and Cash Equivalents of the Borrower and its Subsidiaries that (a) do not appear (and are not required to appear) as “restricted” on the consolidated balance sheet of the Borrower and its Subsidiaries as of such day in accordance with GAAP and (b) are free and clear of all Liens (other than non-consensual liens, Liens permitted by Sections 6.02(f) and (i), and liens in favor of the Secured Parties pursuant to the Collateral Documents to secure the Secured Obligations (including the Control Agreements), in each case, permitted under Section 6.02).</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Domestic Cash and Cash Equivalents</w:t>
      </w:r>
      <w:r>
        <w:rPr>
          <w:rFonts w:ascii="Times New Roman" w:cs="Times New Roman" w:eastAsia="Times New Roman" w:hAnsi="Times New Roman"/>
          <w:sz w:val="20"/>
          <w:szCs w:val="20"/>
          <w:color w:val="auto"/>
        </w:rPr>
        <w:t>” means, at any date, the Unrestricted Cash and Cash Equivalents held in an account located in the United States with or through (i) Citi or (ii) solely to the extent such account is subject to a Control Agreement, any Lender who is a Lender on the Effective Date.</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other than a Saturday or Sunday or any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 “United States person” as defined in section 7701(a)(30) of the Code.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9.20</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2.17(f)(ii)(B)(3)</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Act of 2001.</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Voluntary Foreign Guarantor</w:t>
      </w:r>
      <w:r>
        <w:rPr>
          <w:rFonts w:ascii="Times New Roman" w:cs="Times New Roman" w:eastAsia="Times New Roman" w:hAnsi="Times New Roman"/>
          <w:sz w:val="20"/>
          <w:szCs w:val="20"/>
          <w:color w:val="auto"/>
        </w:rPr>
        <w:t>” has the meaning assigned to such term in the definition of “Loan Guarantor”.</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Voluntary Foreign Guarantor Amendments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9.02(g)</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Part I of Subtitle E of Title IV of ERISA.</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Withholding Agent</w:t>
      </w:r>
      <w:r>
        <w:rPr>
          <w:rFonts w:ascii="Times New Roman" w:cs="Times New Roman" w:eastAsia="Times New Roman" w:hAnsi="Times New Roman"/>
          <w:sz w:val="20"/>
          <w:szCs w:val="20"/>
          <w:color w:val="auto"/>
        </w:rPr>
        <w:t>” means the Borrower, any other Loan Party, the Administrative Agent, and any other withholding agent as applicable.</w:t>
      </w:r>
    </w:p>
    <w:p>
      <w:pPr>
        <w:spacing w:after="0" w:line="16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6" w:name="page127"/>
    <w:bookmarkEnd w:id="126"/>
    <w:p>
      <w:pPr>
        <w:jc w:val="both"/>
        <w:spacing w:after="0" w:line="253" w:lineRule="auto"/>
        <w:rPr>
          <w:sz w:val="20"/>
          <w:szCs w:val="20"/>
          <w:color w:val="auto"/>
        </w:rPr>
      </w:pPr>
      <w:r>
        <w:rPr>
          <w:rFonts w:ascii="Times New Roman" w:cs="Times New Roman" w:eastAsia="Times New Roman" w:hAnsi="Times New Roman"/>
          <w:sz w:val="20"/>
          <w:szCs w:val="20"/>
          <w:color w:val="auto"/>
        </w:rPr>
        <w:t>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SECTION 1.02</w:t>
      </w:r>
      <w:r>
        <w:rPr>
          <w:rFonts w:ascii="Times New Roman" w:cs="Times New Roman" w:eastAsia="Times New Roman" w:hAnsi="Times New Roman"/>
          <w:sz w:val="20"/>
          <w:szCs w:val="20"/>
          <w:u w:val="single" w:color="auto"/>
          <w:color w:val="auto"/>
        </w:rPr>
        <w:t>Classification of Loans and Borrowings</w:t>
      </w:r>
      <w:r>
        <w:rPr>
          <w:rFonts w:ascii="Times New Roman" w:cs="Times New Roman" w:eastAsia="Times New Roman" w:hAnsi="Times New Roman"/>
          <w:sz w:val="20"/>
          <w:szCs w:val="20"/>
          <w:color w:val="auto"/>
        </w:rPr>
        <w:t>. For purposes of this Agreement, Loans may be classified and referred to by Type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“Term SOFR Loan”).</w:t>
      </w:r>
    </w:p>
    <w:p>
      <w:pPr>
        <w:spacing w:after="0" w:line="161"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SECTION 1.03</w:t>
      </w:r>
      <w:r>
        <w:rPr>
          <w:rFonts w:ascii="Times New Roman" w:cs="Times New Roman" w:eastAsia="Times New Roman" w:hAnsi="Times New Roman"/>
          <w:sz w:val="20"/>
          <w:szCs w:val="20"/>
          <w:u w:val="single" w:color="auto"/>
          <w:color w:val="auto"/>
        </w:rPr>
        <w:t>Terms Generally</w:t>
      </w:r>
      <w:r>
        <w:rPr>
          <w:rFonts w:ascii="Times New Roman" w:cs="Times New Roman" w:eastAsia="Times New Roman" w:hAnsi="Times New Roman"/>
          <w:sz w:val="20"/>
          <w:szCs w:val="20"/>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amended and restated, supplemented, refinanced, replaced, or otherwise modified (subject to any restrictions on such amendments, restatements, amendment and restatement, supplements, refinancings, replacements,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20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SECTION 1.04</w:t>
      </w:r>
      <w:r>
        <w:rPr>
          <w:rFonts w:ascii="Times New Roman" w:cs="Times New Roman" w:eastAsia="Times New Roman" w:hAnsi="Times New Roman"/>
          <w:sz w:val="20"/>
          <w:szCs w:val="20"/>
          <w:u w:val="single" w:color="auto"/>
          <w:color w:val="auto"/>
        </w:rPr>
        <w:t>Accounting Terms; GAAP</w:t>
      </w:r>
      <w:r>
        <w:rPr>
          <w:rFonts w:ascii="Times New Roman" w:cs="Times New Roman" w:eastAsia="Times New Roman" w:hAnsi="Times New Roman"/>
          <w:sz w:val="20"/>
          <w:szCs w:val="20"/>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after the Effective Date there occurs any change in GAAP or in the application thereof on the operation of any provision hereof and the Borrower notifies the Administrative Agent that the Borrower requests an amendment to any provision hereof to eliminate the effect of such change in GAAP or in the application thereof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provided, further, that all terms of an accounting or financial nature (including, without limitation, the definitions of Capital Lease Obligations, Interest Expense and Indebtedness) shall be construed without giving effect to (A) any election under Accounting Standards Codification 825-10-25 (previously referred to as Statement of Financial Accounting Standards 159, The Fair Value Option for Financial Assets and Financial Liabilities), or any successor thereto (including pursuant to the Accounting Standards Codification), to value any Indebtedness of the Loan Parties at “fair value”, as defined therein and (B) any treatment of Indebtedness relating to convertible or equity-linked securities under Accounting</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7" w:name="page128"/>
    <w:bookmarkEnd w:id="127"/>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Standards Codification 470-20 (or any other Accounting Standards Codification or Financial Accounting Standard having a similar result or effect) requiring the valuation of any such Indebtedness in a reduced or bifurcated manner as described therein. Notwithstanding any other provision contained herein, other than for purposes of </w:t>
      </w:r>
      <w:r>
        <w:rPr>
          <w:rFonts w:ascii="Times New Roman" w:cs="Times New Roman" w:eastAsia="Times New Roman" w:hAnsi="Times New Roman"/>
          <w:sz w:val="20"/>
          <w:szCs w:val="20"/>
          <w:u w:val="single" w:color="auto"/>
          <w:color w:val="auto"/>
        </w:rPr>
        <w:t>Sections 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5.01(b)</w:t>
      </w:r>
      <w:r>
        <w:rPr>
          <w:rFonts w:ascii="Times New Roman" w:cs="Times New Roman" w:eastAsia="Times New Roman" w:hAnsi="Times New Roman"/>
          <w:sz w:val="20"/>
          <w:szCs w:val="20"/>
          <w:color w:val="auto"/>
        </w:rPr>
        <w:t>, all terms of an accounting or financial nature used herein shall be construed, and all computations of amounts and ratios referred to herein shall be made without giving effect to any change in accounting for leases resulting from the implementation of Financial Accounting Standards Board ASU No. 2016-02, Leases (Topic 842), to the extent any lease (or similar arrangement conveying the right to use) would be required to be treated as a capital lease where such lease (or similar arrangement) would not have been required to be so treated under GAAP as in effect on December 31, 2016.</w:t>
      </w:r>
    </w:p>
    <w:p>
      <w:pPr>
        <w:spacing w:after="0" w:line="18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SECTION 1.05</w:t>
      </w:r>
      <w:r>
        <w:rPr>
          <w:rFonts w:ascii="Times New Roman" w:cs="Times New Roman" w:eastAsia="Times New Roman" w:hAnsi="Times New Roman"/>
          <w:sz w:val="20"/>
          <w:szCs w:val="20"/>
          <w:u w:val="single" w:color="auto"/>
          <w:color w:val="auto"/>
        </w:rPr>
        <w:t>Status of Obligations</w:t>
      </w:r>
      <w:r>
        <w:rPr>
          <w:rFonts w:ascii="Times New Roman" w:cs="Times New Roman" w:eastAsia="Times New Roman" w:hAnsi="Times New Roman"/>
          <w:sz w:val="20"/>
          <w:szCs w:val="20"/>
          <w:color w:val="auto"/>
        </w:rPr>
        <w:t>. In the event that the Borrower or any other Loan Party shall at any time issue or have outstanding any Subordinated Indebtedness, the Borrower shall take or cause such other Loan Party to take all such actions as shall be reasonably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reasonably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8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SECTION 1.06</w:t>
      </w:r>
      <w:r>
        <w:rPr>
          <w:rFonts w:ascii="Times New Roman" w:cs="Times New Roman" w:eastAsia="Times New Roman" w:hAnsi="Times New Roman"/>
          <w:sz w:val="20"/>
          <w:szCs w:val="20"/>
          <w:u w:val="single" w:color="auto"/>
          <w:color w:val="auto"/>
        </w:rPr>
        <w:t>Financial Ratios</w:t>
      </w:r>
      <w:r>
        <w:rPr>
          <w:rFonts w:ascii="Times New Roman" w:cs="Times New Roman" w:eastAsia="Times New Roman" w:hAnsi="Times New Roman"/>
          <w:sz w:val="20"/>
          <w:szCs w:val="20"/>
          <w:color w:val="auto"/>
        </w:rPr>
        <w:t>. Any financial ratios required to be maintained by any Loan Party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8"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SECTION 1.07</w:t>
      </w:r>
      <w:r>
        <w:rPr>
          <w:rFonts w:ascii="Times New Roman" w:cs="Times New Roman" w:eastAsia="Times New Roman" w:hAnsi="Times New Roman"/>
          <w:sz w:val="20"/>
          <w:szCs w:val="20"/>
          <w:u w:val="single" w:color="auto"/>
          <w:color w:val="auto"/>
        </w:rPr>
        <w:t>Division</w:t>
      </w:r>
      <w:r>
        <w:rPr>
          <w:rFonts w:ascii="Times New Roman" w:cs="Times New Roman" w:eastAsia="Times New Roman" w:hAnsi="Times New Roman"/>
          <w:sz w:val="20"/>
          <w:szCs w:val="20"/>
          <w:color w:val="auto"/>
        </w:rPr>
        <w:t>. Any reference in any Loan Document to a merger, consolidation, amalgamation, assignment, sale, disposition or transfer, or similar term, shall be deemed to include or apply to (as applicable) a Division or plan of division of or by a limited liability company, limited partnership or trust, or an allocation of assets to a series of a limited liability company, limited partnership or trust (or the unwinding of such a division or allocation), as if it were a merger, amalgamation, consolidation, assignment, sale or transfer, or similar term, as applicable, to, of or with a separate Person. Any Person that exists or that comes into existence after giving effect to a division of a limited liability company, limited partnership or trust shall constitute a separate Person for all purposes under the Loan Documents (including any Loan Party, Subsidiary, joint venture or any other like Person) and shall be deemed to have been organized on the first date of its existence by the holders of its Equity Interests at such time.</w:t>
      </w:r>
    </w:p>
    <w:p>
      <w:pPr>
        <w:spacing w:after="0" w:line="18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SECTION 1.08</w:t>
      </w:r>
      <w:r>
        <w:rPr>
          <w:rFonts w:ascii="Times New Roman" w:cs="Times New Roman" w:eastAsia="Times New Roman" w:hAnsi="Times New Roman"/>
          <w:sz w:val="20"/>
          <w:szCs w:val="20"/>
          <w:u w:val="single" w:color="auto"/>
          <w:color w:val="auto"/>
        </w:rPr>
        <w:t>Foreign Currency; Exchange Rate</w:t>
      </w:r>
      <w:r>
        <w:rPr>
          <w:rFonts w:ascii="Times New Roman" w:cs="Times New Roman" w:eastAsia="Times New Roman" w:hAnsi="Times New Roman"/>
          <w:sz w:val="20"/>
          <w:szCs w:val="20"/>
          <w:color w:val="auto"/>
        </w:rPr>
        <w:t xml:space="preserve">. For purposes of any determination under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or under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all amounts incurred, outstanding or proposed to be incurred or outstanding in a foreign currency shall be translated into Dollars at the currency exchange rates in effect on the date of such determination;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Default shall arise as a result of any limitation set forth in Dollars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being exceeded solely as a result of changes in currency exchange rates from those rates applicable at the time or times Indebtedness, Liens, Investments or other transactions were initially consummated in reliance on the exceptions under such Sections. For purposes of any determination under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6.09</w:t>
      </w:r>
      <w:r>
        <w:rPr>
          <w:rFonts w:ascii="Times New Roman" w:cs="Times New Roman" w:eastAsia="Times New Roman" w:hAnsi="Times New Roman"/>
          <w:sz w:val="20"/>
          <w:szCs w:val="20"/>
          <w:color w:val="auto"/>
        </w:rPr>
        <w:t>, the amount of each investment, asset disposition or other applicable transaction denominated in a foreign currency shall be translated into Dollars at the currency exchange rate in effect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8" w:name="page129"/>
    <w:bookmarkEnd w:id="128"/>
    <w:p>
      <w:pPr>
        <w:spacing w:after="0" w:line="268" w:lineRule="auto"/>
        <w:rPr>
          <w:sz w:val="20"/>
          <w:szCs w:val="20"/>
          <w:color w:val="auto"/>
        </w:rPr>
      </w:pPr>
      <w:r>
        <w:rPr>
          <w:rFonts w:ascii="Times New Roman" w:cs="Times New Roman" w:eastAsia="Times New Roman" w:hAnsi="Times New Roman"/>
          <w:sz w:val="20"/>
          <w:szCs w:val="20"/>
          <w:color w:val="auto"/>
        </w:rPr>
        <w:t>on the date such investment, disposition or other transaction is consummated. Such currency exchange rates shall be determined in good faith by the Borrower.</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1.09</w:t>
      </w:r>
      <w:r>
        <w:rPr>
          <w:rFonts w:ascii="Times New Roman" w:cs="Times New Roman" w:eastAsia="Times New Roman" w:hAnsi="Times New Roman"/>
          <w:sz w:val="20"/>
          <w:szCs w:val="20"/>
          <w:u w:val="single" w:color="auto"/>
          <w:color w:val="auto"/>
        </w:rPr>
        <w:t>Calculations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9" w:lineRule="auto"/>
        <w:tabs>
          <w:tab w:leader="none" w:pos="101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determining the amount of any Investment outstanding for purposes of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such amount shall be deemed to be the amount of such Investment when made, purchased or acquired (without adjustment for subsequent increases or decreases in the value of such Investment) less any actual cash amount realized by the applicable Loan Party or Subsidiary in respect of such Investment upon the sale, collection or return of capital (not to exceed the original amount invested).</w:t>
      </w:r>
    </w:p>
    <w:p>
      <w:pPr>
        <w:spacing w:after="0" w:line="178"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for purposes of determining whether the incurrence of any Indebtedness is in compliance with any financial test set forth in this Agreement, such test shall be calculated (i) on a pro forma basis for the incurrence of such Indebtedness and (ii) in the case of any such Indebtedness constituting revolving Indebtedness or delayed draw Indebtedness, assuming that such Indebtedness is fully drawn.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THE CREDITS</w:t>
      </w:r>
    </w:p>
    <w:p>
      <w:pPr>
        <w:spacing w:after="0" w:line="21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SECTION 2.01</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Subject to the terms and conditions set forth herein, each Lender severally agrees to make Loans to the Borrower from time to time during the Availability Period in an aggregate principal amount that will not result in such Lender’s Credit Exposure exceeding such Lender’s Commitment. Within the foregoing limits and subject to the terms and conditions set forth herein, the Borrower may borrow, prepay and reborrow Loans.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2.02</w:t>
      </w:r>
      <w:r>
        <w:rPr>
          <w:rFonts w:ascii="Times New Roman" w:cs="Times New Roman" w:eastAsia="Times New Roman" w:hAnsi="Times New Roman"/>
          <w:sz w:val="20"/>
          <w:szCs w:val="20"/>
          <w:u w:val="single" w:color="auto"/>
          <w:color w:val="auto"/>
        </w:rPr>
        <w:t>Loans and Borrowings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6"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Loan (other than a Swingline Loan) shall be made as part of a Borrowing consisting of Loans of the same Type made by the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Commitments of the Lenders are several and no Lender shall be responsible for any other Lender’s failure to make Loans as required. Any Swingline Loan shall be made in accordance with the procedures set forth in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below.</w:t>
      </w:r>
    </w:p>
    <w:p>
      <w:pPr>
        <w:spacing w:after="0" w:line="183"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2.14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2.25</w:t>
      </w:r>
      <w:r>
        <w:rPr>
          <w:rFonts w:ascii="Times New Roman" w:cs="Times New Roman" w:eastAsia="Times New Roman" w:hAnsi="Times New Roman"/>
          <w:sz w:val="20"/>
          <w:szCs w:val="20"/>
          <w:color w:val="auto"/>
        </w:rPr>
        <w:t xml:space="preserve">, each Borrowing shall be comprised entirely of ABR Loans or Term SOFR Loans as the Borrower may request in accordance herewith. Each Swingline Loan shall be an ABR Loan. Each Lender at its option may make any Term SOFR Loan by causing any domestic or foreign branch or Affiliate of such Lender to make such Loan (and in the case of an Affiliate, the provisions of </w:t>
      </w:r>
      <w:r>
        <w:rPr>
          <w:rFonts w:ascii="Times New Roman" w:cs="Times New Roman" w:eastAsia="Times New Roman" w:hAnsi="Times New Roman"/>
          <w:sz w:val="20"/>
          <w:szCs w:val="20"/>
          <w:u w:val="single" w:color="auto"/>
          <w:color w:val="auto"/>
        </w:rPr>
        <w:t>Sections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2.25</w:t>
      </w:r>
      <w:r>
        <w:rPr>
          <w:rFonts w:ascii="Times New Roman" w:cs="Times New Roman" w:eastAsia="Times New Roman" w:hAnsi="Times New Roman"/>
          <w:sz w:val="20"/>
          <w:szCs w:val="20"/>
          <w:color w:val="auto"/>
        </w:rPr>
        <w:t xml:space="preserve"> shall apply to such Affiliate to the same extent as to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exercise of such option shall not affect the obligation of the Borrower to repay such Loan in accord  ance with the terms of this Agreement.</w:t>
      </w:r>
    </w:p>
    <w:p>
      <w:pPr>
        <w:spacing w:after="0" w:line="193" w:lineRule="exact"/>
        <w:rPr>
          <w:sz w:val="20"/>
          <w:szCs w:val="20"/>
          <w:color w:val="auto"/>
        </w:rPr>
      </w:pPr>
    </w:p>
    <w:p>
      <w:pPr>
        <w:jc w:val="both"/>
        <w:ind w:firstLine="757"/>
        <w:spacing w:after="0" w:line="245" w:lineRule="auto"/>
        <w:tabs>
          <w:tab w:leader="none" w:pos="101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commencement of each Interest Period for any Term SOFR Borrowing, such Borrowing shall be in an aggregate amount that is an integral multiple of $500,000 and not less than $1.0 million. At the time that each ABR Borrowing is made, such Borrowing shall be in an aggregate amount that is an integral multiple of $100,000 and not less than $1.0 million;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ABR Borrowing may be in an aggregate amount that is equal to the entire unused balance of the total Commitments or that is required to finance the reimbursement of an LC Disbursement as contemplated by </w:t>
      </w:r>
      <w:r>
        <w:rPr>
          <w:rFonts w:ascii="Times New Roman" w:cs="Times New Roman" w:eastAsia="Times New Roman" w:hAnsi="Times New Roman"/>
          <w:sz w:val="20"/>
          <w:szCs w:val="20"/>
          <w:u w:val="single" w:color="auto"/>
          <w:color w:val="auto"/>
        </w:rPr>
        <w:t>Section 2.06(e)</w:t>
      </w:r>
      <w:r>
        <w:rPr>
          <w:rFonts w:ascii="Times New Roman" w:cs="Times New Roman" w:eastAsia="Times New Roman" w:hAnsi="Times New Roman"/>
          <w:sz w:val="20"/>
          <w:szCs w:val="20"/>
          <w:color w:val="auto"/>
        </w:rPr>
        <w:t>. Each Swingline Loan shall be in an amount that is an integral multiple of $100,000 and not less than $1.0 million.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9" w:name="page130"/>
    <w:bookmarkEnd w:id="129"/>
    <w:p>
      <w:pPr>
        <w:spacing w:after="0" w:line="268" w:lineRule="auto"/>
        <w:rPr>
          <w:sz w:val="20"/>
          <w:szCs w:val="20"/>
          <w:color w:val="auto"/>
        </w:rPr>
      </w:pPr>
      <w:r>
        <w:rPr>
          <w:rFonts w:ascii="Times New Roman" w:cs="Times New Roman" w:eastAsia="Times New Roman" w:hAnsi="Times New Roman"/>
          <w:sz w:val="20"/>
          <w:szCs w:val="20"/>
          <w:color w:val="auto"/>
        </w:rPr>
        <w:t xml:space="preserve">Borrowings of more than one Type may be outstanding at the same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there shall not at any time be more than a total of eight (8) Term SOFR Borrowings outstanding.</w:t>
      </w:r>
    </w:p>
    <w:p>
      <w:pPr>
        <w:spacing w:after="0" w:line="161" w:lineRule="exact"/>
        <w:rPr>
          <w:sz w:val="20"/>
          <w:szCs w:val="20"/>
          <w:color w:val="auto"/>
        </w:rPr>
      </w:pPr>
    </w:p>
    <w:p>
      <w:pPr>
        <w:ind w:firstLine="757"/>
        <w:spacing w:after="0" w:line="268" w:lineRule="auto"/>
        <w:tabs>
          <w:tab w:leader="none" w:pos="101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61"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9"/>
          <w:szCs w:val="19"/>
          <w:color w:val="auto"/>
        </w:rPr>
        <w:t>SECTION 2.03</w:t>
      </w:r>
      <w:r>
        <w:rPr>
          <w:rFonts w:ascii="Times New Roman" w:cs="Times New Roman" w:eastAsia="Times New Roman" w:hAnsi="Times New Roman"/>
          <w:sz w:val="19"/>
          <w:szCs w:val="19"/>
          <w:u w:val="single" w:color="auto"/>
          <w:color w:val="auto"/>
        </w:rPr>
        <w:t>Requests for Borrowings</w:t>
      </w:r>
      <w:r>
        <w:rPr>
          <w:rFonts w:ascii="Times New Roman" w:cs="Times New Roman" w:eastAsia="Times New Roman" w:hAnsi="Times New Roman"/>
          <w:sz w:val="19"/>
          <w:szCs w:val="19"/>
          <w:color w:val="auto"/>
        </w:rPr>
        <w:t xml:space="preserve">. To request a Borrowing, the Borrower shall notify the Administrative Agent of such request either in writing (delivered by hand, e-mail or fax) in substantially the form of </w:t>
      </w:r>
      <w:r>
        <w:rPr>
          <w:rFonts w:ascii="Times New Roman" w:cs="Times New Roman" w:eastAsia="Times New Roman" w:hAnsi="Times New Roman"/>
          <w:sz w:val="19"/>
          <w:szCs w:val="19"/>
          <w:u w:val="single" w:color="auto"/>
          <w:color w:val="auto"/>
        </w:rPr>
        <w:t>Exhibit F</w:t>
      </w:r>
      <w:r>
        <w:rPr>
          <w:rFonts w:ascii="Times New Roman" w:cs="Times New Roman" w:eastAsia="Times New Roman" w:hAnsi="Times New Roman"/>
          <w:sz w:val="19"/>
          <w:szCs w:val="19"/>
          <w:color w:val="auto"/>
        </w:rPr>
        <w:t xml:space="preserve"> and signed by the Borrower or by telephone (such request a “</w:t>
      </w:r>
      <w:r>
        <w:rPr>
          <w:rFonts w:ascii="Times New Roman" w:cs="Times New Roman" w:eastAsia="Times New Roman" w:hAnsi="Times New Roman"/>
          <w:sz w:val="19"/>
          <w:szCs w:val="19"/>
          <w:u w:val="single" w:color="auto"/>
          <w:color w:val="auto"/>
        </w:rPr>
        <w:t>Borrowing Request</w:t>
      </w:r>
      <w:r>
        <w:rPr>
          <w:rFonts w:ascii="Times New Roman" w:cs="Times New Roman" w:eastAsia="Times New Roman" w:hAnsi="Times New Roman"/>
          <w:sz w:val="19"/>
          <w:szCs w:val="19"/>
          <w:color w:val="auto"/>
        </w:rPr>
        <w:t xml:space="preserve">”) (a) in the case of a Term SOFR Borrowing, not later than 11:00 a.m., New York City time, three (3) Business Days before the date of the proposed Borrowing or (b) in the case of an ABR Borrowing, not later than 12:00 p.m. (noon), New York City time, on the date of the proposed Borrowing;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notice of an ABR Borrowing to finance the reimbursement of an LC Disbursement as contemplated by </w:t>
      </w:r>
      <w:r>
        <w:rPr>
          <w:rFonts w:ascii="Times New Roman" w:cs="Times New Roman" w:eastAsia="Times New Roman" w:hAnsi="Times New Roman"/>
          <w:sz w:val="19"/>
          <w:szCs w:val="19"/>
          <w:u w:val="single" w:color="auto"/>
          <w:color w:val="auto"/>
        </w:rPr>
        <w:t>Section 2.06(e)</w:t>
      </w:r>
      <w:r>
        <w:rPr>
          <w:rFonts w:ascii="Times New Roman" w:cs="Times New Roman" w:eastAsia="Times New Roman" w:hAnsi="Times New Roman"/>
          <w:sz w:val="19"/>
          <w:szCs w:val="19"/>
          <w:color w:val="auto"/>
        </w:rPr>
        <w:t xml:space="preserve"> may be given not later than 10:00 a.m., New York City time, on the date of the proposed Borrowing. Each such telephonic Borrowing Request shall be irrevocable and shall be confirmed promptly by hand delivery, fax or e-mail to the Administrative Agent of a written Borrowing Request in a form approved by the Administrative Agent and signed by the Borrower. Each such telephonic and written Borrowing Request shall specify the following information in compliance with </w:t>
      </w:r>
      <w:r>
        <w:rPr>
          <w:rFonts w:ascii="Times New Roman" w:cs="Times New Roman" w:eastAsia="Times New Roman" w:hAnsi="Times New Roman"/>
          <w:sz w:val="19"/>
          <w:szCs w:val="19"/>
          <w:u w:val="single" w:color="auto"/>
          <w:color w:val="auto"/>
        </w:rPr>
        <w:t>Section 2.01</w:t>
      </w:r>
      <w:r>
        <w:rPr>
          <w:rFonts w:ascii="Times New Roman" w:cs="Times New Roman" w:eastAsia="Times New Roman" w:hAnsi="Times New Roman"/>
          <w:sz w:val="19"/>
          <w:szCs w:val="19"/>
          <w:color w:val="auto"/>
        </w:rPr>
        <w:t>:</w:t>
      </w:r>
    </w:p>
    <w:p>
      <w:pPr>
        <w:spacing w:after="0" w:line="173"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20"/>
          <w:szCs w:val="20"/>
          <w:color w:val="auto"/>
        </w:rPr>
        <w:t>the aggregate amount of the requested Borrowing and a breakdown of the separate wires comprising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Borrowing;</w:t>
      </w:r>
    </w:p>
    <w:p>
      <w:pPr>
        <w:spacing w:after="0" w:line="193" w:lineRule="exact"/>
        <w:rPr>
          <w:sz w:val="20"/>
          <w:szCs w:val="20"/>
          <w:color w:val="auto"/>
        </w:rPr>
      </w:pPr>
    </w:p>
    <w:p>
      <w:pPr>
        <w:ind w:left="2040" w:hanging="535"/>
        <w:spacing w:after="0"/>
        <w:tabs>
          <w:tab w:leader="none" w:pos="20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such Borrowing, which shall be a Business Day;</w:t>
      </w:r>
    </w:p>
    <w:p>
      <w:pPr>
        <w:spacing w:after="0" w:line="21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such Borrowing is to be an ABR Borrowing or a Term SOFR Borrowing; and</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(iv)in the case of a Term SOFR Borrowing, the initial Interest Period to be applicable thereto, which shall be a period contemplated by the definition of the term “Interest Period.”</w:t>
      </w:r>
    </w:p>
    <w:p>
      <w:pPr>
        <w:spacing w:after="0" w:line="16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 xml:space="preserve">If no election as to the Type of Borrowing is specified, then the requested Borrowing shall be an ABR Borrowing. If no Interest Period is specified with respect to any requested Term SOFR Borrowing, then the Borrower shall be deemed to have selected an Interest Period of one month’s duration. Promptly following receipt of a Borrowing Request in accordance with this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the Administrative Agent shall advise each Lender of the details thereof and of the amount of such Lender’s Loan to be made as part of the requested Borrowing.</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2.04</w:t>
      </w:r>
      <w:r>
        <w:rPr>
          <w:rFonts w:ascii="Times New Roman" w:cs="Times New Roman" w:eastAsia="Times New Roman" w:hAnsi="Times New Roman"/>
          <w:sz w:val="20"/>
          <w:szCs w:val="20"/>
          <w:u w:val="single" w:color="auto"/>
          <w:color w:val="auto"/>
        </w:rPr>
        <w:t>Swingline Loans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5" w:lineRule="auto"/>
        <w:tabs>
          <w:tab w:leader="none" w:pos="101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set forth herein, from time to time during the Availability Period, each Swingline Lender may, but shall have no obligation to, make Swingline Loans to the Borrower in an aggregate principal amount at any time outstanding that will not result in (i) the aggregate principal amount of outstanding Swingline Loans made by such Swingline Lender exceeding such Swingline Lender’s Swingline Commitment or (ii) such Swingline Lender’s Credit Exposure exceeding its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82"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request a Swingline Loan, the Borrower shall notify the Administrative Agent of such request either in writing (delivered by hand, e-mail or fax) in substantially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and signed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0" w:name="page131"/>
    <w:bookmarkEnd w:id="130"/>
    <w:p>
      <w:pPr>
        <w:jc w:val="both"/>
        <w:spacing w:after="0" w:line="243" w:lineRule="auto"/>
        <w:rPr>
          <w:sz w:val="20"/>
          <w:szCs w:val="20"/>
          <w:color w:val="auto"/>
        </w:rPr>
      </w:pPr>
      <w:r>
        <w:rPr>
          <w:rFonts w:ascii="Times New Roman" w:cs="Times New Roman" w:eastAsia="Times New Roman" w:hAnsi="Times New Roman"/>
          <w:sz w:val="20"/>
          <w:szCs w:val="20"/>
          <w:color w:val="auto"/>
        </w:rPr>
        <w:t>by the Borrower or by telephone (such request a “</w:t>
      </w:r>
      <w:r>
        <w:rPr>
          <w:rFonts w:ascii="Times New Roman" w:cs="Times New Roman" w:eastAsia="Times New Roman" w:hAnsi="Times New Roman"/>
          <w:sz w:val="20"/>
          <w:szCs w:val="20"/>
          <w:u w:val="single" w:color="auto"/>
          <w:color w:val="auto"/>
        </w:rPr>
        <w:t>Swingline Request</w:t>
      </w:r>
      <w:r>
        <w:rPr>
          <w:rFonts w:ascii="Times New Roman" w:cs="Times New Roman" w:eastAsia="Times New Roman" w:hAnsi="Times New Roman"/>
          <w:sz w:val="20"/>
          <w:szCs w:val="20"/>
          <w:color w:val="auto"/>
        </w:rPr>
        <w:t xml:space="preserve">”), not later than 12:00 p.m. (noon), New York City time, on the day of a proposed Swingline Loan. Each such notice shall be irrevocable and shall specify the requested date (which shall be a Business Day) and amount of the requested Swingline Loan. The Administrative Agent will promptly advise each Swingline Lender of any such notice received from the Borrower. Each Swingline Lender shall make its ratable portion of the requested Swingline Loan (such ratable portion to be calculated based upon such Swingline Lender’s Commitment to the total Commitments of all of the Swingline Lenders) available to the Borrower by means of a credit to an account of the Borrower with the Administrative Agent designated for such purpose (or, in the case of a Swingline Loan made to finance the reimbursement of an LC Disbursement as provided in </w:t>
      </w:r>
      <w:r>
        <w:rPr>
          <w:rFonts w:ascii="Times New Roman" w:cs="Times New Roman" w:eastAsia="Times New Roman" w:hAnsi="Times New Roman"/>
          <w:sz w:val="20"/>
          <w:szCs w:val="20"/>
          <w:u w:val="single" w:color="auto"/>
          <w:color w:val="auto"/>
        </w:rPr>
        <w:t>Section 2.06(e)</w:t>
      </w:r>
      <w:r>
        <w:rPr>
          <w:rFonts w:ascii="Times New Roman" w:cs="Times New Roman" w:eastAsia="Times New Roman" w:hAnsi="Times New Roman"/>
          <w:sz w:val="20"/>
          <w:szCs w:val="20"/>
          <w:color w:val="auto"/>
        </w:rPr>
        <w:t>, by remittance to the Issuing Bank) by 3:00 p.m., New York City time, on the requested date of such Swingline Loan.</w:t>
      </w:r>
    </w:p>
    <w:p>
      <w:pPr>
        <w:spacing w:after="0" w:line="187" w:lineRule="exact"/>
        <w:rPr>
          <w:sz w:val="20"/>
          <w:szCs w:val="20"/>
          <w:color w:val="auto"/>
        </w:rPr>
      </w:pPr>
    </w:p>
    <w:p>
      <w:pPr>
        <w:jc w:val="both"/>
        <w:ind w:firstLine="757"/>
        <w:spacing w:after="0" w:line="249" w:lineRule="auto"/>
        <w:tabs>
          <w:tab w:leader="none" w:pos="101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any Swingline Lender to make its ratable portion of a Swingline Loan shall not relieve any other Swingline Lender of its obligation hereunder to make its ratable portion of such Swingline Loan on the date of such Swingline Loan, but no Swingline Lender shall be responsible for the failure of any other Swingline Lender to make the ratable portion of a Swingline Loan to be made by such other Swingline Lender on the date of any Swingline Loan.</w:t>
      </w:r>
    </w:p>
    <w:p>
      <w:pPr>
        <w:spacing w:after="0" w:line="178"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Swingline Lender may by written notice given to the Administrative Agent require the Lenders to acquire participations in all or a portion of its Swingline Loans outstanding. Such notice shall specify the aggregate amount of Swingline Loans in which Lenders will participate. Promptly upon receipt of such notice, the Administrative Agent will give notice thereof to each Lender, specifying in such notice such Lender’s applicable percentage of such Swingline Loans. Each Lender hereby absolutely and unconditionally agrees, promptly upon receipt of such notice from the Administrative Agent (and in any event, if such notice is received by 12:00 p.m. (noon), New York City time, on a Business Day no later than 4:00 p.m. New York City time on such Business Day and, if received after 12:00 p.m. (noon), New York City time on a Business Day, no later than 12:00 p.m. (noon) New York City time on the immediately succeeding Business Day), to pay to the Administrative Agent, for the account of such Swingline Lenders, such Lender’s applicable percentage of such Swingline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Times New Roman" w:cs="Times New Roman" w:eastAsia="Times New Roman" w:hAnsi="Times New Roman"/>
          <w:sz w:val="19"/>
          <w:szCs w:val="19"/>
          <w:u w:val="single" w:color="auto"/>
          <w:color w:val="auto"/>
        </w:rPr>
        <w:t>Section 2.07</w:t>
      </w:r>
      <w:r>
        <w:rPr>
          <w:rFonts w:ascii="Times New Roman" w:cs="Times New Roman" w:eastAsia="Times New Roman" w:hAnsi="Times New Roman"/>
          <w:sz w:val="19"/>
          <w:szCs w:val="19"/>
          <w:color w:val="auto"/>
        </w:rPr>
        <w:t xml:space="preserve"> with respect to Loans made by such Lender (and </w:t>
      </w:r>
      <w:r>
        <w:rPr>
          <w:rFonts w:ascii="Times New Roman" w:cs="Times New Roman" w:eastAsia="Times New Roman" w:hAnsi="Times New Roman"/>
          <w:sz w:val="19"/>
          <w:szCs w:val="19"/>
          <w:u w:val="single" w:color="auto"/>
          <w:color w:val="auto"/>
        </w:rPr>
        <w:t>Section 2.07</w:t>
      </w:r>
      <w:r>
        <w:rPr>
          <w:rFonts w:ascii="Times New Roman" w:cs="Times New Roman" w:eastAsia="Times New Roman" w:hAnsi="Times New Roman"/>
          <w:sz w:val="19"/>
          <w:szCs w:val="19"/>
          <w:color w:val="auto"/>
        </w:rPr>
        <w:t xml:space="preserve"> shall apply, mutatis mutandis, to the payment obligations of the Lenders), and the Administrative Agent shall promptly pay to such Swingline Lenders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such Swingline Lenders. Any amounts received by a Swingline Lender from the Borrower (or other party on behalf of the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such Swingline Lenders, as their interests may appear;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any such payment so remitted shall be repaid to such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200" w:lineRule="exact"/>
        <w:rPr>
          <w:rFonts w:ascii="Times New Roman" w:cs="Times New Roman" w:eastAsia="Times New Roman" w:hAnsi="Times New Roman"/>
          <w:sz w:val="19"/>
          <w:szCs w:val="19"/>
          <w:color w:val="auto"/>
        </w:rPr>
      </w:pPr>
    </w:p>
    <w:p>
      <w:pPr>
        <w:spacing w:after="0" w:line="221" w:lineRule="exact"/>
        <w:rPr>
          <w:rFonts w:ascii="Times New Roman" w:cs="Times New Roman" w:eastAsia="Times New Roman" w:hAnsi="Times New Roman"/>
          <w:sz w:val="19"/>
          <w:szCs w:val="19"/>
          <w:color w:val="auto"/>
        </w:rPr>
      </w:pPr>
    </w:p>
    <w:p>
      <w:pPr>
        <w:ind w:firstLine="757"/>
        <w:spacing w:after="0" w:line="268" w:lineRule="auto"/>
        <w:tabs>
          <w:tab w:leader="none" w:pos="101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Swingline Lender may be replaced at any time by written agreement among the Borrower, the Administrative Agent, the replaced Swingline Lender and the successor Swingline Lender.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1" w:name="page132"/>
    <w:bookmarkEnd w:id="131"/>
    <w:p>
      <w:pPr>
        <w:jc w:val="both"/>
        <w:spacing w:after="0" w:line="258" w:lineRule="auto"/>
        <w:rPr>
          <w:sz w:val="20"/>
          <w:szCs w:val="20"/>
          <w:color w:val="auto"/>
        </w:rPr>
      </w:pPr>
      <w:r>
        <w:rPr>
          <w:rFonts w:ascii="Times New Roman" w:cs="Times New Roman" w:eastAsia="Times New Roman" w:hAnsi="Times New Roman"/>
          <w:sz w:val="19"/>
          <w:szCs w:val="19"/>
          <w:color w:val="auto"/>
        </w:rPr>
        <w:t xml:space="preserve">The Administrative Agent shall notify the Lenders of any such replacement of a Swingline Lender. At the time any such replacement shall become effective, the Borrower shall pay all unpaid interest accrued for the account of the replaced Swingline Lender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2.13(a)</w:t>
      </w:r>
      <w:r>
        <w:rPr>
          <w:rFonts w:ascii="Times New Roman" w:cs="Times New Roman" w:eastAsia="Times New Roman" w:hAnsi="Times New Roman"/>
          <w:sz w:val="19"/>
          <w:szCs w:val="19"/>
          <w:color w:val="auto"/>
        </w:rPr>
        <w:t>.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spacing w:after="0" w:line="171" w:lineRule="exact"/>
        <w:rPr>
          <w:sz w:val="20"/>
          <w:szCs w:val="20"/>
          <w:color w:val="auto"/>
        </w:rPr>
      </w:pPr>
    </w:p>
    <w:p>
      <w:pPr>
        <w:jc w:val="both"/>
        <w:ind w:firstLine="757"/>
        <w:spacing w:after="0" w:line="253" w:lineRule="auto"/>
        <w:tabs>
          <w:tab w:leader="none" w:pos="101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appointment and acceptance of a successor Swingline Lender, any Swingline Lender may resign as a Swingline Lender at any time upon thirty (30) days’ prior written notice to the Administrative Agent, the Borrower and the Lenders, in which case, such Swingline Lender shall be replaced in accordance with </w:t>
      </w:r>
      <w:r>
        <w:rPr>
          <w:rFonts w:ascii="Times New Roman" w:cs="Times New Roman" w:eastAsia="Times New Roman" w:hAnsi="Times New Roman"/>
          <w:sz w:val="20"/>
          <w:szCs w:val="20"/>
          <w:u w:val="single" w:color="auto"/>
          <w:color w:val="auto"/>
        </w:rPr>
        <w:t>Section 2.04(e)</w:t>
      </w:r>
      <w:r>
        <w:rPr>
          <w:rFonts w:ascii="Times New Roman" w:cs="Times New Roman" w:eastAsia="Times New Roman" w:hAnsi="Times New Roman"/>
          <w:sz w:val="20"/>
          <w:szCs w:val="20"/>
          <w:color w:val="auto"/>
        </w:rPr>
        <w:t xml:space="preserve"> above.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2.05[</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2.06</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tabs>
          <w:tab w:leader="none" w:pos="101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xml:space="preserve">. Subject to the terms and conditions set forth herein, the Borrower may request the issuance of (and the Issuing Bank shall issue) Letters of Credit denominated in Dollars, as the applicant thereof for the support of its or its Subsidiaries’ obligations in a form reasonably acceptable to the applicable Issuing Bank, at any time and from time to time during the Availability Period.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 The Borrower unconditionally and irrevocably agrees that, in connection with any Letter of Credit issued for the support of any Subsidiary’s obligations as provided in the first sentence of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the Borrower will be fully responsible for the reimbursement of LC Disbursements in accordance with the terms hereof, the payment of interest thereon and the payment of fees due under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to the same extent as if it were the sole account party in respect of such Letter of Credit (the Borrower hereby irrevocably waiving any defenses that might otherwise be available to it as a guarantor or surety of the obligations of such Subsidiary that is an account party in respect of any such Letter of Credit). Notwithstanding anything herein to the contrary, the Issuing Bank shall have no obligation hereunder to issue, and shall not issue, any Letter of Credit (i) the proceeds of which would be made available to any Person (A) to fund any activity or business of or with any Sanctioned Person, or in any country or territory that, at the time of such funding, is the subject of any Sanctions, in either such case, in violation of any such Sanctions or (B) in any manner that would result in a violation of any Sanctions by any party to this Agreement, (ii) if any order, judgment or decree of any Governmental Authority or arbitrator shall by its terms purport to enjoin or restrain the Issuing Bank from issuing such Letter of Credit, or any Requirement of Law relating to the Issuing Bank or any request or directive (whether or not having the force of law) from any Governmental Authority with jurisdiction over the Issuing Bank shall prohibit, or request that the Issuing Bank refrain from, the issuance of letters of credit generally or such Letter of Credit in particular or shall impose upon the Issuing Bank with respect to such Letter of Credit any restriction, reserve or capital requirement (for which the Issuing Bank is not otherwise compensated hereunder) not in effect on the Effective Date, or shall impose upon the Issuing Bank any unreimbursed loss, cost or expense which was not applicable on the Effective Date and which the Issuing Bank in good faith deems material to it, or (iii) if the issuance of such Letter of Credit would violate one or more policies of the Issuing Bank applicable to letters of credit generally;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notwithstanding anything herein to the contrary, (x)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2" w:name="page133"/>
    <w:bookmarkEnd w:id="132"/>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Effective Date for purposes of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above, regardless of the date enacted, adopted, issued or implemented.</w:t>
      </w:r>
    </w:p>
    <w:p>
      <w:pPr>
        <w:spacing w:after="0" w:line="183" w:lineRule="exact"/>
        <w:rPr>
          <w:sz w:val="20"/>
          <w:szCs w:val="20"/>
          <w:color w:val="auto"/>
        </w:rPr>
      </w:pPr>
    </w:p>
    <w:p>
      <w:pPr>
        <w:jc w:val="both"/>
        <w:ind w:firstLine="757"/>
        <w:spacing w:after="0" w:line="241" w:lineRule="auto"/>
        <w:tabs>
          <w:tab w:leader="none" w:pos="101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Issuance, Amendment, Renewal, Extension; Certain Conditions</w:t>
      </w:r>
      <w:r>
        <w:rPr>
          <w:rFonts w:ascii="Times New Roman" w:cs="Times New Roman" w:eastAsia="Times New Roman" w:hAnsi="Times New Roman"/>
          <w:sz w:val="20"/>
          <w:szCs w:val="20"/>
          <w:color w:val="auto"/>
        </w:rPr>
        <w:t xml:space="preserve">. To request the issuance of a Letter of Credit (or the amendment, renewal or extension of an outstanding Letter of Credit), the Borrower shall hand deliver or fax (or transmit by electronic communication, if arrangements for doing so have been approved by the applicable Issuing Bank) to the applicable Issuing Bank and the Administrative Agent (reasonably in advance of, but in any event no less than three (3) Business Days prior to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and whether such Letter of Credit shall contain automatic extension or renewal provisions, the amount of such Letter of Credit,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Borrower shall be deemed to represent and warrant that), after giving effect to such issuance, amendment, renewal or extension (i) the LC Exposure shall not exceed $10.0 million and (ii) the Aggregate Credit Exposure shall not exceed the aggregate Commitments of all Lenders.</w:t>
      </w:r>
    </w:p>
    <w:p>
      <w:pPr>
        <w:spacing w:after="0" w:line="191" w:lineRule="exact"/>
        <w:rPr>
          <w:rFonts w:ascii="Times New Roman" w:cs="Times New Roman" w:eastAsia="Times New Roman" w:hAnsi="Times New Roman"/>
          <w:sz w:val="20"/>
          <w:szCs w:val="20"/>
          <w:color w:val="auto"/>
        </w:rPr>
      </w:pPr>
    </w:p>
    <w:p>
      <w:pPr>
        <w:jc w:val="both"/>
        <w:ind w:firstLine="757"/>
        <w:spacing w:after="0" w:line="255" w:lineRule="auto"/>
        <w:tabs>
          <w:tab w:leader="none" w:pos="1018"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Expiration Date</w:t>
      </w:r>
      <w:r>
        <w:rPr>
          <w:rFonts w:ascii="Times New Roman" w:cs="Times New Roman" w:eastAsia="Times New Roman" w:hAnsi="Times New Roman"/>
          <w:sz w:val="19"/>
          <w:szCs w:val="19"/>
          <w:color w:val="auto"/>
        </w:rPr>
        <w:t xml:space="preserve">. Each Letter of Credit shall expire (or be subject to termination or non-renewal by notice from the applicable Issuing Bank to the beneficiary thereof) at or prior to the close of business on the earlier of (i) the date one year after the date of the issuance of such Letter of Credit (or, in the case of any renewal or extension thereof, including any automatic renewal provision, one year after such renewal or extension) and (ii) the date that is five (5) Business Days prior to the Maturity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the Borrower’s request, any such Letter of Credit which is issued in the final year prior to the Maturity Date may have an expiry date which is up to one year after the Maturity Date if, at least five (5) Business Days prior to the Maturity Date, the Borrower (A) deposits with the Administrative Agent cash collateral in an amount equal to 103% of the amount of the LC Exposure as of such date or (B) provides a backup standby letter of credit, in each case, reasonably satisfactory to the relevant Issuing Bank. Each Letter of Credit with automatic extension or renewal provisions shall, subject to the right of the respective Issuing Bank to terminate such automatic renewal in accordance with the terms of such Letter of Credit upon the occurrence of an Event of Default, be automatically renewed for a successive one-year period on each anniversary of the date of the issuance of such Letter of Credit, until cancelled by the Borrower by notice to the applicable Issuing Bank in accordance with the terms of such Letter of Credit agreed upon at the time such Letter of Credit is issued;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such Letter of Credit shall expire at or prior to the close of business on the date that is five (5) Business Days prior to the Maturity Date if not earlier cancelled, unless otherwise agreed with the relevant Issuing Bank and subject to satisfactory arrangements with respect thereto as contemplated above.</w:t>
      </w:r>
    </w:p>
    <w:p>
      <w:pPr>
        <w:spacing w:after="0" w:line="175" w:lineRule="exact"/>
        <w:rPr>
          <w:rFonts w:ascii="Times New Roman" w:cs="Times New Roman" w:eastAsia="Times New Roman" w:hAnsi="Times New Roman"/>
          <w:sz w:val="19"/>
          <w:szCs w:val="19"/>
          <w:color w:val="auto"/>
        </w:rPr>
      </w:pPr>
    </w:p>
    <w:p>
      <w:pPr>
        <w:jc w:val="both"/>
        <w:ind w:firstLine="757"/>
        <w:spacing w:after="0" w:line="249" w:lineRule="auto"/>
        <w:tabs>
          <w:tab w:leader="none" w:pos="101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3" w:name="page134"/>
    <w:bookmarkEnd w:id="133"/>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aggregate amount available to be drawn under such Letter of Credit. In consideration and in furtherance of the foregoing, each Lender hereby absolutely and unconditionally agrees to pay to the Administrative Agent, for the account of such Issuing Bank, such Lender’s Applicable Percentage of each LC Disbursement made by such Issuing Bank and not reimbursed by the Borrower on the date due as provided in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or of any reimbursement payment required to be refunded to the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87" w:lineRule="exact"/>
        <w:rPr>
          <w:sz w:val="20"/>
          <w:szCs w:val="20"/>
          <w:color w:val="auto"/>
        </w:rPr>
      </w:pPr>
    </w:p>
    <w:p>
      <w:pPr>
        <w:jc w:val="both"/>
        <w:ind w:firstLine="757"/>
        <w:spacing w:after="0"/>
        <w:tabs>
          <w:tab w:leader="none" w:pos="101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w:t>
      </w:r>
      <w:r>
        <w:rPr>
          <w:rFonts w:ascii="Times New Roman" w:cs="Times New Roman" w:eastAsia="Times New Roman" w:hAnsi="Times New Roman"/>
          <w:sz w:val="20"/>
          <w:szCs w:val="20"/>
          <w:color w:val="auto"/>
        </w:rPr>
        <w:t xml:space="preserve">. If an Issuing Bank shall make any LC Disbursement in respect of a Letter of Credit, the Borrower shall reimburse such LC Disbursement by paying to the Administrative Agent an amount (in the applicable currency) equal to such LC Disbursement not later than 12:00 p.m. (noon), New York City time, on the Business Day immediately following the day that the Borrower receives such notice, if such notice is not received prior to such time on the day of receipt;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may, subject to the conditions to borrowing set forth herein, request in accordance with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2.04</w:t>
      </w:r>
      <w:r>
        <w:rPr>
          <w:rFonts w:ascii="Times New Roman" w:cs="Times New Roman" w:eastAsia="Times New Roman" w:hAnsi="Times New Roman"/>
          <w:sz w:val="20"/>
          <w:szCs w:val="20"/>
          <w:color w:val="auto"/>
        </w:rPr>
        <w:t xml:space="preserve"> that such payment be financed with an ABR Borrowing or Swingline Loan in an amount equal to such payment and, to the extent so financed, the Borrower’s obligation to make such payment shall be discharged and replaced by the resulting ABR Borrowing or Swingline Loan.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with respect to Loans made by such Lender (and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shall apply, </w:t>
      </w:r>
      <w:r>
        <w:rPr>
          <w:rFonts w:ascii="Times New Roman" w:cs="Times New Roman" w:eastAsia="Times New Roman" w:hAnsi="Times New Roman"/>
          <w:sz w:val="20"/>
          <w:szCs w:val="20"/>
          <w:u w:val="single" w:color="auto"/>
          <w:color w:val="auto"/>
        </w:rPr>
        <w:t>mutatis mutandis</w:t>
      </w:r>
      <w:r>
        <w:rPr>
          <w:rFonts w:ascii="Times New Roman" w:cs="Times New Roman" w:eastAsia="Times New Roman" w:hAnsi="Times New Roman"/>
          <w:sz w:val="20"/>
          <w:szCs w:val="20"/>
          <w:color w:val="auto"/>
        </w:rPr>
        <w:t>, to the payment obligations of the Lenders), and the Administrative Agent shall promptly pay to the applicable Issuing Bank the amounts so received by it from the Lenders. Promptly following receipt by the Administrative Agent of any payment from the Borrower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any Issuing Bank for any LC Disbursement (other than the funding of ABR Loans or a Swingline Loan as contemplated above) shall not constitute a Loan and shall not relieve the Borrower of its obligation to reimburse such LC Disbursement.</w:t>
      </w:r>
    </w:p>
    <w:p>
      <w:pPr>
        <w:spacing w:after="0" w:line="202"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xml:space="preserve">. The Borrower’s obligation to reimburse LC Disbursements as provided in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constitute a legal or equitable discharge of, or provide a right of setoff against, the Borrower’s obligations hereunder.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4" w:name="page135"/>
    <w:bookmarkEnd w:id="134"/>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drawing thereunder), any error in interpretation of technical terms or any consequence arising from causes beyond the control of any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95" w:lineRule="exact"/>
        <w:rPr>
          <w:sz w:val="20"/>
          <w:szCs w:val="20"/>
          <w:color w:val="auto"/>
        </w:rPr>
      </w:pPr>
    </w:p>
    <w:p>
      <w:pPr>
        <w:jc w:val="both"/>
        <w:ind w:firstLine="757"/>
        <w:spacing w:after="0" w:line="246" w:lineRule="auto"/>
        <w:tabs>
          <w:tab w:leader="none" w:pos="101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Disbursement Procedures</w:t>
      </w:r>
      <w:r>
        <w:rPr>
          <w:rFonts w:ascii="Times New Roman" w:cs="Times New Roman" w:eastAsia="Times New Roman" w:hAnsi="Times New Roman"/>
          <w:sz w:val="20"/>
          <w:szCs w:val="20"/>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Borrower in writing of such demand for payment and whether such Issuing Bank has made or will make an LC Disbursement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failure to give or delay in giving such notice shall not relieve the Borrower of its obligation to reimburse such Issuing Bank and the Lenders with respect to any such LC Disbursement.</w:t>
      </w:r>
    </w:p>
    <w:p>
      <w:pPr>
        <w:spacing w:after="0" w:line="183"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Interim Interest</w:t>
      </w:r>
      <w:r>
        <w:rPr>
          <w:rFonts w:ascii="Times New Roman" w:cs="Times New Roman" w:eastAsia="Times New Roman" w:hAnsi="Times New Roman"/>
          <w:sz w:val="20"/>
          <w:szCs w:val="20"/>
          <w:color w:val="auto"/>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or finances such LC Disbursement, at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then applicable to ABR Loans and such interest shall be payable on the date when such reimbursement is due;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fails to reimburse or finance such LC Disbursement when due pursuant to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then </w:t>
      </w:r>
      <w:r>
        <w:rPr>
          <w:rFonts w:ascii="Times New Roman" w:cs="Times New Roman" w:eastAsia="Times New Roman" w:hAnsi="Times New Roman"/>
          <w:sz w:val="20"/>
          <w:szCs w:val="20"/>
          <w:u w:val="single" w:color="auto"/>
          <w:color w:val="auto"/>
        </w:rPr>
        <w:t>Section 2.13(c)</w:t>
      </w:r>
      <w:r>
        <w:rPr>
          <w:rFonts w:ascii="Times New Roman" w:cs="Times New Roman" w:eastAsia="Times New Roman" w:hAnsi="Times New Roman"/>
          <w:sz w:val="20"/>
          <w:szCs w:val="20"/>
          <w:color w:val="auto"/>
        </w:rPr>
        <w:t xml:space="preserve"> shall apply. Interest accrued pursuant to this paragraph shall be for the account of the applicable Issuing Bank, except that interest accrued on and after the date of payment by any Lender pursuant to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to reimburse such Issuing Bank shall be for the account of such Lender to the extent of such payment.</w:t>
      </w:r>
    </w:p>
    <w:p>
      <w:pPr>
        <w:spacing w:after="0" w:line="186"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an Issuing Bank</w:t>
      </w:r>
      <w:r>
        <w:rPr>
          <w:rFonts w:ascii="Times New Roman" w:cs="Times New Roman" w:eastAsia="Times New Roman" w:hAnsi="Times New Roman"/>
          <w:sz w:val="20"/>
          <w:szCs w:val="20"/>
          <w:color w:val="auto"/>
        </w:rPr>
        <w:t xml:space="preserve">. An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From and after the effective date of any such replacement,</w:t>
      </w:r>
    </w:p>
    <w:p>
      <w:pPr>
        <w:spacing w:after="0" w:line="3" w:lineRule="exact"/>
        <w:rPr>
          <w:rFonts w:ascii="Times New Roman" w:cs="Times New Roman" w:eastAsia="Times New Roman" w:hAnsi="Times New Roman"/>
          <w:sz w:val="20"/>
          <w:szCs w:val="20"/>
          <w:color w:val="auto"/>
        </w:rPr>
      </w:pPr>
    </w:p>
    <w:p>
      <w:pPr>
        <w:jc w:val="both"/>
        <w:ind w:firstLine="8"/>
        <w:spacing w:after="0"/>
        <w:tabs>
          <w:tab w:leader="none" w:pos="253"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spacing w:after="0" w:line="189"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Collateralization</w:t>
      </w:r>
      <w:r>
        <w:rPr>
          <w:rFonts w:ascii="Times New Roman" w:cs="Times New Roman" w:eastAsia="Times New Roman" w:hAnsi="Times New Roman"/>
          <w:sz w:val="20"/>
          <w:szCs w:val="20"/>
          <w:color w:val="auto"/>
        </w:rPr>
        <w:t>. If any Event of Default shall occur and be continuing, on the Business Day that the Borrower receives notice from the Administrative Agent or the Required Lenders (or, if the maturity of the Loans has been accelerated, Lenders with LC Exposure representing greater than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5" w:name="page136"/>
    <w:bookmarkEnd w:id="135"/>
    <w:p>
      <w:pPr>
        <w:jc w:val="both"/>
        <w:spacing w:after="0" w:line="241" w:lineRule="auto"/>
        <w:rPr>
          <w:sz w:val="20"/>
          <w:szCs w:val="20"/>
          <w:color w:val="auto"/>
        </w:rPr>
      </w:pPr>
      <w:r>
        <w:rPr>
          <w:rFonts w:ascii="Times New Roman" w:cs="Times New Roman" w:eastAsia="Times New Roman" w:hAnsi="Times New Roman"/>
          <w:sz w:val="20"/>
          <w:szCs w:val="20"/>
          <w:color w:val="auto"/>
        </w:rPr>
        <w:t>50% of the aggregate LC Exposure) demanding the deposit of cash collateral pursuant to this paragraph, the Borrower shall deposit in an account with the Administrative Agent, in the name of the Administrative Agent and for the benefit of the Lenders (the “</w:t>
      </w:r>
      <w:r>
        <w:rPr>
          <w:rFonts w:ascii="Times New Roman" w:cs="Times New Roman" w:eastAsia="Times New Roman" w:hAnsi="Times New Roman"/>
          <w:sz w:val="20"/>
          <w:szCs w:val="20"/>
          <w:u w:val="single" w:color="auto"/>
          <w:color w:val="auto"/>
        </w:rPr>
        <w:t>LC Collateral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Account</w:t>
      </w:r>
      <w:r>
        <w:rPr>
          <w:rFonts w:ascii="Times New Roman" w:cs="Times New Roman" w:eastAsia="Times New Roman" w:hAnsi="Times New Roman"/>
          <w:sz w:val="20"/>
          <w:szCs w:val="20"/>
          <w:color w:val="auto"/>
        </w:rPr>
        <w:t xml:space="preserve">”), an amount in cash equal to 103% of the amount of the LC Exposure as of such date plus accrued and unpaid interest thereon;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Such deposit shall be held by the Administrative Agent as collateral for the payment and performance of the Secured Obligations. The Administrative Agent shall have exclusive dominion and control, including the exclusive right of withdrawal, over the LC Collateral Account and the Borrower hereby grants the Administrative Agent a security interest in the LC Collateral Account to secure the Obligations.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LC Collateral Account. Moneys in the LC Collateral Account shall be applied by the Administrative Agent to reimburse the Issuing Banks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Lenders with LC Exposure representing greater than 50% of the aggregate LC Exposure), be applied to satisfy other Secured Obligations. If the Borrower is required to provide an amount of cash collateral hereunder as a result of the occurrence of an Event of Default, such amount (to the extent not applied as aforesaid) shall be returned to the Borrower within three (3) Business Days after all such Defaults have been cured or waived.</w:t>
      </w:r>
    </w:p>
    <w:p>
      <w:pPr>
        <w:spacing w:after="0" w:line="187" w:lineRule="exact"/>
        <w:rPr>
          <w:sz w:val="20"/>
          <w:szCs w:val="20"/>
          <w:color w:val="auto"/>
        </w:rPr>
      </w:pPr>
    </w:p>
    <w:p>
      <w:pPr>
        <w:jc w:val="both"/>
        <w:ind w:firstLine="757"/>
        <w:spacing w:after="0" w:line="256" w:lineRule="auto"/>
        <w:tabs>
          <w:tab w:leader="none" w:pos="1018"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Issuing Bank Reports to the Administrative Agent</w:t>
      </w:r>
      <w:r>
        <w:rPr>
          <w:rFonts w:ascii="Times New Roman" w:cs="Times New Roman" w:eastAsia="Times New Roman" w:hAnsi="Times New Roman"/>
          <w:sz w:val="19"/>
          <w:szCs w:val="19"/>
          <w:color w:val="auto"/>
        </w:rPr>
        <w:t xml:space="preserve">. Unless otherwise agreed by the Administrative Agent, each Issuing Bank shall, in addition to its notification obligations set forth elsewhere in this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cancelations and all disbursements and reimbursements, (ii) reasonably prior to the time that such Issuing Bank issues, amends, renews or extends any Letter of Credit, the date of such issuance, amendment, renewal or extension, and the stated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the Borrower fails to reimburse or finance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173" w:lineRule="exact"/>
        <w:rPr>
          <w:rFonts w:ascii="Times New Roman" w:cs="Times New Roman" w:eastAsia="Times New Roman" w:hAnsi="Times New Roman"/>
          <w:sz w:val="19"/>
          <w:szCs w:val="19"/>
          <w:color w:val="auto"/>
        </w:rPr>
      </w:pPr>
    </w:p>
    <w:p>
      <w:pPr>
        <w:jc w:val="both"/>
        <w:ind w:firstLine="757"/>
        <w:spacing w:after="0" w:line="249" w:lineRule="auto"/>
        <w:tabs>
          <w:tab w:leader="none" w:pos="101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LC Exposure Determination</w:t>
      </w:r>
      <w:r>
        <w:rPr>
          <w:rFonts w:ascii="Times New Roman" w:cs="Times New Roman" w:eastAsia="Times New Roman" w:hAnsi="Times New Roman"/>
          <w:sz w:val="20"/>
          <w:szCs w:val="20"/>
          <w:color w:val="auto"/>
        </w:rPr>
        <w:t>.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2.07</w:t>
      </w:r>
      <w:r>
        <w:rPr>
          <w:rFonts w:ascii="Times New Roman" w:cs="Times New Roman" w:eastAsia="Times New Roman" w:hAnsi="Times New Roman"/>
          <w:sz w:val="20"/>
          <w:szCs w:val="20"/>
          <w:u w:val="single" w:color="auto"/>
          <w:color w:val="auto"/>
        </w:rPr>
        <w:t>Funding of Borrowings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9" w:lineRule="auto"/>
        <w:tabs>
          <w:tab w:leader="none" w:pos="101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make each Loan to be made by it hereunder on the proposed date thereof by wire transfer of immediately available funds by 2:00 p.m. (noon), New York City time, to the account of the Administrative Agent most recently designated by it for such purpose by notice to the Lenders in an amount equal to such Lender’s Applicable Percentage;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Swingline Loans shall be made as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6" w:name="page137"/>
    <w:bookmarkEnd w:id="136"/>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provided in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The Administrative Agent will make such Loans available to the Borrower by promptly crediting the amounts so received, in like funds, to an account of the Borrower maintained with the Administrative Agent and designated by the Borrower in the applicable Borrowing Request;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ABR Loans made to finance the reimbursement of an LC Disbursement as provided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2.06(e)</w:t>
      </w:r>
      <w:r>
        <w:rPr>
          <w:rFonts w:ascii="Times New Roman" w:cs="Times New Roman" w:eastAsia="Times New Roman" w:hAnsi="Times New Roman"/>
          <w:sz w:val="20"/>
          <w:szCs w:val="20"/>
          <w:color w:val="auto"/>
        </w:rPr>
        <w:t xml:space="preserve"> shall be remitted by the Administrative Agent to the Issuing Banks.</w:t>
      </w:r>
    </w:p>
    <w:p>
      <w:pPr>
        <w:spacing w:after="0" w:line="178" w:lineRule="exact"/>
        <w:rPr>
          <w:sz w:val="20"/>
          <w:szCs w:val="20"/>
          <w:color w:val="auto"/>
        </w:rPr>
      </w:pPr>
    </w:p>
    <w:p>
      <w:pPr>
        <w:jc w:val="both"/>
        <w:ind w:firstLine="757"/>
        <w:spacing w:after="0" w:line="242" w:lineRule="auto"/>
        <w:tabs>
          <w:tab w:leader="none" w:pos="101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2.08</w:t>
      </w:r>
      <w:r>
        <w:rPr>
          <w:rFonts w:ascii="Times New Roman" w:cs="Times New Roman" w:eastAsia="Times New Roman" w:hAnsi="Times New Roman"/>
          <w:sz w:val="20"/>
          <w:szCs w:val="20"/>
          <w:u w:val="single" w:color="auto"/>
          <w:color w:val="auto"/>
        </w:rPr>
        <w:t>Interest Elections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4" w:lineRule="auto"/>
        <w:tabs>
          <w:tab w:leader="none" w:pos="101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Borrowing initially shall be of the Type specified in the applicable Borrowing Request and, in the case of a Term SOFR Borrowing, shall have an initial Interest Period as specified in such Borrowing Request. Thereafter, the Borrower may elect to convert such Borrowing to a different Type or to continue such Borrowing and, in the case of a Term SOFR Borrowing, may elect Interest Periods therefor, all as provided in this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Borrowings of Swingline Loans, which may not be converted or continued.</w:t>
      </w:r>
    </w:p>
    <w:p>
      <w:pPr>
        <w:spacing w:after="0" w:line="183"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make an election pursuant to this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xml:space="preserve">, the Borrower shall notify the Administrative Agent of such election either in writing (by hand delivery, fax or email) in substantially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and signed by the Borrower or by telephone by the time that a Borrowing Request would be required under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if the Borrower were requesting a Borrowing of the Type resulting from such election to be made on the effective date of such election. Each such telephonic Interest Election Request shall be irrevocable and shall be confirmed promptly by hand delivery, fax or e-mail to the Administrative Agent of a written Interest Election Request in substantially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and signed by the Borrower.</w:t>
      </w:r>
    </w:p>
    <w:p>
      <w:pPr>
        <w:spacing w:after="0" w:line="182"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telephonic and written Interest Election Request shall specify the following information in compliance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left="1220" w:firstLine="1213"/>
        <w:spacing w:after="0" w:line="253" w:lineRule="auto"/>
        <w:rPr>
          <w:sz w:val="20"/>
          <w:szCs w:val="20"/>
          <w:color w:val="auto"/>
        </w:rPr>
      </w:pPr>
      <w:r>
        <w:rPr>
          <w:rFonts w:ascii="Times New Roman" w:cs="Times New Roman" w:eastAsia="Times New Roman" w:hAnsi="Times New Roman"/>
          <w:sz w:val="20"/>
          <w:szCs w:val="20"/>
          <w:color w:val="auto"/>
        </w:rPr>
        <w:t xml:space="preserve">(i)the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20"/>
          <w:szCs w:val="20"/>
          <w:u w:val="single" w:color="auto"/>
          <w:color w:val="auto"/>
        </w:rPr>
        <w:t>clauses (iii)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below shall be specified for each resulting Borrowing);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0"/>
          <w:szCs w:val="20"/>
          <w:color w:val="auto"/>
        </w:rPr>
        <w:t>(ii)the effective date of the election made pursuant to such Interest Election Request, which shall be a Business</w:t>
      </w:r>
    </w:p>
    <w:p>
      <w:pPr>
        <w:spacing w:after="0" w:line="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Day;</w:t>
      </w:r>
    </w:p>
    <w:p>
      <w:pPr>
        <w:spacing w:after="0" w:line="19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color w:val="auto"/>
        </w:rPr>
        <w:t>(iii)whether the resulting Borrowing is to be an ABR Borrowing or a Term SOFR Borrowing; and</w:t>
      </w:r>
    </w:p>
    <w:p>
      <w:pPr>
        <w:spacing w:after="0" w:line="215" w:lineRule="exact"/>
        <w:rPr>
          <w:sz w:val="20"/>
          <w:szCs w:val="20"/>
          <w:color w:val="auto"/>
        </w:rPr>
      </w:pPr>
    </w:p>
    <w:p>
      <w:pPr>
        <w:ind w:left="1220" w:firstLine="1213"/>
        <w:spacing w:after="0" w:line="268" w:lineRule="auto"/>
        <w:rPr>
          <w:sz w:val="20"/>
          <w:szCs w:val="20"/>
          <w:color w:val="auto"/>
        </w:rPr>
      </w:pPr>
      <w:r>
        <w:rPr>
          <w:rFonts w:ascii="Times New Roman" w:cs="Times New Roman" w:eastAsia="Times New Roman" w:hAnsi="Times New Roman"/>
          <w:sz w:val="20"/>
          <w:szCs w:val="20"/>
          <w:color w:val="auto"/>
        </w:rPr>
        <w:t>(iv)if the resulting Borrowing is a Term SOFR Borrowing, the Interest Period to be applicable thereto after giving effect to such election, which shall be a period contemplated by the definition of the term “Interest Period”.</w:t>
      </w:r>
    </w:p>
    <w:p>
      <w:pPr>
        <w:spacing w:after="0" w:line="161"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If any such Interest Election Request requests a Term SOFR Borrowing but does not specify an Interest Period, then the Borrower shall be deemed to have selected an Interest Period of one month’s duration.</w:t>
      </w:r>
    </w:p>
    <w:p>
      <w:pPr>
        <w:spacing w:after="0" w:line="161" w:lineRule="exact"/>
        <w:rPr>
          <w:sz w:val="20"/>
          <w:szCs w:val="20"/>
          <w:color w:val="auto"/>
        </w:rPr>
      </w:pPr>
    </w:p>
    <w:p>
      <w:pPr>
        <w:ind w:firstLine="757"/>
        <w:spacing w:after="0" w:line="268" w:lineRule="auto"/>
        <w:tabs>
          <w:tab w:leader="none" w:pos="101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receipt of an Interest Election Request, the Administrative Agent shall advise each Lender of the details thereof and of such Lender’s portion of each resulting Borrowing.</w:t>
      </w:r>
    </w:p>
    <w:p>
      <w:pPr>
        <w:spacing w:after="0" w:line="160"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fails to deliver a timely Interest Election Request with respect to a Term SOFR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SOFR Borrowing and (ii) unless repaid, each Term SOFR Borrowing shall be converted to an ABR Borrowing at the end of the Interest Period applicable thereto.</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2.09</w:t>
      </w:r>
      <w:r>
        <w:rPr>
          <w:rFonts w:ascii="Times New Roman" w:cs="Times New Roman" w:eastAsia="Times New Roman" w:hAnsi="Times New Roman"/>
          <w:sz w:val="20"/>
          <w:szCs w:val="20"/>
          <w:u w:val="single" w:color="auto"/>
          <w:color w:val="auto"/>
        </w:rPr>
        <w:t>Termination and Reduction of Commitments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firstLine="757"/>
        <w:spacing w:after="0" w:line="268" w:lineRule="auto"/>
        <w:tabs>
          <w:tab w:leader="none" w:pos="101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previously terminated or extended pursuant to the terms and conditions hereof, all Commitments shall terminate on the Maturity Date.</w:t>
      </w:r>
    </w:p>
    <w:p>
      <w:pPr>
        <w:spacing w:after="0" w:line="16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at any time, without (subject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premium or penalty, terminate the Commitments upon Payment</w:t>
      </w:r>
    </w:p>
    <w:p>
      <w:pPr>
        <w:spacing w:after="0" w:line="3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 Full.</w:t>
      </w:r>
    </w:p>
    <w:p>
      <w:pPr>
        <w:spacing w:after="0" w:line="192" w:lineRule="exact"/>
        <w:rPr>
          <w:rFonts w:ascii="Times New Roman" w:cs="Times New Roman" w:eastAsia="Times New Roman" w:hAnsi="Times New Roman"/>
          <w:sz w:val="19"/>
          <w:szCs w:val="19"/>
          <w:color w:val="auto"/>
        </w:rPr>
      </w:pPr>
    </w:p>
    <w:p>
      <w:pPr>
        <w:jc w:val="both"/>
        <w:ind w:firstLine="757"/>
        <w:spacing w:after="0" w:line="246" w:lineRule="auto"/>
        <w:tabs>
          <w:tab w:leader="none" w:pos="101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from time to time, without (subject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premium or penalty, reduce the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each reduction of the Commitments shall be in an amount that is an integral multiple of $1.0 million and not less than $5.0 million (or if less, the aggregate amount of the outstanding Commitments), and (ii) the Borrower shall not reduce the Commitments if, after giving effect to any concurrent prepayment of the Loans in accordance with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the Aggregate Credit Exposure would exceed the aggregate Commitments of all Lenders.</w:t>
      </w:r>
    </w:p>
    <w:p>
      <w:pPr>
        <w:spacing w:after="0" w:line="183"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notify the Administrative Agent of any election to terminate or reduce the Commitments under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or</w:t>
      </w:r>
    </w:p>
    <w:p>
      <w:pPr>
        <w:spacing w:after="0" w:line="32" w:lineRule="exact"/>
        <w:rPr>
          <w:rFonts w:ascii="Times New Roman" w:cs="Times New Roman" w:eastAsia="Times New Roman" w:hAnsi="Times New Roman"/>
          <w:sz w:val="19"/>
          <w:szCs w:val="19"/>
          <w:color w:val="auto"/>
        </w:rPr>
      </w:pPr>
    </w:p>
    <w:p>
      <w:pPr>
        <w:jc w:val="both"/>
        <w:ind w:firstLine="8"/>
        <w:spacing w:after="0"/>
        <w:tabs>
          <w:tab w:leader="none" w:pos="273" w:val="left"/>
        </w:tabs>
        <w:numPr>
          <w:ilvl w:val="0"/>
          <w:numId w:val="7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of this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at least three (3) Business Days prior to the effective date of such termination or reduction (or such shorter period as the Administrative Agent may agree), specifying such election and the effective date thereof. Promptly following receipt of any notice, the Administrative Agent shall advise the Lenders of the contents thereof. Each notice delivered by the Borrower pursuant to this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shall be irrevocable;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notice of termination of the Commitments delivered by the Borrower may state that such notice is conditioned upon the effectiveness of other credit facilities or events, in which case such notice may be revoked by the Borrower (by notice to the Administrative Agent on or prior to the specified effective date) if such condition is not satisfied. Any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8" w:name="page139"/>
    <w:bookmarkEnd w:id="138"/>
    <w:p>
      <w:pPr>
        <w:ind w:right="20"/>
        <w:spacing w:after="0" w:line="268" w:lineRule="auto"/>
        <w:rPr>
          <w:sz w:val="20"/>
          <w:szCs w:val="20"/>
          <w:color w:val="auto"/>
        </w:rPr>
      </w:pPr>
      <w:r>
        <w:rPr>
          <w:rFonts w:ascii="Times New Roman" w:cs="Times New Roman" w:eastAsia="Times New Roman" w:hAnsi="Times New Roman"/>
          <w:sz w:val="20"/>
          <w:szCs w:val="20"/>
          <w:color w:val="auto"/>
        </w:rPr>
        <w:t>termination or reduction of the Commitments shall be permanent. Each reduction of the Commitments shall be made ratably among the Lenders in accordance with their respective Commitments.</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2.10</w:t>
      </w:r>
      <w:r>
        <w:rPr>
          <w:rFonts w:ascii="Times New Roman" w:cs="Times New Roman" w:eastAsia="Times New Roman" w:hAnsi="Times New Roman"/>
          <w:sz w:val="20"/>
          <w:szCs w:val="20"/>
          <w:u w:val="single" w:color="auto"/>
          <w:color w:val="auto"/>
        </w:rPr>
        <w:t>Repayment of Loans; Evidence of Debt</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5" w:lineRule="auto"/>
        <w:tabs>
          <w:tab w:leader="none" w:pos="101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hereby unconditionally promises to pay (i) to the Administrative Agent for the account of each Lender the then unpaid principal amount of each Loan on the Maturity Date and (ii) to the Administrative Agent for the account of the Swingline Lenders the then unpaid principal amount of each Swingline Loan on the earlier of the Maturity Date and the date that is five (5) Business Days after such Swingline Loan is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on each date that a Borrowing is made, the Borrower shall repay all Swingline Loans then outstanding and the proceeds of any such Borrowing shall be applied by the Administrative Agent to repay any Swingline Loans then outstanding.</w:t>
      </w:r>
    </w:p>
    <w:p>
      <w:pPr>
        <w:spacing w:after="0" w:line="182"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6"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maintain accounts in which it shall record (i) the amount of each Loan made hereunder, the Type thereof and the Interest Period applicable thereto, if any,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78"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entries made in the accounts maintained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shall be </w:t>
      </w:r>
      <w:r>
        <w:rPr>
          <w:rFonts w:ascii="Times New Roman" w:cs="Times New Roman" w:eastAsia="Times New Roman" w:hAnsi="Times New Roman"/>
          <w:sz w:val="20"/>
          <w:szCs w:val="20"/>
          <w:u w:val="single" w:color="auto"/>
          <w:color w:val="auto"/>
        </w:rPr>
        <w:t>prima facie</w:t>
      </w:r>
      <w:r>
        <w:rPr>
          <w:rFonts w:ascii="Times New Roman" w:cs="Times New Roman" w:eastAsia="Times New Roman" w:hAnsi="Times New Roman"/>
          <w:sz w:val="20"/>
          <w:szCs w:val="20"/>
          <w:color w:val="auto"/>
        </w:rPr>
        <w:t xml:space="preserve"> evidence of the existence and amounts of the obligations recorded therein absent manifest error;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any Lender or the Administrative Agent to maintain such accounts or any error therein shall not in any manner affect the obligation of the Borrower to repay the Loans in accordance with the terms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in the event of a conflict between the entries made in the accounts maintained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and the Register, the Register shall govern.</w:t>
      </w:r>
    </w:p>
    <w:p>
      <w:pPr>
        <w:spacing w:after="0" w:line="183"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request that Loans made by it be evidenced by a promissory note in substantially the form of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 xml:space="preserve"> completed as appropriate (each a “</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xml:space="preserve">”). In such event, the Borrower shall prepare, execute and deliver to such Lender a Note payable to such Lender and its registered assigns. Thereafter, the Loans evidenced by such Note and interest thereon shall at all times (including after assignment pursuant to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be represented by one or more Notes in such form payable to such payee and its registered assigns.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2.11</w:t>
      </w:r>
      <w:r>
        <w:rPr>
          <w:rFonts w:ascii="Times New Roman" w:cs="Times New Roman" w:eastAsia="Times New Roman" w:hAnsi="Times New Roman"/>
          <w:sz w:val="20"/>
          <w:szCs w:val="20"/>
          <w:u w:val="single" w:color="auto"/>
          <w:color w:val="auto"/>
        </w:rPr>
        <w:t>Prepayment of Loans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right="20" w:firstLine="757"/>
        <w:spacing w:after="0" w:line="268" w:lineRule="auto"/>
        <w:tabs>
          <w:tab w:leader="none" w:pos="101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have the right at any time and from time to time, without (subject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premium or penalty, to prepay any Borrowing in whole or in part, subject to prior notice in accordance with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and on such occasion that the Aggregate Credit Exposure exceeds the aggregate Commitments of all Lenders, the Borrower shall prepay the Loans (including any Swingline Loans) and/or cash collateralize the LC Exposure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2.06(j))</w:t>
      </w:r>
      <w:r>
        <w:rPr>
          <w:rFonts w:ascii="Times New Roman" w:cs="Times New Roman" w:eastAsia="Times New Roman" w:hAnsi="Times New Roman"/>
          <w:sz w:val="20"/>
          <w:szCs w:val="20"/>
          <w:color w:val="auto"/>
        </w:rPr>
        <w:t xml:space="preserve"> in an aggregate amount equal to such excess.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9" w:name="page140"/>
    <w:bookmarkEnd w:id="139"/>
    <w:p>
      <w:pPr>
        <w:jc w:val="both"/>
        <w:ind w:firstLine="757"/>
        <w:spacing w:after="0" w:line="241" w:lineRule="auto"/>
        <w:tabs>
          <w:tab w:leader="none" w:pos="101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notify the Administrative Agent (and, in the case of prepayment of Swingline Loans, the Swingline Lenders) in writing of any prepayment hereunder (i) in the case of prepayment of a Term SOFR Borrowing, not later than 12:00 p.m. (noon), New York City time, three (3) Business Days before the date of prepayment, (ii) in the case of prepayment of an ABR Borrowing, not later than 12:00 p.m. (noon), New York City time, one (1) Business Day before the date of prepayment or (iii) in the case of prepayment of a Swingline Loan, not later than 12:00 p.m. (noon), New York City time, on the date of prepayment, in each case, or such shorter period as the Administrative Agent may agree. Each such notice shall be irrevocable and shall specify the prepayment date and the principal amount of each Borrowing or portion thereof to be prepaid;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notice of prepayment is given in connection with a conditional notice of termination of the Commitments as contemplated by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then such notice of prepayment may be revoked if such notice of termination is revoked in accordance with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Each prepayment of a Borrowing shall be applied ratably to the Loans included in the prepaid Borrowing. Prepayments shall be accompanied by accrued interest to the extent required by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2.12</w:t>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3" w:lineRule="auto"/>
        <w:tabs>
          <w:tab w:leader="none" w:pos="101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agrees to pay to the Administrative Agent for the account of each Lender (other than a Defaulting Lender, subject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a commitment fee, which shall accrue at the “Commitment Fee Rate” set forth in the definition of Applicable Rate on the average daily amount of the Available Commitment of such Lender during the period from and including the Effective Date to but excluding the date on which the Commitments terminate;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for purposes of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any Swingline Loan shall not be considered when calculating the amount of the Available Commitment. Accrued commitment fees shall be payable in arrears on the first Business Day of each January, April, July and October and on the date on which the Commitments terminate, commencing on the first such date to occur after the date hereof. All commitment fees shall be computed on the basis of a year of 360 days and shall be payable for the actual number of days elapsed.</w:t>
      </w:r>
    </w:p>
    <w:p>
      <w:pPr>
        <w:spacing w:after="0" w:line="186"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agrees to pay (i) to the Administrative Agent for the account of each Lender (other than a Defaulting Lender, subject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a participation fee with respect to its participations in Letters of Credit, which shall accrue at the same Applicable Rate used to determine the interest rate applicable to Term SOFR Loans on the average daily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the applicable Issuing Bank a fronting fee, which shall accrue at the rate of 0.25%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on the average daily amount of each applicable Letter of Credit (excluding any portion thereof attributable to unreimbursed LC Disbursements) during the period from and including the Effective Date to but excluding the later of the date of termination of the Commitments and the date on which there ceases to be any LC Exposure, as well as the applicable Issuing Bank’s standard fees with respect to the issuance, amendment, renewal or extension of any Letter of Credit or processing of drawings thereunder. Participation fees and fronting fees accrued through and including the last day of each calendar quarter shall be payable on the first Business Day of each of each January, April, July and October following such last day, commencing on the first such date to occur after the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ten (10) days after demand. All participation fees and fronting fees shall be computed on the basis of a year of 360 days and shall be payable for the actual number of days elapsed.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0" w:name="page141"/>
    <w:bookmarkEnd w:id="140"/>
    <w:p>
      <w:pPr>
        <w:ind w:firstLine="757"/>
        <w:spacing w:after="0" w:line="268" w:lineRule="auto"/>
        <w:tabs>
          <w:tab w:leader="none" w:pos="101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the Administrative Agent, for its own account, and to any Lender, fees payable in the amounts and at the times separately agreed upon between the Borrower and the Administrative Agent or such Lender.</w:t>
      </w:r>
    </w:p>
    <w:p>
      <w:pPr>
        <w:spacing w:after="0" w:line="160"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payable hereunder shall be paid on the dates due, in immediately available funds, to the Administrative Agent (or to an Issuing Bank, in the case of fees payable to it) for distribution, in the case of commitment fees and participation fees, to the Lenders. Fees paid shall not be refundable under any circumstances.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2.13</w:t>
      </w: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firstLine="757"/>
        <w:spacing w:after="0" w:line="268" w:lineRule="auto"/>
        <w:tabs>
          <w:tab w:leader="none" w:pos="101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Loans comprising each ABR Borrowing (including each Swingline Loan) shall bear interest at the Alternate Base Rate plus the Applicable Rate.</w:t>
      </w:r>
    </w:p>
    <w:p>
      <w:pPr>
        <w:spacing w:after="0" w:line="160"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Loans comprising each Term SOFR Borrowing shall bear interest at Adjusted Term SOFR for the Interest Period in effect for such Borrowing plus the Applicable Rate.</w:t>
      </w:r>
    </w:p>
    <w:p>
      <w:pPr>
        <w:spacing w:after="0" w:line="160"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upon the occurrence of an Event of Default pursuant to either </w:t>
      </w:r>
      <w:r>
        <w:rPr>
          <w:rFonts w:ascii="Times New Roman" w:cs="Times New Roman" w:eastAsia="Times New Roman" w:hAnsi="Times New Roman"/>
          <w:sz w:val="20"/>
          <w:szCs w:val="20"/>
          <w:u w:val="single" w:color="auto"/>
          <w:color w:val="auto"/>
        </w:rPr>
        <w:t>Article VII(a)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any unpaid principal, interest on any Loan, any fee or other amount payable by the Borrower hereunder shall automatically bear interest, after as well as before judgment, at a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(i) in the case of overdue principal of any Loan, 2.00% plus the rate otherwise applicable to such Loan as provided in the preceding paragraphs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(ii) in the case of any other amount, 2.00% plus the rate applicable to ABR Loans as provided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Accrued interest on each Loan (for ABR Loans, accrued through the last day of the prior calendar quarter) shall be payable in arrears on each Interest Payment Date for such Loan and upon termination of the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interest accrued pursuant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Term SOFR Loan prior to the end of the current Interest Period therefor, accrued interest on such Loan shall be payable on the effective date of such conversion.</w:t>
      </w:r>
    </w:p>
    <w:p>
      <w:pPr>
        <w:spacing w:after="0" w:line="182"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applicable Alternate Base Rate, Adjusted Term SOFR or Term SOFR shall be determined by the Administrative Agent, and such determination shall be conclusive absent manifest error.</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2.14</w:t>
      </w:r>
      <w:r>
        <w:rPr>
          <w:rFonts w:ascii="Times New Roman" w:cs="Times New Roman" w:eastAsia="Times New Roman" w:hAnsi="Times New Roman"/>
          <w:sz w:val="20"/>
          <w:szCs w:val="20"/>
          <w:u w:val="single" w:color="auto"/>
          <w:color w:val="auto"/>
        </w:rPr>
        <w:t>Alternate Rate of Interest; Illegality</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53" w:lineRule="auto"/>
        <w:tabs>
          <w:tab w:leader="none" w:pos="101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xml:space="preserve"> and clause (b) of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if prior to the commencement of any Interest Period for a Term SOFR Borrowing the Administrative Agent determines (which determination shall be conclusive absent manifest error), or the Required Lenders notify the Administrative Agent (with a copy to the Borrower) that the Required Lenders have determined that:</w:t>
      </w:r>
    </w:p>
    <w:p>
      <w:pPr>
        <w:spacing w:after="0" w:line="176" w:lineRule="exact"/>
        <w:rPr>
          <w:rFonts w:ascii="Times New Roman" w:cs="Times New Roman" w:eastAsia="Times New Roman" w:hAnsi="Times New Roman"/>
          <w:sz w:val="20"/>
          <w:szCs w:val="20"/>
          <w:color w:val="auto"/>
        </w:rPr>
      </w:pPr>
    </w:p>
    <w:p>
      <w:pPr>
        <w:ind w:left="760" w:firstLine="1494"/>
        <w:spacing w:after="0" w:line="268" w:lineRule="auto"/>
        <w:tabs>
          <w:tab w:leader="none" w:pos="2557"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the Term SOFR Reference Rate or Adjusted Term SOFR, as applicable, for any requested Interest Period,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1" w:name="page142"/>
    <w:bookmarkEnd w:id="141"/>
    <w:p>
      <w:pPr>
        <w:ind w:left="760" w:right="20"/>
        <w:spacing w:after="0" w:line="268" w:lineRule="auto"/>
        <w:rPr>
          <w:sz w:val="20"/>
          <w:szCs w:val="20"/>
          <w:color w:val="auto"/>
        </w:rPr>
      </w:pPr>
      <w:r>
        <w:rPr>
          <w:rFonts w:ascii="Times New Roman" w:cs="Times New Roman" w:eastAsia="Times New Roman" w:hAnsi="Times New Roman"/>
          <w:sz w:val="20"/>
          <w:szCs w:val="20"/>
          <w:color w:val="auto"/>
        </w:rPr>
        <w:t>including, without limitation, because the Term SOFR Reference Rate is not available or published on a current basis and such circumstances are unlikely to be temporary; or</w:t>
      </w:r>
    </w:p>
    <w:p>
      <w:pPr>
        <w:spacing w:after="0" w:line="161" w:lineRule="exact"/>
        <w:rPr>
          <w:sz w:val="20"/>
          <w:szCs w:val="20"/>
          <w:color w:val="auto"/>
        </w:rPr>
      </w:pPr>
    </w:p>
    <w:p>
      <w:pPr>
        <w:ind w:left="760" w:firstLine="1494"/>
        <w:spacing w:after="0" w:line="268" w:lineRule="auto"/>
        <w:tabs>
          <w:tab w:leader="none" w:pos="2557"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Term SOFR for such Interest Period will not adequately and fairly reflect the cost to such Lenders (or Lender) of making or maintaining their Loans (or its Loan) included in such Borrowing for such Interest Period;</w:t>
      </w:r>
    </w:p>
    <w:p>
      <w:pPr>
        <w:spacing w:after="0" w:line="1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then the Administrative Agent shall give notice thereof to the Borrower and the Lenders through Electronic Systems as provided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9.01</w:t>
      </w:r>
      <w:r>
        <w:rPr>
          <w:rFonts w:ascii="Times New Roman" w:cs="Times New Roman" w:eastAsia="Times New Roman" w:hAnsi="Times New Roman"/>
          <w:sz w:val="19"/>
          <w:szCs w:val="19"/>
          <w:color w:val="auto"/>
        </w:rPr>
        <w:t xml:space="preserve"> as promptly as practicable thereafter and, until the Administrative Agent notifies the Borrower and the Lenders that the circumstances giving rise to such notice no longer exist, the obligation of the Lenders to make or maintain Term SOFR Loans shall be suspended (to the extent of the affected Term SOFR Loans or Interest Periods). Upon receipt of such notice, the Borrower may revoke any pending request for a Term SOFR Borrowing or conversion to or continuation of Term SOFR Loans (to the extent of the affected Term SOFR Loans or Interest Periods) or, failing that, will be deemed to have converted such request into a request for an ABR Borrowing in the amount specified therein.</w:t>
      </w:r>
    </w:p>
    <w:p>
      <w:pPr>
        <w:spacing w:after="0" w:line="171" w:lineRule="exact"/>
        <w:rPr>
          <w:sz w:val="20"/>
          <w:szCs w:val="20"/>
          <w:color w:val="auto"/>
        </w:rPr>
      </w:pPr>
    </w:p>
    <w:p>
      <w:pPr>
        <w:jc w:val="both"/>
        <w:ind w:firstLine="757"/>
        <w:spacing w:after="0" w:line="254" w:lineRule="auto"/>
        <w:tabs>
          <w:tab w:leader="none" w:pos="1018"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after the date hereof, the adoption of any applicable law, or any change in any applicable law (whether adopted before or after the Effective Date), or any change in interpretation or administration thereof by any Governmental Authority, central bank or comparable agency charged with the interpretation or administration thereof, or compliance by any Lender with any directive (whether or not having the force of law) of any such authority, central bank or comparable agency, shall make it unlawful or impossible for any Lender to make, maintain or fund its portion of Term SOFR Loans, such Lender shall so notify the Administrative Agent, and the Administrative Agent shall forthwith give notice thereof to the other Lenders and the Borrower. Before giving any notice to the Administrative Agent pursuant to this </w:t>
      </w:r>
      <w:r>
        <w:rPr>
          <w:rFonts w:ascii="Times New Roman" w:cs="Times New Roman" w:eastAsia="Times New Roman" w:hAnsi="Times New Roman"/>
          <w:sz w:val="19"/>
          <w:szCs w:val="19"/>
          <w:u w:val="single" w:color="auto"/>
          <w:color w:val="auto"/>
        </w:rPr>
        <w:t>Section 2.14(b)</w:t>
      </w:r>
      <w:r>
        <w:rPr>
          <w:rFonts w:ascii="Times New Roman" w:cs="Times New Roman" w:eastAsia="Times New Roman" w:hAnsi="Times New Roman"/>
          <w:sz w:val="19"/>
          <w:szCs w:val="19"/>
          <w:color w:val="auto"/>
        </w:rPr>
        <w:t xml:space="preserve">, such Lender shall designate a different lending office if such designation will avoid the need for giving such notice and will not, in the sole reasonable judgment of such Lender, be otherwise materially disadvantageous to such Lender. Upon receipt of such notice, notwithstanding anything contained in </w:t>
      </w:r>
      <w:r>
        <w:rPr>
          <w:rFonts w:ascii="Times New Roman" w:cs="Times New Roman" w:eastAsia="Times New Roman" w:hAnsi="Times New Roman"/>
          <w:sz w:val="19"/>
          <w:szCs w:val="19"/>
          <w:u w:val="single" w:color="auto"/>
          <w:color w:val="auto"/>
        </w:rPr>
        <w:t>Article II</w:t>
      </w:r>
      <w:r>
        <w:rPr>
          <w:rFonts w:ascii="Times New Roman" w:cs="Times New Roman" w:eastAsia="Times New Roman" w:hAnsi="Times New Roman"/>
          <w:sz w:val="19"/>
          <w:szCs w:val="19"/>
          <w:color w:val="auto"/>
        </w:rPr>
        <w:t>, the Borrower shall repay in full the then outstanding principal amount of such Lender’s portion of each affected Term SOFR Loan, together with accrued interest thereon, on either (i) the last day of the then current Interest Period applicable to such affected Term SOFR Loans if such Lender may lawfully continue to maintain and fund its portion of such Term SOFR Loan to such day or (ii) immediately if such Lender may not lawfully continue to fund and maintain its portion of such affected Term SOFR Loans to such day. Concurrently with repaying such portion of each affected Term SOFR Loan, the Borrower may borrow an ABR Loan from such Lender, whether or not it would have been entitled to effect such borrowing and such Lender shall make such Loan, if so requested, in an amount such that the outstanding principal amount of the affected Loan made by such Lender shall equal the outstanding principal amount of such Loan immediately prior to such repayment. The obligation of such Lender to make Term SOFR Loans is suspended only until such time as it is once more possible and legal for such Lender to fund and maintain Term SOFR Loans.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2.15</w:t>
      </w:r>
      <w:r>
        <w:rPr>
          <w:rFonts w:ascii="Times New Roman" w:cs="Times New Roman" w:eastAsia="Times New Roman" w:hAnsi="Times New Roman"/>
          <w:sz w:val="20"/>
          <w:szCs w:val="20"/>
          <w:u w:val="single" w:color="auto"/>
          <w:color w:val="auto"/>
        </w:rPr>
        <w:t>Increased Costs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1020" w:hanging="263"/>
        <w:spacing w:after="0"/>
        <w:tabs>
          <w:tab w:leader="none" w:pos="102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Change in Law shall:</w:t>
      </w:r>
    </w:p>
    <w:p>
      <w:pPr>
        <w:spacing w:after="0" w:line="214" w:lineRule="exact"/>
        <w:rPr>
          <w:rFonts w:ascii="Times New Roman" w:cs="Times New Roman" w:eastAsia="Times New Roman" w:hAnsi="Times New Roman"/>
          <w:sz w:val="20"/>
          <w:szCs w:val="20"/>
          <w:color w:val="auto"/>
        </w:rPr>
      </w:pPr>
    </w:p>
    <w:p>
      <w:pPr>
        <w:jc w:val="both"/>
        <w:ind w:left="1500" w:firstLine="1503"/>
        <w:spacing w:after="0" w:line="253" w:lineRule="auto"/>
        <w:tabs>
          <w:tab w:leader="none" w:pos="3567"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or any Issuing Bank;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2" w:name="page143"/>
    <w:bookmarkEnd w:id="142"/>
    <w:p>
      <w:pPr>
        <w:jc w:val="both"/>
        <w:ind w:left="1500" w:firstLine="1503"/>
        <w:spacing w:after="0" w:line="253" w:lineRule="auto"/>
        <w:tabs>
          <w:tab w:leader="none" w:pos="356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any Issuing Bank or the applicable interbank market any other condition, cost or expense affecting this Agreement or Term SOFR Loans made by such Lender or any Letter of Credit or participation therein; or</w:t>
      </w:r>
    </w:p>
    <w:p>
      <w:pPr>
        <w:spacing w:after="0" w:line="176" w:lineRule="exact"/>
        <w:rPr>
          <w:rFonts w:ascii="Times New Roman" w:cs="Times New Roman" w:eastAsia="Times New Roman" w:hAnsi="Times New Roman"/>
          <w:sz w:val="20"/>
          <w:szCs w:val="20"/>
          <w:color w:val="auto"/>
        </w:rPr>
      </w:pPr>
    </w:p>
    <w:p>
      <w:pPr>
        <w:jc w:val="both"/>
        <w:ind w:left="1500" w:firstLine="1503"/>
        <w:spacing w:after="0" w:line="253" w:lineRule="auto"/>
        <w:tabs>
          <w:tab w:leader="none" w:pos="356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any Recipient to any Taxes (other than (A) Indemnified Taxes, (B) Taxes described in clauses (b) through (d) of Excluded Taxes and (C) Connection Income Taxes) on its loans, loan principal, letters of credit, commitments, or other obligations, or its deposits, reserves, other liabilities or capital attributable thereto;</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or such other Recipient of making, continuing, converting into or maintaining any Term SOFR Loan (or of maintaining its obligation to make any such Loan) or to increase the cost to such Lender or such Issuing Bank of participating in, issuing or maintaining any Letter of Credit or to reduce the amount of any sum received or receiv able by such Lender or such Issuing Bank hereunder (whether of principal, interest or otherwise), then the Borrower will pay to such Lender or such Issuing Bank, as the case may be, such additional amount or amounts as will compensate such Lender or such Issuing Bank, as the case may be, for such additional costs incurred or reduction suffered.</w:t>
      </w:r>
    </w:p>
    <w:p>
      <w:pPr>
        <w:spacing w:after="0" w:line="183" w:lineRule="exact"/>
        <w:rPr>
          <w:sz w:val="20"/>
          <w:szCs w:val="20"/>
          <w:color w:val="auto"/>
        </w:rPr>
      </w:pPr>
    </w:p>
    <w:p>
      <w:pPr>
        <w:jc w:val="both"/>
        <w:ind w:firstLine="757"/>
        <w:spacing w:after="0" w:line="242" w:lineRule="auto"/>
        <w:tabs>
          <w:tab w:leader="none" w:pos="101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or liquidity), then from time to time the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91"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of a Lender or the applicable Issuing Bank setting forth the amount or amounts necessary to compensate such Lender or such Issuing Bank or its holding company, as the case may be, as specified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be delivered to the Borrower and shall be conclusive absent manifest error. The Borrower shall pay such Lender or such Issuing Bank, as the case may be, the amount shown as due on any such certificate within ten (10) days after receipt thereof.</w:t>
      </w:r>
    </w:p>
    <w:p>
      <w:pPr>
        <w:spacing w:after="0" w:line="178"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or delay on the part of any Lender or any Issuing Bank to demand compensation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not constitute a waiver of such Lender’s or such Issuing Bank’s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be required to compensate a Lender or an Issuing Bank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for any increased costs or reductions incurred more than 180 days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8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SECTION 2.16</w:t>
      </w:r>
      <w:r>
        <w:rPr>
          <w:rFonts w:ascii="Times New Roman" w:cs="Times New Roman" w:eastAsia="Times New Roman" w:hAnsi="Times New Roman"/>
          <w:sz w:val="20"/>
          <w:szCs w:val="20"/>
          <w:u w:val="single" w:color="auto"/>
          <w:color w:val="auto"/>
        </w:rPr>
        <w:t>Break Funding Payments</w:t>
      </w:r>
      <w:r>
        <w:rPr>
          <w:rFonts w:ascii="Times New Roman" w:cs="Times New Roman" w:eastAsia="Times New Roman" w:hAnsi="Times New Roman"/>
          <w:sz w:val="20"/>
          <w:szCs w:val="20"/>
          <w:color w:val="auto"/>
        </w:rPr>
        <w:t>. In the event of (a) the payment of any principal of any Term SOFR Loan other than on the last day of an Interest Period applicable thereto (including as a result of an Event of Default), (b) the conversion of any Term SOFR Loan other than on the last day of the Interest Period applicable thereto, (c) the failure to borrow, convert, continue or prepay any Term SOFR Loan on the date specified in any notice delivered pursuant hereto (regardless of whether such notice may be revoked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3" w:name="page144"/>
    <w:bookmarkEnd w:id="143"/>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under </w:t>
      </w:r>
      <w:r>
        <w:rPr>
          <w:rFonts w:ascii="Times New Roman" w:cs="Times New Roman" w:eastAsia="Times New Roman" w:hAnsi="Times New Roman"/>
          <w:sz w:val="19"/>
          <w:szCs w:val="19"/>
          <w:u w:val="single" w:color="auto"/>
          <w:color w:val="auto"/>
        </w:rPr>
        <w:t>Section 2.09(d)</w:t>
      </w:r>
      <w:r>
        <w:rPr>
          <w:rFonts w:ascii="Times New Roman" w:cs="Times New Roman" w:eastAsia="Times New Roman" w:hAnsi="Times New Roman"/>
          <w:sz w:val="19"/>
          <w:szCs w:val="19"/>
          <w:color w:val="auto"/>
        </w:rPr>
        <w:t xml:space="preserve"> and is revoked in accordance therewith), or (d) the assignment of any Term SOFR Loan other than on the last day of the Interest Period applicable thereto as a result of a request by the Borrower pursuant to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then, in any such event, the Borrower shall compensate each Lender for the loss, cost and expense attributable to such event (which shall not include any loss of margin or Applicable Rate). In the case of Term SOFR Loan, such loss, cost or expense to any Lender shall be deemed to include an amount determined by such Lender to be the excess, if any, of (i) the amount of interest which would have accrued on the principal amount of such Loan had such event not occurred, at Adjusted Term SOFR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(as reasonably determined by such Lender) which would accrue on such principal amount for such period at the interest rate which such Lender would bid were it to bid, at the commencement of such period, for dollar deposits of a comparable amount and period from other banks in the applicable market arising from the liquidation or redeployment of funds or from any fees payable. A certifi cate of any Lender setting forth, in reasonable detail, any amount or amounts that such Lender is entitled to receive pursuant to this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shall be delivered to the Borrower and shall be conclusive absent manifest error. The Borrower shall pay such Lender the amount shown as due on any such certificate within ten (10) days after receipt thereof.</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2.17</w:t>
      </w:r>
      <w:r>
        <w:rPr>
          <w:rFonts w:ascii="Times New Roman" w:cs="Times New Roman" w:eastAsia="Times New Roman" w:hAnsi="Times New Roman"/>
          <w:sz w:val="20"/>
          <w:szCs w:val="20"/>
          <w:u w:val="single" w:color="auto"/>
          <w:color w:val="auto"/>
        </w:rPr>
        <w:t>Withholding of Taxes; Gross-Up</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58" w:lineRule="auto"/>
        <w:tabs>
          <w:tab w:leader="none" w:pos="1018"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 Free of Taxes</w:t>
      </w:r>
      <w:r>
        <w:rPr>
          <w:rFonts w:ascii="Times New Roman" w:cs="Times New Roman" w:eastAsia="Times New Roman" w:hAnsi="Times New Roman"/>
          <w:sz w:val="19"/>
          <w:szCs w:val="19"/>
          <w:color w:val="auto"/>
        </w:rPr>
        <w:t xml:space="preserve">. Any and all payments by or on account of any obligation of any Loan Party under any Loan Document shall be made free and clear of and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such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the applicable Recipient receives an amount equal to the sum it would have received had no such deduction or withholding been made.</w:t>
      </w:r>
    </w:p>
    <w:p>
      <w:pPr>
        <w:spacing w:after="0" w:line="170" w:lineRule="exact"/>
        <w:rPr>
          <w:rFonts w:ascii="Times New Roman" w:cs="Times New Roman" w:eastAsia="Times New Roman" w:hAnsi="Times New Roman"/>
          <w:sz w:val="19"/>
          <w:szCs w:val="19"/>
          <w:color w:val="auto"/>
        </w:rPr>
      </w:pPr>
    </w:p>
    <w:p>
      <w:pPr>
        <w:ind w:firstLine="757"/>
        <w:spacing w:after="0" w:line="268" w:lineRule="auto"/>
        <w:tabs>
          <w:tab w:leader="none" w:pos="101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Loan Parties</w:t>
      </w:r>
      <w:r>
        <w:rPr>
          <w:rFonts w:ascii="Times New Roman" w:cs="Times New Roman" w:eastAsia="Times New Roman" w:hAnsi="Times New Roman"/>
          <w:sz w:val="20"/>
          <w:szCs w:val="20"/>
          <w:color w:val="auto"/>
        </w:rPr>
        <w:t>. The Loan Parties shall timely pay to the relevant Governmental Authority in accordance with applicable law, or at the option of the Administrative Agent timely reimburse it for, Other Taxes.</w:t>
      </w:r>
    </w:p>
    <w:p>
      <w:pPr>
        <w:spacing w:after="0" w:line="160"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w:t>
      </w:r>
      <w:r>
        <w:rPr>
          <w:rFonts w:ascii="Times New Roman" w:cs="Times New Roman" w:eastAsia="Times New Roman" w:hAnsi="Times New Roman"/>
          <w:sz w:val="20"/>
          <w:szCs w:val="20"/>
          <w:color w:val="auto"/>
        </w:rPr>
        <w:t xml:space="preserve">. As soon as practicable after any payment of Taxes by any Loan Party to a Governmental Authority pursuant to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8"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Loan Parties</w:t>
      </w:r>
      <w:r>
        <w:rPr>
          <w:rFonts w:ascii="Times New Roman" w:cs="Times New Roman" w:eastAsia="Times New Roman" w:hAnsi="Times New Roman"/>
          <w:sz w:val="20"/>
          <w:szCs w:val="20"/>
          <w:color w:val="auto"/>
        </w:rPr>
        <w:t xml:space="preserve">. The Loan Parties shall jointly and severally indemnify each Recipient,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4" w:name="page145"/>
    <w:bookmarkEnd w:id="144"/>
    <w:p>
      <w:pPr>
        <w:jc w:val="both"/>
        <w:ind w:firstLine="757"/>
        <w:spacing w:after="0" w:line="242" w:lineRule="auto"/>
        <w:tabs>
          <w:tab w:leader="none" w:pos="1018"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Lenders</w:t>
      </w:r>
      <w:r>
        <w:rPr>
          <w:rFonts w:ascii="Times New Roman" w:cs="Times New Roman" w:eastAsia="Times New Roman" w:hAnsi="Times New Roman"/>
          <w:sz w:val="20"/>
          <w:szCs w:val="20"/>
          <w:color w:val="auto"/>
        </w:rPr>
        <w:t xml:space="preserve">.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20"/>
          <w:szCs w:val="20"/>
          <w:u w:val="single" w:color="auto"/>
          <w:color w:val="auto"/>
        </w:rPr>
        <w:t>Section 9.04(c)</w:t>
      </w:r>
      <w:r>
        <w:rPr>
          <w:rFonts w:ascii="Times New Roman" w:cs="Times New Roman" w:eastAsia="Times New Roman" w:hAnsi="Times New Roman"/>
          <w:sz w:val="20"/>
          <w:szCs w:val="20"/>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1500" w:firstLine="1503"/>
        <w:spacing w:after="0" w:line="241" w:lineRule="auto"/>
        <w:tabs>
          <w:tab w:leader="none" w:pos="3567"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that is entitled to an exemption from or reduction of withholding Tax with respect to payments made under any Loan Document shall deliver to the Borrower and the Administrative Agent, at the time or times prescribed by applicable law and at the time or times reasonably requested by the Borrower or the Administrative Agent, such properly completed and executed documentation prescribed by applicable law or as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 2.17(f)(ii)(A)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(ii)(D)</w:t>
      </w:r>
      <w:r>
        <w:rPr>
          <w:rFonts w:ascii="Times New Roman" w:cs="Times New Roman" w:eastAsia="Times New Roman" w:hAnsi="Times New Roman"/>
          <w:sz w:val="20"/>
          <w:szCs w:val="20"/>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3" w:lineRule="exact"/>
        <w:rPr>
          <w:rFonts w:ascii="Times New Roman" w:cs="Times New Roman" w:eastAsia="Times New Roman" w:hAnsi="Times New Roman"/>
          <w:sz w:val="20"/>
          <w:szCs w:val="20"/>
          <w:color w:val="auto"/>
        </w:rPr>
      </w:pPr>
    </w:p>
    <w:p>
      <w:pPr>
        <w:ind w:left="3580" w:hanging="577"/>
        <w:spacing w:after="0"/>
        <w:tabs>
          <w:tab w:leader="none" w:pos="358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generality of the foregoing, in the event that the Borrower is a U.S. Person,</w:t>
      </w:r>
    </w:p>
    <w:p>
      <w:pPr>
        <w:spacing w:after="0" w:line="226" w:lineRule="exact"/>
        <w:rPr>
          <w:sz w:val="20"/>
          <w:szCs w:val="20"/>
          <w:color w:val="auto"/>
        </w:rPr>
      </w:pPr>
    </w:p>
    <w:p>
      <w:pPr>
        <w:jc w:val="both"/>
        <w:ind w:left="1500" w:firstLine="749"/>
        <w:spacing w:after="0" w:line="249" w:lineRule="auto"/>
        <w:rPr>
          <w:sz w:val="20"/>
          <w:szCs w:val="20"/>
          <w:color w:val="auto"/>
        </w:rPr>
      </w:pPr>
      <w:r>
        <w:rPr>
          <w:rFonts w:ascii="Times New Roman" w:cs="Times New Roman" w:eastAsia="Times New Roman" w:hAnsi="Times New Roman"/>
          <w:sz w:val="20"/>
          <w:szCs w:val="20"/>
          <w:color w:val="auto"/>
        </w:rPr>
        <w:t>(A)any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178" w:lineRule="exact"/>
        <w:rPr>
          <w:sz w:val="20"/>
          <w:szCs w:val="20"/>
          <w:color w:val="auto"/>
        </w:rPr>
      </w:pPr>
    </w:p>
    <w:p>
      <w:pPr>
        <w:jc w:val="both"/>
        <w:ind w:left="1500" w:firstLine="754"/>
        <w:spacing w:after="0" w:line="249" w:lineRule="auto"/>
        <w:tabs>
          <w:tab w:leader="none" w:pos="2548"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5" w:name="page146"/>
    <w:bookmarkEnd w:id="145"/>
    <w:p>
      <w:pPr>
        <w:jc w:val="both"/>
        <w:ind w:left="1140" w:firstLine="743"/>
        <w:spacing w:after="0" w:line="244" w:lineRule="auto"/>
        <w:tabs>
          <w:tab w:leader="none" w:pos="2458"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originals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183" w:lineRule="exact"/>
        <w:rPr>
          <w:rFonts w:ascii="Times New Roman" w:cs="Times New Roman" w:eastAsia="Times New Roman" w:hAnsi="Times New Roman"/>
          <w:sz w:val="20"/>
          <w:szCs w:val="20"/>
          <w:color w:val="auto"/>
        </w:rPr>
      </w:pPr>
    </w:p>
    <w:p>
      <w:pPr>
        <w:ind w:left="1140" w:firstLine="743"/>
        <w:spacing w:after="0" w:line="268" w:lineRule="auto"/>
        <w:tabs>
          <w:tab w:leader="none" w:pos="2458"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that its extension of credit will generate U.S. effectively connected income, executed originals of IRS Form W-8ECI;</w:t>
      </w:r>
    </w:p>
    <w:p>
      <w:pPr>
        <w:spacing w:after="0" w:line="160" w:lineRule="exact"/>
        <w:rPr>
          <w:rFonts w:ascii="Times New Roman" w:cs="Times New Roman" w:eastAsia="Times New Roman" w:hAnsi="Times New Roman"/>
          <w:sz w:val="20"/>
          <w:szCs w:val="20"/>
          <w:color w:val="auto"/>
        </w:rPr>
      </w:pPr>
    </w:p>
    <w:p>
      <w:pPr>
        <w:jc w:val="both"/>
        <w:ind w:left="1140" w:firstLine="743"/>
        <w:spacing w:after="0" w:line="245" w:lineRule="auto"/>
        <w:tabs>
          <w:tab w:leader="none" w:pos="2458"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E-1</w:t>
      </w:r>
      <w:r>
        <w:rPr>
          <w:rFonts w:ascii="Times New Roman" w:cs="Times New Roman" w:eastAsia="Times New Roman" w:hAnsi="Times New Roman"/>
          <w:sz w:val="20"/>
          <w:szCs w:val="20"/>
          <w:color w:val="auto"/>
        </w:rPr>
        <w:t xml:space="preserve"> to the effect that such Foreign Lender is not a “bank” within the meaning of Section 881(c)(3)(A) of the Code, a “10 percent shareholder” of the Borrower within the meaning of Section 871(h)(3)(B) of the Code, or a “controlled foreign corporation” related to the Borrower described in Section 881(c)(3)(C) of the Code (a “</w:t>
      </w:r>
      <w:r>
        <w:rPr>
          <w:rFonts w:ascii="Times New Roman" w:cs="Times New Roman" w:eastAsia="Times New Roman" w:hAnsi="Times New Roman"/>
          <w:sz w:val="20"/>
          <w:szCs w:val="20"/>
          <w:u w:val="single" w:color="auto"/>
          <w:color w:val="auto"/>
        </w:rPr>
        <w:t>U.S. Tax 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 and (y) executed originals of IRS Form W-8BEN or W-8BEN-E, as applicable; or</w:t>
      </w:r>
    </w:p>
    <w:p>
      <w:pPr>
        <w:spacing w:after="0" w:line="182" w:lineRule="exact"/>
        <w:rPr>
          <w:rFonts w:ascii="Times New Roman" w:cs="Times New Roman" w:eastAsia="Times New Roman" w:hAnsi="Times New Roman"/>
          <w:sz w:val="20"/>
          <w:szCs w:val="20"/>
          <w:color w:val="auto"/>
        </w:rPr>
      </w:pPr>
    </w:p>
    <w:p>
      <w:pPr>
        <w:jc w:val="both"/>
        <w:ind w:left="1140" w:firstLine="743"/>
        <w:spacing w:after="0" w:line="244" w:lineRule="auto"/>
        <w:tabs>
          <w:tab w:leader="none" w:pos="2458"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originals of IRS Form W-8IMY, accompanied by IRS Form W-8ECI, W-8BEN or W-8BEN-E, as applicable, a U.S. Tax Compliance Certificate substantially in the form of </w:t>
      </w:r>
      <w:r>
        <w:rPr>
          <w:rFonts w:ascii="Times New Roman" w:cs="Times New Roman" w:eastAsia="Times New Roman" w:hAnsi="Times New Roman"/>
          <w:sz w:val="20"/>
          <w:szCs w:val="20"/>
          <w:u w:val="single" w:color="auto"/>
          <w:color w:val="auto"/>
        </w:rPr>
        <w:t>Exhibit E-2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E-3</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E-4</w:t>
      </w:r>
      <w:r>
        <w:rPr>
          <w:rFonts w:ascii="Times New Roman" w:cs="Times New Roman" w:eastAsia="Times New Roman" w:hAnsi="Times New Roman"/>
          <w:sz w:val="20"/>
          <w:szCs w:val="20"/>
          <w:color w:val="auto"/>
        </w:rPr>
        <w:t xml:space="preserve"> on behalf of each such direct and indirect partner;</w:t>
      </w:r>
    </w:p>
    <w:p>
      <w:pPr>
        <w:spacing w:after="0" w:line="183" w:lineRule="exact"/>
        <w:rPr>
          <w:rFonts w:ascii="Times New Roman" w:cs="Times New Roman" w:eastAsia="Times New Roman" w:hAnsi="Times New Roman"/>
          <w:sz w:val="20"/>
          <w:szCs w:val="20"/>
          <w:color w:val="auto"/>
        </w:rPr>
      </w:pPr>
    </w:p>
    <w:p>
      <w:pPr>
        <w:jc w:val="both"/>
        <w:ind w:left="380" w:firstLine="754"/>
        <w:spacing w:after="0" w:line="244" w:lineRule="auto"/>
        <w:tabs>
          <w:tab w:leader="none" w:pos="142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4" w:lineRule="exact"/>
        <w:rPr>
          <w:sz w:val="20"/>
          <w:szCs w:val="20"/>
          <w:color w:val="auto"/>
        </w:rPr>
      </w:pPr>
    </w:p>
    <w:p>
      <w:pPr>
        <w:jc w:val="both"/>
        <w:ind w:left="380" w:firstLine="749"/>
        <w:spacing w:after="0" w:line="245" w:lineRule="auto"/>
        <w:rPr>
          <w:sz w:val="20"/>
          <w:szCs w:val="20"/>
          <w:color w:val="auto"/>
        </w:rPr>
      </w:pPr>
      <w:r>
        <w:rPr>
          <w:rFonts w:ascii="Times New Roman" w:cs="Times New Roman" w:eastAsia="Times New Roman" w:hAnsi="Times New Roman"/>
          <w:sz w:val="20"/>
          <w:szCs w:val="20"/>
          <w:color w:val="auto"/>
        </w:rPr>
        <w:t>(D)if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w:t>
      </w:r>
    </w:p>
    <w:p>
      <w:pPr>
        <w:spacing w:after="0" w:line="19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725805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146" w:name="page147"/>
    <w:bookmarkEnd w:id="146"/>
    <w:p>
      <w:pPr>
        <w:jc w:val="both"/>
        <w:ind w:left="1500"/>
        <w:spacing w:after="0" w:line="246" w:lineRule="auto"/>
        <w:rPr>
          <w:sz w:val="20"/>
          <w:szCs w:val="20"/>
          <w:color w:val="auto"/>
        </w:rPr>
      </w:pPr>
      <w:r>
        <w:rPr>
          <w:rFonts w:ascii="Times New Roman" w:cs="Times New Roman" w:eastAsia="Times New Roman" w:hAnsi="Times New Roman"/>
          <w:sz w:val="20"/>
          <w:szCs w:val="20"/>
          <w:color w:val="auto"/>
        </w:rPr>
        <w:t xml:space="preserve">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“FATCA” shall include any amendments made to FATCA after the date of this Agreement.</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76" w:lineRule="exact"/>
        <w:rPr>
          <w:sz w:val="20"/>
          <w:szCs w:val="20"/>
          <w:color w:val="auto"/>
        </w:rPr>
      </w:pPr>
    </w:p>
    <w:p>
      <w:pPr>
        <w:jc w:val="both"/>
        <w:ind w:firstLine="757"/>
        <w:spacing w:after="0" w:line="254" w:lineRule="auto"/>
        <w:tabs>
          <w:tab w:leader="none" w:pos="1018"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Treatment of Certain Refunds</w:t>
      </w:r>
      <w:r>
        <w:rPr>
          <w:rFonts w:ascii="Times New Roman" w:cs="Times New Roman" w:eastAsia="Times New Roman" w:hAnsi="Times New Roman"/>
          <w:sz w:val="19"/>
          <w:szCs w:val="19"/>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xml:space="preserve"> (including by the payment of additional amounts pursuant to this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9"/>
          <w:szCs w:val="19"/>
          <w:u w:val="single" w:color="auto"/>
          <w:color w:val="auto"/>
        </w:rPr>
        <w:t>clause (g)</w:t>
      </w:r>
      <w:r>
        <w:rPr>
          <w:rFonts w:ascii="Times New Roman" w:cs="Times New Roman" w:eastAsia="Times New Roman" w:hAnsi="Times New Roman"/>
          <w:sz w:val="19"/>
          <w:szCs w:val="19"/>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9"/>
          <w:szCs w:val="19"/>
          <w:u w:val="single" w:color="auto"/>
          <w:color w:val="auto"/>
        </w:rPr>
        <w:t>clause</w:t>
      </w:r>
    </w:p>
    <w:p>
      <w:pPr>
        <w:spacing w:after="0" w:line="6" w:lineRule="exact"/>
        <w:rPr>
          <w:rFonts w:ascii="Times New Roman" w:cs="Times New Roman" w:eastAsia="Times New Roman" w:hAnsi="Times New Roman"/>
          <w:sz w:val="19"/>
          <w:szCs w:val="19"/>
          <w:color w:val="auto"/>
        </w:rPr>
      </w:pPr>
    </w:p>
    <w:p>
      <w:pPr>
        <w:jc w:val="both"/>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in no event will the indemnified party be required to pay any amount to an indemnifying party pursuant to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Tax had never been paid.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89" w:lineRule="exact"/>
        <w:rPr>
          <w:rFonts w:ascii="Times New Roman" w:cs="Times New Roman" w:eastAsia="Times New Roman" w:hAnsi="Times New Roman"/>
          <w:sz w:val="19"/>
          <w:szCs w:val="19"/>
          <w:color w:val="auto"/>
        </w:rPr>
      </w:pPr>
    </w:p>
    <w:p>
      <w:pPr>
        <w:jc w:val="both"/>
        <w:ind w:firstLine="757"/>
        <w:spacing w:after="0" w:line="253" w:lineRule="auto"/>
        <w:tabs>
          <w:tab w:leader="none" w:pos="101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76" w:lineRule="exact"/>
        <w:rPr>
          <w:rFonts w:ascii="Times New Roman" w:cs="Times New Roman" w:eastAsia="Times New Roman" w:hAnsi="Times New Roman"/>
          <w:sz w:val="20"/>
          <w:szCs w:val="20"/>
          <w:color w:val="auto"/>
        </w:rPr>
      </w:pPr>
    </w:p>
    <w:p>
      <w:pPr>
        <w:ind w:right="20" w:firstLine="757"/>
        <w:spacing w:after="0" w:line="268" w:lineRule="auto"/>
        <w:tabs>
          <w:tab w:leader="none" w:pos="101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the term “Lender” includes any Issuing Bank and the term “applicable law” includes FATCA.</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2.18</w:t>
      </w:r>
      <w:r>
        <w:rPr>
          <w:rFonts w:ascii="Times New Roman" w:cs="Times New Roman" w:eastAsia="Times New Roman" w:hAnsi="Times New Roman"/>
          <w:sz w:val="20"/>
          <w:szCs w:val="20"/>
          <w:u w:val="single" w:color="auto"/>
          <w:color w:val="auto"/>
        </w:rPr>
        <w:t>Payments Generally; Allocation of Proceeds; Sharing of Setoffs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3" w:lineRule="auto"/>
        <w:tabs>
          <w:tab w:leader="none" w:pos="101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make each payment required to be made by it hereunder (whether of principal, interest, fees or reimbursement of LC Disbursements, or of amounts payable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or otherwise) prior to 1:00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one or more accounts as it may designate to the Borrower in writing from time to time, except payments to be made directly to an Issuing Bank or Swingline Lender as expressly provided herein and except that payments pursuant to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shall be made directly to the Persons entitled thereto. The Administrative Agent shall distribute any such payments received by it for</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7" w:name="page148"/>
    <w:bookmarkEnd w:id="147"/>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76" w:lineRule="exact"/>
        <w:rPr>
          <w:sz w:val="20"/>
          <w:szCs w:val="20"/>
          <w:color w:val="auto"/>
        </w:rPr>
      </w:pPr>
    </w:p>
    <w:p>
      <w:pPr>
        <w:jc w:val="both"/>
        <w:ind w:firstLine="757"/>
        <w:spacing w:after="0"/>
        <w:tabs>
          <w:tab w:leader="none" w:pos="1018"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proceeds of Collateral and all other payments, proceeds or recoveries with respect to the Obligations received by the Administrative Agent (i) not constituting a specific payment of principal, interest, fees or other sum payable under the Loan Documents (which shall be applied as specified by the Borrower), or (ii) after an Event of Default has occurred and is continuing, shall be applied ratably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 any fees, indemnities, or expense reimbursements including amounts then due to the Administrative Agent and the Issuing Banks from the Borrower (other than in connection with Banking Services Obligations or Swap Agreement Obligations),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 any fees or expense reimbursements then due to the Lenders from the Borrower (other than in connection with Banking Services Obligations or Swap Agreement Obligations),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 interest then due and payable on the Loans ratably,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prepay principal on the Loans and unreimbursed LC Disbursements,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to pay an amount to the Administrative Agent equal to one hundred three percent (103%) of the aggregate undrawn face amount of all outstanding Letters of Credit, to be held as cash collateral for such Obligations,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payment of any amounts owing with respect to Banking Services Obligations and Secured Swap Agreement Obligations and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to the payment of any other Secured Obligation due to the Administrative Agent or any Lender by the Borrower. Notwithstanding the foregoing, amounts received from any Loan Party shall not be applied to any Excluded Swap Obligation of such Loan Party. Notwithstanding anything to the contrary contained in this Agreement, unless so directed by the Borrower, or unless a Default is in existence, neither the Administrative Agent nor any Lender shall apply any payment which it receives to any Term SOFR Loan, except (a) on the expiration date of the Interest Period applicable to any such Term SOFR Loan or (b) in the event, and only to the extent, that there are no outstanding ABR Loans and, in any such event, the Borrower shall pay the break funding payment required in accordance with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The Administrative Agent and the Lenders shall have the continuing and exclusive right to apply and reverse and reapply any and all such proceeds and payments to any portion of the Secured Obligations.</w:t>
      </w:r>
    </w:p>
    <w:p>
      <w:pPr>
        <w:spacing w:after="0" w:line="202" w:lineRule="exact"/>
        <w:rPr>
          <w:sz w:val="20"/>
          <w:szCs w:val="20"/>
          <w:color w:val="auto"/>
        </w:rPr>
      </w:pPr>
    </w:p>
    <w:p>
      <w:pPr>
        <w:jc w:val="both"/>
        <w:ind w:firstLine="1498"/>
        <w:spacing w:after="0" w:line="249" w:lineRule="auto"/>
        <w:rPr>
          <w:sz w:val="20"/>
          <w:szCs w:val="20"/>
          <w:color w:val="auto"/>
        </w:rPr>
      </w:pPr>
      <w:r>
        <w:rPr>
          <w:rFonts w:ascii="Times New Roman" w:cs="Times New Roman" w:eastAsia="Times New Roman" w:hAnsi="Times New Roman"/>
          <w:sz w:val="20"/>
          <w:szCs w:val="20"/>
          <w:color w:val="auto"/>
        </w:rPr>
        <w:t xml:space="preserve">Notwithstanding the foregoing, Obligations arising under Banking Services Obligations or Swap Agreement Obligations shall be excluded from the application described above and paid in </w:t>
      </w:r>
      <w:r>
        <w:rPr>
          <w:rFonts w:ascii="Times New Roman" w:cs="Times New Roman" w:eastAsia="Times New Roman" w:hAnsi="Times New Roman"/>
          <w:sz w:val="20"/>
          <w:szCs w:val="20"/>
          <w:u w:val="single" w:color="auto"/>
          <w:color w:val="auto"/>
        </w:rPr>
        <w:t>clause sixth</w:t>
      </w:r>
      <w:r>
        <w:rPr>
          <w:rFonts w:ascii="Times New Roman" w:cs="Times New Roman" w:eastAsia="Times New Roman" w:hAnsi="Times New Roman"/>
          <w:sz w:val="20"/>
          <w:szCs w:val="20"/>
          <w:color w:val="auto"/>
        </w:rPr>
        <w:t xml:space="preserve"> if the Administrative Agent has not received written notice thereof in accordance with the definition of Secured Obligations, together with such supporting documentation as the Administrative Agent may have reasonably requested from the applicable provider of such Banking Services or Swap Agreements.</w:t>
      </w:r>
    </w:p>
    <w:p>
      <w:pPr>
        <w:spacing w:after="0" w:line="178" w:lineRule="exact"/>
        <w:rPr>
          <w:sz w:val="20"/>
          <w:szCs w:val="20"/>
          <w:color w:val="auto"/>
        </w:rPr>
      </w:pPr>
    </w:p>
    <w:p>
      <w:pPr>
        <w:jc w:val="both"/>
        <w:ind w:firstLine="757"/>
        <w:spacing w:after="0" w:line="246" w:lineRule="auto"/>
        <w:tabs>
          <w:tab w:leader="none" w:pos="101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election of the Borrower but subject to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all payments of principal, interest, LC Disbursements, fees, premiums, reimbursable expenses (including all reimbursement for fees, costs and expenses pursuant to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and other sums payable under the Loan Documents, may be paid from the proceeds of Borrowings made hereunder whether made following a request by the Borrower pursuant to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or a deemed request as provided in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or may be deducted from any deposit account of the Borrower maintained with the Administrative Agent.</w:t>
      </w:r>
    </w:p>
    <w:p>
      <w:pPr>
        <w:spacing w:after="0" w:line="183"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8" w:name="page149"/>
    <w:bookmarkEnd w:id="148"/>
    <w:p>
      <w:pPr>
        <w:jc w:val="both"/>
        <w:spacing w:after="0" w:line="242" w:lineRule="auto"/>
        <w:rPr>
          <w:sz w:val="20"/>
          <w:szCs w:val="20"/>
          <w:color w:val="auto"/>
        </w:rPr>
      </w:pPr>
      <w:r>
        <w:rPr>
          <w:rFonts w:ascii="Times New Roman" w:cs="Times New Roman" w:eastAsia="Times New Roman" w:hAnsi="Times New Roman"/>
          <w:sz w:val="20"/>
          <w:szCs w:val="20"/>
          <w:color w:val="auto"/>
        </w:rPr>
        <w:t>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(x) any payment made by the Borrower pursuant to and in accordance with the express terms of this Agreement (y) any payment obtained by a Lender as consideration for the assignment of or sale of a participation in any of its Loans or participations in LC Disbursements to any assignee or participant, other than to the Borrower or any Subsidiary (as to which the provisions of this paragraph shall apply) or (z) the implementation of any Extension Offer accepted by the Required Lenders.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92" w:lineRule="exact"/>
        <w:rPr>
          <w:sz w:val="20"/>
          <w:szCs w:val="20"/>
          <w:color w:val="auto"/>
        </w:rPr>
      </w:pPr>
    </w:p>
    <w:p>
      <w:pPr>
        <w:jc w:val="both"/>
        <w:ind w:firstLine="757"/>
        <w:spacing w:after="0" w:line="242" w:lineRule="auto"/>
        <w:tabs>
          <w:tab w:leader="none" w:pos="1018"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received notice from the Borrower prior to the date on which any payment is due to the Administrative Agent for the account of the Lenders or any Issuing Bank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91"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shall fail to make any payment required to be made by it hereunder, then the Administrative Agent may, in its discretion (notwithstanding any contrary provision hereof), (i) apply any amounts thereafter received by the Administrative Agent for the account of such Lender to satisfy such Lender’s obligations hereunder until all such unsatisfied obligations are fully paid and/or (ii) hold any such amounts in a segregated account as cash collateral for, and apply any such amounts to, any future funding obligations of such Lender hereunder; application of amounts pursuant to (i) and (ii) above shall be made in such order as may be determined by the Administrative Agent in its discretion.</w:t>
      </w:r>
    </w:p>
    <w:p>
      <w:pPr>
        <w:spacing w:after="0" w:line="182"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from time to time provide the Borrower with billing statements or invoices with respect to any of the Secured Obligations (the “</w:t>
      </w:r>
      <w:r>
        <w:rPr>
          <w:rFonts w:ascii="Times New Roman" w:cs="Times New Roman" w:eastAsia="Times New Roman" w:hAnsi="Times New Roman"/>
          <w:sz w:val="20"/>
          <w:szCs w:val="20"/>
          <w:u w:val="single" w:color="auto"/>
          <w:color w:val="auto"/>
        </w:rPr>
        <w:t>Billing Statements</w:t>
      </w:r>
      <w:r>
        <w:rPr>
          <w:rFonts w:ascii="Times New Roman" w:cs="Times New Roman" w:eastAsia="Times New Roman" w:hAnsi="Times New Roman"/>
          <w:sz w:val="20"/>
          <w:szCs w:val="20"/>
          <w:color w:val="auto"/>
        </w:rPr>
        <w:t xml:space="preserve">”). The Administrative Agent is under no duty or obligation to provide Billing Statements, which, if provided, will be solely for the Borrower’s convenience. The Billing Statements may contain estimates of the amounts owed during the relevant billing period, whether of principal, interest, fees or other Secured Obligations. If the Borrower pays the full amount indicated on a Billing Statement on or before the due date indicated on such Billing Statement, the Borrower shall not be in default;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acceptance by the Administrative Agent, on behalf of the Lenders, of any payment that is less than the payment due at that time shall not constitute a waiver of the Administrative Agent’s or the Lenders’ right to receive payment in full at another time.</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2.19</w:t>
      </w:r>
      <w:r>
        <w:rPr>
          <w:rFonts w:ascii="Times New Roman" w:cs="Times New Roman" w:eastAsia="Times New Roman" w:hAnsi="Times New Roman"/>
          <w:sz w:val="20"/>
          <w:szCs w:val="20"/>
          <w:u w:val="single" w:color="auto"/>
          <w:color w:val="auto"/>
        </w:rPr>
        <w:t>Mitigation Obligations; Replacement of Lenders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9" w:lineRule="auto"/>
        <w:tabs>
          <w:tab w:leader="none" w:pos="1018"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requests compensation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if the Borrower or the Loan Guarantors are required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then such Lender shall use reasonable efforts to designate a different lending office for funding or booking its Loans hereunder or to assign its rights and obligations hereunder to another of its offices, branches or affiliates, if, in the judgment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9" w:name="page150"/>
    <w:bookmarkEnd w:id="149"/>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of such Lender, such designation or assignment (i) would eliminate or reduce amounts payable pursuant to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as the case may be, in the future and (ii) would not subject such Lender to any unreimbursed cost or expense and would not otherwise be disadvantageous to such Lender. The Borrower hereby agrees to pay all reasonable and documented out-of-pocket costs and expenses incurred by any Lender in connection with any such designation or assignment.</w:t>
      </w:r>
    </w:p>
    <w:p>
      <w:pPr>
        <w:spacing w:after="0" w:line="178" w:lineRule="exact"/>
        <w:rPr>
          <w:sz w:val="20"/>
          <w:szCs w:val="20"/>
          <w:color w:val="auto"/>
        </w:rPr>
      </w:pPr>
    </w:p>
    <w:p>
      <w:pPr>
        <w:jc w:val="both"/>
        <w:ind w:firstLine="757"/>
        <w:spacing w:after="0"/>
        <w:tabs>
          <w:tab w:leader="none" w:pos="1018"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 any Lender requests compensation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(ii) any Lender fails to consent to a requested amendment, waiver or modification to any Loan Document in which Required Lenders have already consented to such amendment, waiver or modification but the consent of each Lender (or each Lender directly affected thereby, as applicable) is required with respect thereto, (iii) the Borrower or the Loan Guarantors are required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or (iv) any Lender becomes a Defaulting Lender, then the Borrower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all of its interests, rights (other than its existing rights to payments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obligations under this Agreement and other Loan Documents to an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Borrower shall have received the prior written consent of the Administrative Agent (and if a Commitment is being assigned, the Issuing Banks and Swingline Lenders), which consent shall not unreasonably be withheld, conditioned or delayed, (B)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(C) in the case of any such assignment resulting from a claim for compensation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Notwithstanding anything herein to the contrary, each party hereto agrees that any assignment pursuant to the terms of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may be effected pursuant to an Assignment and Assumption executed by the Borrower, the Administrative Agent and the assignee and that the Lender making such assignment need not be a party thereto.</w:t>
      </w: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2.20</w:t>
      </w: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  Notwithstanding any provision of this Agreement to the contrary, if any Lender becomes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Defaulting Lender, then the following provisions shall apply for so long as such Lender is a Defaulting Lender:</w:t>
      </w:r>
    </w:p>
    <w:p>
      <w:pPr>
        <w:spacing w:after="0" w:line="193" w:lineRule="exact"/>
        <w:rPr>
          <w:sz w:val="20"/>
          <w:szCs w:val="20"/>
          <w:color w:val="auto"/>
        </w:rPr>
      </w:pPr>
    </w:p>
    <w:p>
      <w:pPr>
        <w:ind w:left="1020" w:hanging="263"/>
        <w:spacing w:after="0"/>
        <w:tabs>
          <w:tab w:leader="none" w:pos="102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fees shall cease to accrue on the unfunded portion of the Commitment of such Defaulting Lender pursuant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Defaulting Lender shall not have the right to vote on any issue on which voting is required (other than to the extent expressly provided in </w:t>
      </w:r>
      <w:r>
        <w:rPr>
          <w:rFonts w:ascii="Times New Roman" w:cs="Times New Roman" w:eastAsia="Times New Roman" w:hAnsi="Times New Roman"/>
          <w:sz w:val="20"/>
          <w:szCs w:val="20"/>
          <w:u w:val="single" w:color="auto"/>
          <w:color w:val="auto"/>
        </w:rPr>
        <w:t>Section 9.02(b)</w:t>
      </w:r>
      <w:r>
        <w:rPr>
          <w:rFonts w:ascii="Times New Roman" w:cs="Times New Roman" w:eastAsia="Times New Roman" w:hAnsi="Times New Roman"/>
          <w:sz w:val="20"/>
          <w:szCs w:val="20"/>
          <w:color w:val="auto"/>
        </w:rPr>
        <w:t xml:space="preserve">) and the Commitment and Credit Exposure of such Defaulting Lender shall not be included in determining whether all Lenders or the Required Lenders have taken or may take any action hereunder (including any consent to any amendment, waiver or other modification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or under any other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except as otherwise provided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shall not apply to the vote of a Defaulting Lender in the case of an amendment, waiver or other modification requiring the consent of such Lender or each Lender directly affected thereby;</w:t>
      </w:r>
    </w:p>
    <w:p>
      <w:pPr>
        <w:spacing w:after="0" w:line="182"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Swingline Exposure or LC Exposure exists at the time such Lender becomes a Defaulting Lender then:</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0" w:name="page151"/>
    <w:bookmarkEnd w:id="150"/>
    <w:p>
      <w:pPr>
        <w:jc w:val="both"/>
        <w:ind w:left="760" w:firstLine="1494"/>
        <w:spacing w:after="0" w:line="246" w:lineRule="auto"/>
        <w:tabs>
          <w:tab w:leader="none" w:pos="255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or any part of such Swingline Exposure and/or such LC Exposure of such Defaulting Lender (other than the portion of such Swingline Exposure referred to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the definition of such term) shall be reallocated among the non-Defaulting Lenders in accordance with their respective Applicable Percentages but only to the extent that the sum of all non-Defaulting Lenders’ Credit Exposures plus such Defaulting Lender’s Swingline Exposure and/or LC Exposure does not exceed the total of all non-Defaulting Lenders’ Commitments; and</w:t>
      </w:r>
    </w:p>
    <w:p>
      <w:pPr>
        <w:spacing w:after="0" w:line="183" w:lineRule="exact"/>
        <w:rPr>
          <w:rFonts w:ascii="Times New Roman" w:cs="Times New Roman" w:eastAsia="Times New Roman" w:hAnsi="Times New Roman"/>
          <w:sz w:val="20"/>
          <w:szCs w:val="20"/>
          <w:color w:val="auto"/>
        </w:rPr>
      </w:pPr>
    </w:p>
    <w:p>
      <w:pPr>
        <w:jc w:val="both"/>
        <w:ind w:left="760" w:firstLine="1494"/>
        <w:spacing w:after="0" w:line="246" w:lineRule="auto"/>
        <w:tabs>
          <w:tab w:leader="none" w:pos="255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reallocation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cannot, or can only partially, be effected, the Borrower shall within one (1) Business Day following notice by the Administrative Agent (x) first, prepay such Swingline Exposure and (y) second, cash collateralize for the benefit of the Issuing Banks only the Borrower’s obligations corresponding to such Defaulting Lender’s LC Exposure (after giving effect to any partial reallocation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in accordance with the procedures set forth in </w:t>
      </w:r>
      <w:r>
        <w:rPr>
          <w:rFonts w:ascii="Times New Roman" w:cs="Times New Roman" w:eastAsia="Times New Roman" w:hAnsi="Times New Roman"/>
          <w:sz w:val="20"/>
          <w:szCs w:val="20"/>
          <w:u w:val="single" w:color="auto"/>
          <w:color w:val="auto"/>
        </w:rPr>
        <w:t>Section 2.06(j)</w:t>
      </w:r>
      <w:r>
        <w:rPr>
          <w:rFonts w:ascii="Times New Roman" w:cs="Times New Roman" w:eastAsia="Times New Roman" w:hAnsi="Times New Roman"/>
          <w:sz w:val="20"/>
          <w:szCs w:val="20"/>
          <w:color w:val="auto"/>
        </w:rPr>
        <w:t xml:space="preserve"> for so long as such LC Exposure is outstanding;</w:t>
      </w:r>
    </w:p>
    <w:p>
      <w:pPr>
        <w:spacing w:after="0" w:line="183" w:lineRule="exact"/>
        <w:rPr>
          <w:sz w:val="20"/>
          <w:szCs w:val="20"/>
          <w:color w:val="auto"/>
        </w:rPr>
      </w:pPr>
    </w:p>
    <w:p>
      <w:pPr>
        <w:jc w:val="both"/>
        <w:ind w:left="760" w:firstLine="1498"/>
        <w:spacing w:after="0" w:line="253" w:lineRule="auto"/>
        <w:rPr>
          <w:sz w:val="20"/>
          <w:szCs w:val="20"/>
          <w:color w:val="auto"/>
        </w:rPr>
      </w:pPr>
      <w:r>
        <w:rPr>
          <w:rFonts w:ascii="Times New Roman" w:cs="Times New Roman" w:eastAsia="Times New Roman" w:hAnsi="Times New Roman"/>
          <w:sz w:val="20"/>
          <w:szCs w:val="20"/>
          <w:color w:val="auto"/>
        </w:rPr>
        <w:t xml:space="preserve">(iii)if the Borrower cash collateralizes any portion of such Defaulting Lender’s LC Exposure pursuant to this </w:t>
      </w:r>
      <w:r>
        <w:rPr>
          <w:rFonts w:ascii="Times New Roman" w:cs="Times New Roman" w:eastAsia="Times New Roman" w:hAnsi="Times New Roman"/>
          <w:sz w:val="20"/>
          <w:szCs w:val="20"/>
          <w:u w:val="single" w:color="auto"/>
          <w:color w:val="auto"/>
        </w:rPr>
        <w:t>Section 2.20(c)</w:t>
      </w:r>
      <w:r>
        <w:rPr>
          <w:rFonts w:ascii="Times New Roman" w:cs="Times New Roman" w:eastAsia="Times New Roman" w:hAnsi="Times New Roman"/>
          <w:sz w:val="20"/>
          <w:szCs w:val="20"/>
          <w:color w:val="auto"/>
        </w:rPr>
        <w:t xml:space="preserve">, the Borrower shall not be required to pay any fees to such Defaulting Lender pursuant to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with respect to such Defaulting Lender’s LC Exposure during the period such Defaulting Lender’s LC Exposure is cash collateralized;</w:t>
      </w:r>
    </w:p>
    <w:p>
      <w:pPr>
        <w:spacing w:after="0" w:line="176" w:lineRule="exact"/>
        <w:rPr>
          <w:sz w:val="20"/>
          <w:szCs w:val="20"/>
          <w:color w:val="auto"/>
        </w:rPr>
      </w:pPr>
    </w:p>
    <w:p>
      <w:pPr>
        <w:jc w:val="both"/>
        <w:ind w:left="760" w:firstLine="1498"/>
        <w:spacing w:after="0" w:line="253" w:lineRule="auto"/>
        <w:rPr>
          <w:sz w:val="20"/>
          <w:szCs w:val="20"/>
          <w:color w:val="auto"/>
        </w:rPr>
      </w:pPr>
      <w:r>
        <w:rPr>
          <w:rFonts w:ascii="Times New Roman" w:cs="Times New Roman" w:eastAsia="Times New Roman" w:hAnsi="Times New Roman"/>
          <w:sz w:val="20"/>
          <w:szCs w:val="20"/>
          <w:color w:val="auto"/>
        </w:rPr>
        <w:t xml:space="preserve">(iv)if the LC Exposure of the non-Defaulting Lenders is reallocated pursuant to </w:t>
      </w:r>
      <w:r>
        <w:rPr>
          <w:rFonts w:ascii="Times New Roman" w:cs="Times New Roman" w:eastAsia="Times New Roman" w:hAnsi="Times New Roman"/>
          <w:sz w:val="20"/>
          <w:szCs w:val="20"/>
          <w:u w:val="single" w:color="auto"/>
          <w:color w:val="auto"/>
        </w:rPr>
        <w:t>Section 2.20(c)</w:t>
      </w:r>
      <w:r>
        <w:rPr>
          <w:rFonts w:ascii="Times New Roman" w:cs="Times New Roman" w:eastAsia="Times New Roman" w:hAnsi="Times New Roman"/>
          <w:sz w:val="20"/>
          <w:szCs w:val="20"/>
          <w:color w:val="auto"/>
        </w:rPr>
        <w:t xml:space="preserve">, then the fees payable to the Lenders pursuant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shall be adjusted in accordance with such non-Defaulting Lenders’ Applicable Percentages; or</w:t>
      </w:r>
    </w:p>
    <w:p>
      <w:pPr>
        <w:spacing w:after="0" w:line="176" w:lineRule="exact"/>
        <w:rPr>
          <w:sz w:val="20"/>
          <w:szCs w:val="20"/>
          <w:color w:val="auto"/>
        </w:rPr>
      </w:pPr>
    </w:p>
    <w:p>
      <w:pPr>
        <w:jc w:val="both"/>
        <w:ind w:left="760" w:firstLine="1494"/>
        <w:spacing w:after="0" w:line="245" w:lineRule="auto"/>
        <w:tabs>
          <w:tab w:leader="none" w:pos="2557"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all or any portion of such Defaulting Lender’s LC Exposure is neither cash collateralized nor reallocated pursuant to </w:t>
      </w:r>
      <w:r>
        <w:rPr>
          <w:rFonts w:ascii="Times New Roman" w:cs="Times New Roman" w:eastAsia="Times New Roman" w:hAnsi="Times New Roman"/>
          <w:sz w:val="20"/>
          <w:szCs w:val="20"/>
          <w:u w:val="single" w:color="auto"/>
          <w:color w:val="auto"/>
        </w:rPr>
        <w:t>Section 2.20(c)</w:t>
      </w:r>
      <w:r>
        <w:rPr>
          <w:rFonts w:ascii="Times New Roman" w:cs="Times New Roman" w:eastAsia="Times New Roman" w:hAnsi="Times New Roman"/>
          <w:sz w:val="20"/>
          <w:szCs w:val="20"/>
          <w:color w:val="auto"/>
        </w:rPr>
        <w:t xml:space="preserve">, then, without prejudice to any rights or remedies of any Issuing Bank or any other Lender hereunder, all facility fees that otherwise would have been payable to such Defaulting Lender (solely with respect to the portion of such Defaulting Lender’s Commitment that was utilized by such LC Exposure) and letter of credit fees payable under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with respect to such Defaulting Lender’s LC Exposure shall be payable to the Issuing Banks until such LC Exposure is cash collateralized and/or reallocated;</w:t>
      </w:r>
    </w:p>
    <w:p>
      <w:pPr>
        <w:spacing w:after="0" w:line="182"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such Lender is a Defaulting Lender, no Swingline Lender shall be required to fund any Swingline Loan and no Issuing Bank shall be required to issue or increase any Letter of Credit, unless it is reasonably satisfied that the related exposure and the Defaulting Lender’s then outstanding LC Exposure will be 100% covered by the Commitments of the non-Defaulting Lenders and/or cash collateral will be provided by the Borrower in accordance with </w:t>
      </w:r>
      <w:r>
        <w:rPr>
          <w:rFonts w:ascii="Times New Roman" w:cs="Times New Roman" w:eastAsia="Times New Roman" w:hAnsi="Times New Roman"/>
          <w:sz w:val="20"/>
          <w:szCs w:val="20"/>
          <w:u w:val="single" w:color="auto"/>
          <w:color w:val="auto"/>
        </w:rPr>
        <w:t>Section 2.20(c)</w:t>
      </w:r>
      <w:r>
        <w:rPr>
          <w:rFonts w:ascii="Times New Roman" w:cs="Times New Roman" w:eastAsia="Times New Roman" w:hAnsi="Times New Roman"/>
          <w:sz w:val="20"/>
          <w:szCs w:val="20"/>
          <w:color w:val="auto"/>
        </w:rPr>
        <w:t xml:space="preserve">, and Swingline Exposure related to any such newly made Swingline Loan or LC Exposure related to any such newly issued or increased Letter of Credit shall be allocated among non-Defaulting Lenders in a manner consistent with </w:t>
      </w:r>
      <w:r>
        <w:rPr>
          <w:rFonts w:ascii="Times New Roman" w:cs="Times New Roman" w:eastAsia="Times New Roman" w:hAnsi="Times New Roman"/>
          <w:sz w:val="20"/>
          <w:szCs w:val="20"/>
          <w:u w:val="single" w:color="auto"/>
          <w:color w:val="auto"/>
        </w:rPr>
        <w:t>Section 2.20(c)(i)</w:t>
      </w:r>
      <w:r>
        <w:rPr>
          <w:rFonts w:ascii="Times New Roman" w:cs="Times New Roman" w:eastAsia="Times New Roman" w:hAnsi="Times New Roman"/>
          <w:sz w:val="20"/>
          <w:szCs w:val="20"/>
          <w:color w:val="auto"/>
        </w:rPr>
        <w:t xml:space="preserve"> (and such Defaulting Lender shall not participate therein);</w:t>
      </w:r>
    </w:p>
    <w:p>
      <w:pPr>
        <w:spacing w:after="0" w:line="182"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 a Bankruptcy Event with respect to a Parent of any Lender shall occur following the date hereof and for so long as such event shall continue or (ii) any Swingline Lender or Issuing Bank has a good faith belief that any Lender has defaulted in fulfilling its obligations under one or more other agreements in which such Lender commits to extend credit, no Swingline Lender shall be required to fund any Swingline Loan and no such Issuing Bank shall be required to issue or increase any Letter of Credit unless such Swingline Lender or Issuing Bank shall have entered into arrangements with the Borrower or such Lender, reasonably satisfactory to such Swingline Lender or Issuing Bank, as the case may be, to defease any risk to it in respect of such Lender hereunder; and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1" w:name="page152"/>
    <w:bookmarkEnd w:id="151"/>
    <w:p>
      <w:pPr>
        <w:jc w:val="both"/>
        <w:ind w:firstLine="757"/>
        <w:spacing w:after="0" w:line="246" w:lineRule="auto"/>
        <w:tabs>
          <w:tab w:leader="none" w:pos="101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and on the date that each of the Administrative Agent, the Borrower, each Swingline Lender and each Issuing Bank agrees that a Defaulting Lender has adequately remedied all matters that caused such Lender to be a Defaulting Lender, then the LC Exposure of the other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Nothing contained herein shall be deemed to be a release of any claims of the Administrative Agent or the Borrower against any Defaulting Lender for its breach of any of its obligations under this Agreement.</w:t>
      </w:r>
    </w:p>
    <w:p>
      <w:pPr>
        <w:spacing w:after="0" w:line="161"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2.21 </w:t>
      </w:r>
      <w:r>
        <w:rPr>
          <w:rFonts w:ascii="Times New Roman" w:cs="Times New Roman" w:eastAsia="Times New Roman" w:hAnsi="Times New Roman"/>
          <w:sz w:val="20"/>
          <w:szCs w:val="20"/>
          <w:u w:val="single" w:color="auto"/>
          <w:color w:val="auto"/>
        </w:rPr>
        <w:t>Returned Payments</w:t>
      </w:r>
      <w:r>
        <w:rPr>
          <w:rFonts w:ascii="Times New Roman" w:cs="Times New Roman" w:eastAsia="Times New Roman" w:hAnsi="Times New Roman"/>
          <w:sz w:val="20"/>
          <w:szCs w:val="20"/>
          <w:color w:val="auto"/>
        </w:rPr>
        <w:t xml:space="preserve">.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shall be and remain effective notwithstanding any contrary action which may have been taken by the Administrative Agent or any Lender in reliance upon such payment or application of proceeds. The provisions of 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shall survive the termination of this Agreement.</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2.22</w:t>
      </w:r>
      <w:r>
        <w:rPr>
          <w:rFonts w:ascii="Times New Roman" w:cs="Times New Roman" w:eastAsia="Times New Roman" w:hAnsi="Times New Roman"/>
          <w:sz w:val="20"/>
          <w:szCs w:val="20"/>
          <w:u w:val="single" w:color="auto"/>
          <w:color w:val="auto"/>
        </w:rPr>
        <w:t>Increase of Commitments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firstLine="757"/>
        <w:spacing w:after="0" w:line="268" w:lineRule="auto"/>
        <w:tabs>
          <w:tab w:leader="none" w:pos="101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the right at any time after the Effective Date to request that the aggregate Commitments hereunder be increased (a “</w:t>
      </w:r>
      <w:r>
        <w:rPr>
          <w:rFonts w:ascii="Times New Roman" w:cs="Times New Roman" w:eastAsia="Times New Roman" w:hAnsi="Times New Roman"/>
          <w:sz w:val="20"/>
          <w:szCs w:val="20"/>
          <w:u w:val="single" w:color="auto"/>
          <w:color w:val="auto"/>
        </w:rPr>
        <w:t>Commitment Increase</w:t>
      </w:r>
      <w:r>
        <w:rPr>
          <w:rFonts w:ascii="Times New Roman" w:cs="Times New Roman" w:eastAsia="Times New Roman" w:hAnsi="Times New Roman"/>
          <w:sz w:val="20"/>
          <w:szCs w:val="20"/>
          <w:color w:val="auto"/>
        </w:rPr>
        <w:t>”) in accordance with the following provisions and subject to the following conditions:</w:t>
      </w:r>
    </w:p>
    <w:p>
      <w:pPr>
        <w:spacing w:after="0" w:line="160" w:lineRule="exact"/>
        <w:rPr>
          <w:rFonts w:ascii="Times New Roman" w:cs="Times New Roman" w:eastAsia="Times New Roman" w:hAnsi="Times New Roman"/>
          <w:sz w:val="20"/>
          <w:szCs w:val="20"/>
          <w:color w:val="auto"/>
        </w:rPr>
      </w:pPr>
    </w:p>
    <w:p>
      <w:pPr>
        <w:jc w:val="both"/>
        <w:ind w:left="760" w:firstLine="1494"/>
        <w:spacing w:after="0" w:line="259" w:lineRule="auto"/>
        <w:tabs>
          <w:tab w:leader="none" w:pos="2557"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give the Administrative Agent, which shall promptly deliver a copy thereof to each of the Lenders, at least ten (10) Business Days’ prior written notice (a “</w:t>
      </w:r>
      <w:r>
        <w:rPr>
          <w:rFonts w:ascii="Times New Roman" w:cs="Times New Roman" w:eastAsia="Times New Roman" w:hAnsi="Times New Roman"/>
          <w:sz w:val="19"/>
          <w:szCs w:val="19"/>
          <w:u w:val="single" w:color="auto"/>
          <w:color w:val="auto"/>
        </w:rPr>
        <w:t>Notice of Increase</w:t>
      </w:r>
      <w:r>
        <w:rPr>
          <w:rFonts w:ascii="Times New Roman" w:cs="Times New Roman" w:eastAsia="Times New Roman" w:hAnsi="Times New Roman"/>
          <w:sz w:val="19"/>
          <w:szCs w:val="19"/>
          <w:color w:val="auto"/>
        </w:rPr>
        <w:t>”) of any such requested increase specifying the aggregate amount by which the Commitments are to be increased, which shall be at least $5.0 million, the requested date of increase (the “</w:t>
      </w:r>
      <w:r>
        <w:rPr>
          <w:rFonts w:ascii="Times New Roman" w:cs="Times New Roman" w:eastAsia="Times New Roman" w:hAnsi="Times New Roman"/>
          <w:sz w:val="19"/>
          <w:szCs w:val="19"/>
          <w:u w:val="single" w:color="auto"/>
          <w:color w:val="auto"/>
        </w:rPr>
        <w:t>Requested Increase Date</w:t>
      </w:r>
      <w:r>
        <w:rPr>
          <w:rFonts w:ascii="Times New Roman" w:cs="Times New Roman" w:eastAsia="Times New Roman" w:hAnsi="Times New Roman"/>
          <w:sz w:val="19"/>
          <w:szCs w:val="19"/>
          <w:color w:val="auto"/>
        </w:rPr>
        <w:t>”) and the date by which the Lenders wishing to participate in the Commitment Increase must commit to an increase in the amount of their respective Commitments (the “</w:t>
      </w:r>
      <w:r>
        <w:rPr>
          <w:rFonts w:ascii="Times New Roman" w:cs="Times New Roman" w:eastAsia="Times New Roman" w:hAnsi="Times New Roman"/>
          <w:sz w:val="19"/>
          <w:szCs w:val="19"/>
          <w:u w:val="single" w:color="auto"/>
          <w:color w:val="auto"/>
        </w:rPr>
        <w:t>Commitment Date</w:t>
      </w:r>
      <w:r>
        <w:rPr>
          <w:rFonts w:ascii="Times New Roman" w:cs="Times New Roman" w:eastAsia="Times New Roman" w:hAnsi="Times New Roman"/>
          <w:sz w:val="19"/>
          <w:szCs w:val="19"/>
          <w:color w:val="auto"/>
        </w:rPr>
        <w:t>”). Each Lender that is willing in its sole discretion to participate in such requested Commitment Increase (each an “</w:t>
      </w:r>
      <w:r>
        <w:rPr>
          <w:rFonts w:ascii="Times New Roman" w:cs="Times New Roman" w:eastAsia="Times New Roman" w:hAnsi="Times New Roman"/>
          <w:sz w:val="19"/>
          <w:szCs w:val="19"/>
          <w:u w:val="single" w:color="auto"/>
          <w:color w:val="auto"/>
        </w:rPr>
        <w:t>Increasing Lender</w:t>
      </w:r>
      <w:r>
        <w:rPr>
          <w:rFonts w:ascii="Times New Roman" w:cs="Times New Roman" w:eastAsia="Times New Roman" w:hAnsi="Times New Roman"/>
          <w:sz w:val="19"/>
          <w:szCs w:val="19"/>
          <w:color w:val="auto"/>
        </w:rPr>
        <w:t>”) shall give written notice to the Administrative Agent on or prior to the Commitment Date of the amount by which it is willing to increase its Commitment.</w:t>
      </w:r>
    </w:p>
    <w:p>
      <w:pPr>
        <w:spacing w:after="0" w:line="169" w:lineRule="exact"/>
        <w:rPr>
          <w:rFonts w:ascii="Times New Roman" w:cs="Times New Roman" w:eastAsia="Times New Roman" w:hAnsi="Times New Roman"/>
          <w:sz w:val="19"/>
          <w:szCs w:val="19"/>
          <w:color w:val="auto"/>
        </w:rPr>
      </w:pPr>
    </w:p>
    <w:p>
      <w:pPr>
        <w:jc w:val="both"/>
        <w:ind w:left="760" w:firstLine="1494"/>
        <w:spacing w:after="0" w:line="244" w:lineRule="auto"/>
        <w:tabs>
          <w:tab w:leader="none" w:pos="2557"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following each Commitment Date, the Administrative Agent shall notify the Borrower as to the amount, if any, by which the Lenders are willing to participate in the requested Commitment Increase. In addition, the Borrower may extend offers to one or more Eligible Assignees, each of which must be reasonably satisfactory to the Administrative Agent, (such consent not to be unreasonably withheld) to participate in any portion of the requested Commitment Increase;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Commitment of each such Eligible Assignee shall be in an amount of not less than $1.0 million or an integral multiple of $1.0 million in excess thereof. Any such Eligible Assignee that agrees to acquire a Commitment pursuant hereto is herein called an “</w:t>
      </w:r>
      <w:r>
        <w:rPr>
          <w:rFonts w:ascii="Times New Roman" w:cs="Times New Roman" w:eastAsia="Times New Roman" w:hAnsi="Times New Roman"/>
          <w:sz w:val="20"/>
          <w:szCs w:val="20"/>
          <w:u w:val="single" w:color="auto"/>
          <w:color w:val="auto"/>
        </w:rPr>
        <w:t>Additional Lender</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2" w:name="page153"/>
    <w:bookmarkEnd w:id="152"/>
    <w:p>
      <w:pPr>
        <w:jc w:val="both"/>
        <w:ind w:left="760" w:firstLine="1498"/>
        <w:spacing w:after="0" w:line="243" w:lineRule="auto"/>
        <w:rPr>
          <w:sz w:val="20"/>
          <w:szCs w:val="20"/>
          <w:color w:val="auto"/>
        </w:rPr>
      </w:pPr>
      <w:r>
        <w:rPr>
          <w:rFonts w:ascii="Times New Roman" w:cs="Times New Roman" w:eastAsia="Times New Roman" w:hAnsi="Times New Roman"/>
          <w:sz w:val="20"/>
          <w:szCs w:val="20"/>
          <w:color w:val="auto"/>
        </w:rPr>
        <w:t xml:space="preserve">(iii)Effective on the Requested Increase Date, subject to the terms and conditions hereof, (x) the </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shall be deemed to be amended to reflect the increases contemplated hereby, (y) the Commitment of each Increasing Lender shall be increased by an amount determined by the Administrative Agent and the Borrower (but in no event greater than the amount by which such Lender is willing to increase its Commitment), and (z) each Additional Lender shall enter into an agreement in form and substance reasonably satisfactory to the Borrower and the Administrative Agent pursuant to which it shall undertake, as of such Requested Increase Date, a new Commitment in an amount determined by the Administrative Agent and the Borrower (but in no event greater than the amount by which such Lender is willing to participate in the requested Commitment Increase), and such Additional Lender shall thereupon be deemed to be a Lender for all purposes of this Agreement.</w:t>
      </w:r>
    </w:p>
    <w:p>
      <w:pPr>
        <w:spacing w:after="0" w:line="187" w:lineRule="exact"/>
        <w:rPr>
          <w:sz w:val="20"/>
          <w:szCs w:val="20"/>
          <w:color w:val="auto"/>
        </w:rPr>
      </w:pPr>
    </w:p>
    <w:p>
      <w:pPr>
        <w:jc w:val="both"/>
        <w:ind w:left="760" w:firstLine="1498"/>
        <w:spacing w:after="0" w:line="245" w:lineRule="auto"/>
        <w:rPr>
          <w:sz w:val="20"/>
          <w:szCs w:val="20"/>
          <w:color w:val="auto"/>
        </w:rPr>
      </w:pPr>
      <w:r>
        <w:rPr>
          <w:rFonts w:ascii="Times New Roman" w:cs="Times New Roman" w:eastAsia="Times New Roman" w:hAnsi="Times New Roman"/>
          <w:sz w:val="20"/>
          <w:szCs w:val="20"/>
          <w:color w:val="auto"/>
        </w:rPr>
        <w:t>(iv)If on the Requested Increase Date there are any Loans outstanding hereunder, the Borrower shall borrow from all or certain of the Lenders and/or prepay Loans of all or certain of the Lenders such that, after giving effect thereto, the Loans (including the Types and Interest Periods thereof) and such participations shall be held by the Lenders (including for such purposes the Increasing Lenders and the Additional Lenders) ratably in accordance with their respective Commitments. On and after each Requested Increase Date, the ratable share of each Lender’s participation in Letters of Credit and Loans from draws under Letters of Credit shall be calculated after giving effect to each such Commitment Increase.</w:t>
      </w:r>
    </w:p>
    <w:p>
      <w:pPr>
        <w:spacing w:after="0" w:line="183" w:lineRule="exact"/>
        <w:rPr>
          <w:sz w:val="20"/>
          <w:szCs w:val="20"/>
          <w:color w:val="auto"/>
        </w:rPr>
      </w:pPr>
    </w:p>
    <w:p>
      <w:pPr>
        <w:ind w:right="20" w:firstLine="757"/>
        <w:spacing w:after="0" w:line="268" w:lineRule="auto"/>
        <w:tabs>
          <w:tab w:leader="none" w:pos="1018"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Anything in 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to the contrary notwithstanding, no increase in the aggregate Commitments hereunder pursuant to 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shall be effective unless:</w:t>
      </w:r>
    </w:p>
    <w:p>
      <w:pPr>
        <w:spacing w:after="0" w:line="160" w:lineRule="exact"/>
        <w:rPr>
          <w:rFonts w:ascii="Times New Roman" w:cs="Times New Roman" w:eastAsia="Times New Roman" w:hAnsi="Times New Roman"/>
          <w:sz w:val="20"/>
          <w:szCs w:val="20"/>
          <w:color w:val="auto"/>
        </w:rPr>
      </w:pPr>
    </w:p>
    <w:p>
      <w:pPr>
        <w:jc w:val="both"/>
        <w:ind w:left="760" w:firstLine="1494"/>
        <w:spacing w:after="0" w:line="253" w:lineRule="auto"/>
        <w:tabs>
          <w:tab w:leader="none" w:pos="2557"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date of the relevant Notice of Increase and on the relevant Requested Increase Date and after giving effect to such increase, (x) no Default or Event of Default shall have occurred and be continuing and (y) the condition set forth in </w:t>
      </w:r>
      <w:r>
        <w:rPr>
          <w:rFonts w:ascii="Times New Roman" w:cs="Times New Roman" w:eastAsia="Times New Roman" w:hAnsi="Times New Roman"/>
          <w:sz w:val="20"/>
          <w:szCs w:val="20"/>
          <w:u w:val="single" w:color="auto"/>
          <w:color w:val="auto"/>
        </w:rPr>
        <w:t>Section 4.02(a)</w:t>
      </w:r>
      <w:r>
        <w:rPr>
          <w:rFonts w:ascii="Times New Roman" w:cs="Times New Roman" w:eastAsia="Times New Roman" w:hAnsi="Times New Roman"/>
          <w:sz w:val="20"/>
          <w:szCs w:val="20"/>
          <w:color w:val="auto"/>
        </w:rPr>
        <w:t xml:space="preserve"> shall be satisfied;</w:t>
      </w:r>
    </w:p>
    <w:p>
      <w:pPr>
        <w:spacing w:after="0" w:line="176" w:lineRule="exact"/>
        <w:rPr>
          <w:rFonts w:ascii="Times New Roman" w:cs="Times New Roman" w:eastAsia="Times New Roman" w:hAnsi="Times New Roman"/>
          <w:sz w:val="20"/>
          <w:szCs w:val="20"/>
          <w:color w:val="auto"/>
        </w:rPr>
      </w:pPr>
    </w:p>
    <w:p>
      <w:pPr>
        <w:jc w:val="both"/>
        <w:ind w:left="760" w:firstLine="1494"/>
        <w:spacing w:after="0" w:line="259" w:lineRule="auto"/>
        <w:tabs>
          <w:tab w:leader="none" w:pos="2557" w:val="left"/>
        </w:tabs>
        <w:numPr>
          <w:ilvl w:val="1"/>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reasonably requested by the Administrative Agent, receipt by the Administrative Agent of (A) customary legal opinions, board resolutions and officers’ certificates consistent with the documentation delivered on the Effective Date (conformed as appropriate) other than changes to such legal opinions resulting from a change in law, change in fact or change</w:t>
      </w:r>
    </w:p>
    <w:p>
      <w:pPr>
        <w:spacing w:after="0" w:line="2" w:lineRule="exact"/>
        <w:rPr>
          <w:sz w:val="20"/>
          <w:szCs w:val="20"/>
          <w:color w:val="auto"/>
        </w:rPr>
      </w:pPr>
    </w:p>
    <w:p>
      <w:pPr>
        <w:jc w:val="both"/>
        <w:ind w:left="760"/>
        <w:spacing w:after="0" w:line="242" w:lineRule="auto"/>
        <w:rPr>
          <w:sz w:val="20"/>
          <w:szCs w:val="20"/>
          <w:color w:val="auto"/>
        </w:rPr>
      </w:pPr>
      <w:r>
        <w:rPr>
          <w:rFonts w:ascii="Times New Roman" w:cs="Times New Roman" w:eastAsia="Times New Roman" w:hAnsi="Times New Roman"/>
          <w:sz w:val="20"/>
          <w:szCs w:val="20"/>
          <w:color w:val="auto"/>
        </w:rPr>
        <w:t>to counsel’s form of opinion reasonably satisfactory to the Administrative Agent and (B) any reaffirmation or similar documentation as reasonably requested by the Administrative Agent in order to ensure that such Increasing Lender or Additional Lender is provided with the benefit of the applicable Loan Documents;</w:t>
      </w:r>
    </w:p>
    <w:p>
      <w:pPr>
        <w:spacing w:after="0" w:line="186" w:lineRule="exact"/>
        <w:rPr>
          <w:sz w:val="20"/>
          <w:szCs w:val="20"/>
          <w:color w:val="auto"/>
        </w:rPr>
      </w:pPr>
    </w:p>
    <w:p>
      <w:pPr>
        <w:jc w:val="both"/>
        <w:ind w:left="760" w:firstLine="1498"/>
        <w:spacing w:after="0" w:line="253" w:lineRule="auto"/>
        <w:rPr>
          <w:sz w:val="20"/>
          <w:szCs w:val="20"/>
          <w:color w:val="auto"/>
        </w:rPr>
      </w:pPr>
      <w:r>
        <w:rPr>
          <w:rFonts w:ascii="Times New Roman" w:cs="Times New Roman" w:eastAsia="Times New Roman" w:hAnsi="Times New Roman"/>
          <w:sz w:val="20"/>
          <w:szCs w:val="20"/>
          <w:color w:val="auto"/>
        </w:rPr>
        <w:t xml:space="preserve">(iii)after giving effect to such Commitment Increases, the aggregate principal amount of all such Commitment Increases incurred since the Effective Date shall not exceed an amount equal to the sum of (A) $50.0 million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(B) 100% of Consolidated Adjusted EBITDA for the most recently ended Reference Period, on a pro forma basis; and</w:t>
      </w:r>
    </w:p>
    <w:p>
      <w:pPr>
        <w:spacing w:after="0" w:line="176" w:lineRule="exact"/>
        <w:rPr>
          <w:sz w:val="20"/>
          <w:szCs w:val="20"/>
          <w:color w:val="auto"/>
        </w:rPr>
      </w:pPr>
    </w:p>
    <w:p>
      <w:pPr>
        <w:jc w:val="both"/>
        <w:ind w:left="760" w:firstLine="1498"/>
        <w:spacing w:after="0" w:line="253" w:lineRule="auto"/>
        <w:rPr>
          <w:sz w:val="20"/>
          <w:szCs w:val="20"/>
          <w:color w:val="auto"/>
        </w:rPr>
      </w:pPr>
      <w:r>
        <w:rPr>
          <w:rFonts w:ascii="Times New Roman" w:cs="Times New Roman" w:eastAsia="Times New Roman" w:hAnsi="Times New Roman"/>
          <w:sz w:val="20"/>
          <w:szCs w:val="20"/>
          <w:color w:val="auto"/>
        </w:rPr>
        <w:t>(iv)after giving effect to any such Commitment Increase, the Borrower shall be in pro forma compliance with the Financial Covenants for the most recently ended Reference Period and the Borrower shall have delivered to the Administrative Agent reasonably detailed calculations demonstrating such compliance.</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SECTION 2.23</w:t>
      </w:r>
      <w:r>
        <w:rPr>
          <w:rFonts w:ascii="Times New Roman" w:cs="Times New Roman" w:eastAsia="Times New Roman" w:hAnsi="Times New Roman"/>
          <w:sz w:val="20"/>
          <w:szCs w:val="20"/>
          <w:u w:val="single" w:color="auto"/>
          <w:color w:val="auto"/>
        </w:rPr>
        <w:t>Banking Services and Swap Agreements</w:t>
      </w:r>
      <w:r>
        <w:rPr>
          <w:rFonts w:ascii="Times New Roman" w:cs="Times New Roman" w:eastAsia="Times New Roman" w:hAnsi="Times New Roman"/>
          <w:sz w:val="20"/>
          <w:szCs w:val="20"/>
          <w:color w:val="auto"/>
        </w:rPr>
        <w:t>. Each Lender or Affiliate thereof providing Banking Services for, or having Swap Agreements with, the Borrower or any of its Subsidiaries shall deliver to the Administrative Agent, promptly after entering into such Banking Services or Swap</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3" w:name="page154"/>
    <w:bookmarkEnd w:id="153"/>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Agreements, written notice thereof, in each case, to the extent such Banking Services or Swap Agreements relate to Secured Obligations. In furtherance of that requirement, each such Lender or Affiliate thereof shall furnish the Administrative Agent, from time to time promptly upon a request therefor, a summary of the amounts due or to become due in respect of such Banking Services Obligations and Swap Agreement Obligations that constitute Secured Obligations, together with such supporting documentation as the Administrative Agent may have reasonably requested from the applicable provider of such Banking Services or Swap Agreement. The most recent information provided to the Administrative Agent shall be used in determining which tier of the waterfall, contained in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 such Banking Services Obligations and/or Swap Agreement Obligations will be placed.</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2.24</w:t>
      </w:r>
      <w:r>
        <w:rPr>
          <w:rFonts w:ascii="Times New Roman" w:cs="Times New Roman" w:eastAsia="Times New Roman" w:hAnsi="Times New Roman"/>
          <w:sz w:val="20"/>
          <w:szCs w:val="20"/>
          <w:u w:val="single" w:color="auto"/>
          <w:color w:val="auto"/>
        </w:rPr>
        <w:t>Amend and Extend Transactions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59" w:lineRule="auto"/>
        <w:tabs>
          <w:tab w:leader="none" w:pos="1018" w:val="left"/>
        </w:tabs>
        <w:numPr>
          <w:ilvl w:val="2"/>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may, by written notice to the Administrative Agent from time to time, request an extension (each, an “</w:t>
      </w:r>
      <w:r>
        <w:rPr>
          <w:rFonts w:ascii="Times New Roman" w:cs="Times New Roman" w:eastAsia="Times New Roman" w:hAnsi="Times New Roman"/>
          <w:sz w:val="19"/>
          <w:szCs w:val="19"/>
          <w:u w:val="single" w:color="auto"/>
          <w:color w:val="auto"/>
        </w:rPr>
        <w:t>Extension</w:t>
      </w:r>
      <w:r>
        <w:rPr>
          <w:rFonts w:ascii="Times New Roman" w:cs="Times New Roman" w:eastAsia="Times New Roman" w:hAnsi="Times New Roman"/>
          <w:sz w:val="19"/>
          <w:szCs w:val="19"/>
          <w:color w:val="auto"/>
        </w:rPr>
        <w:t>”) of the Maturity Date to the extended maturity date specified in such notice. Such notice shall (i) set forth the amount of Commitments that will be subject to the Extension (which request shall be in minimum increments of $1.0 million and a minimum amount of $5.0 million), and</w:t>
      </w:r>
    </w:p>
    <w:p>
      <w:pPr>
        <w:spacing w:after="0" w:line="2" w:lineRule="exact"/>
        <w:rPr>
          <w:rFonts w:ascii="Times New Roman" w:cs="Times New Roman" w:eastAsia="Times New Roman" w:hAnsi="Times New Roman"/>
          <w:sz w:val="19"/>
          <w:szCs w:val="19"/>
          <w:color w:val="auto"/>
        </w:rPr>
      </w:pPr>
    </w:p>
    <w:p>
      <w:pPr>
        <w:jc w:val="both"/>
        <w:ind w:firstLine="8"/>
        <w:spacing w:after="0" w:line="239" w:lineRule="auto"/>
        <w:tabs>
          <w:tab w:leader="none" w:pos="293"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 forth the date on which such Extension is requested to become effective (which shall be not less than ten Business Days nor more than sixty (60) days after the date of such Extension notice (or such longer or shorter periods as the Administrative Agent shall agree in its sole discretion)). The Lenders shall be offered (an “</w:t>
      </w:r>
      <w:r>
        <w:rPr>
          <w:rFonts w:ascii="Times New Roman" w:cs="Times New Roman" w:eastAsia="Times New Roman" w:hAnsi="Times New Roman"/>
          <w:sz w:val="20"/>
          <w:szCs w:val="20"/>
          <w:u w:val="single" w:color="auto"/>
          <w:color w:val="auto"/>
        </w:rPr>
        <w:t>Extension Offer</w:t>
      </w:r>
      <w:r>
        <w:rPr>
          <w:rFonts w:ascii="Times New Roman" w:cs="Times New Roman" w:eastAsia="Times New Roman" w:hAnsi="Times New Roman"/>
          <w:sz w:val="20"/>
          <w:szCs w:val="20"/>
          <w:color w:val="auto"/>
        </w:rPr>
        <w:t xml:space="preserve">”) an opportunity to participate in such Extension on a pro rata basis and on the same terms and conditions as each other Lender pursuant to procedures established by, or reasonably acceptable to, the Administrative Agent and Borrower. If the aggregate principal amount of Commitments in respect of which Lenders shall have accepted the relevant Extension Offer shall exceed the maximum aggregate principal amount of Commitments subject to the Extension Offer as set forth in the Extension notice, then the Commitments of the Lenders shall be extended ratably up to such maximum amount based on the respective principal amounts with respect to which such Lenders have accepted such Extension Offer. Notwithstanding anything to the contrary in this Agreement, any individual Lender’s agreement to extend its Commitments, in whole or in part, pursuant to this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shall be in such Lender’s sole discretion.</w:t>
      </w:r>
    </w:p>
    <w:p>
      <w:pPr>
        <w:spacing w:after="0" w:line="195" w:lineRule="exact"/>
        <w:rPr>
          <w:rFonts w:ascii="Times New Roman" w:cs="Times New Roman" w:eastAsia="Times New Roman" w:hAnsi="Times New Roman"/>
          <w:sz w:val="20"/>
          <w:szCs w:val="20"/>
          <w:color w:val="auto"/>
        </w:rPr>
      </w:pPr>
    </w:p>
    <w:p>
      <w:pPr>
        <w:jc w:val="both"/>
        <w:ind w:firstLine="667"/>
        <w:spacing w:after="0" w:line="245" w:lineRule="auto"/>
        <w:tabs>
          <w:tab w:leader="none" w:pos="1018"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following shall be conditions precedent to the effectiveness of any Extension: (i) no Default or Event of Default shall have occurred and be continuing immediately prior to and immediately after giving effect to such Extension, (ii) the representations and warranties set forth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and in each other Loan Document shall be deemed to be made and shall be true and correct in all material respects on and as of the effective date of such Extension, (iii) each relevant Issuing Bank shall have consented to any Extension of the Commitments, to the extent that such Extension provides for the issuance or extension of Letters of Credit at any time during the extended period and (iv) the terms of such Extended Commitments shall comply with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w:t>
      </w:r>
    </w:p>
    <w:p>
      <w:pPr>
        <w:spacing w:after="0" w:line="182"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2"/>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terms of each Extension shall be determined by the Borrower and the applicable extending Lenders and set forth in an Extension Amendment;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the final maturity date of any Extended Commitment shall be no earlier than the Maturity Date, (ii) there shall be no scheduled amortization of the loans or reductions of commitments under any Extended Commitments, (iii) the Extended Loans will rank pari passu in right of payment and security with the existing Loans and the borrower, guarantors and collateral of the Extended Commitments shall be the same as the Borrower, Loan Guarantors and Collateral with respect to the existing Loans, (iv) the interest rate margin and any fees applicable to any Extended Commitment (and the Extended Loans thereunder) shall be determined by Borrower and the applicable extending Lenders, (v) borrowing and prepayment of Extended Loans, or reductions of Extended Commitments, and participation in Letters of Credit, shall be on a pro rata basis with the other Loans or Commitments (other than upon the maturity of the non-extended Loans and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4" w:name="page155"/>
    <w:bookmarkEnd w:id="154"/>
    <w:p>
      <w:pPr>
        <w:ind w:right="20"/>
        <w:spacing w:after="0" w:line="268" w:lineRule="auto"/>
        <w:rPr>
          <w:sz w:val="20"/>
          <w:szCs w:val="20"/>
          <w:color w:val="auto"/>
        </w:rPr>
      </w:pPr>
      <w:r>
        <w:rPr>
          <w:rFonts w:ascii="Times New Roman" w:cs="Times New Roman" w:eastAsia="Times New Roman" w:hAnsi="Times New Roman"/>
          <w:sz w:val="20"/>
          <w:szCs w:val="20"/>
          <w:color w:val="auto"/>
        </w:rPr>
        <w:t>Commitments) and (vi) the terms of the Extended Commitments shall be substantially identical to the terms set forth herein (other than upon the maturity of the non-extended Loans and Commitments).</w:t>
      </w:r>
    </w:p>
    <w:p>
      <w:pPr>
        <w:spacing w:after="0" w:line="161" w:lineRule="exact"/>
        <w:rPr>
          <w:sz w:val="20"/>
          <w:szCs w:val="20"/>
          <w:color w:val="auto"/>
        </w:rPr>
      </w:pPr>
    </w:p>
    <w:p>
      <w:pPr>
        <w:jc w:val="both"/>
        <w:ind w:firstLine="757"/>
        <w:spacing w:after="0" w:line="242" w:lineRule="auto"/>
        <w:tabs>
          <w:tab w:leader="none" w:pos="101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Extension, the Borrower, the Administrative Agent and each applicable extending Lender shall execute and deliver to the Administrative Agent an Extension Amendment and such other documentation as the Administrative Agent shall reasonably specify to evidence the Extension. The Administrative Agent shall promptly notify each Lender as to the effectiveness of each Extension. Any Extension Amendment may, without the consent of any other Lender, effect such amendments to this Agreement and the other Loan Documents as may be necessary or appropriate, in the reasonable opinion of the Administrative Agent and the Borrower, to implement the terms of any such Extension, including any amendments necessary to establish Extended Commitments as tranche of Commitments and such other technical amendments as may be necessary or appropriate in the reasonable opinion of the Administrative Agent and the Borrower in connection with the establishment of such new tranche (including to preserve the pro rata treatment of the extended and non-extended tranches and to provide for the reallocation of Credit Exposure upon the expiration or termination of the commitments under any tranche), in each case on terms consistent with this </w:t>
      </w:r>
      <w:r>
        <w:rPr>
          <w:rFonts w:ascii="Times New Roman" w:cs="Times New Roman" w:eastAsia="Times New Roman" w:hAnsi="Times New Roman"/>
          <w:sz w:val="20"/>
          <w:szCs w:val="20"/>
          <w:u w:val="single" w:color="auto"/>
          <w:color w:val="auto"/>
        </w:rPr>
        <w:t>Section 2.24.</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2.25</w:t>
      </w:r>
      <w:r>
        <w:rPr>
          <w:rFonts w:ascii="Times New Roman" w:cs="Times New Roman" w:eastAsia="Times New Roman" w:hAnsi="Times New Roman"/>
          <w:sz w:val="20"/>
          <w:szCs w:val="20"/>
          <w:u w:val="single" w:color="auto"/>
          <w:color w:val="auto"/>
        </w:rPr>
        <w:t>Benchmark Replacement Setting</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4" w:lineRule="auto"/>
        <w:tabs>
          <w:tab w:leader="none" w:pos="1018"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xml:space="preserve">. Notwithstanding anything to the contrary herein or in any other Loan Document, upon the occurrence of a Benchmark Transition Event, the Administrative Agent may amend this Agreement to replace the then-current Benchmark with a Benchmark Replacement. Any such amendment with respect to a Benchmark Transition Event will become effective at 5:00 p.m. (New York City time) on the fifth (5th)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20"/>
          <w:szCs w:val="20"/>
          <w:u w:val="single" w:color="auto"/>
          <w:color w:val="auto"/>
        </w:rPr>
        <w:t>Section 2.25(a)</w:t>
      </w:r>
      <w:r>
        <w:rPr>
          <w:rFonts w:ascii="Times New Roman" w:cs="Times New Roman" w:eastAsia="Times New Roman" w:hAnsi="Times New Roman"/>
          <w:sz w:val="20"/>
          <w:szCs w:val="20"/>
          <w:color w:val="auto"/>
        </w:rPr>
        <w:t xml:space="preserve"> will occur prior to the applicable Benchmark Transition Start Date.</w:t>
      </w:r>
    </w:p>
    <w:p>
      <w:pPr>
        <w:spacing w:after="0" w:line="183"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8"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For the avoidance of doubt, any notice required to be delivered by the Administrative Agent as set forth in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xml:space="preserve"> may be provided, at the option of the Administrative Agent (in its sole discretion), in one or more notices and may be delivered together with, or as part of any amendment which implements any Benchmark Replacement or Conforming Changes. The Administrative Agent will notify the Borrower of (x) the removal or reinstatement of any tenor of a Benchmark pursuant to </w:t>
      </w:r>
      <w:r>
        <w:rPr>
          <w:rFonts w:ascii="Times New Roman" w:cs="Times New Roman" w:eastAsia="Times New Roman" w:hAnsi="Times New Roman"/>
          <w:sz w:val="20"/>
          <w:szCs w:val="20"/>
          <w:u w:val="single" w:color="auto"/>
          <w:color w:val="auto"/>
        </w:rPr>
        <w:t>Section 2.25(d)</w:t>
      </w:r>
      <w:r>
        <w:rPr>
          <w:rFonts w:ascii="Times New Roman" w:cs="Times New Roman" w:eastAsia="Times New Roman" w:hAnsi="Times New Roman"/>
          <w:sz w:val="20"/>
          <w:szCs w:val="20"/>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0"/>
          <w:szCs w:val="20"/>
          <w:color w:val="auto"/>
        </w:rPr>
        <w:t xml:space="preserve">other 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55" w:lineRule="auto"/>
        <w:tabs>
          <w:tab w:leader="none" w:pos="1018"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Unavailability of Tenor of Benchmark</w:t>
      </w:r>
      <w:r>
        <w:rPr>
          <w:rFonts w:ascii="Times New Roman" w:cs="Times New Roman" w:eastAsia="Times New Roman" w:hAnsi="Times New Roman"/>
          <w:sz w:val="19"/>
          <w:szCs w:val="19"/>
          <w:color w:val="auto"/>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“Interest Payment Date” (or any similar or analogous definition) for any Benchmark settings at or after such time to remove such unavailable, non-representative, non-compliant or non-aligned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Administrative Agent may modify the definition of “Interest Period” or “Interest Payment Date” (or any similar or analogous definition) for all Benchmark settings at or after such time to reinstate such previously removed tenor.</w:t>
      </w:r>
    </w:p>
    <w:p>
      <w:pPr>
        <w:spacing w:after="0" w:line="175" w:lineRule="exact"/>
        <w:rPr>
          <w:rFonts w:ascii="Times New Roman" w:cs="Times New Roman" w:eastAsia="Times New Roman" w:hAnsi="Times New Roman"/>
          <w:sz w:val="19"/>
          <w:szCs w:val="19"/>
          <w:color w:val="auto"/>
        </w:rPr>
      </w:pPr>
    </w:p>
    <w:p>
      <w:pPr>
        <w:jc w:val="both"/>
        <w:ind w:firstLine="757"/>
        <w:spacing w:after="0" w:line="245" w:lineRule="auto"/>
        <w:tabs>
          <w:tab w:leader="none" w:pos="101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Upon the Borrower’s receipt of notice of the commencement of a Benchmark Unavailability Period, the Borrower may revoke any pending request for a Term SOFR Loan or conversion to or continuation of any Term SOFR Loan to be made, converted or continued during any Benchmark Unavailability Period and, failing that, the Borrower will be deemed to have converted any such request into a request for a borrowing of or conversion to an ABR Loan. During a Benchmark Unavailability Period or at any time that a tenor for the then-current Benchmark is not an Available Tenor, the component of Alternate Base Rate based upon the then-current Benchmark or such tenor for such Benchmark, as applicable, will not be used in any determination of Alternate Base Rate.</w:t>
      </w:r>
    </w:p>
    <w:p>
      <w:pPr>
        <w:spacing w:after="0" w:line="182"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Disclaimer</w:t>
      </w:r>
      <w:r>
        <w:rPr>
          <w:rFonts w:ascii="Times New Roman" w:cs="Times New Roman" w:eastAsia="Times New Roman" w:hAnsi="Times New Roman"/>
          <w:sz w:val="20"/>
          <w:szCs w:val="20"/>
          <w:color w:val="auto"/>
        </w:rPr>
        <w:t>. The Administrative Agent does not warrant or accept responsibility for, and shall not have any liability with respect to (a) the continuation of, administration of, submission of, calculation of or any other matter related to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SOFR, the Term SOFR Reference Rate, Adjusted Term SOFR, Term SOFR or any alternative, successor or replacement rate (including any Benchmark Replacement) prior to its discontinuance or unavailability, or (b) the effect, implementation or composition of any Conforming Changes. The Administrative Agent and its affiliates or other related entities may engage in transactions that affect the calculation of SOFR, the Term SOFR Reference Rate, Term SOFR, Adjusted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SOFR, the Term SOFR Reference Rate, Term SOFR, Adjusted Term SOFR or any alternative, successor or replacement rate (including any Benchmark Replacement) or any relevant adjustments thereto, in each case pursuant to the terms of the this Agreement, and shall have no liability to the Borrower or any other person or entity for damages of any kind, including direct or indirect, special, punitive, incidental or consequential damages,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6" w:name="page157"/>
    <w:bookmarkEnd w:id="156"/>
    <w:p>
      <w:pPr>
        <w:jc w:val="both"/>
        <w:spacing w:after="0" w:line="268" w:lineRule="auto"/>
        <w:rPr>
          <w:sz w:val="20"/>
          <w:szCs w:val="20"/>
          <w:color w:val="auto"/>
        </w:rPr>
      </w:pPr>
      <w:r>
        <w:rPr>
          <w:rFonts w:ascii="Times New Roman" w:cs="Times New Roman" w:eastAsia="Times New Roman" w:hAnsi="Times New Roman"/>
          <w:sz w:val="20"/>
          <w:szCs w:val="20"/>
          <w:color w:val="auto"/>
        </w:rPr>
        <w:t>costs, losses or expenses (whether in tort, contract or otherwise and whether at law or in equity), for any error or calculation of any such rate (or component thereof) provided by any such information source or service.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III</w:t>
      </w:r>
    </w:p>
    <w:p>
      <w:pPr>
        <w:spacing w:after="0" w:line="22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u w:val="single" w:color="auto"/>
          <w:color w:val="auto"/>
        </w:rPr>
        <w:t>REPRESENTATIONS AND WARRANTIES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Each Loan Party represents and warrants to the Lenders that:</w:t>
      </w:r>
    </w:p>
    <w:p>
      <w:pPr>
        <w:spacing w:after="0" w:line="21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SECTION 3.01 </w:t>
      </w:r>
      <w:r>
        <w:rPr>
          <w:rFonts w:ascii="Times New Roman" w:cs="Times New Roman" w:eastAsia="Times New Roman" w:hAnsi="Times New Roman"/>
          <w:sz w:val="20"/>
          <w:szCs w:val="20"/>
          <w:u w:val="single" w:color="auto"/>
          <w:color w:val="auto"/>
        </w:rPr>
        <w:t>Organization; Powers</w:t>
      </w:r>
      <w:r>
        <w:rPr>
          <w:rFonts w:ascii="Times New Roman" w:cs="Times New Roman" w:eastAsia="Times New Roman" w:hAnsi="Times New Roman"/>
          <w:sz w:val="20"/>
          <w:szCs w:val="20"/>
          <w:color w:val="auto"/>
        </w:rPr>
        <w:t>. Each of the Loan Parties and each of its Subsidiaries is duly organized, validly existing and (to the extent applicable in its jurisdiction of organization)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8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SECTION 3.02</w:t>
      </w:r>
      <w:r>
        <w:rPr>
          <w:rFonts w:ascii="Times New Roman" w:cs="Times New Roman" w:eastAsia="Times New Roman" w:hAnsi="Times New Roman"/>
          <w:sz w:val="20"/>
          <w:szCs w:val="20"/>
          <w:u w:val="single" w:color="auto"/>
          <w:color w:val="auto"/>
        </w:rPr>
        <w:t>Authorization; Enforceability</w:t>
      </w:r>
      <w:r>
        <w:rPr>
          <w:rFonts w:ascii="Times New Roman" w:cs="Times New Roman" w:eastAsia="Times New Roman" w:hAnsi="Times New Roman"/>
          <w:sz w:val="20"/>
          <w:szCs w:val="20"/>
          <w:color w:val="auto"/>
        </w:rPr>
        <w:t>. The Transactions are within each Loan Party’s corporate or limited liability company powers, as the case may be, and have been duly authorized by all necessary corporate or limited liability company and, if required, stockholder or member action.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SECTION 3.03</w:t>
      </w:r>
      <w:r>
        <w:rPr>
          <w:rFonts w:ascii="Times New Roman" w:cs="Times New Roman" w:eastAsia="Times New Roman" w:hAnsi="Times New Roman"/>
          <w:sz w:val="20"/>
          <w:szCs w:val="20"/>
          <w:u w:val="single" w:color="auto"/>
          <w:color w:val="auto"/>
        </w:rPr>
        <w:t>Governmental and Third Party Approvals; No Conflicts</w:t>
      </w:r>
      <w:r>
        <w:rPr>
          <w:rFonts w:ascii="Times New Roman" w:cs="Times New Roman" w:eastAsia="Times New Roman" w:hAnsi="Times New Roman"/>
          <w:sz w:val="20"/>
          <w:szCs w:val="20"/>
          <w:color w:val="auto"/>
        </w:rPr>
        <w:t xml:space="preserve">. The Transactions (a) do not, on the part of any Loan Party or any of its Subsidiaries, require any consent or approval of, registration or filing with, or any other action by, any Governmental Authority or any other Person, except such as have been obtained or made and are in full force and effect and except for filings necessary to perfect Liens created pursuant to the Loan Documents, (b) will not violate any Requirement of Law applicable to any Loan Party or any of its Subsidiaries or any order of any Governmental Authority applicable to any Loan Party, (c) will not violate or result in a default under, or give rise to a right to require any payment to be made by any Loan Party or any of its Subsidiaries under, (i) any indenture or loan agreement, in each case, evidencing Material Indebtedness, (ii) any Swap Agreement with a Swap Termination Value in excess of $5.0 million or (iii) any other material agreement, in each case which is binding upon any Loan Party or any of its Subsidiaries or its assets, and (d) will not result in the creation or imposition of any Lien on any asset of any Loan Party or any of its Subsidiaries, except Liens created pursuant to the Loan Documents, except, solely in the case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(c)(iii)</w:t>
      </w:r>
      <w:r>
        <w:rPr>
          <w:rFonts w:ascii="Times New Roman" w:cs="Times New Roman" w:eastAsia="Times New Roman" w:hAnsi="Times New Roman"/>
          <w:sz w:val="20"/>
          <w:szCs w:val="20"/>
          <w:color w:val="auto"/>
        </w:rPr>
        <w:t xml:space="preserve"> hereof, as could not reasonably be expected to result in a Material Adverse Effect.</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3.04</w:t>
      </w:r>
      <w:r>
        <w:rPr>
          <w:rFonts w:ascii="Times New Roman" w:cs="Times New Roman" w:eastAsia="Times New Roman" w:hAnsi="Times New Roman"/>
          <w:sz w:val="20"/>
          <w:szCs w:val="20"/>
          <w:u w:val="single" w:color="auto"/>
          <w:color w:val="auto"/>
        </w:rPr>
        <w:t>Financial Condition; No Material Adverse Change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5" w:lineRule="auto"/>
        <w:tabs>
          <w:tab w:leader="none" w:pos="1018"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has heretofore furnished to the Lenders its consolidated balance sheet and statements of income, stockholders equity and cash flows (i) as of and for the fiscal year ended December 31, 2022, reported on by the Accounting Firm and (ii) as of and for the fiscal quarter and the portion of the fiscal year ending September 30, 2023. Such financial statements present fairly, in all material respects, the financial position and results of operations and cash flows of the Borrower and its consolidated Subsidiaries as of such dates and for such periods in accordance with GAAP, subject to year-end audit adjustments and the absence of footnotes in the case of the statements referred to in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above.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7" w:name="page158"/>
    <w:bookmarkEnd w:id="157"/>
    <w:p>
      <w:pPr>
        <w:ind w:firstLine="757"/>
        <w:spacing w:after="0" w:line="268" w:lineRule="auto"/>
        <w:tabs>
          <w:tab w:leader="none" w:pos="101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change or condition has occurred that has had, or could reasonably be expected to have, a Material Adverse Effect, since December 31, 2022.</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3.05</w:t>
      </w:r>
      <w:r>
        <w:rPr>
          <w:rFonts w:ascii="Times New Roman" w:cs="Times New Roman" w:eastAsia="Times New Roman" w:hAnsi="Times New Roman"/>
          <w:sz w:val="20"/>
          <w:szCs w:val="20"/>
          <w:u w:val="single" w:color="auto"/>
          <w:color w:val="auto"/>
        </w:rPr>
        <w:t>Properties, Permits, etc.</w:t>
      </w:r>
    </w:p>
    <w:p>
      <w:pPr>
        <w:spacing w:after="0" w:line="215" w:lineRule="exact"/>
        <w:rPr>
          <w:sz w:val="20"/>
          <w:szCs w:val="20"/>
          <w:color w:val="auto"/>
        </w:rPr>
      </w:pPr>
    </w:p>
    <w:p>
      <w:pPr>
        <w:jc w:val="both"/>
        <w:ind w:firstLine="757"/>
        <w:spacing w:after="0" w:line="253" w:lineRule="auto"/>
        <w:tabs>
          <w:tab w:leader="none" w:pos="101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Loan Parties and its Subsidiaries has good title to, or valid leasehold interests in, or rights to use, all its real and personal property, subject to Permitted Liens and except for defects in title, interests or rights that, individually or in the aggregate, could not reasonably be expected to result in a Material Adverse Effect.</w:t>
      </w:r>
    </w:p>
    <w:p>
      <w:pPr>
        <w:spacing w:after="0" w:line="176"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and each of its Subsidiaries is in compliance with all permits, licenses, authorizations, approvals, entitlements and accreditations of Governmental Authorities or otherwise that are required for such Person to lawfully own, lease, manage or operate, or to acquire, each business currently owned, leased, managed or operated, or to be acquired by such Person, other than those permits, licenses, authorizations, approvals, entitlements and accreditations the lack of which could not reasonably be expected to have, either individually or in the aggregate, a Material Adverse Effect. No condition exists or event has occurred which, in itself or with the giving of notice or lapse of time or both, would result in the suspension, revocation, impairment, forfeiture or non-renewal of any such permit, license, authorization, approval, entitlement or accreditation, and there is no claim that any of the foregoing is not in full force and effect, except where such suspension, revocation, impairment, forfeiture, non-renewal or claim could not reasonably be expected to have, either individually or in the aggregate, a Material Adverse Effect.</w:t>
      </w:r>
    </w:p>
    <w:p>
      <w:pPr>
        <w:spacing w:after="0" w:line="191"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Loan Parties and its Subsidiaries owns, or is licensed to use, all trademarks, tradenames, copyrights, patents and other intellectual property material to its business, and the use thereof by the Loan Parties and its Subsidiaries does not infringe upon the rights of any other Person, except for any such infringements that, individually or in the aggregate, could not reasonably be expected to result in a Material Adverse Effect.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3.06</w:t>
      </w:r>
      <w:r>
        <w:rPr>
          <w:rFonts w:ascii="Times New Roman" w:cs="Times New Roman" w:eastAsia="Times New Roman" w:hAnsi="Times New Roman"/>
          <w:sz w:val="20"/>
          <w:szCs w:val="20"/>
          <w:u w:val="single" w:color="auto"/>
          <w:color w:val="auto"/>
        </w:rPr>
        <w:t>Litigation and Environmental Matters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right="20" w:firstLine="757"/>
        <w:spacing w:after="0" w:line="249" w:lineRule="auto"/>
        <w:tabs>
          <w:tab w:leader="none" w:pos="1018"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actions, suits, proceedings or investigations by or before any arbitrator or Governmental Authority or any applicable self-regulatory organization pending against or, to the knowledge of any Loan Party, threatened in writing against the Loan Parties or any of its Subsidiaries or any of their respective properties (i) that could reasonably be expected, individually or in the aggregate, to result in a Material Adverse Effect or (ii) that involve this Agreement or the Transactions.</w:t>
      </w:r>
    </w:p>
    <w:p>
      <w:pPr>
        <w:spacing w:after="0" w:line="178" w:lineRule="exact"/>
        <w:rPr>
          <w:rFonts w:ascii="Times New Roman" w:cs="Times New Roman" w:eastAsia="Times New Roman" w:hAnsi="Times New Roman"/>
          <w:sz w:val="20"/>
          <w:szCs w:val="20"/>
          <w:color w:val="auto"/>
        </w:rPr>
      </w:pPr>
    </w:p>
    <w:p>
      <w:pPr>
        <w:jc w:val="both"/>
        <w:ind w:firstLine="757"/>
        <w:spacing w:after="0" w:line="263" w:lineRule="auto"/>
        <w:tabs>
          <w:tab w:leader="none" w:pos="1018"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Loan Party nor any of its Subsidiaries (i) has failed to comply with any Environmental Law or to obtain, maintain or comply with any permit, license or other approval required under any Environmental Law, (ii) has become subject to any Environmental Liability,</w:t>
      </w:r>
    </w:p>
    <w:p>
      <w:pPr>
        <w:spacing w:after="0" w:line="1" w:lineRule="exact"/>
        <w:rPr>
          <w:rFonts w:ascii="Times New Roman" w:cs="Times New Roman" w:eastAsia="Times New Roman" w:hAnsi="Times New Roman"/>
          <w:sz w:val="19"/>
          <w:szCs w:val="19"/>
          <w:color w:val="auto"/>
        </w:rPr>
      </w:pPr>
    </w:p>
    <w:p>
      <w:pPr>
        <w:ind w:firstLine="8"/>
        <w:spacing w:after="0" w:line="245" w:lineRule="auto"/>
        <w:tabs>
          <w:tab w:leader="none" w:pos="353"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received notice of any claim with respect to any Environmental Liability or (iv) knows of any basis for any Environmental Liability that, in each case, individually in the aggregate, could reasonably be expected to result in a Material Adverse Effect.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3.07</w:t>
      </w:r>
      <w:r>
        <w:rPr>
          <w:rFonts w:ascii="Times New Roman" w:cs="Times New Roman" w:eastAsia="Times New Roman" w:hAnsi="Times New Roman"/>
          <w:sz w:val="20"/>
          <w:szCs w:val="20"/>
          <w:u w:val="single" w:color="auto"/>
          <w:color w:val="auto"/>
        </w:rPr>
        <w:t>Compliance with Laws and Agreements; No Default</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53" w:lineRule="auto"/>
        <w:tabs>
          <w:tab w:leader="none" w:pos="1018"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and its Subsidiaries is in compliance with all Requirements of Law applicable to it or its property and all indentures, agreements and other instruments binding upon it or its property, except where the failure to do so, individually or in the aggregate, could not reasonably be expected to result in a Material Adverse Effect.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8" w:name="page159"/>
    <w:bookmarkEnd w:id="158"/>
    <w:p>
      <w:pPr>
        <w:ind w:left="760"/>
        <w:spacing w:after="0"/>
        <w:rPr>
          <w:sz w:val="20"/>
          <w:szCs w:val="20"/>
          <w:color w:val="auto"/>
        </w:rPr>
      </w:pPr>
      <w:r>
        <w:rPr>
          <w:rFonts w:ascii="Times New Roman" w:cs="Times New Roman" w:eastAsia="Times New Roman" w:hAnsi="Times New Roman"/>
          <w:sz w:val="20"/>
          <w:szCs w:val="20"/>
          <w:color w:val="auto"/>
        </w:rPr>
        <w:t>(b) No Default has occurred and is continuing.</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SECTION 3.08</w:t>
      </w:r>
      <w:r>
        <w:rPr>
          <w:rFonts w:ascii="Times New Roman" w:cs="Times New Roman" w:eastAsia="Times New Roman" w:hAnsi="Times New Roman"/>
          <w:sz w:val="20"/>
          <w:szCs w:val="20"/>
          <w:u w:val="single" w:color="auto"/>
          <w:color w:val="auto"/>
        </w:rPr>
        <w:t>Investment Company Status</w:t>
      </w:r>
      <w:r>
        <w:rPr>
          <w:rFonts w:ascii="Times New Roman" w:cs="Times New Roman" w:eastAsia="Times New Roman" w:hAnsi="Times New Roman"/>
          <w:sz w:val="20"/>
          <w:szCs w:val="20"/>
          <w:color w:val="auto"/>
        </w:rPr>
        <w:t>. No Loan Party nor any of its Subsidiaries is an “investment company” as defined in, or subject to regulation under the Investment Company Act of 1940.</w:t>
      </w:r>
    </w:p>
    <w:p>
      <w:pPr>
        <w:spacing w:after="0" w:line="161"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SECTION 3.09</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Each Loan Party and its Subsidiaries has timely filed or caused to be filed all Tax returns and reports required to have been filed and has paid or caused to be paid all Taxes assessments, claims and governmental charges levied or imposed upon them or their properties, income or assets or otherwise due and payable, except (a) Taxes that are being contested in good faith by appropriate proceedings diligently conducted and for which such Loan Party or such Subsidiary, as applicable, has set aside on its books adequate reserves in accordance with GAAP and (b) to the extent that the failure to do so could not reasonably be expected to result in a Material Adverse Effect.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3.10</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5" w:lineRule="auto"/>
        <w:tabs>
          <w:tab w:leader="none" w:pos="101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ERISA Event has occurred or is reasonably expected to occur that, when taken together with all other such ERISA Events for which liability is reasonably expected to occur, could reasonably be expected to result in a Material Adverse Effect. Except as could not reasonably be expected to result in a Material Adverse Effect, with respect to each Plan, the “funding target,” as defined in Section 430(d)(1) of the Code, with respect to such Plan, does not exceed the fair market value of all such Plan’s assets, as determined pursuant to Section 430(g) of the Code, all determined as of the then-most recent valuation date for such Plan using the actuarial assumptions used to determine the Plan’s “funding target attainment” percentage as defined in Section 430(d) of the Code.</w:t>
      </w:r>
    </w:p>
    <w:p>
      <w:pPr>
        <w:spacing w:after="0" w:line="182"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holds or will hold Plan Assets or “plan assets” of any governmental plan that is subject to laws or regulations similar to Section 406 of ERISA or 4975 of the Code (“</w:t>
      </w:r>
      <w:r>
        <w:rPr>
          <w:rFonts w:ascii="Times New Roman" w:cs="Times New Roman" w:eastAsia="Times New Roman" w:hAnsi="Times New Roman"/>
          <w:sz w:val="20"/>
          <w:szCs w:val="20"/>
          <w:u w:val="single" w:color="auto"/>
          <w:color w:val="auto"/>
        </w:rPr>
        <w:t>Similar Law</w:t>
      </w:r>
      <w:r>
        <w:rPr>
          <w:rFonts w:ascii="Times New Roman" w:cs="Times New Roman" w:eastAsia="Times New Roman" w:hAnsi="Times New Roman"/>
          <w:sz w:val="20"/>
          <w:szCs w:val="20"/>
          <w:color w:val="auto"/>
        </w:rPr>
        <w:t>”). None of the transactions contemplated under the Loan Documents constitutes or will result in a non-exempt prohibited transaction under Section 406 of ERISA or Section 4975 of the Code or any violation of applicable Similar Law.</w:t>
      </w:r>
    </w:p>
    <w:p>
      <w:pPr>
        <w:spacing w:after="0" w:line="178"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to result in a Material Adverse Effect, (i) each Foreign Pension Plan has been maintained in compliance with its terms and with the requirements of any and all applicable laws, statutes, rules, regulations and orders and has been maintained, where required, in good standing with applicable regulatory authorities; (ii) all contributions required to be made with respect to a Foreign Pension Plan have been timely made; (iii) neither the Borrower nor any of its Subsidiaries has incurred any obligation in connection with the termination of, or withdrawal from, any Foreign Pension Plan; and (iv) the present value of the accrued benefit liabilities (whether or not vested) under each Foreign Pension Plan, determined as of the end of the Borrower’s most recently ended fiscal year on the basis of actuarial assumptions, each of which is reasonable, did not exceed the current value of the assets of such Foreign Pension Plan allocable to such benefit liabilities.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3.11</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4" w:lineRule="auto"/>
        <w:tabs>
          <w:tab w:leader="none" w:pos="1018"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has disclosed to the Lenders all agreements, instruments and corporate or other restrictions to which it or any Subsidiary is subject, and all other matters known to it, that, individually or in the aggregate, could reasonably be expected to result in a Material Adverse Effect. None of the reports, financial statements, certificates or other written information (when taken together with the Borrower’s most recently (as of the date hereof) filed and publicly available 10-K and 10-Q, and 8-Ks filed at any time following such 10-K, in each case with the SEC) (other than any projected financial information or other forward-looking information or information of a general economic or general industry specific nature) furnished by or on behalf of any Loan Party to the Administrative Agent or any Lender in connection with</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9" w:name="page160"/>
    <w:bookmarkEnd w:id="159"/>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the negotiation of this Agreement or any other Loan Document (as modified or supplemented by other information so furnished) contains any material misstatement of fact or omits to state any material fact necessary to make the statements therein (taken as a whole), in the light of the circumstances under which they were made, not materially misleading;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with respect to projected financial information or other forward-looking information or information of a general economic or general industry specific nature, the Borrower represents only that such information was prepared in good faith based upon assumptions believed to be reasonable at the time (it being understood that any such information may differ from actual results and such differences may be material).</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(b) As of the Effective Date, the information included in the Beneficial Ownership Certification is true, complete and correct in 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respects.</w:t>
      </w:r>
    </w:p>
    <w:p>
      <w:pPr>
        <w:spacing w:after="0" w:line="193" w:lineRule="exact"/>
        <w:rPr>
          <w:sz w:val="20"/>
          <w:szCs w:val="20"/>
          <w:color w:val="auto"/>
        </w:rPr>
      </w:pPr>
    </w:p>
    <w:p>
      <w:pPr>
        <w:jc w:val="both"/>
        <w:ind w:firstLine="749"/>
        <w:spacing w:after="0" w:line="241" w:lineRule="exact"/>
        <w:rPr>
          <w:sz w:val="20"/>
          <w:szCs w:val="20"/>
          <w:color w:val="auto"/>
        </w:rPr>
      </w:pPr>
      <w:r>
        <w:rPr>
          <w:rFonts w:ascii="Times New Roman" w:cs="Times New Roman" w:eastAsia="Times New Roman" w:hAnsi="Times New Roman"/>
          <w:sz w:val="20"/>
          <w:szCs w:val="20"/>
          <w:color w:val="auto"/>
        </w:rPr>
        <w:t xml:space="preserve">SECTION 3.12 </w:t>
      </w:r>
      <w:r>
        <w:rPr>
          <w:rFonts w:ascii="Times New Roman" w:cs="Times New Roman" w:eastAsia="Times New Roman" w:hAnsi="Times New Roman"/>
          <w:sz w:val="20"/>
          <w:szCs w:val="20"/>
          <w:u w:val="single" w:color="auto"/>
          <w:color w:val="auto"/>
        </w:rPr>
        <w:t>Capitalization and Subsidiaries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3.12</w:t>
      </w:r>
      <w:r>
        <w:rPr>
          <w:rFonts w:ascii="Times New Roman" w:cs="Times New Roman" w:eastAsia="Times New Roman" w:hAnsi="Times New Roman"/>
          <w:sz w:val="20"/>
          <w:szCs w:val="20"/>
          <w:color w:val="auto"/>
        </w:rPr>
        <w:t xml:space="preserve"> sets forth, as of the date hereof, (a) a correct and complete list of the name, and identifies the direct equity holders (including the percentage ownership thereof), of each and all of the Borrower’s direct and indirect Subsidiaries, (b) the type of entity and jurisdiction of organization of the Borrower and each of its Subsidiaries, and (c) which of the Borrower’s Subsidiaries are Material Domestic Subsidiaries and Material Foreign Subsidiaries. All of the issued and outstanding Equity Interests of any Subsidiary owned by any Loan Party have been (to the extent such concepts are relevant with respect to such ownership interests) duly authorized and issued and are fully paid and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assessable.</w:t>
      </w:r>
    </w:p>
    <w:p>
      <w:pPr>
        <w:spacing w:after="0" w:line="16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SECTION 3.13</w:t>
      </w:r>
      <w:r>
        <w:rPr>
          <w:rFonts w:ascii="Times New Roman" w:cs="Times New Roman" w:eastAsia="Times New Roman" w:hAnsi="Times New Roman"/>
          <w:sz w:val="20"/>
          <w:szCs w:val="20"/>
          <w:u w:val="single" w:color="auto"/>
          <w:color w:val="auto"/>
        </w:rPr>
        <w:t>Security Interest in Collateral</w:t>
      </w:r>
      <w:r>
        <w:rPr>
          <w:rFonts w:ascii="Times New Roman" w:cs="Times New Roman" w:eastAsia="Times New Roman" w:hAnsi="Times New Roman"/>
          <w:sz w:val="20"/>
          <w:szCs w:val="20"/>
          <w:color w:val="auto"/>
        </w:rPr>
        <w:t>. The provisions of this Agreement and the other Loan Documents create legal and valid Liens on all of the Collateral in favor of the Administrative Agent, for the benefit of the Secured Parties, and such Liens constitute perfected and continuing Liens on the Collateral in which a security interest can be perfected by filing a UCC financing statement, securing the Secured Obligations, enforceable against the applicable Loan Party and all third parties, and having priority over all other Liens on the Collateral except in the case of (a) Permitted Liens, to the extent any such Permitted Liens would have priority over the Liens in favor of the Administrative Agent pursuant to any applicable law or agreement, and (b) Liens perfected only by possession (including possession of any certificate of title), to the extent the Administrative Agent has not obtained or does not maintain possession of such Collateral.</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3.14</w:t>
      </w:r>
      <w:r>
        <w:rPr>
          <w:rFonts w:ascii="Times New Roman" w:cs="Times New Roman" w:eastAsia="Times New Roman" w:hAnsi="Times New Roman"/>
          <w:sz w:val="20"/>
          <w:szCs w:val="20"/>
          <w:u w:val="single" w:color="auto"/>
          <w:color w:val="auto"/>
        </w:rPr>
        <w:t>Federal Reserve Regulations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firstLine="757"/>
        <w:spacing w:after="0" w:line="268" w:lineRule="auto"/>
        <w:tabs>
          <w:tab w:leader="none" w:pos="1018"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part of the proceeds of any Loan or Letter of Credit has been used or will be used, whether directly or indirectly, for any purpose that entails a violation of any of the Regulations of the Board, including Regulations T, U and X.</w:t>
      </w:r>
    </w:p>
    <w:p>
      <w:pPr>
        <w:spacing w:after="0" w:line="160"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is engaged and will not engage, principally or as one of its important activities, in the business of purchasing or carrying margin stock (within the meaning of Regulation U), or extending credit for the purpose of purchasing or carrying margin stock.</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3.15</w:t>
      </w:r>
      <w:r>
        <w:rPr>
          <w:rFonts w:ascii="Times New Roman" w:cs="Times New Roman" w:eastAsia="Times New Roman" w:hAnsi="Times New Roman"/>
          <w:sz w:val="20"/>
          <w:szCs w:val="20"/>
          <w:u w:val="single" w:color="auto"/>
          <w:color w:val="auto"/>
        </w:rPr>
        <w:t>Anti-Corruption Laws and Sanctions; USA PATRIOT Act</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5" w:lineRule="auto"/>
        <w:tabs>
          <w:tab w:leader="none" w:pos="1018"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has implemented and maintains in effect policies and procedures designed to ensure compliance by such Loan Party, its Subsidiaries and their respective directors, officers, employees and agents with Anti-Corruption Laws and applicable Sanctions, and such Loan Party, its Subsidiaries and their respective officers and employees and, to the knowledge of such Loan Party, its directors and agents, are in compliance with Anti-Corruption Laws and applicable Sanctions in all material respects. None of (a) any Loan Party, any Subsidiary or, to the knowledge of any such Loan Party or Subsidiary, any of their respective directors, officers or employees, or (b) to the knowledge of any such Loan Party or Subsidiary,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60" w:name="page161"/>
    <w:bookmarkEnd w:id="160"/>
    <w:p>
      <w:pPr>
        <w:jc w:val="both"/>
        <w:spacing w:after="0" w:line="253" w:lineRule="auto"/>
        <w:rPr>
          <w:sz w:val="20"/>
          <w:szCs w:val="20"/>
          <w:color w:val="auto"/>
        </w:rPr>
      </w:pPr>
      <w:r>
        <w:rPr>
          <w:rFonts w:ascii="Times New Roman" w:cs="Times New Roman" w:eastAsia="Times New Roman" w:hAnsi="Times New Roman"/>
          <w:sz w:val="20"/>
          <w:szCs w:val="20"/>
          <w:color w:val="auto"/>
        </w:rPr>
        <w:t>any agent of such Loan Party or any Subsidiary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Anti-Corruption Laws or applicable Sanctions.</w:t>
      </w:r>
    </w:p>
    <w:p>
      <w:pPr>
        <w:spacing w:after="0" w:line="176" w:lineRule="exact"/>
        <w:rPr>
          <w:sz w:val="20"/>
          <w:szCs w:val="20"/>
          <w:color w:val="auto"/>
        </w:rPr>
      </w:pPr>
    </w:p>
    <w:p>
      <w:pPr>
        <w:ind w:firstLine="757"/>
        <w:spacing w:after="0" w:line="268" w:lineRule="auto"/>
        <w:tabs>
          <w:tab w:leader="none" w:pos="101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is in compliance, in all material respects, with the USA PATRIOT Act and any applicable anti-money laundering laws and regulations.</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3.16</w:t>
      </w:r>
      <w:r>
        <w:rPr>
          <w:rFonts w:ascii="Times New Roman" w:cs="Times New Roman" w:eastAsia="Times New Roman" w:hAnsi="Times New Roman"/>
          <w:sz w:val="20"/>
          <w:szCs w:val="20"/>
          <w:u w:val="single" w:color="auto"/>
          <w:color w:val="auto"/>
        </w:rPr>
        <w:t>Not an Affected Financial Institution</w:t>
      </w:r>
      <w:r>
        <w:rPr>
          <w:rFonts w:ascii="Times New Roman" w:cs="Times New Roman" w:eastAsia="Times New Roman" w:hAnsi="Times New Roman"/>
          <w:sz w:val="20"/>
          <w:szCs w:val="20"/>
          <w:color w:val="auto"/>
        </w:rPr>
        <w:t>. No Loan Party is an Affected Financial Institution.</w:t>
      </w:r>
    </w:p>
    <w:p>
      <w:pPr>
        <w:spacing w:after="0" w:line="21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9"/>
          <w:szCs w:val="19"/>
          <w:color w:val="auto"/>
        </w:rPr>
        <w:t>SECTION 3.17</w:t>
      </w:r>
      <w:r>
        <w:rPr>
          <w:rFonts w:ascii="Times New Roman" w:cs="Times New Roman" w:eastAsia="Times New Roman" w:hAnsi="Times New Roman"/>
          <w:sz w:val="19"/>
          <w:szCs w:val="19"/>
          <w:u w:val="single" w:color="auto"/>
          <w:color w:val="auto"/>
        </w:rPr>
        <w:t>Solvency</w:t>
      </w:r>
      <w:r>
        <w:rPr>
          <w:rFonts w:ascii="Times New Roman" w:cs="Times New Roman" w:eastAsia="Times New Roman" w:hAnsi="Times New Roman"/>
          <w:sz w:val="19"/>
          <w:szCs w:val="19"/>
          <w:color w:val="auto"/>
        </w:rPr>
        <w:t>. (a) The fair value of the assets of the Loan Parties and their Subsidiaries, taken as a whole, at a fair valuation, exceeds their debts and liabilities, subordinated, contingent or otherwise; (b) the present fair saleable value of the property of the Loan Parties and their Subsidiaries, taken as a whole, is greater than the amount that will be required to pay the probable liability of their debts and other liabilities, subordinated, contingent or otherwise, as such debts and other liabilities become absolute and matured; (c) the Loan Parties will be able to pay their debts and liabilities, subordinated, contingent or otherwise, as such debts and liabilities become absolute and matured; and (d) the Loan Parties and their Subsidiaries, taken as a whole, will not have unreasonably small capital with which to conduct the business in which they are engaged as such business is now conducted and is proposed to be conducted after the Effective Date.</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3.18</w:t>
      </w:r>
      <w:r>
        <w:rPr>
          <w:rFonts w:ascii="Times New Roman" w:cs="Times New Roman" w:eastAsia="Times New Roman" w:hAnsi="Times New Roman"/>
          <w:sz w:val="20"/>
          <w:szCs w:val="20"/>
          <w:u w:val="single" w:color="auto"/>
          <w:color w:val="auto"/>
        </w:rPr>
        <w:t>Governmental Authorities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1" w:lineRule="auto"/>
        <w:tabs>
          <w:tab w:leader="none" w:pos="1018"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nor its Subsidiaries is subject to any obligation arising under any regulatory action, proceeding or investigation by or on behalf of a Governmental Authority, warning letter, notice of violation letter, consent decree, or other enforcement action by a Governmental Authority and, to the knowledge of each Loan Party and its Subsidiaries, no such obligation has been threatened, verbally or in writing, in each case that would reasonably be expected to have a Material Adverse Effect. To the knowledge of each Loan Party and its Subsidiaries, there is no act, omission or event that would reasonably be expected to give rise to or lead to, any civil, criminal or administrative action, suit, demand, claim, complaint, hearing, investigation, demand letter, warning letter or enforcement proceeding against any Loan Party or its Subsidiaries, and, to each Loan Party’s and its Subsidiary’s knowledge, no Loan Party nor its Subsidiaries has any liability (whether actual or contingent), in each case that would reasonably be expected to have a Material Adverse Effect. There has not been any material violation of any securities laws or consumer protection laws by any Loan Party or its Subsidiaries that could reasonably be expected to require or lead to investigation, enforcement, regulatory or administrative action by the Department of the Treasury, SEC, FDIC, CFPB, FTC or any comparable Governmental Authority (including state and local agencies), in each case that would reasonably be expected, in the aggregate, to have a Material Adverse Effect. To the knowledge of each Loan Party and each of their respective Subsidiaries, there are no civil or criminal proceedings relating to any Loan Party or its Subsidiaries or any officer, director or employee of any Loan Party or Subsidiary of any Loan Party that involve a matter within or related to the Department of the Treasury’s, SEC’s, FDIC’s, CFPB’s, FTC’s or any comparable federal or state Governmental Authority’s jurisdiction.</w:t>
      </w:r>
    </w:p>
    <w:p>
      <w:pPr>
        <w:spacing w:after="0" w:line="190"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nor its Subsidiaries is currently undergoing any investigation by SEC, FTC or any other Governmental Authority investigation that could reasonably be expected to have a Material Adverse Effect.</w:t>
      </w:r>
    </w:p>
    <w:p>
      <w:pPr>
        <w:spacing w:after="0" w:line="161" w:lineRule="exact"/>
        <w:rPr>
          <w:sz w:val="20"/>
          <w:szCs w:val="20"/>
          <w:color w:val="auto"/>
        </w:rPr>
      </w:pPr>
    </w:p>
    <w:p>
      <w:pPr>
        <w:ind w:right="20" w:firstLine="749"/>
        <w:spacing w:after="0" w:line="268" w:lineRule="auto"/>
        <w:rPr>
          <w:sz w:val="20"/>
          <w:szCs w:val="20"/>
          <w:color w:val="auto"/>
        </w:rPr>
      </w:pPr>
      <w:r>
        <w:rPr>
          <w:rFonts w:ascii="Times New Roman" w:cs="Times New Roman" w:eastAsia="Times New Roman" w:hAnsi="Times New Roman"/>
          <w:sz w:val="20"/>
          <w:szCs w:val="20"/>
          <w:color w:val="auto"/>
        </w:rPr>
        <w:t>SECTION 3.19</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As of the Effective Date, all premiums in respect of such insurance have been paid. The Borrower maintains, and has caused each Material Domestic Subsidiary to maintain,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61" w:name="page162"/>
    <w:bookmarkEnd w:id="161"/>
    <w:p>
      <w:pPr>
        <w:jc w:val="both"/>
        <w:spacing w:after="0" w:line="253" w:lineRule="auto"/>
        <w:rPr>
          <w:sz w:val="20"/>
          <w:szCs w:val="20"/>
          <w:color w:val="auto"/>
        </w:rPr>
      </w:pPr>
      <w:r>
        <w:rPr>
          <w:rFonts w:ascii="Times New Roman" w:cs="Times New Roman" w:eastAsia="Times New Roman" w:hAnsi="Times New Roman"/>
          <w:sz w:val="20"/>
          <w:szCs w:val="20"/>
          <w:color w:val="auto"/>
        </w:rPr>
        <w:t>with financially sound and reputable insurance companies, insurance on all their real and personal property in such amounts, subject to such deductibles and self-insurance retentions and covering such properties and risks as are adequate and customarily maintained by companies engaged in the same or similar businesses operating in the same or similar locations.</w:t>
      </w:r>
    </w:p>
    <w:p>
      <w:pPr>
        <w:spacing w:after="0" w:line="17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SECTION 3.20</w:t>
      </w:r>
      <w:r>
        <w:rPr>
          <w:rFonts w:ascii="Times New Roman" w:cs="Times New Roman" w:eastAsia="Times New Roman" w:hAnsi="Times New Roman"/>
          <w:sz w:val="20"/>
          <w:szCs w:val="20"/>
          <w:u w:val="single" w:color="auto"/>
          <w:color w:val="auto"/>
        </w:rPr>
        <w:t>Employee Relations</w:t>
      </w:r>
      <w:r>
        <w:rPr>
          <w:rFonts w:ascii="Times New Roman" w:cs="Times New Roman" w:eastAsia="Times New Roman" w:hAnsi="Times New Roman"/>
          <w:sz w:val="20"/>
          <w:szCs w:val="20"/>
          <w:color w:val="auto"/>
        </w:rPr>
        <w:t>. As of the Effective Date, no Loan Party nor any Subsidiary thereof is party to any collective bargaining agreement, nor has any labor union been recognized as the representative of its employees. The Borrower knows of no pending or threatened in writing strikes, work stoppage or other collective labor disputes involving its employees or those of its Subsidiaries that, individually or in the aggregate, could reasonably be expected to have a Material Adverse Effect.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3.21</w:t>
      </w:r>
      <w:r>
        <w:rPr>
          <w:rFonts w:ascii="Times New Roman" w:cs="Times New Roman" w:eastAsia="Times New Roman" w:hAnsi="Times New Roman"/>
          <w:sz w:val="20"/>
          <w:szCs w:val="20"/>
          <w:u w:val="single" w:color="auto"/>
          <w:color w:val="auto"/>
        </w:rPr>
        <w:t>Data Security; Privacy</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6" w:lineRule="auto"/>
        <w:tabs>
          <w:tab w:leader="none" w:pos="1018"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individually or in the aggregate would not reasonably be expected to have a Material Adverse Effect, (i) no Loan Party or any of its Subsidiaries has lost or had stolen any cardholder account information, information related to cardholder accounts (including social security numbers) or merchant information and (ii) each Loan Party and each of its Subsidiaries has complied with all applicable laws, requirements of Governmental Authorities and the requirements of all PCI Compliance Programs related to data security, and the protection, use, storage, handling and processing of personal information, including credit card information.</w:t>
      </w:r>
    </w:p>
    <w:p>
      <w:pPr>
        <w:spacing w:after="0" w:line="183"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individually or in the aggregate would not reasonably be expected to have a Material Adverse Effect, (i) each applicable Loan Party and each of its Subsidiaries has complied with all Requirements of Law related to data security, and the protection, use, storage, handling and processing of Personal Information, (ii) each applicable Loan Party and each of its Subsidiaries has implemented and is in compliance with technical and organizational measures to assure the integrity and security of (x) transactions executed through its gateway, platform and computer systems and (y) all confidential or proprietary data, including Personal Information, possessed or retained by or on behalf of any Loan Party or any of its Subsidiaries, (iii) there has been no actual or alleged breach of security or unauthorized access to or acquisition, use, loss, destruction, compromise or disclosure of any Personal Information, confidential or proprietary data or any other such information maintained or stored by, or on behalf of, any Loan Party or any of its Subsidiaries involving data of merchants, suppliers, customers, clients, cardholders or other Persons and (iv) there have been no facts or circumstances that would require any Loan Party or any of its Subsidiaries to give notice to any merchants, suppliers, customers, clients, cardholders or other Persons of any actual or perceived data security breaches pursuant to the requirements of all PCI Compliance Programs or applicable Requirements of Law requiring notice of such a breach.</w:t>
      </w:r>
    </w:p>
    <w:p>
      <w:pPr>
        <w:spacing w:after="0" w:line="195"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individually or in the aggregate would not reasonably be expected to have a Material Adverse Effect, (i) the Borrower and its Subsidiaries are in compliance with all Requirements of Law, contractual obligations, and internal and published corporate policies and procedures governing the privacy, security, collection, use, storage, processing, disclosure, transmission, and sharing of all Personal Information, (ii) the Borrower and its Subsidiaries have provided all notices and obtained all consents as required by Requirements of Law, and (iii) no Person has brought any complaint, claim, or action against the Borrower and its Subsidiaries regarding any alleged violation under Requirements of Law regarding their Personal Information.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20"/>
          <w:szCs w:val="20"/>
          <w:color w:val="auto"/>
        </w:rPr>
        <w:t>ARTICLE IV</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CONDITIONS</w:t>
      </w:r>
    </w:p>
    <w:p>
      <w:pPr>
        <w:spacing w:after="0" w:line="215" w:lineRule="exact"/>
        <w:rPr>
          <w:sz w:val="20"/>
          <w:szCs w:val="20"/>
          <w:color w:val="auto"/>
        </w:rPr>
      </w:pPr>
    </w:p>
    <w:p>
      <w:pPr>
        <w:jc w:val="both"/>
        <w:ind w:right="20" w:firstLine="749"/>
        <w:spacing w:after="0" w:line="295" w:lineRule="auto"/>
        <w:rPr>
          <w:sz w:val="20"/>
          <w:szCs w:val="20"/>
          <w:color w:val="auto"/>
        </w:rPr>
      </w:pPr>
      <w:r>
        <w:rPr>
          <w:rFonts w:ascii="Times New Roman" w:cs="Times New Roman" w:eastAsia="Times New Roman" w:hAnsi="Times New Roman"/>
          <w:sz w:val="19"/>
          <w:szCs w:val="19"/>
          <w:color w:val="auto"/>
        </w:rPr>
        <w:t xml:space="preserve">SECTION 4.01 </w:t>
      </w:r>
      <w:r>
        <w:rPr>
          <w:rFonts w:ascii="Times New Roman" w:cs="Times New Roman" w:eastAsia="Times New Roman" w:hAnsi="Times New Roman"/>
          <w:sz w:val="19"/>
          <w:szCs w:val="19"/>
          <w:u w:val="single" w:color="auto"/>
          <w:color w:val="auto"/>
        </w:rPr>
        <w:t>Conditions to Initial Loans</w:t>
      </w:r>
      <w:r>
        <w:rPr>
          <w:rFonts w:ascii="Times New Roman" w:cs="Times New Roman" w:eastAsia="Times New Roman" w:hAnsi="Times New Roman"/>
          <w:sz w:val="19"/>
          <w:szCs w:val="19"/>
          <w:color w:val="auto"/>
        </w:rPr>
        <w:t xml:space="preserve">. The obligations of the Lenders to make Loans and of the Issuing Banks to issue Letters of Credit hereunder shall not become effective until each of the following conditions is satisfied (or waived in accordance with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w:t>
      </w:r>
    </w:p>
    <w:p>
      <w:pPr>
        <w:spacing w:after="0" w:line="137" w:lineRule="exact"/>
        <w:rPr>
          <w:sz w:val="20"/>
          <w:szCs w:val="20"/>
          <w:color w:val="auto"/>
        </w:rPr>
      </w:pPr>
    </w:p>
    <w:p>
      <w:pPr>
        <w:jc w:val="both"/>
        <w:ind w:firstLine="757"/>
        <w:spacing w:after="0" w:line="242" w:lineRule="auto"/>
        <w:tabs>
          <w:tab w:leader="none" w:pos="101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Credit Agreement and Other Loan Documents</w:t>
      </w:r>
      <w:r>
        <w:rPr>
          <w:rFonts w:ascii="Times New Roman" w:cs="Times New Roman" w:eastAsia="Times New Roman" w:hAnsi="Times New Roman"/>
          <w:sz w:val="20"/>
          <w:szCs w:val="20"/>
          <w:color w:val="auto"/>
        </w:rPr>
        <w:t xml:space="preserve">. The Administrative Agent (or its counsel) shall have received (i) from each party hereto either (A) a counterpart of this Agreement signed on behalf of such party or (B) written evidence satisfactory to the Administrative Agent (which may include fax or other electronic transmission of a signed signature page of this Agreement) that such party has signed a counterpart of this Agreement (which may include any Electronic Signatures transmitted by telecopy, emailed pdf. or any or other electronic means that reproduces an image of an actual executed signature page) and (ii) duly executed copies of any other Loan Documents to be entered into as of the date hereof and such other certificates, documents, instruments and agreements as the Administrative Agent shall reasonably request be delivered on the Effective Date in connection with the transactions contemplated by this Agreement and the other Loan Documents, including any Notes requested by a Lender pursuant to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payable to such requesting Lender and its registered assigns and a written opinion of the Loan Parties’ counsel, addressed to the Administrative Agent, the Issuing Banks and the Lenders and in form and substance reasonably satisfactory to the Administrative Agent.</w:t>
      </w:r>
    </w:p>
    <w:p>
      <w:pPr>
        <w:spacing w:after="0" w:line="189"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Statements and Projections</w:t>
      </w:r>
      <w:r>
        <w:rPr>
          <w:rFonts w:ascii="Times New Roman" w:cs="Times New Roman" w:eastAsia="Times New Roman" w:hAnsi="Times New Roman"/>
          <w:sz w:val="20"/>
          <w:szCs w:val="20"/>
          <w:color w:val="auto"/>
        </w:rPr>
        <w:t xml:space="preserve">. The Lenders shall have received (i) audited consolidated financial statements of the Borrower and its Subsidiaries for the two most recent fiscal years ended prior to the Effective Date as to which such financial statements are available, (ii) unaudited interim consolidated financial statements of the Borrower for each quarterly period ended subsequent to the date of the latest financial statements delivered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this paragraph as to which such financial statements are available and (iii) reasonably satisfactory annual financial statement projections (which shall include balance sheet, income and cash flow statement projections) through and including the Borrower’s 2028 fiscal year, together with such information as reasonably requested by the Lead Arranger (including a detailed description of the assumptions used in preparing such projections).</w:t>
      </w:r>
    </w:p>
    <w:p>
      <w:pPr>
        <w:spacing w:after="0" w:line="183" w:lineRule="exact"/>
        <w:rPr>
          <w:rFonts w:ascii="Times New Roman" w:cs="Times New Roman" w:eastAsia="Times New Roman" w:hAnsi="Times New Roman"/>
          <w:sz w:val="20"/>
          <w:szCs w:val="20"/>
          <w:color w:val="auto"/>
        </w:rPr>
      </w:pPr>
    </w:p>
    <w:p>
      <w:pPr>
        <w:jc w:val="both"/>
        <w:ind w:firstLine="757"/>
        <w:spacing w:after="0" w:line="234" w:lineRule="exact"/>
        <w:tabs>
          <w:tab w:leader="none" w:pos="101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Certificates</w:t>
      </w:r>
      <w:r>
        <w:rPr>
          <w:rFonts w:ascii="Times New Roman" w:cs="Times New Roman" w:eastAsia="Times New Roman" w:hAnsi="Times New Roman"/>
          <w:sz w:val="20"/>
          <w:szCs w:val="20"/>
          <w:color w:val="auto"/>
        </w:rPr>
        <w:t>. The Administrative Agent shall have received (i) a certificate (in form and substance satisfactory to the Administrative Agent) of each Loan Party, dated the Effective Date and executed by its Secretary, Assistant Secretary or other Responsible Officer, which shall (A) certify the resolutions of its board of directors, members or other body authorizing the execution, delivery and performance of the Loan Documents to which it is a party, (B) identify by name and title and bear the signatures of the Financial Officers and any other officers of such Loan Party authorized to sign the Loan Documents to which it is a party, and (C) contain appropriate attachments, including the certificate or articles of incorporation or organization of each Loan Party certified by the relevant authority of the jurisdiction of organization of such Loan Party and a true and correct copy of its by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laws or operating, management or partnership agreement, and (ii) a long form good standing certificate dated as of a recent date for each Loan Party from its jurisdiction of organization.</w:t>
      </w:r>
    </w:p>
    <w:p>
      <w:pPr>
        <w:spacing w:after="0" w:line="192"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 Certificate</w:t>
      </w:r>
      <w:r>
        <w:rPr>
          <w:rFonts w:ascii="Times New Roman" w:cs="Times New Roman" w:eastAsia="Times New Roman" w:hAnsi="Times New Roman"/>
          <w:sz w:val="20"/>
          <w:szCs w:val="20"/>
          <w:color w:val="auto"/>
        </w:rPr>
        <w:t xml:space="preserve">. The Administrative Agent shall have received a certificate (in form and substance satisfactory to the Administrative Agent), signed by the chief financial officer of the Borrower on the Effective Date (i) stating that no Default has occurred and is continuing, (ii) stating that the representations and warranties contained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are true and correct in all material respects as of such date except that (a) to the extent that such representations and warranties specifically refer to an earlier date, such representations and warranties shall be true and correct in all material respects as of such earlier date and (b) any representation and warranty that is qualified as to “materiality” or “Material Adverse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63" w:name="page164"/>
    <w:bookmarkEnd w:id="163"/>
    <w:p>
      <w:pPr>
        <w:spacing w:after="0" w:line="268" w:lineRule="auto"/>
        <w:rPr>
          <w:sz w:val="20"/>
          <w:szCs w:val="20"/>
          <w:color w:val="auto"/>
        </w:rPr>
      </w:pPr>
      <w:r>
        <w:rPr>
          <w:rFonts w:ascii="Times New Roman" w:cs="Times New Roman" w:eastAsia="Times New Roman" w:hAnsi="Times New Roman"/>
          <w:sz w:val="20"/>
          <w:szCs w:val="20"/>
          <w:color w:val="auto"/>
        </w:rPr>
        <w:t>Effect” shall be true and correct in all respects, and (iii) certifying as to any other factual matters as may be reasonably requested by the Administrative Agent.</w:t>
      </w:r>
    </w:p>
    <w:p>
      <w:pPr>
        <w:spacing w:after="0" w:line="161" w:lineRule="exact"/>
        <w:rPr>
          <w:sz w:val="20"/>
          <w:szCs w:val="20"/>
          <w:color w:val="auto"/>
        </w:rPr>
      </w:pPr>
    </w:p>
    <w:p>
      <w:pPr>
        <w:jc w:val="both"/>
        <w:ind w:firstLine="757"/>
        <w:spacing w:after="0" w:line="246" w:lineRule="auto"/>
        <w:tabs>
          <w:tab w:leader="none" w:pos="1018"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The Lenders and the Administrative Agent shall have received all fees required to be paid on or before the Effective Date, and all expenses (including the reasonable fees and expenses of outside legal counsel) for which invoices have been presented no later than two (2) Business Days prior to the Effective Date (or a shorter period as reasonably agreed to by the Borrower). All such amounts will be paid with proceeds of Loans made on the Effective Date and will be reflected in the funding instructions given by the Borrower to the Administrative Agent on or before the Effective Date.</w:t>
      </w:r>
    </w:p>
    <w:p>
      <w:pPr>
        <w:spacing w:after="0" w:line="183"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Lien Searches</w:t>
      </w:r>
      <w:r>
        <w:rPr>
          <w:rFonts w:ascii="Times New Roman" w:cs="Times New Roman" w:eastAsia="Times New Roman" w:hAnsi="Times New Roman"/>
          <w:sz w:val="20"/>
          <w:szCs w:val="20"/>
          <w:color w:val="auto"/>
        </w:rPr>
        <w:t xml:space="preserve">. The Administrative Agent shall have received the results of recent customary lien searches (including with respect to intellectual property), and such searches shall reveal no liens on any of the assets of the Loan Parties except for liens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or discharged on or prior to the Effective Date pursuant to a payoff letter or other documentation reasonably satisfactory to the Administrative Agent.</w:t>
      </w:r>
    </w:p>
    <w:p>
      <w:pPr>
        <w:spacing w:after="0" w:line="178"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Pledged Stock; Stock Powers; Pledged Notes</w:t>
      </w:r>
      <w:r>
        <w:rPr>
          <w:rFonts w:ascii="Times New Roman" w:cs="Times New Roman" w:eastAsia="Times New Roman" w:hAnsi="Times New Roman"/>
          <w:sz w:val="20"/>
          <w:szCs w:val="20"/>
          <w:color w:val="auto"/>
        </w:rPr>
        <w:t>. The Administrative Agent shall have received (i) to the extent certificated, the certificates representing the shares of Equity Interests pledged pursuant to the Security Agreement, together with an undated stock power for each such certificate executed in blank by a duly authorized officer of the pledgor thereof and (ii) to the extent required to be delivered pursuant to the Security Agreement, each promissory note (if any) pledged to the Administrative Agent pursuant to the Security Agreement endorsed (without recourse) in blank (or accompanied by an executed transfer form in blank) by the pledgor thereof.</w:t>
      </w:r>
    </w:p>
    <w:p>
      <w:pPr>
        <w:spacing w:after="0" w:line="183"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Filings, Registrations and Recordings</w:t>
      </w:r>
      <w:r>
        <w:rPr>
          <w:rFonts w:ascii="Times New Roman" w:cs="Times New Roman" w:eastAsia="Times New Roman" w:hAnsi="Times New Roman"/>
          <w:sz w:val="20"/>
          <w:szCs w:val="20"/>
          <w:color w:val="auto"/>
        </w:rPr>
        <w:t xml:space="preserve">. Each document (including any Uniform Commercial Code financing statement) required by the Collateral Documents or under law or reasonably requested by the Administrative Agent to be filed, registered or recorded in order to create in favor of the Administrative Agent, for the benefit of the Secured Parties, a valid and perfected Lien on the Collateral described therein (but only to the extent required therein) as security for the Secured Obligations, prior and superior in right to any other Person (other than with respect to Liens expressly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shall be in proper form for filing, registration or recordation.</w:t>
      </w:r>
    </w:p>
    <w:p>
      <w:pPr>
        <w:spacing w:after="0" w:line="183"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The Administrative Agent shall have received evidence of insurance coverage in form, scope, and substance reasonably satisfactory to the Administrative Agent and otherwise in compliance with the terms of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of the Security Agreement.</w:t>
      </w:r>
    </w:p>
    <w:p>
      <w:pPr>
        <w:spacing w:after="0" w:line="176"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xml:space="preserve">. The Administrative Agent shall have received a solvency certificate from a Financial Officer of the Borrower substantially in the form attached hereto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Withholding Forms</w:t>
      </w:r>
      <w:r>
        <w:rPr>
          <w:rFonts w:ascii="Times New Roman" w:cs="Times New Roman" w:eastAsia="Times New Roman" w:hAnsi="Times New Roman"/>
          <w:sz w:val="20"/>
          <w:szCs w:val="20"/>
          <w:color w:val="auto"/>
        </w:rPr>
        <w:t>. The Administrative Agent shall have received a properly completed and signed IRS Form W-8 or W-9, as applicable, for each Loan Party.</w:t>
      </w:r>
    </w:p>
    <w:p>
      <w:pPr>
        <w:spacing w:after="0" w:line="160"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w:t>
      </w:r>
      <w:r>
        <w:rPr>
          <w:rFonts w:ascii="Times New Roman" w:cs="Times New Roman" w:eastAsia="Times New Roman" w:hAnsi="Times New Roman"/>
          <w:sz w:val="20"/>
          <w:szCs w:val="20"/>
          <w:color w:val="auto"/>
        </w:rPr>
        <w:t>. The Administrative Agent shall have received evidence reasonably satisfactory to the Administrative Agent (including, if applicable, a satisfactory payoff letter) that the Existing Credit Agreement has been, or concurrently with the Effective Date is being, terminated and all Liens securing obligations under the Existing Credit Agreement have been, or concurrently with the Effective Date are being, released (collectively, the “</w:t>
      </w:r>
      <w:r>
        <w:rPr>
          <w:rFonts w:ascii="Times New Roman" w:cs="Times New Roman" w:eastAsia="Times New Roman" w:hAnsi="Times New Roman"/>
          <w:sz w:val="20"/>
          <w:szCs w:val="20"/>
          <w:u w:val="single" w:color="auto"/>
          <w:color w:val="auto"/>
        </w:rPr>
        <w:t>Refinancing</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20"/>
          <w:szCs w:val="20"/>
          <w:u w:val="single" w:color="auto"/>
          <w:color w:val="auto"/>
        </w:rPr>
        <w:t>Funding Account</w:t>
      </w:r>
      <w:r>
        <w:rPr>
          <w:rFonts w:ascii="Times New Roman" w:cs="Times New Roman" w:eastAsia="Times New Roman" w:hAnsi="Times New Roman"/>
          <w:sz w:val="20"/>
          <w:szCs w:val="20"/>
          <w:color w:val="auto"/>
        </w:rPr>
        <w:t>. The Administrative Agent shall have received a notice setting forth the deposit account of the Borrower (the “</w:t>
      </w:r>
      <w:r>
        <w:rPr>
          <w:rFonts w:ascii="Times New Roman" w:cs="Times New Roman" w:eastAsia="Times New Roman" w:hAnsi="Times New Roman"/>
          <w:sz w:val="20"/>
          <w:szCs w:val="20"/>
          <w:u w:val="single" w:color="auto"/>
          <w:color w:val="auto"/>
        </w:rPr>
        <w:t>Funding Account</w:t>
      </w:r>
      <w:r>
        <w:rPr>
          <w:rFonts w:ascii="Times New Roman" w:cs="Times New Roman" w:eastAsia="Times New Roman" w:hAnsi="Times New Roman"/>
          <w:sz w:val="20"/>
          <w:szCs w:val="20"/>
          <w:color w:val="auto"/>
        </w:rPr>
        <w:t>”) to which the Administrative Agent is authorized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0"/>
          <w:szCs w:val="20"/>
          <w:color w:val="auto"/>
        </w:rPr>
        <w:t>by the Borrower to transfer the proceeds of any Borrowings requested or authorized pursuant to this Agreement.</w:t>
      </w:r>
    </w:p>
    <w:p>
      <w:pPr>
        <w:spacing w:after="0" w:line="215" w:lineRule="exact"/>
        <w:rPr>
          <w:sz w:val="20"/>
          <w:szCs w:val="20"/>
          <w:color w:val="auto"/>
        </w:rPr>
      </w:pPr>
    </w:p>
    <w:p>
      <w:pPr>
        <w:jc w:val="both"/>
        <w:ind w:firstLine="757"/>
        <w:spacing w:after="0" w:line="253" w:lineRule="auto"/>
        <w:tabs>
          <w:tab w:leader="none" w:pos="101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Approvals</w:t>
      </w:r>
      <w:r>
        <w:rPr>
          <w:rFonts w:ascii="Times New Roman" w:cs="Times New Roman" w:eastAsia="Times New Roman" w:hAnsi="Times New Roman"/>
          <w:sz w:val="20"/>
          <w:szCs w:val="20"/>
          <w:color w:val="auto"/>
        </w:rPr>
        <w:t>. All material consents, authorizations and approvals of, and filings and registrations with, and all other actions in respect of, any Governmental Authority or other Person required in connection with the consummation of the Transactions or the conduct of the Loan Parties’ business shall have been obtained and shall be in full force and effect.</w:t>
      </w:r>
    </w:p>
    <w:p>
      <w:pPr>
        <w:spacing w:after="0" w:line="176"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ind w:right="20" w:firstLine="757"/>
        <w:spacing w:after="0" w:line="268" w:lineRule="auto"/>
        <w:tabs>
          <w:tab w:leader="none" w:pos="101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Corporate Structure</w:t>
      </w:r>
      <w:r>
        <w:rPr>
          <w:rFonts w:ascii="Times New Roman" w:cs="Times New Roman" w:eastAsia="Times New Roman" w:hAnsi="Times New Roman"/>
          <w:sz w:val="20"/>
          <w:szCs w:val="20"/>
          <w:color w:val="auto"/>
        </w:rPr>
        <w:t>. The corporate structure, capital structure and other material debt instruments, material accounts and governing documents of the Borrower and its Subsidiaries shall be reasonably acceptable to the Administrative Agent.</w:t>
      </w:r>
    </w:p>
    <w:p>
      <w:pPr>
        <w:spacing w:after="0" w:line="16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USA PATRIOT Act, Etc</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760" w:firstLine="1494"/>
        <w:spacing w:after="0" w:line="246" w:lineRule="auto"/>
        <w:tabs>
          <w:tab w:leader="none" w:pos="2557"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three (3) Business Days prior to the Effective Date, the Borrower and each of the other Loan Parties shall have provided to the Administrative Agent or the Lenders the documentation and other information theretofore requested in writing by the Administrative Agent or the Lenders at least five (5) Business Days prior to the Effective Date that is required by regulatory authorities under applicable “know your customer” and anti-money-laundering rules and regulations, including the USA PATRIOT Act.</w:t>
      </w:r>
    </w:p>
    <w:p>
      <w:pPr>
        <w:spacing w:after="0" w:line="183" w:lineRule="exact"/>
        <w:rPr>
          <w:rFonts w:ascii="Times New Roman" w:cs="Times New Roman" w:eastAsia="Times New Roman" w:hAnsi="Times New Roman"/>
          <w:sz w:val="20"/>
          <w:szCs w:val="20"/>
          <w:color w:val="auto"/>
        </w:rPr>
      </w:pPr>
    </w:p>
    <w:p>
      <w:pPr>
        <w:jc w:val="both"/>
        <w:ind w:left="760" w:firstLine="1494"/>
        <w:spacing w:after="0" w:line="253" w:lineRule="auto"/>
        <w:tabs>
          <w:tab w:leader="none" w:pos="2557"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five (5) Business Days prior to the Effective Date, if the Borrower qualifies as a “legal entity customer” under the Beneficial Ownership Regulation, the Borrower shall deliver a Beneficial Ownership Certification to each Lender who requests the same.</w:t>
      </w:r>
    </w:p>
    <w:p>
      <w:pPr>
        <w:spacing w:after="0" w:line="176"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Documents</w:t>
      </w:r>
      <w:r>
        <w:rPr>
          <w:rFonts w:ascii="Times New Roman" w:cs="Times New Roman" w:eastAsia="Times New Roman" w:hAnsi="Times New Roman"/>
          <w:sz w:val="20"/>
          <w:szCs w:val="20"/>
          <w:color w:val="auto"/>
        </w:rPr>
        <w:t>. The Administrative Agent shall have received such other agreements, opinions, reports, approvals, consents, certificates and other documents set forth on the closing checklist last delivered to the Borrower and such other documents as the Administrative Agent, the Issuing Bank, any Lender or their respective counsel may have reasonably requested.</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The Administrative Agent shall notify the Borrower, the Lenders and the Issuing Banks of the Effective Date, and such notice shall be conclusive and binding.</w:t>
      </w:r>
    </w:p>
    <w:p>
      <w:pPr>
        <w:spacing w:after="0" w:line="161"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SECTION 4.02</w:t>
      </w:r>
      <w:r>
        <w:rPr>
          <w:rFonts w:ascii="Times New Roman" w:cs="Times New Roman" w:eastAsia="Times New Roman" w:hAnsi="Times New Roman"/>
          <w:sz w:val="20"/>
          <w:szCs w:val="20"/>
          <w:u w:val="single" w:color="auto"/>
          <w:color w:val="auto"/>
        </w:rPr>
        <w:t>Each Credit Event</w:t>
      </w:r>
      <w:r>
        <w:rPr>
          <w:rFonts w:ascii="Times New Roman" w:cs="Times New Roman" w:eastAsia="Times New Roman" w:hAnsi="Times New Roman"/>
          <w:sz w:val="20"/>
          <w:szCs w:val="20"/>
          <w:color w:val="auto"/>
        </w:rPr>
        <w:t>. The obligation of each Lender to make any Loan, and of the Issuing Banks to issue or increase any Letter of Credit, is subject to the satisfaction of the following conditions:</w:t>
      </w:r>
    </w:p>
    <w:p>
      <w:pPr>
        <w:spacing w:after="0" w:line="161" w:lineRule="exact"/>
        <w:rPr>
          <w:sz w:val="20"/>
          <w:szCs w:val="20"/>
          <w:color w:val="auto"/>
        </w:rPr>
      </w:pPr>
    </w:p>
    <w:p>
      <w:pPr>
        <w:jc w:val="both"/>
        <w:ind w:firstLine="757"/>
        <w:spacing w:after="0" w:line="246" w:lineRule="auto"/>
        <w:tabs>
          <w:tab w:leader="none" w:pos="1018"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the Borrower set forth in this Agreement shall be true and correct in all material respects on and as of the date of such Loan or the date of issuance or increase of such Letter of Credit, as applicable, except that (i) to the extent that such representations and warranties specifically refer to an earlier date, such representations and warranties shall be true and correct in all material respects as of such earlier date and (ii) any representation and warranty that is qualified as to “materiality” or “Material Adverse Effect” shall be true and correct in all respects.</w:t>
      </w:r>
    </w:p>
    <w:p>
      <w:pPr>
        <w:spacing w:after="0" w:line="183"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and immediately after giving effect to such Loan or the issuance or increase of such Letter of Credit, as applicable, no Default shall have occurred and be continuing.</w:t>
      </w:r>
    </w:p>
    <w:p>
      <w:pPr>
        <w:spacing w:after="0" w:line="16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delivered a completed Borrowing Request or application for a Letter of Credit, as applicable.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65" w:name="page166"/>
    <w:bookmarkEnd w:id="165"/>
    <w:p>
      <w:pPr>
        <w:spacing w:after="0" w:line="268" w:lineRule="auto"/>
        <w:rPr>
          <w:sz w:val="20"/>
          <w:szCs w:val="20"/>
          <w:color w:val="auto"/>
        </w:rPr>
      </w:pPr>
      <w:r>
        <w:rPr>
          <w:rFonts w:ascii="Times New Roman" w:cs="Times New Roman" w:eastAsia="Times New Roman" w:hAnsi="Times New Roman"/>
          <w:sz w:val="20"/>
          <w:szCs w:val="20"/>
          <w:color w:val="auto"/>
        </w:rPr>
        <w:t xml:space="preserve">Each Loan and each issuance or increase of a Letter of Credit shall be deemed to constitute a representation and warranty by the Borrower on the date thereof as to the matters specified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AFFIRMATIVE COVENANTS</w:t>
      </w:r>
    </w:p>
    <w:p>
      <w:pPr>
        <w:spacing w:after="0" w:line="215" w:lineRule="exact"/>
        <w:rPr>
          <w:sz w:val="20"/>
          <w:szCs w:val="20"/>
          <w:color w:val="auto"/>
        </w:rPr>
      </w:pPr>
    </w:p>
    <w:p>
      <w:pPr>
        <w:ind w:right="20" w:firstLine="749"/>
        <w:spacing w:after="0" w:line="268" w:lineRule="auto"/>
        <w:rPr>
          <w:sz w:val="20"/>
          <w:szCs w:val="20"/>
          <w:color w:val="auto"/>
        </w:rPr>
      </w:pPr>
      <w:r>
        <w:rPr>
          <w:rFonts w:ascii="Times New Roman" w:cs="Times New Roman" w:eastAsia="Times New Roman" w:hAnsi="Times New Roman"/>
          <w:sz w:val="20"/>
          <w:szCs w:val="20"/>
          <w:color w:val="auto"/>
        </w:rPr>
        <w:t>Until Payment in Full has occurred, each Loan Party executing this Agreement covenants and agrees, jointly and severally with all of the Loan Parties, with the Lenders that:</w:t>
      </w:r>
    </w:p>
    <w:p>
      <w:pPr>
        <w:spacing w:after="0" w:line="161"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SECTION 5.01</w:t>
      </w:r>
      <w:r>
        <w:rPr>
          <w:rFonts w:ascii="Times New Roman" w:cs="Times New Roman" w:eastAsia="Times New Roman" w:hAnsi="Times New Roman"/>
          <w:sz w:val="20"/>
          <w:szCs w:val="20"/>
          <w:u w:val="single" w:color="auto"/>
          <w:color w:val="auto"/>
        </w:rPr>
        <w:t>Financial Statements and Other Information</w:t>
      </w:r>
      <w:r>
        <w:rPr>
          <w:rFonts w:ascii="Times New Roman" w:cs="Times New Roman" w:eastAsia="Times New Roman" w:hAnsi="Times New Roman"/>
          <w:sz w:val="20"/>
          <w:szCs w:val="20"/>
          <w:color w:val="auto"/>
        </w:rPr>
        <w:t>. The Borrower will furnish to the Administrative Agent (which shall promptly make such information available to the Lenders in accordance with its customary practices):</w:t>
      </w:r>
    </w:p>
    <w:p>
      <w:pPr>
        <w:spacing w:after="0" w:line="161" w:lineRule="exact"/>
        <w:rPr>
          <w:sz w:val="20"/>
          <w:szCs w:val="20"/>
          <w:color w:val="auto"/>
        </w:rPr>
      </w:pPr>
    </w:p>
    <w:p>
      <w:pPr>
        <w:jc w:val="both"/>
        <w:ind w:firstLine="757"/>
        <w:spacing w:after="0" w:line="245" w:lineRule="auto"/>
        <w:tabs>
          <w:tab w:leader="none" w:pos="1018"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ninety (90) days after the end of each fiscal year of the Borrower, its audited consolidated balance sheet and related statements of operations, stockholders’ equity and cash flows as of the end of and for such year, setting forth in each case in comparative form the figures for the previous fiscal year, all reported on by the Accounting Firm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w:t>
      </w:r>
    </w:p>
    <w:p>
      <w:pPr>
        <w:spacing w:after="0" w:line="182"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forty five (45) days after the end of each of the first three fiscal quarters of each fiscal year of the Borrower, its consolidated balance sheet and related statements of operations, as of the end of and for such fiscal quarter and the then elapsed portion of the fiscal year and stockholders’ equity and cash flows for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183" w:lineRule="exact"/>
        <w:rPr>
          <w:rFonts w:ascii="Times New Roman" w:cs="Times New Roman" w:eastAsia="Times New Roman" w:hAnsi="Times New Roman"/>
          <w:sz w:val="20"/>
          <w:szCs w:val="20"/>
          <w:color w:val="auto"/>
        </w:rPr>
      </w:pPr>
    </w:p>
    <w:p>
      <w:pPr>
        <w:jc w:val="both"/>
        <w:ind w:firstLine="757"/>
        <w:spacing w:after="0" w:line="257" w:lineRule="auto"/>
        <w:tabs>
          <w:tab w:leader="none" w:pos="1018" w:val="left"/>
        </w:tabs>
        <w:numPr>
          <w:ilvl w:val="1"/>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concurrently with any delivery of financial statements under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above, a certificate of a Financial Officer of the Borrower in substantially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(i) certifying as to whether a Default or Event of Default has occurred and, if a Default or Event of Default has occurred, specifying the details thereof and any action taken or proposed to be taken with respect thereto, (ii) setting forth reasonably detailed calculations demonstrating compliance with the Financial Covenants and compliance with </w:t>
      </w:r>
      <w:r>
        <w:rPr>
          <w:rFonts w:ascii="Times New Roman" w:cs="Times New Roman" w:eastAsia="Times New Roman" w:hAnsi="Times New Roman"/>
          <w:sz w:val="19"/>
          <w:szCs w:val="19"/>
          <w:u w:val="single" w:color="auto"/>
          <w:color w:val="auto"/>
        </w:rPr>
        <w:t>Sections 6.04(c)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w:t>
      </w:r>
    </w:p>
    <w:p>
      <w:pPr>
        <w:spacing w:after="0" w:line="3" w:lineRule="exact"/>
        <w:rPr>
          <w:rFonts w:ascii="Times New Roman" w:cs="Times New Roman" w:eastAsia="Times New Roman" w:hAnsi="Times New Roman"/>
          <w:sz w:val="19"/>
          <w:szCs w:val="19"/>
          <w:color w:val="auto"/>
        </w:rPr>
      </w:pPr>
    </w:p>
    <w:p>
      <w:pPr>
        <w:jc w:val="both"/>
        <w:ind w:firstLine="8"/>
        <w:spacing w:after="0" w:line="241" w:lineRule="auto"/>
        <w:tabs>
          <w:tab w:leader="none" w:pos="359"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identifying any Subsidiary of the Borrower that has become, or ceased to be, an Immaterial Subsidiary during the most recently ended fiscal quarter and (iv) stating whether any change in GAAP or in the application thereof has occurred since the later of December 31, 2022 and the end date of the financial statements most recently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and, if any such change has occurred, specifying the effect of such change on the financial statements accompanying such certificate;</w:t>
      </w:r>
    </w:p>
    <w:p>
      <w:pPr>
        <w:spacing w:after="0" w:line="186"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within ninety (90) days after the start of each fiscal year of the Borrower, a copy of the plan and forecast (including a projected consolidated balance sheet, income statement and funds flow statement) of the Borrower and its Subsidiaries for each fiscal quarter of such fiscal year (the “</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in form reasonably satisfactory to the Administrative Agent;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66" w:name="page167"/>
    <w:bookmarkEnd w:id="166"/>
    <w:p>
      <w:pPr>
        <w:jc w:val="both"/>
        <w:ind w:firstLine="757"/>
        <w:spacing w:after="0" w:line="246" w:lineRule="auto"/>
        <w:tabs>
          <w:tab w:leader="none" w:pos="1018"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any request therefor, (i) such other information regarding the operations, business affairs and financial condition of the Borrower or any Subsidiary, or compliance with the terms of this Agreement, as the Administrative Agent may reasonably request, on behalf of itself or any Lender hereunder; or (ii) information and documentation reasonably requested by the Administrative Agent or any Lender for purposes of compliance with applicable “know your customer” requirements under the USA PATRIOT Act or any applicable anti-money laundering laws and the Beneficial Ownership Regulation; and</w:t>
      </w:r>
    </w:p>
    <w:p>
      <w:pPr>
        <w:spacing w:after="0" w:line="183" w:lineRule="exact"/>
        <w:rPr>
          <w:rFonts w:ascii="Times New Roman" w:cs="Times New Roman" w:eastAsia="Times New Roman" w:hAnsi="Times New Roman"/>
          <w:sz w:val="20"/>
          <w:szCs w:val="20"/>
          <w:color w:val="auto"/>
        </w:rPr>
      </w:pPr>
    </w:p>
    <w:p>
      <w:pPr>
        <w:jc w:val="both"/>
        <w:ind w:firstLine="757"/>
        <w:spacing w:after="0" w:line="273" w:lineRule="auto"/>
        <w:tabs>
          <w:tab w:leader="none" w:pos="1018"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the same become publicly available, copies of all periodic and other reports, proxy statements and other materials filed by the Borrower or any of its Subsidiaries with the SEC, or any Governmental Authority succeeding to any or all of the functions of the SEC, or with any national securities exchange, or distributed by the Borrower to its shareholders generally, as the case may be.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any documents required to be delivered pursuant to </w:t>
      </w:r>
      <w:r>
        <w:rPr>
          <w:rFonts w:ascii="Times New Roman" w:cs="Times New Roman" w:eastAsia="Times New Roman" w:hAnsi="Times New Roman"/>
          <w:sz w:val="20"/>
          <w:szCs w:val="20"/>
          <w:u w:val="single" w:color="auto"/>
          <w:color w:val="auto"/>
        </w:rPr>
        <w:t>Sections 5.01(a)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w:t>
      </w:r>
    </w:p>
    <w:p>
      <w:pPr>
        <w:spacing w:after="0" w:line="21" w:lineRule="exact"/>
        <w:rPr>
          <w:sz w:val="20"/>
          <w:szCs w:val="20"/>
          <w:color w:val="auto"/>
        </w:rPr>
      </w:pPr>
    </w:p>
    <w:p>
      <w:pPr>
        <w:jc w:val="both"/>
        <w:ind w:firstLine="8"/>
        <w:spacing w:after="0" w:line="242" w:lineRule="auto"/>
        <w:tabs>
          <w:tab w:leader="none" w:pos="249" w:val="left"/>
        </w:tabs>
        <w:numPr>
          <w:ilvl w:val="0"/>
          <w:numId w:val="13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may be delivered electronically and if so delivered, shall be deemed to have been delivered on the date on which such documents are filed for public availability on the SEC’s Electronic Data Gathering and Retrieval System or on which the Borrower posts such documents, or provides a link thereto on the Borrower’s website on the Internet.</w:t>
      </w:r>
    </w:p>
    <w:p>
      <w:pPr>
        <w:spacing w:after="0" w:line="18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SECTION 5.02</w:t>
      </w:r>
      <w:r>
        <w:rPr>
          <w:rFonts w:ascii="Times New Roman" w:cs="Times New Roman" w:eastAsia="Times New Roman" w:hAnsi="Times New Roman"/>
          <w:sz w:val="20"/>
          <w:szCs w:val="20"/>
          <w:u w:val="single" w:color="auto"/>
          <w:color w:val="auto"/>
        </w:rPr>
        <w:t>Notices of Material Events</w:t>
      </w:r>
      <w:r>
        <w:rPr>
          <w:rFonts w:ascii="Times New Roman" w:cs="Times New Roman" w:eastAsia="Times New Roman" w:hAnsi="Times New Roman"/>
          <w:sz w:val="20"/>
          <w:szCs w:val="20"/>
          <w:color w:val="auto"/>
        </w:rPr>
        <w:t>. The Borrower will furnish to the Administrative Agent (which shall promptly make such information available to the Lenders in accordance with its customary practices) prompt written notice of the following (and in any event no later than five (5) Business Days after any Responsible Officer’s knowledge of the occurrence thereof):</w:t>
      </w:r>
    </w:p>
    <w:p>
      <w:pPr>
        <w:spacing w:after="0" w:line="176" w:lineRule="exact"/>
        <w:rPr>
          <w:sz w:val="20"/>
          <w:szCs w:val="20"/>
          <w:color w:val="auto"/>
        </w:rPr>
      </w:pPr>
    </w:p>
    <w:p>
      <w:pPr>
        <w:ind w:left="1020" w:hanging="263"/>
        <w:spacing w:after="0"/>
        <w:tabs>
          <w:tab w:leader="none" w:pos="102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w:t>
      </w:r>
    </w:p>
    <w:p>
      <w:pPr>
        <w:spacing w:after="0" w:line="214"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or commencement of any litigation, investigation, action, suit or proceeding by or before any arbitrator or Governmental Authority against or involving the Borrower, any of its Subsidiaries or any Affiliate thereof or any of their respective properties, assets or business that could reasonably be expected to result in a Material Adverse Effect;</w:t>
      </w:r>
    </w:p>
    <w:p>
      <w:pPr>
        <w:spacing w:after="0" w:line="176"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ERISA Event that, alone or together with any other ERISA Events that have occurred, could reasonably be expected to result in liability of the Borrower and its Subsidiaries in an aggregate amount exceeding $5.0 million;</w:t>
      </w:r>
    </w:p>
    <w:p>
      <w:pPr>
        <w:spacing w:after="0" w:line="160"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and nature of any Prohibited Transaction or any funding deficiency with respect to any Plan, or a transaction that Borrower reasonably knows the IRS or Department of Labor or any other Governmental Authority is reviewing to determine whether a Prohibited Transaction might have occurred, in each case, that could reasonably be expected to result in a Material Adverse Effect;</w:t>
      </w:r>
    </w:p>
    <w:p>
      <w:pPr>
        <w:spacing w:after="0" w:line="176"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Party’s intention to terminate or withdraw from any Plan;</w:t>
      </w:r>
    </w:p>
    <w:p>
      <w:pPr>
        <w:spacing w:after="0" w:line="214" w:lineRule="exact"/>
        <w:rPr>
          <w:rFonts w:ascii="Times New Roman" w:cs="Times New Roman" w:eastAsia="Times New Roman" w:hAnsi="Times New Roman"/>
          <w:sz w:val="20"/>
          <w:szCs w:val="20"/>
          <w:color w:val="auto"/>
        </w:rPr>
      </w:pPr>
    </w:p>
    <w:p>
      <w:pPr>
        <w:jc w:val="both"/>
        <w:ind w:firstLine="757"/>
        <w:spacing w:after="0" w:line="273" w:lineRule="auto"/>
        <w:tabs>
          <w:tab w:leader="none" w:pos="1018"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present value of accrued benefit liabilities (whether or not vested) under all Foreign Pension Plans, determined as of the end of the Borrower’s most recently ended fiscal year on the basis of actuarial assumptions, each of which is reasonable, did not exceed the current aggregate value of the assets of such Foreign Pension Plans allocable to such benefit liabilities by more than $5.0 million;</w:t>
      </w:r>
    </w:p>
    <w:p>
      <w:pPr>
        <w:spacing w:after="0" w:line="157" w:lineRule="exact"/>
        <w:rPr>
          <w:rFonts w:ascii="Times New Roman" w:cs="Times New Roman" w:eastAsia="Times New Roman" w:hAnsi="Times New Roman"/>
          <w:sz w:val="19"/>
          <w:szCs w:val="19"/>
          <w:color w:val="auto"/>
        </w:rPr>
      </w:pPr>
    </w:p>
    <w:p>
      <w:pPr>
        <w:ind w:firstLine="757"/>
        <w:spacing w:after="0" w:line="268" w:lineRule="auto"/>
        <w:tabs>
          <w:tab w:leader="none" w:pos="1018"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of any violation received by any Loan Party or any Subsidiary thereof from any Governmental Authority including any notice of violation of Environmental Laws which in any such case could reasonably be expected to have a Material Adverse Effect;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67" w:name="page168"/>
    <w:bookmarkEnd w:id="167"/>
    <w:p>
      <w:pPr>
        <w:ind w:firstLine="757"/>
        <w:spacing w:after="0" w:line="268" w:lineRule="auto"/>
        <w:tabs>
          <w:tab w:leader="none" w:pos="1018"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labor controversy that has resulted in, or threatens to result in, a strike or other work action against any Loan Party or any Subsidiary thereof in each case that could reasonably be expected to result in a Material Adverse Effect;</w:t>
      </w:r>
    </w:p>
    <w:p>
      <w:pPr>
        <w:spacing w:after="0" w:line="160"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entering into a Swap Agreement or an amendment to a Swap Agreement, in each case, to the extent such Swap Agreement relates to Secured Swap Agreement Obligations, together with copies of all agreements evidencing such Swap Agreement or amendment;</w:t>
      </w:r>
    </w:p>
    <w:p>
      <w:pPr>
        <w:spacing w:after="0" w:line="176"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notice provided to the holders of any Material Indebtedness along with a copy of such notice; and</w:t>
      </w:r>
    </w:p>
    <w:p>
      <w:pPr>
        <w:spacing w:after="0" w:line="21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development that results in, or would reasonably be expected to result in, a Material Adverse Effect.</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Each notice delivered under this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above)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SECTION 5.03</w:t>
      </w:r>
      <w:r>
        <w:rPr>
          <w:rFonts w:ascii="Times New Roman" w:cs="Times New Roman" w:eastAsia="Times New Roman" w:hAnsi="Times New Roman"/>
          <w:sz w:val="20"/>
          <w:szCs w:val="20"/>
          <w:u w:val="single" w:color="auto"/>
          <w:color w:val="auto"/>
        </w:rPr>
        <w:t>Existence; Conduct of Business</w:t>
      </w:r>
      <w:r>
        <w:rPr>
          <w:rFonts w:ascii="Times New Roman" w:cs="Times New Roman" w:eastAsia="Times New Roman" w:hAnsi="Times New Roman"/>
          <w:sz w:val="20"/>
          <w:szCs w:val="20"/>
          <w:color w:val="auto"/>
        </w:rPr>
        <w:t xml:space="preserve">. Each Loan Party will, and will cause each Subsidiary to, (a) do or cause to be done all things necessary to preserve, renew and keep in full force and effect its legal existence and the rights, qualifications, licenses, permits, franchises, governmental authorizations, intellectual property rights, licenses and permits material to the conduct of its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prohibit any merger, consolidation, Division, liquidation or dissolution permitted under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and (b) carry on and conduct its business in substantially the same manner and in substantially the same fields of enterprise as it is presently conducted or in fields which are, in the good faith judgment of the Borrower, similar, complimentary, ancillary or substantially related thereto or are reasonable extensions thereof.</w:t>
      </w:r>
    </w:p>
    <w:p>
      <w:pPr>
        <w:spacing w:after="0" w:line="18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SECTION 5.04</w:t>
      </w:r>
      <w:r>
        <w:rPr>
          <w:rFonts w:ascii="Times New Roman" w:cs="Times New Roman" w:eastAsia="Times New Roman" w:hAnsi="Times New Roman"/>
          <w:sz w:val="20"/>
          <w:szCs w:val="20"/>
          <w:u w:val="single" w:color="auto"/>
          <w:color w:val="auto"/>
        </w:rPr>
        <w:t>Payment of Taxes</w:t>
      </w:r>
      <w:r>
        <w:rPr>
          <w:rFonts w:ascii="Times New Roman" w:cs="Times New Roman" w:eastAsia="Times New Roman" w:hAnsi="Times New Roman"/>
          <w:sz w:val="20"/>
          <w:szCs w:val="20"/>
          <w:color w:val="auto"/>
        </w:rPr>
        <w:t>. Each Loan Party will, and will cause each Subsidiary to, pay or discharge all Taxes, before the same shall become delinquent or in default, except (a) where the validity or amount thereof is being contested in good faith by appropriate proceedings diligently conducted, and (i) such Loan Party or such Subsidiary has set aside on its books adequate reserves with respect thereto in accordance with GAAP, and (ii) in the case of a Tax which has resulted or may result in the creation of a Lien on any of the Collateral, such contest proceedings conclusively operate to stay the sale of any portion of the Collateral to satisfy such Tax, and (b) to the extent the failure to pay or discharge such Taxes could not reasonably be expected to result in a Material Adverse Effect.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5.05</w:t>
      </w:r>
      <w:r>
        <w:rPr>
          <w:rFonts w:ascii="Times New Roman" w:cs="Times New Roman" w:eastAsia="Times New Roman" w:hAnsi="Times New Roman"/>
          <w:sz w:val="20"/>
          <w:szCs w:val="20"/>
          <w:u w:val="single" w:color="auto"/>
          <w:color w:val="auto"/>
        </w:rPr>
        <w:t>Maintenance of Properties; Insurance; Casualty and Condemnation</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9" w:lineRule="auto"/>
        <w:tabs>
          <w:tab w:leader="none" w:pos="101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will, and will cause each Subsidiary to, (i) keep and maintain all property material to the conduct of its business in good working order and condition, ordinary wear and tear excepted and (ii)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78"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68" w:name="page169"/>
    <w:bookmarkEnd w:id="168"/>
    <w:p>
      <w:pPr>
        <w:jc w:val="both"/>
        <w:ind w:firstLine="749"/>
        <w:spacing w:after="0"/>
        <w:rPr>
          <w:sz w:val="20"/>
          <w:szCs w:val="20"/>
          <w:color w:val="auto"/>
        </w:rPr>
      </w:pPr>
      <w:r>
        <w:rPr>
          <w:rFonts w:ascii="Times New Roman" w:cs="Times New Roman" w:eastAsia="Times New Roman" w:hAnsi="Times New Roman"/>
          <w:sz w:val="20"/>
          <w:szCs w:val="20"/>
          <w:color w:val="auto"/>
        </w:rPr>
        <w:t>SECTION 5.06</w:t>
      </w:r>
      <w:r>
        <w:rPr>
          <w:rFonts w:ascii="Times New Roman" w:cs="Times New Roman" w:eastAsia="Times New Roman" w:hAnsi="Times New Roman"/>
          <w:sz w:val="20"/>
          <w:szCs w:val="20"/>
          <w:u w:val="single" w:color="auto"/>
          <w:color w:val="auto"/>
        </w:rPr>
        <w:t>Books and Records; Inspection Rights</w:t>
      </w:r>
      <w:r>
        <w:rPr>
          <w:rFonts w:ascii="Times New Roman" w:cs="Times New Roman" w:eastAsia="Times New Roman" w:hAnsi="Times New Roman"/>
          <w:sz w:val="20"/>
          <w:szCs w:val="20"/>
          <w:color w:val="auto"/>
        </w:rPr>
        <w:t>. Each Loan Party will, and will cause each Subsidiary to, (i) keep proper books of record and account in which full, true and correct entries are made of all dealings and transactions in relation to its business and activities and (ii) permit any representatives designated by the Administrative Agent or, during the occurrence and continuance of an Event of Default, any Lender (including employees of the Administrative Agent, such Lender or any consultants, accountants, lawyers, appraisers and field examiners retained by the Administrative Agent), upon reasonable prior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notice needs to be provided if an Event of Default has occurred or is continuing) to visit and inspect its properties, to examine and make extracts from its books and records, and to discuss its affairs, finances and condition with its officers and independent accountants, all at such reasonable times during normal business hours and as often as reasonably requested, all at the expense of the Loan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be required to reimburse the Administrative Agent or any Lender for the cost of more than one such visit during any single fiscal year, except during the occurrence and continuation of an Event of Default. The Loan Parties acknowledge that the Administrative Agent, after exercising its rights of inspection, may prepare and distribute to the Lenders certain reports pertaining to the Loan Parties’ assets for internal use by the Administrative Agent and the Lenders. Notwithstanding anything to the contrary in this </w:t>
      </w:r>
      <w:r>
        <w:rPr>
          <w:rFonts w:ascii="Times New Roman" w:cs="Times New Roman" w:eastAsia="Times New Roman" w:hAnsi="Times New Roman"/>
          <w:sz w:val="20"/>
          <w:szCs w:val="20"/>
          <w:u w:val="single" w:color="auto"/>
          <w:color w:val="auto"/>
        </w:rPr>
        <w:t>Section 5.06</w:t>
      </w:r>
      <w:r>
        <w:rPr>
          <w:rFonts w:ascii="Times New Roman" w:cs="Times New Roman" w:eastAsia="Times New Roman" w:hAnsi="Times New Roman"/>
          <w:sz w:val="20"/>
          <w:szCs w:val="20"/>
          <w:color w:val="auto"/>
        </w:rPr>
        <w:t xml:space="preserve">, neither the Borrower nor any other Loan Party will be required to disclose, permit the inspection, examination or making copies or abstracts of, or discussion of, any document, information or other matter in respect of which disclosure to the Administrative Agent or any Lender (or their respective representatives or contractors) is prohibited by applicable law or any binding agreement (not entered into in contemplation of any request for disclosure or otherwise to evade the disclosure requirements contained in this </w:t>
      </w:r>
      <w:r>
        <w:rPr>
          <w:rFonts w:ascii="Times New Roman" w:cs="Times New Roman" w:eastAsia="Times New Roman" w:hAnsi="Times New Roman"/>
          <w:sz w:val="20"/>
          <w:szCs w:val="20"/>
          <w:u w:val="single" w:color="auto"/>
          <w:color w:val="auto"/>
        </w:rPr>
        <w:t>Section 5.06</w:t>
      </w:r>
      <w:r>
        <w:rPr>
          <w:rFonts w:ascii="Times New Roman" w:cs="Times New Roman" w:eastAsia="Times New Roman" w:hAnsi="Times New Roman"/>
          <w:sz w:val="20"/>
          <w:szCs w:val="20"/>
          <w:color w:val="auto"/>
        </w:rPr>
        <w:t xml:space="preserve">), or is subject to attorney client privilege or that constitutes attorney work product (in each case, as determined in good faith by legal counsel to any Loan Party and not in contemplation of any request for disclosure or otherwise to evade the disclosure requirements contained in this </w:t>
      </w:r>
      <w:r>
        <w:rPr>
          <w:rFonts w:ascii="Times New Roman" w:cs="Times New Roman" w:eastAsia="Times New Roman" w:hAnsi="Times New Roman"/>
          <w:sz w:val="20"/>
          <w:szCs w:val="20"/>
          <w:u w:val="single" w:color="auto"/>
          <w:color w:val="auto"/>
        </w:rPr>
        <w:t>Section 5.06</w:t>
      </w:r>
      <w:r>
        <w:rPr>
          <w:rFonts w:ascii="Times New Roman" w:cs="Times New Roman" w:eastAsia="Times New Roman" w:hAnsi="Times New Roman"/>
          <w:sz w:val="20"/>
          <w:szCs w:val="20"/>
          <w:color w:val="auto"/>
        </w:rPr>
        <w:t>); it being understood that the Borrower shall use its commercially reasonable efforts to communicate any requested information in a way that would not violate the applicable law or agreement or waive the applicable privilege.</w:t>
      </w:r>
    </w:p>
    <w:p>
      <w:pPr>
        <w:spacing w:after="0" w:line="201" w:lineRule="exact"/>
        <w:rPr>
          <w:sz w:val="20"/>
          <w:szCs w:val="20"/>
          <w:color w:val="auto"/>
        </w:rPr>
      </w:pPr>
    </w:p>
    <w:p>
      <w:pPr>
        <w:jc w:val="both"/>
        <w:ind w:right="20" w:firstLine="749"/>
        <w:spacing w:after="0" w:line="253" w:lineRule="auto"/>
        <w:rPr>
          <w:sz w:val="20"/>
          <w:szCs w:val="20"/>
          <w:color w:val="auto"/>
        </w:rPr>
      </w:pPr>
      <w:r>
        <w:rPr>
          <w:rFonts w:ascii="Times New Roman" w:cs="Times New Roman" w:eastAsia="Times New Roman" w:hAnsi="Times New Roman"/>
          <w:sz w:val="20"/>
          <w:szCs w:val="20"/>
          <w:color w:val="auto"/>
        </w:rPr>
        <w:t>SECTION 5.07</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Each Loan Party will, and will cause each Subsidiary to, comply with all Requirements of Law applicable to it or its property, except where the failure to do so, individually or in the aggregate, could not reasonably be expected to result in a Material Adverse Effect.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5.08</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9" w:lineRule="auto"/>
        <w:tabs>
          <w:tab w:leader="none" w:pos="1018"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the Loans will be used only for (i) refinancing Indebtedness and other obligations under the Existing Credit Agreement and (ii) working capital and general corporate purposes, including Permitted Acquisitions. Letters of Credit will be used only for general corporate purposes. No part of the proceeds of any Loan and no Letter of Credit will be used, whether directly or indirectly, for any purpose that entails a violation of any of the Regulations of the Board, including Regulations T, U and X.</w:t>
      </w:r>
    </w:p>
    <w:p>
      <w:pPr>
        <w:spacing w:after="0" w:line="178"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not request any Borrowing or Letter of Credit, and the Borrower shall not use, and shall procure that its Subsidiaries and its and their respective directors, officers, employees and agents shall not use, the proceeds of any Borrowing or Letter of Credit (a) in furtherance of an offer, payment, promise to pay, or authorization of the payment or giving of money, or anything else of value, to any Person (including any joint venture partner) in violation of any Anti-Corruption Laws, (b) for the purpose of funding, financing or facilitating any activities, business or transaction of or with any Sanctioned Person, or in any Sanctioned Country, (c) in any manner that would result in the violation of any Sanctions applicable to any party hereto or (d) in any manner that would result in a violation of any anti-money laundering laws or regulations.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5.09</w:t>
      </w:r>
      <w:r>
        <w:rPr>
          <w:rFonts w:ascii="Times New Roman" w:cs="Times New Roman" w:eastAsia="Times New Roman" w:hAnsi="Times New Roman"/>
          <w:sz w:val="20"/>
          <w:szCs w:val="20"/>
          <w:u w:val="single" w:color="auto"/>
          <w:color w:val="auto"/>
        </w:rPr>
        <w:t>Additional Collateral; Further Assurances</w:t>
      </w:r>
      <w:r>
        <w:rPr>
          <w:rFonts w:ascii="Times New Roman" w:cs="Times New Roman" w:eastAsia="Times New Roman" w:hAnsi="Times New Roman"/>
          <w:sz w:val="20"/>
          <w:szCs w:val="20"/>
          <w:color w:val="auto"/>
        </w:rPr>
        <w: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69" w:name="page170"/>
    <w:bookmarkEnd w:id="169"/>
    <w:p>
      <w:pPr>
        <w:jc w:val="both"/>
        <w:ind w:firstLine="757"/>
        <w:spacing w:after="0" w:line="241" w:lineRule="auto"/>
        <w:tabs>
          <w:tab w:leader="none" w:pos="1018"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applicable law, the Borrower and each other Loan Party shall cause each of its wholly-owned Material Domestic Subsidiaries formed or acquired on or after the date of this Agreement in accordance with the terms of this Agreement and each Subsidiary which hereafter becomes a Material Domestic Subsidiary, in each case, to become a Loan Party, within thirty (30) days (or such later date as the Administrative Agent may agree) after the date of such formation or acquisition (or after the date on which such Subsidiary becomes a Material Domestic Subsidiary, as applicable), by executing a joinder agreement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Joinder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notwithstanding the foregoing, any Division Successor that becomes a Material Domestic Subsidiary as a result of a Division, shall become a Loan Party and deliver a Joinder Agreement on the effective date of the applicable Division and (ii) this </w:t>
      </w:r>
      <w:r>
        <w:rPr>
          <w:rFonts w:ascii="Times New Roman" w:cs="Times New Roman" w:eastAsia="Times New Roman" w:hAnsi="Times New Roman"/>
          <w:sz w:val="20"/>
          <w:szCs w:val="20"/>
          <w:u w:val="single" w:color="auto"/>
          <w:color w:val="auto"/>
        </w:rPr>
        <w:t>Section 5.09</w:t>
      </w:r>
      <w:r>
        <w:rPr>
          <w:rFonts w:ascii="Times New Roman" w:cs="Times New Roman" w:eastAsia="Times New Roman" w:hAnsi="Times New Roman"/>
          <w:sz w:val="20"/>
          <w:szCs w:val="20"/>
          <w:color w:val="auto"/>
        </w:rPr>
        <w:t xml:space="preserve"> shall not be deemed to exclude (or release) any Domestic Subsidiary which is a Loan Guarantor in the case of a disposition of a portion of the Equity Interests in such Loan Guarantor as a result of (A) the disposition or issuance of Equity Interests of such Domestic Subsidiary in either case to an Affiliate that is not the Borrower or a Subsidiary, (B) any transaction entered into primarily in contemplation of such Domestic Subsidiary’s ceasing to constitute a Loan Party or (C) the disposition or issuance of Equity Interests of such Domestic Subsidiary for materially less than the fair market value of such shares as reasonably determined by the Borrower. Upon execution and delivery thereof, each such Person shall automatically become a Loan Guarantor hereunder and thereupon shall have all of the rights, benefits, duties, and obligations in such capacity under the Loan Documents.</w:t>
      </w:r>
    </w:p>
    <w:p>
      <w:pPr>
        <w:spacing w:after="0" w:line="191"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applicable law, the Borrower and each other Loan Party shall cause each of its wholly-owned Material Domestic Subsidiaries formed or acquired after the date of this Agreement in accordance with the terms of this Agreement and each Subsidiary who hereafter becomes a Material Domestic Subsidiary, in each case, within thirty (30) days (or such later date as the Administrative Agent may agree) after the date of such formation or acquisition (or after the date on which such Subsidiary becomes a Material Domestic Subsidiary, as applicable) to execute a joinder to the Security Agreement, pursuant to which such Material Domestic Subsidiary shall grant Liens to the Administrative Agent, for the benefit of the Administrative Agent and the Lenders, in any property of such Loan Party which constitutes Collateral.</w:t>
      </w:r>
    </w:p>
    <w:p>
      <w:pPr>
        <w:spacing w:after="0" w:line="183"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each Loan Party will cause 100% of the issued and outstanding Equity Interests owned by it to be subject at all times to a first priority, perfected Lien in favor of the Administrative Agent pursuant to the terms and conditions of the Loan Documents or other security documents as the Administrative Agent shall reasonably request;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until an Event of Default has occurred and is continuing and thereafter until otherwise required by the Administrative Agent, if any such Lien with respect to 100% of the issued and outstanding voting Equity Interests of any Foreign Subsidiary that is a CFC or of any Foreign Subsidiary Holding Company would reasonably be expected by the Borrower in consultation with the Administrative Agent to result in material adverse U.S. federal tax consequences pursuant to Section 956 of the Code or otherwise, the pledge of such Equity Interests that are entitled to vote (within the meaning of Treas. Reg. Section 1.956-2(c)(2)) shall be limited to such lesser amount (in no event less than 65%) that would not reasonably be expected to result in such consequences.</w:t>
      </w:r>
    </w:p>
    <w:p>
      <w:pPr>
        <w:spacing w:after="0" w:line="191"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foregoing, each Loan Party will, and will cause each Subsidiary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as applicable), which may be required by law or which the Administrative Agent may, from time to time, reasonably request to carry out the terms and conditions of this Agreement and the other Loan Documents and, to the extent required by the Security Agreement, to ensure perfection and priority of the Liens created or intended to be created by the Collateral Documents, all at the expense of the Loan Parties. Notwithstanding the foregoing no Loan Party shall be required (i) to take any such action if the Administrative Agent and the Borrower reasonably agree in writing that the cost of obtaining such a</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0" w:name="page171"/>
    <w:bookmarkEnd w:id="170"/>
    <w:p>
      <w:pPr>
        <w:jc w:val="both"/>
        <w:spacing w:after="0" w:line="249" w:lineRule="auto"/>
        <w:rPr>
          <w:sz w:val="20"/>
          <w:szCs w:val="20"/>
          <w:color w:val="auto"/>
        </w:rPr>
      </w:pPr>
      <w:r>
        <w:rPr>
          <w:rFonts w:ascii="Times New Roman" w:cs="Times New Roman" w:eastAsia="Times New Roman" w:hAnsi="Times New Roman"/>
          <w:sz w:val="20"/>
          <w:szCs w:val="20"/>
          <w:color w:val="auto"/>
        </w:rPr>
        <w:t>security interest or perfection thereof are excessive in relation to the benefit to the Lenders of the security to be afforded thereby (ii) to authorize or file any document or registration in a jurisdiction located outside of the United States (other than with respect to a Voluntary Foreign Guarantor) or (iii) to take any action with respect to any assets located outside of the United States (other than with respect to a Voluntary Foreign Guarantor).</w:t>
      </w:r>
    </w:p>
    <w:p>
      <w:pPr>
        <w:spacing w:after="0" w:line="178" w:lineRule="exact"/>
        <w:rPr>
          <w:sz w:val="20"/>
          <w:szCs w:val="20"/>
          <w:color w:val="auto"/>
        </w:rPr>
      </w:pPr>
    </w:p>
    <w:p>
      <w:pPr>
        <w:jc w:val="both"/>
        <w:ind w:firstLine="757"/>
        <w:spacing w:after="0" w:line="253" w:lineRule="auto"/>
        <w:tabs>
          <w:tab w:leader="none" w:pos="1018"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promptly as practicable, and in any event within the time periods after the Effective Date specified in </w:t>
      </w:r>
      <w:r>
        <w:rPr>
          <w:rFonts w:ascii="Times New Roman" w:cs="Times New Roman" w:eastAsia="Times New Roman" w:hAnsi="Times New Roman"/>
          <w:sz w:val="20"/>
          <w:szCs w:val="20"/>
          <w:u w:val="single" w:color="auto"/>
          <w:color w:val="auto"/>
        </w:rPr>
        <w:t>Schedule 5.09</w:t>
      </w:r>
      <w:r>
        <w:rPr>
          <w:rFonts w:ascii="Times New Roman" w:cs="Times New Roman" w:eastAsia="Times New Roman" w:hAnsi="Times New Roman"/>
          <w:sz w:val="20"/>
          <w:szCs w:val="20"/>
          <w:color w:val="auto"/>
        </w:rPr>
        <w:t xml:space="preserve"> (or such later date as the Administrative Agent may agree), the Borrower shall deliver, or cause to be delivered, the documents or take the actions specified on </w:t>
      </w:r>
      <w:r>
        <w:rPr>
          <w:rFonts w:ascii="Times New Roman" w:cs="Times New Roman" w:eastAsia="Times New Roman" w:hAnsi="Times New Roman"/>
          <w:sz w:val="20"/>
          <w:szCs w:val="20"/>
          <w:u w:val="single" w:color="auto"/>
          <w:color w:val="auto"/>
        </w:rPr>
        <w:t>Schedule 5.09</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SECTION 5.10</w:t>
      </w:r>
      <w:r>
        <w:rPr>
          <w:rFonts w:ascii="Times New Roman" w:cs="Times New Roman" w:eastAsia="Times New Roman" w:hAnsi="Times New Roman"/>
          <w:sz w:val="20"/>
          <w:szCs w:val="20"/>
          <w:u w:val="single" w:color="auto"/>
          <w:color w:val="auto"/>
        </w:rPr>
        <w:t>Anti-Corruption Laws and Sanctions</w:t>
      </w:r>
      <w:r>
        <w:rPr>
          <w:rFonts w:ascii="Times New Roman" w:cs="Times New Roman" w:eastAsia="Times New Roman" w:hAnsi="Times New Roman"/>
          <w:sz w:val="20"/>
          <w:szCs w:val="20"/>
          <w:color w:val="auto"/>
        </w:rPr>
        <w:t>. Each Loan Party shall implement and maintain in effect policies and procedures designed to ensure compliance by such Loan Party, its Subsidiaries and their respective directors, officers, employees and agents with Anti-Corruption Laws and applicable Sanctions.</w:t>
      </w:r>
    </w:p>
    <w:p>
      <w:pPr>
        <w:spacing w:after="0" w:line="17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SECTION 5.11</w:t>
      </w:r>
      <w:r>
        <w:rPr>
          <w:rFonts w:ascii="Times New Roman" w:cs="Times New Roman" w:eastAsia="Times New Roman" w:hAnsi="Times New Roman"/>
          <w:sz w:val="20"/>
          <w:szCs w:val="20"/>
          <w:u w:val="single" w:color="auto"/>
          <w:color w:val="auto"/>
        </w:rPr>
        <w:t>Compliance with Environmental Laws</w:t>
      </w:r>
      <w:r>
        <w:rPr>
          <w:rFonts w:ascii="Times New Roman" w:cs="Times New Roman" w:eastAsia="Times New Roman" w:hAnsi="Times New Roman"/>
          <w:sz w:val="20"/>
          <w:szCs w:val="20"/>
          <w:color w:val="auto"/>
        </w:rPr>
        <w:t>. Each Loan Party shall, and shall cause each Subsidiary to, comply with all Environmental Laws applicable to its operations and properties; and obtain and renew all material authorizations and permits required pursuant to Environmental Laws for its operations and properties, in each case in accordance with Environmental Laws, except, in each case, to the extent failure to do so could not reasonably be expected to have, individually or in the aggregate, a Material Adverse Effect.</w:t>
      </w:r>
    </w:p>
    <w:p>
      <w:pPr>
        <w:spacing w:after="0" w:line="17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SECTION 5.12</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Each Loan Party shall maintain adequate licenses, patents, patent applications, copyrights, service marks, trademarks, trademark applications, tradestyles and trade names to continue its business as heretofore conducted by it or as hereafter conducted by it unless the failure to maintain any of the foregoing could not reasonably be expected to have a Material Adverse Effect on such Loan Party.</w:t>
      </w:r>
    </w:p>
    <w:p>
      <w:pPr>
        <w:spacing w:after="0" w:line="17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SECTION 5.13</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Borrower shall, and shall cause each Subsidiary to, promptly pay and discharge all obligations and liabilities arising under ERISA of a character, which if unpaid or unperformed could reasonably be expected to result in the imposition of a Lien against any of its property.</w:t>
      </w:r>
    </w:p>
    <w:p>
      <w:pPr>
        <w:spacing w:after="0" w:line="17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5.14 </w:t>
      </w:r>
      <w:r>
        <w:rPr>
          <w:rFonts w:ascii="Times New Roman" w:cs="Times New Roman" w:eastAsia="Times New Roman" w:hAnsi="Times New Roman"/>
          <w:sz w:val="20"/>
          <w:szCs w:val="20"/>
          <w:u w:val="single" w:color="auto"/>
          <w:color w:val="auto"/>
        </w:rPr>
        <w:t>PCI Compliance; Data Security</w:t>
      </w:r>
      <w:r>
        <w:rPr>
          <w:rFonts w:ascii="Times New Roman" w:cs="Times New Roman" w:eastAsia="Times New Roman" w:hAnsi="Times New Roman"/>
          <w:sz w:val="20"/>
          <w:szCs w:val="20"/>
          <w:color w:val="auto"/>
        </w:rPr>
        <w:t>. Except as individually or in the aggregate would not reasonably be expected to have a Material Adverse Effect, each applicable Loan Party will, and will cause each of its Subsidiaries to, (a) maintain compliance with all PCI Requirements and all Requirements of Law, (b) maintain and implement controls, policies, procedures, and technical safeguards to protect the privacy, security, and integrity of Personal Information, computer systems and processes as required by Requirements of Law and consistent with industry standards and practices and (c) prevent the authorized access to or acquisition, use, loss, destruction, compromise or disclosure of any Personal Information, confidential or proprietary data maintained or stored by it.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NEGATIVE COVENANTS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Until Payment in Full has occurred, the Loan Parties covenant and agree, jointly and severally, with the Lenders that:</w:t>
      </w:r>
    </w:p>
    <w:p>
      <w:pPr>
        <w:spacing w:after="0" w:line="215" w:lineRule="exact"/>
        <w:rPr>
          <w:sz w:val="20"/>
          <w:szCs w:val="20"/>
          <w:color w:val="auto"/>
        </w:rPr>
      </w:pPr>
    </w:p>
    <w:p>
      <w:pPr>
        <w:ind w:left="760"/>
        <w:spacing w:after="0"/>
        <w:tabs>
          <w:tab w:leader="none" w:pos="3240" w:val="left"/>
        </w:tabs>
        <w:rPr>
          <w:sz w:val="20"/>
          <w:szCs w:val="20"/>
          <w:color w:val="auto"/>
        </w:rPr>
      </w:pPr>
      <w:r>
        <w:rPr>
          <w:rFonts w:ascii="Times New Roman" w:cs="Times New Roman" w:eastAsia="Times New Roman" w:hAnsi="Times New Roman"/>
          <w:sz w:val="20"/>
          <w:szCs w:val="20"/>
          <w:color w:val="auto"/>
        </w:rPr>
        <w:t>SECTION 6.01</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w:t>
        <w:tab/>
        <w:t>No Loan Party will, nor will it permit any Subsidiary to, create, incur or suffer to exist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Indebtedness, except: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1" w:name="page172"/>
    <w:bookmarkEnd w:id="171"/>
    <w:p>
      <w:pPr>
        <w:ind w:left="1020" w:hanging="263"/>
        <w:spacing w:after="0"/>
        <w:tabs>
          <w:tab w:leader="none" w:pos="102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Secured Obligations;</w:t>
      </w:r>
    </w:p>
    <w:p>
      <w:pPr>
        <w:spacing w:after="0" w:line="214"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Indebtedness existing on the date hereof and set forth on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 xml:space="preserve"> and (ii) extensions, renewals and replacements of any such Indebtedness in accordance with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hereof;</w:t>
      </w:r>
    </w:p>
    <w:p>
      <w:pPr>
        <w:spacing w:after="0" w:line="160"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to any Subsidiary and of any Subsidiary to the Borrower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Indebtedness of any Subsidiary that is not a Loan Party to the Borrower or to any Subsidiary that is a Loan Party shall be subject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w:t>
      </w:r>
      <w:r>
        <w:rPr>
          <w:rFonts w:ascii="Times New Roman" w:cs="Times New Roman" w:eastAsia="Times New Roman" w:hAnsi="Times New Roman"/>
          <w:sz w:val="20"/>
          <w:szCs w:val="20"/>
          <w:color w:val="auto"/>
        </w:rPr>
        <w:t xml:space="preserve"> and (ii) Indebtedness of a Loan Party to any Subsidiary that is not a Loan Party in an aggregate principal amount in excess of $15.0 million for all such Indebtedness shall be subordinated to the Secured Obligations on terms reasonably satisfactory to the Administrative Agent;</w:t>
      </w:r>
    </w:p>
    <w:p>
      <w:pPr>
        <w:spacing w:after="0" w:line="183"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by the Borrower of Indebtedness of any Subsidiary and by any Subsidiary of Indebtedness of the Borrower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Indebtedness so Guaranteed is permitted by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(ii) Guarantees by the Borrower or any Subsidiary that is a Loan Party of Indebtedness of any Subsidiary that is not a Loan Party shall be subject to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and (iii) Guarantees permitted under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shall be subordinated to the Obligations on the same terms as the Indebtedness so Guaranteed is subordinated to the Obligations;</w:t>
      </w:r>
    </w:p>
    <w:p>
      <w:pPr>
        <w:spacing w:after="0" w:line="183"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or any Subsidiary incurred to finance the acquisition, construction or improvement of any fixed or capital assets (whether or not constituting purchase money Indebtedness), including Capital Lease Obligations and any Indebtedness assumed in connection with the acquisition (including by way of any Permitted Acquisition or otherwise) of any such assets or secured by a Lien on any such assets prior to the acquisition thereof, and extensions, renewals and replacements of any such Indebtedness in accordance with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Indebtedness is incurred prior to or within ninety (90) days after such acquisition or the completion of such construction or improvement and (ii) the aggregate principal amount of Indebtedness permitted by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(including any refinancing thereof permitted by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shall not exceed $20.0 million at any time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Indebtedness permitted by this clause (e), shall be in addition to and not duplicative of those amounts permitted by </w:t>
      </w:r>
      <w:r>
        <w:rPr>
          <w:rFonts w:ascii="Times New Roman" w:cs="Times New Roman" w:eastAsia="Times New Roman" w:hAnsi="Times New Roman"/>
          <w:sz w:val="20"/>
          <w:szCs w:val="20"/>
          <w:u w:val="single" w:color="auto"/>
          <w:color w:val="auto"/>
        </w:rPr>
        <w:t>clause (o)</w:t>
      </w:r>
      <w:r>
        <w:rPr>
          <w:rFonts w:ascii="Times New Roman" w:cs="Times New Roman" w:eastAsia="Times New Roman" w:hAnsi="Times New Roman"/>
          <w:sz w:val="20"/>
          <w:szCs w:val="20"/>
          <w:color w:val="auto"/>
        </w:rPr>
        <w:t xml:space="preserve"> hereof;</w:t>
      </w:r>
    </w:p>
    <w:p>
      <w:pPr>
        <w:spacing w:after="0" w:line="186"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which represents an extension, refinancing, or renewal of any of the Indebtedness described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or</w:t>
      </w:r>
    </w:p>
    <w:p>
      <w:pPr>
        <w:spacing w:after="0" w:line="21" w:lineRule="exact"/>
        <w:rPr>
          <w:rFonts w:ascii="Times New Roman" w:cs="Times New Roman" w:eastAsia="Times New Roman" w:hAnsi="Times New Roman"/>
          <w:sz w:val="20"/>
          <w:szCs w:val="20"/>
          <w:color w:val="auto"/>
        </w:rPr>
      </w:pPr>
    </w:p>
    <w:p>
      <w:pPr>
        <w:jc w:val="both"/>
        <w:ind w:firstLine="8"/>
        <w:spacing w:after="0" w:line="239" w:lineRule="auto"/>
        <w:tabs>
          <w:tab w:leader="none" w:pos="290" w:val="left"/>
        </w:tabs>
        <w:numPr>
          <w:ilvl w:val="0"/>
          <w:numId w:val="14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hereof (with any such extension, refinancing or renewal being deemed to constitute Indebtedness that has been incurred under such applicable clause);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the aggregate principal amount of such Indebtedness does not exceed the principal amount of such Indebtedness being refinanced plus the amount of any interest, premiums or penalties required to be paid plus fees and expenses associated therewith, (ii) any Liens securing such Indebtedness are not extended to any additional property of any Loan Party, (iii) no Loan Party that is not originally obligated (or required to become obligated) with respect to repayment of such Indebtedness is required to become obligated with respect thereto, (iv) such extension, refinancing or renewal does not result in a shortening of the average weighted maturity of the Indebtedness so extended, refinanced or renewed, (v) the terms of any such extension, refinancing, or renewal (other than pricing, premiums and optional prepayment or optional redemption provisions) are not materially less favorable to the obligor thereunder than the original terms of such Indebtedness, taken as a whole, and (vi) if the Indebtedness that is refinanced, renewed, or extended was subordinated in right of payment to the Secured Obligations, then the terms and conditions of the refinancing, renewal, or extension Indebtedness must include subordination terms and conditions that are at least as favorable to the Administrative Agent and the Lenders as those that were applicable to the refinanced, renewed, or extended Indebtedness;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2" w:name="page173"/>
    <w:bookmarkEnd w:id="172"/>
    <w:p>
      <w:pPr>
        <w:jc w:val="both"/>
        <w:ind w:firstLine="757"/>
        <w:spacing w:after="0" w:line="253" w:lineRule="auto"/>
        <w:tabs>
          <w:tab w:leader="none" w:pos="1018"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76"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or any Subsidiary in respect of performance bonds, bid bonds, appeal bonds, surety bonds and similar obligations or obligations in respect of letters of credit, surety bonds, bank guarantees or similar instruments related thereto, in each case provided in the ordinary course of business or in respect of judgments that do not constitute an Event of Default;</w:t>
      </w:r>
    </w:p>
    <w:p>
      <w:pPr>
        <w:spacing w:after="0" w:line="176"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or Guarantees of the Borrower or any Subsidiary in connection with any Swap Agreement permitted under </w:t>
      </w:r>
      <w:r>
        <w:rPr>
          <w:rFonts w:ascii="Times New Roman" w:cs="Times New Roman" w:eastAsia="Times New Roman" w:hAnsi="Times New Roman"/>
          <w:sz w:val="19"/>
          <w:szCs w:val="19"/>
          <w:u w:val="single" w:color="auto"/>
          <w:color w:val="auto"/>
        </w:rPr>
        <w:t>Section</w:t>
      </w:r>
    </w:p>
    <w:p>
      <w:pPr>
        <w:spacing w:after="0" w:line="3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6.06</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19"/>
          <w:szCs w:val="19"/>
          <w:color w:val="auto"/>
        </w:rPr>
      </w:pPr>
    </w:p>
    <w:p>
      <w:pPr>
        <w:jc w:val="both"/>
        <w:ind w:firstLine="757"/>
        <w:spacing w:after="0" w:line="246" w:lineRule="auto"/>
        <w:tabs>
          <w:tab w:leader="none" w:pos="1018"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from customary agreements providing for indemnification, adjustment of purchase price, earnout, deferred purchase price or similar obligations in connection with acquisitions or dispositions of any business or assets by or of the Borrower or any Subsidiary permitted hereunder or from guaranties or letters of credit, surety bonds or performance bonds securing the performance of the Borrower or any such Subsidiary pursuant to such agreements, in connection with permitted Acquisitions or permitted dispositions of any business or assets (including stock of a Subsidiary);</w:t>
      </w:r>
    </w:p>
    <w:p>
      <w:pPr>
        <w:spacing w:after="0" w:line="183"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Judgments entered against the Borrower or any Subsidiary to the extent not constituting an Event of Default;</w:t>
      </w:r>
    </w:p>
    <w:p>
      <w:pPr>
        <w:spacing w:after="0" w:line="214"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or Guarantees incurred in the ordinary course of business in connection with Banking Services and other cash pooling, netting and cash management arrangements consisting of overdrafts or similar arrangements;</w:t>
      </w:r>
    </w:p>
    <w:p>
      <w:pPr>
        <w:spacing w:after="0" w:line="16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 xml:space="preserve">(m)Indebtedness of Foreign Subsidiaries owed to a third-party lender that is not a Loan Party or another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aggregate outstanding principal amount of such Indebtedness shall not exceed $10.0 million (or the equivalent thereof outstanding at such time) at any time;</w:t>
      </w:r>
    </w:p>
    <w:p>
      <w:pPr>
        <w:spacing w:after="0" w:line="176" w:lineRule="exact"/>
        <w:rPr>
          <w:sz w:val="20"/>
          <w:szCs w:val="20"/>
          <w:color w:val="auto"/>
        </w:rPr>
      </w:pPr>
    </w:p>
    <w:p>
      <w:pPr>
        <w:ind w:left="1020" w:hanging="263"/>
        <w:spacing w:after="0"/>
        <w:tabs>
          <w:tab w:leader="none" w:pos="1020"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owed to sellers constituting consideration for Permitted Acquisitions;</w:t>
      </w:r>
    </w:p>
    <w:p>
      <w:pPr>
        <w:spacing w:after="0" w:line="214"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of a Person or Indebtedness attaching to assets of a Person that, in either case, becomes a Subsidiary or Indebtedness attaching to assets that are acquired by the Borrower or any of its Subsidiaries, in each case as the result of a Permitted Acquisition;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Indebtedness existed at the time such Person became a Subsidiary or at the time such assets were acquired and, in each case, was not created in anticipation thereof and (ii) (x) such Indebtedness incurred in connection with any single Permitted Acquisition shall not exceed $6.0 million and (y) the aggregate amount of such Indebtedness permitted to be incurred shall under this </w:t>
      </w:r>
      <w:r>
        <w:rPr>
          <w:rFonts w:ascii="Times New Roman" w:cs="Times New Roman" w:eastAsia="Times New Roman" w:hAnsi="Times New Roman"/>
          <w:sz w:val="19"/>
          <w:szCs w:val="19"/>
          <w:u w:val="single" w:color="auto"/>
          <w:color w:val="auto"/>
        </w:rPr>
        <w:t>clause</w:t>
      </w:r>
    </w:p>
    <w:p>
      <w:pPr>
        <w:spacing w:after="0" w:line="2" w:lineRule="exact"/>
        <w:rPr>
          <w:rFonts w:ascii="Times New Roman" w:cs="Times New Roman" w:eastAsia="Times New Roman" w:hAnsi="Times New Roman"/>
          <w:sz w:val="19"/>
          <w:szCs w:val="19"/>
          <w:color w:val="auto"/>
        </w:rPr>
      </w:pPr>
    </w:p>
    <w:p>
      <w:pPr>
        <w:ind w:left="280" w:hanging="272"/>
        <w:spacing w:after="0"/>
        <w:tabs>
          <w:tab w:leader="none" w:pos="280" w:val="left"/>
        </w:tabs>
        <w:numPr>
          <w:ilvl w:val="0"/>
          <w:numId w:val="14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not exceed $20.0 million;</w:t>
      </w:r>
    </w:p>
    <w:p>
      <w:pPr>
        <w:spacing w:after="0" w:line="192" w:lineRule="exact"/>
        <w:rPr>
          <w:rFonts w:ascii="Times New Roman" w:cs="Times New Roman" w:eastAsia="Times New Roman" w:hAnsi="Times New Roman"/>
          <w:sz w:val="20"/>
          <w:szCs w:val="20"/>
          <w:u w:val="single" w:color="auto"/>
          <w:color w:val="auto"/>
        </w:rPr>
      </w:pPr>
    </w:p>
    <w:p>
      <w:pPr>
        <w:jc w:val="both"/>
        <w:ind w:firstLine="757"/>
        <w:spacing w:after="0" w:line="253" w:lineRule="auto"/>
        <w:tabs>
          <w:tab w:leader="none" w:pos="1018"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or any Subsidiary in connection with any Guarantees given by them, or any letters of credit or bank guarantees issued by any bank or financial institution, in favor of any Governmental Authority to secure the payment of Taxes owed by the Borrower or any Subsidiary to such Governmental Authorities;</w:t>
      </w:r>
    </w:p>
    <w:p>
      <w:pPr>
        <w:spacing w:after="0" w:line="176"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or any Subsidiary owed to sublessees in respect of security deposits or advances held by the Borrower or any Subsidiary in connection with the subletting sublessees of any leasehold interests of the Borrower or any Subsidiary;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3" w:name="page174"/>
    <w:bookmarkEnd w:id="173"/>
    <w:p>
      <w:pPr>
        <w:jc w:val="both"/>
        <w:ind w:firstLine="757"/>
        <w:spacing w:after="0" w:line="253" w:lineRule="auto"/>
        <w:tabs>
          <w:tab w:leader="none" w:pos="1018"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categorized as Indebtedness, contingent chargeback obligations arising from the Borrower or its Subsidiaries acting as “merchant of record” under applicable credit card payment processes, as incurred in the ordinary course of business of the Borrower and its Subsidiaries;</w:t>
      </w:r>
    </w:p>
    <w:p>
      <w:pPr>
        <w:spacing w:after="0" w:line="176"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unsecured Indebtedness of the Borrower (and any extensions, renewals and replacements of any such Indebtedness in accordance with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hereof), so long as (i) after giving effect to the incurrence thereof, the Borrower shall be in pro forma compliance with a Consolidated Total Net Leverage Ratio of not more than 3.25 to 1.00 for the most recently ended Reference Period and the Borrower shall have delivered to the Administrative Agent reasonably detailed calculations demonstrating such compliance, (ii) the final maturity of any such unsecured Indebtedness shall be no earlier than ninety one (91) days following the latest Maturity Date at the time of incurrence,</w:t>
      </w:r>
    </w:p>
    <w:p>
      <w:pPr>
        <w:spacing w:after="0" w:line="3" w:lineRule="exact"/>
        <w:rPr>
          <w:rFonts w:ascii="Times New Roman" w:cs="Times New Roman" w:eastAsia="Times New Roman" w:hAnsi="Times New Roman"/>
          <w:sz w:val="20"/>
          <w:szCs w:val="20"/>
          <w:color w:val="auto"/>
        </w:rPr>
      </w:pPr>
    </w:p>
    <w:p>
      <w:pPr>
        <w:jc w:val="both"/>
        <w:ind w:firstLine="8"/>
        <w:spacing w:after="0"/>
        <w:tabs>
          <w:tab w:leader="none" w:pos="36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the incurrence thereof, the Borrower shall be in pro forma compliance with the Financial Covenants for the most recently ended Reference Period and the Borrower shall have delivered to the Administrative Agent reasonably detailed calculations demonstrating such compliance, (iv) such unsecured Indebtedness shall be subordinated to the Secured Obligations on terms reasonably satisfactory to the Administrative Agent and (v) the terms and covenants of such Indebtedness are not less favorable to the Borrower and its Subsidiaries than those applicable to this Agreement unless such terms and covenants apply only to periods after the Maturity Date in effect at the time of incurrence, issuance or obtainment of such Indebtedness;</w:t>
      </w:r>
    </w:p>
    <w:p>
      <w:pPr>
        <w:spacing w:after="0" w:line="18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letters of credit or bankers’ acceptances supporting facility leases;</w:t>
      </w:r>
    </w:p>
    <w:p>
      <w:pPr>
        <w:spacing w:after="0" w:line="21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representing installment insurance premiums owing in the ordinary course of business;</w:t>
      </w:r>
    </w:p>
    <w:p>
      <w:pPr>
        <w:spacing w:after="0" w:line="21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Pooling Obligations and Cash Pooling Guaranty Obligations; and</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(w)other Indebtedness in an aggregate principal amount not exceeding $20.0 million at any time outstanding.</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SECTION 6.02</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No Loan Party will, nor will it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176" w:lineRule="exact"/>
        <w:rPr>
          <w:sz w:val="20"/>
          <w:szCs w:val="20"/>
          <w:color w:val="auto"/>
        </w:rPr>
      </w:pPr>
    </w:p>
    <w:p>
      <w:pPr>
        <w:ind w:left="1020" w:hanging="263"/>
        <w:spacing w:after="0"/>
        <w:tabs>
          <w:tab w:leader="none" w:pos="102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pursuant to any Loan Document;</w:t>
      </w:r>
    </w:p>
    <w:p>
      <w:pPr>
        <w:spacing w:after="0" w:line="21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Encumbrances;</w:t>
      </w:r>
    </w:p>
    <w:p>
      <w:pPr>
        <w:spacing w:after="0" w:line="21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on any property or asset of the Borrower or any Subsidiary existing on the date hereof and set forth in </w:t>
      </w:r>
      <w:r>
        <w:rPr>
          <w:rFonts w:ascii="Times New Roman" w:cs="Times New Roman" w:eastAsia="Times New Roman" w:hAnsi="Times New Roman"/>
          <w:sz w:val="20"/>
          <w:szCs w:val="20"/>
          <w:u w:val="single" w:color="auto"/>
          <w:color w:val="auto"/>
        </w:rPr>
        <w:t>Schedule 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such Lien shall not apply to any property or asset of the Borrower or such Subsidiary other than the properties and assets to which such Lien applies on the date hereof and (ii) such Lien shall secure only those obligations which it secures on the date hereof and extensions, renewals and replacements thereof that do not increase the outstanding principal amount thereof;</w:t>
      </w:r>
    </w:p>
    <w:p>
      <w:pPr>
        <w:spacing w:after="0" w:line="178"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existing on any property or asset prior to the acquisition thereof (including by way of any Permitted Acquisition) by the Borrower or any Subsidiary or existing on any property or asset of any Person that becomes a Subsidiary after the Effective Date prior to the time such Person becomes a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such Lien is not created in contemplation of or in connection with such acquisition or such Person becoming a Subsidiary, as the case may be, (ii) such Lien shall not apply to any other property or assets of the Borrower or any Subsidiary and (iii) such Lien shall secure only those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4" w:name="page175"/>
    <w:bookmarkEnd w:id="174"/>
    <w:p>
      <w:pPr>
        <w:ind w:right="20"/>
        <w:spacing w:after="0" w:line="268" w:lineRule="auto"/>
        <w:rPr>
          <w:sz w:val="20"/>
          <w:szCs w:val="20"/>
          <w:color w:val="auto"/>
        </w:rPr>
      </w:pPr>
      <w:r>
        <w:rPr>
          <w:rFonts w:ascii="Times New Roman" w:cs="Times New Roman" w:eastAsia="Times New Roman" w:hAnsi="Times New Roman"/>
          <w:sz w:val="20"/>
          <w:szCs w:val="20"/>
          <w:color w:val="auto"/>
        </w:rPr>
        <w:t>obligations which it secures on the date of such acquisition or the date such Person becomes a Subsidiary, as the case may be and extensions, renewals and replacements thereof that do not increase the outstanding principal amount thereof;</w:t>
      </w:r>
    </w:p>
    <w:p>
      <w:pPr>
        <w:spacing w:after="0" w:line="161" w:lineRule="exact"/>
        <w:rPr>
          <w:sz w:val="20"/>
          <w:szCs w:val="20"/>
          <w:color w:val="auto"/>
        </w:rPr>
      </w:pPr>
    </w:p>
    <w:p>
      <w:pPr>
        <w:jc w:val="both"/>
        <w:ind w:firstLine="757"/>
        <w:spacing w:after="0" w:line="245" w:lineRule="auto"/>
        <w:tabs>
          <w:tab w:leader="none" w:pos="1018"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fixed or capital assets (including any accessions, additions, parts, fixtures, improvements and attachments thereto and the proceeds thereof) acquired, constructed or improved by the Borrower or any Subsidiary; provided, that (i) such security interests secure Indebtedness permitted by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(ii) such security interests and the Indebtedness secured thereby are incurred prior to or within ninety (90) days after such acquisition or the completion of such construction or improvement, (iii) the Indebtedness secured thereby does not exceed 110% of the cost of acquiring, constructing or improving such fixed or capital assets and (iv) such security interests shall not apply to any other property or assets of the Borrower or Subsidiary;</w:t>
      </w:r>
    </w:p>
    <w:p>
      <w:pPr>
        <w:spacing w:after="0" w:line="150" w:lineRule="exact"/>
        <w:rPr>
          <w:rFonts w:ascii="Times New Roman" w:cs="Times New Roman" w:eastAsia="Times New Roman" w:hAnsi="Times New Roman"/>
          <w:sz w:val="20"/>
          <w:szCs w:val="20"/>
          <w:color w:val="auto"/>
        </w:rPr>
      </w:pPr>
    </w:p>
    <w:p>
      <w:pPr>
        <w:ind w:firstLine="757"/>
        <w:spacing w:after="0" w:line="266" w:lineRule="exact"/>
        <w:tabs>
          <w:tab w:leader="none" w:pos="1018"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a collecting bank arising in the ordinary course of business under Section 4</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208 of the Uniform Commercial Code in effect in the relevant jurisdiction covering only the items being collected upon;</w:t>
      </w:r>
    </w:p>
    <w:p>
      <w:pPr>
        <w:spacing w:after="0" w:line="188"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granted by a Subsidiary that is not a Loan Party in favor of the Borrower or another Loan Party in respect of Indebtedness owed by such Subsidiary;</w:t>
      </w:r>
    </w:p>
    <w:p>
      <w:pPr>
        <w:spacing w:after="0" w:line="160" w:lineRule="exact"/>
        <w:rPr>
          <w:rFonts w:ascii="Times New Roman" w:cs="Times New Roman" w:eastAsia="Times New Roman" w:hAnsi="Times New Roman"/>
          <w:sz w:val="20"/>
          <w:szCs w:val="20"/>
          <w:color w:val="auto"/>
        </w:rPr>
      </w:pPr>
    </w:p>
    <w:p>
      <w:pPr>
        <w:ind w:right="20" w:firstLine="757"/>
        <w:spacing w:after="0" w:line="268" w:lineRule="auto"/>
        <w:tabs>
          <w:tab w:leader="none" w:pos="1018"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by operation of law under Article 2 of the Uniform Commercial Code in favor of a reclaiming seller of goods or buyer of goods;</w:t>
      </w:r>
    </w:p>
    <w:p>
      <w:pPr>
        <w:spacing w:after="0" w:line="160"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broker’s Liens, bankers’ Liens, rights of setoff and other similar Liens existing solely with respect to cash and Cash Equivalents on deposit in one or more accounts maintained by the Borrower or any Subsidiary, in each case, granted in the ordinary course of business in favor of the bank or banks with which such accounts are maintained, including any such Liens or rights of setoff securing amounts owing in the ordinary course of business to such bank with respect to cash management and operating account arrangements, including those involving pooled accounts and netting arrangements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aggregate amount of cash collateral under this clause (i) shall not exceed $3.0 million in the aggregate at any one time;</w:t>
      </w:r>
    </w:p>
    <w:p>
      <w:pPr>
        <w:spacing w:after="0" w:line="182"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non-exclusive licenses of intellectual property or an assignment of, the right to commercialize intellectual property (including the rights to make, have made, use, sell, offer for sale and import intellectual property and any associated goodwill) and other licenses, sub-licenses and other similar encumbrances incurred in the ordinary course of business that do not materially detract from the value of the property subject thereto or materially interfere with the ordinary conduct of the business of the Borrower or any Subsidiary;</w:t>
      </w:r>
    </w:p>
    <w:p>
      <w:pPr>
        <w:spacing w:after="0" w:line="178"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assets of Foreign Subsidiaries to secure Indebtedness of such Foreign Subsidiaries permitted under </w:t>
      </w:r>
      <w:r>
        <w:rPr>
          <w:rFonts w:ascii="Times New Roman" w:cs="Times New Roman" w:eastAsia="Times New Roman" w:hAnsi="Times New Roman"/>
          <w:sz w:val="20"/>
          <w:szCs w:val="20"/>
          <w:u w:val="single" w:color="auto"/>
          <w:color w:val="auto"/>
        </w:rPr>
        <w:t>Section 6.01(m)</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ind w:right="20" w:firstLine="757"/>
        <w:spacing w:after="0" w:line="268" w:lineRule="auto"/>
        <w:tabs>
          <w:tab w:leader="none" w:pos="1018"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the nature of the right of setoff in favor of counterparties to contractual agreements not otherwise prohibited hereunder with the Borrower or any other Subsidiary in the ordinary course of business;</w:t>
      </w:r>
    </w:p>
    <w:p>
      <w:pPr>
        <w:spacing w:after="0" w:line="16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(m)Liens on cash collateral to secure obligations of Borrower or any Subsidiary under any Swap Agreement (other than Swap Agreement Obligations) permitted under Section 6.06, so long as the aggregate amount of such cash collateral does not, as of any date of determination, exceed $3.0 million;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5" w:name="page176"/>
    <w:bookmarkEnd w:id="175"/>
    <w:p>
      <w:pPr>
        <w:ind w:firstLine="757"/>
        <w:spacing w:after="0" w:line="268" w:lineRule="auto"/>
        <w:tabs>
          <w:tab w:leader="none" w:pos="1018"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deemed to exist in connection with the sale or transfer of any assets in a transaction not prohibited hereunder, customary rights and restrictions contained in agreements relating to such sale or transfer pending the completion thereof;</w:t>
      </w:r>
    </w:p>
    <w:p>
      <w:pPr>
        <w:spacing w:after="0" w:line="160"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Indebtedness to finance insurance premiums owing in the ordinary course of business to the extent such financing is not prohibited hereunder;</w:t>
      </w:r>
    </w:p>
    <w:p>
      <w:pPr>
        <w:spacing w:after="0" w:line="160"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cash or Cash Equivalents constituting earnest money deposits made by the Borrower or any Subsidiary in connection with any letter of intent or purchase agreement for a Permitted Acquisition;</w:t>
      </w:r>
    </w:p>
    <w:p>
      <w:pPr>
        <w:spacing w:after="0" w:line="160"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cash of the Borrower and/or its Subsidiaries on deposit with any Cash Pooling Bank securing Cash Pooling Obligations and/or Cash Pooling Guaranty Obligations owed to such Cash Pooling Bank; and</w:t>
      </w:r>
    </w:p>
    <w:p>
      <w:pPr>
        <w:spacing w:after="0" w:line="16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Liens in an aggregate amount not exceeding $10.0 million at any time outstanding.</w:t>
      </w:r>
    </w:p>
    <w:p>
      <w:pPr>
        <w:spacing w:after="0" w:line="21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20"/>
          <w:szCs w:val="20"/>
          <w:color w:val="auto"/>
        </w:rPr>
        <w:t>Notwithstanding anything herein to the contrary, neither the Borrower nor any of its Subsidiaries shall permit any consensual Lien in respect of any of its owned real property other than the Liens securing the Secured Obligations.</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6.03</w:t>
      </w:r>
      <w:r>
        <w:rPr>
          <w:rFonts w:ascii="Times New Roman" w:cs="Times New Roman" w:eastAsia="Times New Roman" w:hAnsi="Times New Roman"/>
          <w:sz w:val="20"/>
          <w:szCs w:val="20"/>
          <w:u w:val="single" w:color="auto"/>
          <w:color w:val="auto"/>
        </w:rPr>
        <w:t>Fundamental Changes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54" w:lineRule="auto"/>
        <w:tabs>
          <w:tab w:leader="none" w:pos="1018"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Loan Party will, nor will it permit any Subsidiary to, merge into or consolidate with any other Person, or permit any other Person to merge into or consolidate with it, consummate a Division as the Dividing Person, or otherwise sell, transfer, lease or otherwise dispose of (in one transaction or in a series of transactions) all or substantially all of its assets, or all or substantially all of the stock of any of its Subsidiaries (in each case, whether now owned or hereafter acquired), or liquidate or dissolve, except that, if at the time thereof and immediately after giving effect thereto no Event of Default shall have occurred and be continuing (i) any Subsidiary of the Borrower may merge into the Borrower in a transaction in which the Borrower is the surviving corporation, (ii) any Subsidiary may merge into any Loan Party in a transaction in which the surviving entity is a Loan Party, (iii) any Person may merge into any Loan Party or any of its Subsidiaries in connection with a Permitted Acquisition or any Investment permitted under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xml:space="preserve"> so long as, in the case of a merger involving any Loan Party, such Loan Party is the surviving entity (or the surviving entity becomes a Loan Party in accordance with this Agreement), (iv) the Borrower or any Subsidiary may sell, transfer, lease or otherwise dispose of its assets to the Borrower or to a Loan Party, (v) any Subsidiary that is not a Loan Party may merge into any other Subsidiary that is not a Loan Party, (vi) any Subsidiary that is a Loan Party may consummate a Division as the Dividing Person if, immediately upon the consummation of the Division, the assets of the applicable Dividing Person are held by one or more Loan Parties at such time and the applicable parties shall have complied with the obligations set forth in </w:t>
      </w:r>
      <w:r>
        <w:rPr>
          <w:rFonts w:ascii="Times New Roman" w:cs="Times New Roman" w:eastAsia="Times New Roman" w:hAnsi="Times New Roman"/>
          <w:sz w:val="19"/>
          <w:szCs w:val="19"/>
          <w:u w:val="single" w:color="auto"/>
          <w:color w:val="auto"/>
        </w:rPr>
        <w:t>Section 5.09</w:t>
      </w:r>
      <w:r>
        <w:rPr>
          <w:rFonts w:ascii="Times New Roman" w:cs="Times New Roman" w:eastAsia="Times New Roman" w:hAnsi="Times New Roman"/>
          <w:sz w:val="19"/>
          <w:szCs w:val="19"/>
          <w:color w:val="auto"/>
        </w:rPr>
        <w:t xml:space="preserve"> and each of the other further assurances obligations set forth in the Loan Documents and (vii) any Subsidiary may liquidate or dissolve if the Borrower reasonably determines in good faith that such liquidation or dissolution is in the best interests of the Borrower and its Subsidiaries, and is not materially disadvantageous to the Lenders and, in the case of a Loan Party, its assets are transferred to another Loan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merger involving a Person that is not a wholly owned Subsidiary immediately prior to such merger shall not be permitted unless also permitted by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xml:space="preserve">. Notwithstanding the foregoing, any Disposition permitted by </w:t>
      </w:r>
      <w:r>
        <w:rPr>
          <w:rFonts w:ascii="Times New Roman" w:cs="Times New Roman" w:eastAsia="Times New Roman" w:hAnsi="Times New Roman"/>
          <w:sz w:val="19"/>
          <w:szCs w:val="19"/>
          <w:u w:val="single" w:color="auto"/>
          <w:color w:val="auto"/>
        </w:rPr>
        <w:t>Section 6.05</w:t>
      </w:r>
      <w:r>
        <w:rPr>
          <w:rFonts w:ascii="Times New Roman" w:cs="Times New Roman" w:eastAsia="Times New Roman" w:hAnsi="Times New Roman"/>
          <w:sz w:val="19"/>
          <w:szCs w:val="19"/>
          <w:color w:val="auto"/>
        </w:rPr>
        <w:t xml:space="preserve"> shall be permitted under this </w:t>
      </w:r>
      <w:r>
        <w:rPr>
          <w:rFonts w:ascii="Times New Roman" w:cs="Times New Roman" w:eastAsia="Times New Roman" w:hAnsi="Times New Roman"/>
          <w:sz w:val="19"/>
          <w:szCs w:val="19"/>
          <w:u w:val="single" w:color="auto"/>
          <w:color w:val="auto"/>
        </w:rPr>
        <w:t>Section 6.03</w:t>
      </w:r>
      <w:r>
        <w:rPr>
          <w:rFonts w:ascii="Times New Roman" w:cs="Times New Roman" w:eastAsia="Times New Roman" w:hAnsi="Times New Roman"/>
          <w:sz w:val="19"/>
          <w:szCs w:val="19"/>
          <w:color w:val="auto"/>
        </w:rPr>
        <w:t xml:space="preserve"> (including any Disposition by way of merger or consolidation of a Subsidiary into another Person).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76" w:name="page177"/>
    <w:bookmarkEnd w:id="176"/>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Notwithstanding anything to the contrary in the foregoing, each Loan Party and each of its Subsidiaries shall be permitted to enter into an agreement to effect any transaction of merger or consolidation that is not otherwise permitted under this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at a future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shall be conditioned on (i) obtaining requisite approvals permitting the respective transaction (and any related financing or other transactions) in accordance with the requirements of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or (ii) Payment in Full.</w:t>
      </w:r>
    </w:p>
    <w:p>
      <w:pPr>
        <w:spacing w:after="0" w:line="178" w:lineRule="exact"/>
        <w:rPr>
          <w:sz w:val="20"/>
          <w:szCs w:val="20"/>
          <w:color w:val="auto"/>
        </w:rPr>
      </w:pPr>
    </w:p>
    <w:p>
      <w:pPr>
        <w:jc w:val="both"/>
        <w:ind w:firstLine="757"/>
        <w:spacing w:after="0" w:line="253" w:lineRule="auto"/>
        <w:tabs>
          <w:tab w:leader="none" w:pos="1018"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will, nor will it permit any of its Subsidiaries to, engage to any material extent in any business other than businesses of the type conducted by the Borrower and its Subsidiaries on the date of execution of this Agreement and businesses which are, in the good faith judgment of the Borrower, similar, complementary or substantially related thereto or are reasonable extensions thereof.</w:t>
      </w:r>
    </w:p>
    <w:p>
      <w:pPr>
        <w:spacing w:after="0" w:line="17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SECTION 6.04</w:t>
      </w:r>
      <w:r>
        <w:rPr>
          <w:rFonts w:ascii="Times New Roman" w:cs="Times New Roman" w:eastAsia="Times New Roman" w:hAnsi="Times New Roman"/>
          <w:sz w:val="20"/>
          <w:szCs w:val="20"/>
          <w:u w:val="single" w:color="auto"/>
          <w:color w:val="auto"/>
        </w:rPr>
        <w:t>Investments, Loans, Advances, Guarantees and Acquisitions</w:t>
      </w:r>
      <w:r>
        <w:rPr>
          <w:rFonts w:ascii="Times New Roman" w:cs="Times New Roman" w:eastAsia="Times New Roman" w:hAnsi="Times New Roman"/>
          <w:sz w:val="20"/>
          <w:szCs w:val="20"/>
          <w:color w:val="auto"/>
        </w:rPr>
        <w:t>. No Loan Party will, nor will it permit any Subsidiary to, purchase, hold or acquire (including pursuant to any merger with any Person that was not a Loan Party and a wholly owned Subsidiary prior to such merger)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(each such action, an “</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except:</w:t>
      </w:r>
    </w:p>
    <w:p>
      <w:pPr>
        <w:spacing w:after="0" w:line="183" w:lineRule="exact"/>
        <w:rPr>
          <w:sz w:val="20"/>
          <w:szCs w:val="20"/>
          <w:color w:val="auto"/>
        </w:rPr>
      </w:pPr>
    </w:p>
    <w:p>
      <w:pPr>
        <w:ind w:left="1020" w:hanging="263"/>
        <w:spacing w:after="0"/>
        <w:tabs>
          <w:tab w:leader="none" w:pos="102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cash and Cash Equivalents;</w:t>
      </w:r>
    </w:p>
    <w:p>
      <w:pPr>
        <w:spacing w:after="0" w:line="214"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existence on the date of this Agreement and described in </w:t>
      </w:r>
      <w:r>
        <w:rPr>
          <w:rFonts w:ascii="Times New Roman" w:cs="Times New Roman" w:eastAsia="Times New Roman" w:hAnsi="Times New Roman"/>
          <w:sz w:val="20"/>
          <w:szCs w:val="20"/>
          <w:u w:val="single" w:color="auto"/>
          <w:color w:val="auto"/>
        </w:rPr>
        <w:t>Schedule 6.04</w:t>
      </w:r>
      <w:r>
        <w:rPr>
          <w:rFonts w:ascii="Times New Roman" w:cs="Times New Roman" w:eastAsia="Times New Roman" w:hAnsi="Times New Roman"/>
          <w:sz w:val="20"/>
          <w:szCs w:val="20"/>
          <w:color w:val="auto"/>
        </w:rPr>
        <w:t xml:space="preserve"> and any modification, replacement, renewal, reinvestment or extension thereof; provided, that the amount of the original Investment is not increased except by the terms of such Investment or as otherwise permitted by this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by the Borrower and its Subsidiaries in the capital stock of their respective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investments (together with the aggregate amount of loans and advances described in </w:t>
      </w:r>
      <w:r>
        <w:rPr>
          <w:rFonts w:ascii="Times New Roman" w:cs="Times New Roman" w:eastAsia="Times New Roman" w:hAnsi="Times New Roman"/>
          <w:sz w:val="20"/>
          <w:szCs w:val="20"/>
          <w:u w:val="single" w:color="auto"/>
          <w:color w:val="auto"/>
        </w:rPr>
        <w:t>Section 6.04(d)</w:t>
      </w:r>
      <w:r>
        <w:rPr>
          <w:rFonts w:ascii="Times New Roman" w:cs="Times New Roman" w:eastAsia="Times New Roman" w:hAnsi="Times New Roman"/>
          <w:sz w:val="20"/>
          <w:szCs w:val="20"/>
          <w:color w:val="auto"/>
        </w:rPr>
        <w:t xml:space="preserve"> (excluding any amounts relating to the processing of payments on the Borrower’s and its Subsidiaries’ payments platform and any intercompany accounts payable in connection therewith) and amounts described in </w:t>
      </w:r>
      <w:r>
        <w:rPr>
          <w:rFonts w:ascii="Times New Roman" w:cs="Times New Roman" w:eastAsia="Times New Roman" w:hAnsi="Times New Roman"/>
          <w:sz w:val="20"/>
          <w:szCs w:val="20"/>
          <w:u w:val="single" w:color="auto"/>
          <w:color w:val="auto"/>
        </w:rPr>
        <w:t>Section 6.04(l)(iv)</w:t>
      </w:r>
      <w:r>
        <w:rPr>
          <w:rFonts w:ascii="Times New Roman" w:cs="Times New Roman" w:eastAsia="Times New Roman" w:hAnsi="Times New Roman"/>
          <w:sz w:val="20"/>
          <w:szCs w:val="20"/>
          <w:color w:val="auto"/>
        </w:rPr>
        <w:t xml:space="preserve"> or in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of the definition of “Permitted Acquisition”), as of any date of determination, made by the Borrower or the other Loan Parties in the capital stock of their respective Subsidiaries who are not Loan Parties does not at any time exceed an amount equal to the greater of (i) $50.0 million and (ii) 25% of Consolidated Adjusted EBITDA for the most recently ended Reference Period, on a pro forma basis (with the amount of any such investments being the original cost of such investment, less all repayments, returns, dividends and distributions, in each case received in cash in respect of such investment and less all liabilities effectively assumed by a person other than any Loan Party or any Subsidiary thereof in connection with the sale of any such investment);</w:t>
      </w:r>
    </w:p>
    <w:p>
      <w:pPr>
        <w:spacing w:after="0" w:line="189"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or advances made by the Borrower or any of its Subsidiaries to the Borrower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loans and advances, excluding any amounts relating to the processing of payments on the Borrower’s and its Subsidiaries’ payments platform and any intercompany accounts payable in connection therewith, together with the aggregate amount of investments described in </w:t>
      </w:r>
      <w:r>
        <w:rPr>
          <w:rFonts w:ascii="Times New Roman" w:cs="Times New Roman" w:eastAsia="Times New Roman" w:hAnsi="Times New Roman"/>
          <w:sz w:val="20"/>
          <w:szCs w:val="20"/>
          <w:u w:val="single" w:color="auto"/>
          <w:color w:val="auto"/>
        </w:rPr>
        <w:t>Section 6.04(c)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6.04(l)(iv)</w:t>
      </w:r>
      <w:r>
        <w:rPr>
          <w:rFonts w:ascii="Times New Roman" w:cs="Times New Roman" w:eastAsia="Times New Roman" w:hAnsi="Times New Roman"/>
          <w:sz w:val="20"/>
          <w:szCs w:val="20"/>
          <w:color w:val="auto"/>
        </w:rPr>
        <w:t xml:space="preserve"> and amounts described in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of the definition of “Permitted Acquisition”, made by the Borrower or the other Loan Parties to Subsidiaries who are not Loan Parties that are at any time outstanding does not, as of any date of determination, exceed an amount equal to the greater of (i) $50.0 million and (ii) 25% of Consolidated Adjusted EBITDA for the most recently ended Reference Period, on a pro forma basis;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7" w:name="page178"/>
    <w:bookmarkEnd w:id="177"/>
    <w:p>
      <w:pPr>
        <w:ind w:firstLine="757"/>
        <w:spacing w:after="0" w:line="268" w:lineRule="auto"/>
        <w:tabs>
          <w:tab w:leader="none" w:pos="1018"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constituting Indebtedness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and guarantees of ordinary course commercial obligations not constituting Indebtedness;</w:t>
      </w:r>
    </w:p>
    <w:p>
      <w:pPr>
        <w:spacing w:after="0" w:line="160"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Permitted Acquisitions and (ii) Investments of any Person in existence at the time such Person becomes a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Investment was not made in connection with or anticipation of such Person becoming a Subsidiary and any modification, replacement, renewal or extension thereof;</w:t>
      </w:r>
    </w:p>
    <w:p>
      <w:pPr>
        <w:spacing w:after="0" w:line="176"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advances to employees of the Borrower or any Subsidiaries in the ordinary course of business to finance the purchase of Equity Interests (other than Disqualified Equity Interests) of the Borrower in an aggregate amount for the Borrower and its Subsidiaries not to exceed $5.0 million at any time outstanding;</w:t>
      </w:r>
    </w:p>
    <w:p>
      <w:pPr>
        <w:spacing w:after="0" w:line="176"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received in connection with the bankruptcy or reorganization of any Person or in settlement of obligations of, or disputes with, any Person arising in the ordinary course of business;</w:t>
      </w:r>
    </w:p>
    <w:p>
      <w:pPr>
        <w:spacing w:after="0" w:line="16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Swap Agreements permitted by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in the nature of accounts receivable or notes receivable arising from the grant of trade credit in the ordinary course of business;</w:t>
      </w:r>
    </w:p>
    <w:p>
      <w:pPr>
        <w:spacing w:after="0" w:line="160"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investments, performance guarantees of obligations of the Borrower’s Subsidiaries in the ordinary course of business;</w:t>
      </w:r>
    </w:p>
    <w:p>
      <w:pPr>
        <w:spacing w:after="0" w:line="160" w:lineRule="exact"/>
        <w:rPr>
          <w:rFonts w:ascii="Times New Roman" w:cs="Times New Roman" w:eastAsia="Times New Roman" w:hAnsi="Times New Roman"/>
          <w:sz w:val="20"/>
          <w:szCs w:val="20"/>
          <w:color w:val="auto"/>
        </w:rPr>
      </w:pPr>
    </w:p>
    <w:p>
      <w:pPr>
        <w:jc w:val="both"/>
        <w:ind w:firstLine="757"/>
        <w:spacing w:after="0" w:line="257" w:lineRule="auto"/>
        <w:tabs>
          <w:tab w:leader="none" w:pos="1018"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 Investments by the Borrower or any of its Subsidiaries so long as, (i) no Event of Default has occurred and is continuing or would result therefrom, (ii) after giving effect to such Investment (including the incurrence, assumption or acquisition of any Indebtedness in connection therewith) the Consolidated Total Net Leverage Ratio, calculated on a pro forma basis as if such Investment (including the incurrence, assumption or acquisition of any Indebtedness in connection therewith) had been consummated at the beginning of such period, shall not exceed 3.25 to 1.00 and the Borrower shall have delivered to the Administrative Agent reasonably detailed calculations demonstrating compliance with this clause (ii) and (iii) the aggregate amount of all such Investments in any Persons that are not or which do not become Loan Guarantors (together with the aggregate amount of investments, loans or advances described in </w:t>
      </w:r>
      <w:r>
        <w:rPr>
          <w:rFonts w:ascii="Times New Roman" w:cs="Times New Roman" w:eastAsia="Times New Roman" w:hAnsi="Times New Roman"/>
          <w:sz w:val="19"/>
          <w:szCs w:val="19"/>
          <w:u w:val="single" w:color="auto"/>
          <w:color w:val="auto"/>
        </w:rPr>
        <w:t>Sections 6.04(c)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and amounts described in </w:t>
      </w:r>
      <w:r>
        <w:rPr>
          <w:rFonts w:ascii="Times New Roman" w:cs="Times New Roman" w:eastAsia="Times New Roman" w:hAnsi="Times New Roman"/>
          <w:sz w:val="19"/>
          <w:szCs w:val="19"/>
          <w:u w:val="single" w:color="auto"/>
          <w:color w:val="auto"/>
        </w:rPr>
        <w:t>clause (h)</w:t>
      </w:r>
      <w:r>
        <w:rPr>
          <w:rFonts w:ascii="Times New Roman" w:cs="Times New Roman" w:eastAsia="Times New Roman" w:hAnsi="Times New Roman"/>
          <w:sz w:val="19"/>
          <w:szCs w:val="19"/>
          <w:color w:val="auto"/>
        </w:rPr>
        <w:t xml:space="preserve"> of the definition of “Permitted Acquisition”) shall not exceed an amount equal to the greater of (i) $50.0 million and (ii) 25% of Consolidated Adjusted EBITDA for the most recently ended Reference Period, on a pro forma basis;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 xml:space="preserve">(m)Investments made as a result of the receipt of non-cash consideration from Disposition, of any asset in compliance with </w:t>
      </w:r>
      <w:r>
        <w:rPr>
          <w:rFonts w:ascii="Times New Roman" w:cs="Times New Roman" w:eastAsia="Times New Roman" w:hAnsi="Times New Roman"/>
          <w:sz w:val="19"/>
          <w:szCs w:val="19"/>
          <w:u w:val="single" w:color="auto"/>
          <w:color w:val="auto"/>
        </w:rPr>
        <w:t>Section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6.05</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757"/>
        <w:spacing w:after="0" w:line="253" w:lineRule="auto"/>
        <w:tabs>
          <w:tab w:leader="none" w:pos="1018"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payroll, travel and similar advances to directors and employees of the Borrower or any Subsidiary to cover matters that are expected at the time of such advances to be treated as expenses of the Borrower or such Subsidiary for accounting purposes and that are made in the ordinary course of business;</w:t>
      </w:r>
    </w:p>
    <w:p>
      <w:pPr>
        <w:spacing w:after="0" w:line="176"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investments otherwise expressly permitted by this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investments, loans and advances by the Borrower or any of its Subsidiaries in an aggregate amount (valued at cost) not to exceed $15.0 million during the term of this Agreement;</w:t>
      </w:r>
    </w:p>
    <w:p>
      <w:pPr>
        <w:spacing w:after="0" w:line="160"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categorized as an investment, contingent chargeback obligations arising from the Borrower or its Subsidiaries acting as “merchant of record” under applicable credit card payment processes, as incurred in the ordinary course of business of the Borrower and its Subsidiaries;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8" w:name="page179"/>
    <w:bookmarkEnd w:id="178"/>
    <w:p>
      <w:pPr>
        <w:jc w:val="both"/>
        <w:ind w:firstLine="757"/>
        <w:spacing w:after="0" w:line="253" w:lineRule="auto"/>
        <w:tabs>
          <w:tab w:leader="none" w:pos="1018"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Borrower in Foreign Subsidiaries, in the ordinary course of business, for ordinary, current and necessary operating expenses that are reasonably expected to be due and payable within ninety (90) days of any such Investment, so long as no Event of Default exists at the time of such investment and would not exist after giving effect to any such investment; and</w:t>
      </w:r>
    </w:p>
    <w:p>
      <w:pPr>
        <w:spacing w:after="0" w:line="176"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among the Borrower and/or its Subsidiaries in connection with Cash Pooling Arrangements, including intercompany Indebtedness, arising under or pursuant to any Cash Pooling Arrangements.</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6.05</w:t>
      </w:r>
      <w:r>
        <w:rPr>
          <w:rFonts w:ascii="Times New Roman" w:cs="Times New Roman" w:eastAsia="Times New Roman" w:hAnsi="Times New Roman"/>
          <w:sz w:val="20"/>
          <w:szCs w:val="20"/>
          <w:u w:val="single" w:color="auto"/>
          <w:color w:val="auto"/>
        </w:rPr>
        <w:t>Asset Dispositions; Sale and Leaseback Transactions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1020" w:hanging="263"/>
        <w:spacing w:after="0"/>
        <w:tabs>
          <w:tab w:leader="none" w:pos="102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will, nor will it permit any Subsidiary to, make any Disposition except:</w:t>
      </w:r>
    </w:p>
    <w:p>
      <w:pPr>
        <w:spacing w:after="0" w:line="214" w:lineRule="exact"/>
        <w:rPr>
          <w:rFonts w:ascii="Times New Roman" w:cs="Times New Roman" w:eastAsia="Times New Roman" w:hAnsi="Times New Roman"/>
          <w:sz w:val="20"/>
          <w:szCs w:val="20"/>
          <w:color w:val="auto"/>
        </w:rPr>
      </w:pPr>
    </w:p>
    <w:p>
      <w:pPr>
        <w:ind w:left="1500" w:firstLine="1503"/>
        <w:spacing w:after="0" w:line="268" w:lineRule="auto"/>
        <w:tabs>
          <w:tab w:leader="none" w:pos="3567"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obsolete or worn out property, whether now owned or hereafter acquired, in the ordinary course of business;</w:t>
      </w:r>
    </w:p>
    <w:p>
      <w:pPr>
        <w:spacing w:after="0" w:line="160" w:lineRule="exact"/>
        <w:rPr>
          <w:rFonts w:ascii="Times New Roman" w:cs="Times New Roman" w:eastAsia="Times New Roman" w:hAnsi="Times New Roman"/>
          <w:sz w:val="20"/>
          <w:szCs w:val="20"/>
          <w:color w:val="auto"/>
        </w:rPr>
      </w:pPr>
    </w:p>
    <w:p>
      <w:pPr>
        <w:ind w:left="3580" w:hanging="577"/>
        <w:spacing w:after="0"/>
        <w:tabs>
          <w:tab w:leader="none" w:pos="358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inventory in the ordinary course of business;</w:t>
      </w:r>
    </w:p>
    <w:p>
      <w:pPr>
        <w:spacing w:after="0" w:line="214" w:lineRule="exact"/>
        <w:rPr>
          <w:rFonts w:ascii="Times New Roman" w:cs="Times New Roman" w:eastAsia="Times New Roman" w:hAnsi="Times New Roman"/>
          <w:sz w:val="20"/>
          <w:szCs w:val="20"/>
          <w:color w:val="auto"/>
        </w:rPr>
      </w:pPr>
    </w:p>
    <w:p>
      <w:pPr>
        <w:jc w:val="both"/>
        <w:ind w:left="1500" w:firstLine="1503"/>
        <w:spacing w:after="0" w:line="249" w:lineRule="auto"/>
        <w:tabs>
          <w:tab w:leader="none" w:pos="3567"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non-exclusive licenses of intellectual property or an assignment of, the right to commercialize intellectual property (including the rights to make, have made, use, sell, offer for sale and import intellectual property and any associated goodwill) and other licenses, sub-licenses and other similar arrangements entered into in the ordinary course of business;</w:t>
      </w:r>
    </w:p>
    <w:p>
      <w:pPr>
        <w:spacing w:after="0" w:line="178" w:lineRule="exact"/>
        <w:rPr>
          <w:rFonts w:ascii="Times New Roman" w:cs="Times New Roman" w:eastAsia="Times New Roman" w:hAnsi="Times New Roman"/>
          <w:sz w:val="20"/>
          <w:szCs w:val="20"/>
          <w:color w:val="auto"/>
        </w:rPr>
      </w:pPr>
    </w:p>
    <w:p>
      <w:pPr>
        <w:jc w:val="both"/>
        <w:ind w:left="1500" w:firstLine="1503"/>
        <w:spacing w:after="0" w:line="253" w:lineRule="auto"/>
        <w:tabs>
          <w:tab w:leader="none" w:pos="3567"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equipment or real property to the extent that (A) such property is exchanged for credit against the purchase price of similar replacement property or (B) the proceeds of such Disposition are reasonably promptly applied to the purchase price of such replacement property;</w:t>
      </w:r>
    </w:p>
    <w:p>
      <w:pPr>
        <w:spacing w:after="0" w:line="176" w:lineRule="exact"/>
        <w:rPr>
          <w:rFonts w:ascii="Times New Roman" w:cs="Times New Roman" w:eastAsia="Times New Roman" w:hAnsi="Times New Roman"/>
          <w:sz w:val="20"/>
          <w:szCs w:val="20"/>
          <w:color w:val="auto"/>
        </w:rPr>
      </w:pPr>
    </w:p>
    <w:p>
      <w:pPr>
        <w:jc w:val="both"/>
        <w:ind w:left="1500" w:firstLine="1503"/>
        <w:spacing w:after="0" w:line="249" w:lineRule="auto"/>
        <w:tabs>
          <w:tab w:leader="none" w:pos="3567"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property (A) by the Borrower or any Subsidiary to a Loan Party or (B) by any Subsidiary of Borrower that is not a Loan Party to Borrower or any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such property is subject to any Lien under any Collateral Document prior to any such Disposition, such property shall remain subject to valid and perfected Liens under the Collateral Documents after such Disposition;</w:t>
      </w:r>
    </w:p>
    <w:p>
      <w:pPr>
        <w:spacing w:after="0" w:line="178" w:lineRule="exact"/>
        <w:rPr>
          <w:rFonts w:ascii="Times New Roman" w:cs="Times New Roman" w:eastAsia="Times New Roman" w:hAnsi="Times New Roman"/>
          <w:sz w:val="20"/>
          <w:szCs w:val="20"/>
          <w:color w:val="auto"/>
        </w:rPr>
      </w:pPr>
    </w:p>
    <w:p>
      <w:pPr>
        <w:ind w:left="3580" w:hanging="577"/>
        <w:spacing w:after="0"/>
        <w:tabs>
          <w:tab w:leader="none" w:pos="358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permitted by </w:t>
      </w:r>
      <w:r>
        <w:rPr>
          <w:rFonts w:ascii="Times New Roman" w:cs="Times New Roman" w:eastAsia="Times New Roman" w:hAnsi="Times New Roman"/>
          <w:sz w:val="20"/>
          <w:szCs w:val="20"/>
          <w:u w:val="single" w:color="auto"/>
          <w:color w:val="auto"/>
        </w:rPr>
        <w:t>Sections 6.03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6.08</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ind w:left="3580" w:hanging="577"/>
        <w:spacing w:after="0"/>
        <w:tabs>
          <w:tab w:leader="none" w:pos="358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overdue accounts receivable solely in connection with the collection or</w:t>
      </w:r>
    </w:p>
    <w:p>
      <w:pPr>
        <w:spacing w:after="0" w:line="21"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compromise thereof;</w:t>
      </w:r>
    </w:p>
    <w:p>
      <w:pPr>
        <w:spacing w:after="0" w:line="192" w:lineRule="exact"/>
        <w:rPr>
          <w:rFonts w:ascii="Times New Roman" w:cs="Times New Roman" w:eastAsia="Times New Roman" w:hAnsi="Times New Roman"/>
          <w:sz w:val="20"/>
          <w:szCs w:val="20"/>
          <w:color w:val="auto"/>
        </w:rPr>
      </w:pPr>
    </w:p>
    <w:p>
      <w:pPr>
        <w:ind w:left="1500" w:firstLine="1503"/>
        <w:spacing w:after="0" w:line="268" w:lineRule="auto"/>
        <w:tabs>
          <w:tab w:leader="none" w:pos="3567"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pursuant to operating leases (not in connection with any sale and leaseback transactions or other Capital Lease Obligations) entered into in the ordinary course of business;</w:t>
      </w:r>
    </w:p>
    <w:p>
      <w:pPr>
        <w:spacing w:after="0" w:line="160" w:lineRule="exact"/>
        <w:rPr>
          <w:rFonts w:ascii="Times New Roman" w:cs="Times New Roman" w:eastAsia="Times New Roman" w:hAnsi="Times New Roman"/>
          <w:sz w:val="20"/>
          <w:szCs w:val="20"/>
          <w:color w:val="auto"/>
        </w:rPr>
      </w:pPr>
    </w:p>
    <w:p>
      <w:pPr>
        <w:ind w:left="3580" w:hanging="577"/>
        <w:spacing w:after="0"/>
        <w:tabs>
          <w:tab w:leader="none" w:pos="358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and assets subject to condemnation and casualty events;</w:t>
      </w:r>
    </w:p>
    <w:p>
      <w:pPr>
        <w:spacing w:after="0" w:line="214" w:lineRule="exact"/>
        <w:rPr>
          <w:rFonts w:ascii="Times New Roman" w:cs="Times New Roman" w:eastAsia="Times New Roman" w:hAnsi="Times New Roman"/>
          <w:sz w:val="20"/>
          <w:szCs w:val="20"/>
          <w:color w:val="auto"/>
        </w:rPr>
      </w:pPr>
    </w:p>
    <w:p>
      <w:pPr>
        <w:ind w:left="3580" w:hanging="577"/>
        <w:spacing w:after="0"/>
        <w:tabs>
          <w:tab w:leader="none" w:pos="358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cash and Cash Equivalents in the ordinary course of business; and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9" w:name="page180"/>
    <w:bookmarkEnd w:id="179"/>
    <w:p>
      <w:pPr>
        <w:jc w:val="both"/>
        <w:ind w:left="1500" w:firstLine="1503"/>
        <w:spacing w:after="0" w:line="250" w:lineRule="auto"/>
        <w:tabs>
          <w:tab w:leader="none" w:pos="3567"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by Borrower and any Subsidiary not otherwise permitted under this Section 6.05(a); provided, that (A) at the time of such Disposition, no Default shall exist or would result from such Disposition,</w:t>
      </w:r>
    </w:p>
    <w:p>
      <w:pPr>
        <w:spacing w:after="0" w:line="1" w:lineRule="exact"/>
        <w:rPr>
          <w:rFonts w:ascii="Times New Roman" w:cs="Times New Roman" w:eastAsia="Times New Roman" w:hAnsi="Times New Roman"/>
          <w:sz w:val="20"/>
          <w:szCs w:val="20"/>
          <w:color w:val="auto"/>
        </w:rPr>
      </w:pPr>
    </w:p>
    <w:p>
      <w:pPr>
        <w:ind w:left="1500" w:firstLine="5"/>
        <w:spacing w:after="0" w:line="245" w:lineRule="auto"/>
        <w:tabs>
          <w:tab w:leader="none" w:pos="1826"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Disposition is made for fair market value and (C) the aggregate fair market value or book value of all property Disposed of in reliance on this </w:t>
      </w:r>
      <w:r>
        <w:rPr>
          <w:rFonts w:ascii="Times New Roman" w:cs="Times New Roman" w:eastAsia="Times New Roman" w:hAnsi="Times New Roman"/>
          <w:sz w:val="20"/>
          <w:szCs w:val="20"/>
          <w:u w:val="single" w:color="auto"/>
          <w:color w:val="auto"/>
        </w:rPr>
        <w:t>subclause (xi)</w:t>
      </w:r>
      <w:r>
        <w:rPr>
          <w:rFonts w:ascii="Times New Roman" w:cs="Times New Roman" w:eastAsia="Times New Roman" w:hAnsi="Times New Roman"/>
          <w:sz w:val="20"/>
          <w:szCs w:val="20"/>
          <w:color w:val="auto"/>
        </w:rPr>
        <w:t xml:space="preserve"> in any fiscal year shall not exceed $5.0 million;</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any Disposition pursuant to </w:t>
      </w:r>
      <w:r>
        <w:rPr>
          <w:rFonts w:ascii="Times New Roman" w:cs="Times New Roman" w:eastAsia="Times New Roman" w:hAnsi="Times New Roman"/>
          <w:sz w:val="20"/>
          <w:szCs w:val="20"/>
          <w:u w:val="single" w:color="auto"/>
          <w:color w:val="auto"/>
        </w:rPr>
        <w:t>Section 6.05(a)(i)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(a)(iv)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6.05(a)(vi)</w:t>
      </w:r>
      <w:r>
        <w:rPr>
          <w:rFonts w:ascii="Times New Roman" w:cs="Times New Roman" w:eastAsia="Times New Roman" w:hAnsi="Times New Roman"/>
          <w:sz w:val="20"/>
          <w:szCs w:val="20"/>
          <w:color w:val="auto"/>
        </w:rPr>
        <w:t xml:space="preserve"> (except insofar as it relates to any transaction solely between the Borrower and any Subsidiary or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6.05(a)(vii)</w:t>
      </w:r>
      <w:r>
        <w:rPr>
          <w:rFonts w:ascii="Times New Roman" w:cs="Times New Roman" w:eastAsia="Times New Roman" w:hAnsi="Times New Roman"/>
          <w:sz w:val="20"/>
          <w:szCs w:val="20"/>
          <w:color w:val="auto"/>
        </w:rPr>
        <w:t xml:space="preserve"> (except to the extent determined by the applicable Person making such Disposition in good faith to be appropriate in accordance with its usual practice) and </w:t>
      </w:r>
      <w:r>
        <w:rPr>
          <w:rFonts w:ascii="Times New Roman" w:cs="Times New Roman" w:eastAsia="Times New Roman" w:hAnsi="Times New Roman"/>
          <w:sz w:val="20"/>
          <w:szCs w:val="20"/>
          <w:u w:val="single" w:color="auto"/>
          <w:color w:val="auto"/>
        </w:rPr>
        <w:t>Section 6.05(a)(xi)</w:t>
      </w:r>
      <w:r>
        <w:rPr>
          <w:rFonts w:ascii="Times New Roman" w:cs="Times New Roman" w:eastAsia="Times New Roman" w:hAnsi="Times New Roman"/>
          <w:sz w:val="20"/>
          <w:szCs w:val="20"/>
          <w:color w:val="auto"/>
        </w:rPr>
        <w:t xml:space="preserve"> shall be for fair market value.</w:t>
      </w:r>
    </w:p>
    <w:p>
      <w:pPr>
        <w:spacing w:after="0" w:line="178" w:lineRule="exact"/>
        <w:rPr>
          <w:sz w:val="20"/>
          <w:szCs w:val="20"/>
          <w:color w:val="auto"/>
        </w:rPr>
      </w:pPr>
    </w:p>
    <w:p>
      <w:pPr>
        <w:jc w:val="both"/>
        <w:ind w:firstLine="757"/>
        <w:spacing w:after="0" w:line="245" w:lineRule="auto"/>
        <w:tabs>
          <w:tab w:leader="none" w:pos="1018"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will, nor will it permit any Subsidiary to, enter into any arrangement, directly or indirectly, whereby it shall sell or transfer any owned property, real or personal, used or useful in its business, whether now owned or hereafter acquired, and thereafter rent or lease such property or other property that it intends to use for substantially the same purpose or purposes as the property sold or transferred, except for any such sale of any newly acquired fixed or capital assets by the Borrower or any Subsidiary that is made for cash consideration in an amount not less than the purchase price of such fixed or capital asset and is consummated within ninety (90) days after the completion of the acquisition or construction of such fixed or capital asset.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SECTION 6.06</w:t>
      </w:r>
      <w:r>
        <w:rPr>
          <w:rFonts w:ascii="Times New Roman" w:cs="Times New Roman" w:eastAsia="Times New Roman" w:hAnsi="Times New Roman"/>
          <w:sz w:val="19"/>
          <w:szCs w:val="19"/>
          <w:u w:val="single" w:color="auto"/>
          <w:color w:val="auto"/>
        </w:rPr>
        <w:t>Swap Agreements</w:t>
      </w:r>
      <w:r>
        <w:rPr>
          <w:rFonts w:ascii="Times New Roman" w:cs="Times New Roman" w:eastAsia="Times New Roman" w:hAnsi="Times New Roman"/>
          <w:sz w:val="19"/>
          <w:szCs w:val="19"/>
          <w:color w:val="auto"/>
        </w:rPr>
        <w:t>. No Loan Party will, nor will it permit any Subsidiary to, enter into any Swap Agreement, except</w:t>
      </w:r>
    </w:p>
    <w:p>
      <w:pPr>
        <w:spacing w:after="0" w:line="33" w:lineRule="exact"/>
        <w:rPr>
          <w:sz w:val="20"/>
          <w:szCs w:val="20"/>
          <w:color w:val="auto"/>
        </w:rPr>
      </w:pPr>
    </w:p>
    <w:p>
      <w:pPr>
        <w:jc w:val="both"/>
        <w:ind w:firstLine="8"/>
        <w:spacing w:after="0"/>
        <w:tabs>
          <w:tab w:leader="none" w:pos="298"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Swap Agreements entered into to hedge or mitigate risks (including foreign currency exchange risks) to which the Borrower or any Subsidiary has actual or reasonably anticipated exposure (other than those in respect of Equity Interests of the Borrower or any of its Subsidiaries), and (b) Swap Agreements entered into in order to effectively cap, collar or exchange interest rates (from fixed to floating rates, from one floating rate to another floating rate or otherwise) with respect to any interest-bearing liability or investment of the Borrower or any Subsidiary.</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6.07</w:t>
      </w:r>
      <w:r>
        <w:rPr>
          <w:rFonts w:ascii="Times New Roman" w:cs="Times New Roman" w:eastAsia="Times New Roman" w:hAnsi="Times New Roman"/>
          <w:sz w:val="20"/>
          <w:szCs w:val="20"/>
          <w:u w:val="single" w:color="auto"/>
          <w:color w:val="auto"/>
        </w:rPr>
        <w:t>Restricted Payments; Prepayments of Junior Debt</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firstLine="757"/>
        <w:spacing w:after="0" w:line="268" w:lineRule="auto"/>
        <w:tabs>
          <w:tab w:leader="none" w:pos="1018"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will, nor will it permit any Subsidiary to, declare or make, or agree to pay or make, directly or indirectly, any Restricted Payment, or incur any obligation (contingent or otherwise) to do so, except:</w:t>
      </w:r>
    </w:p>
    <w:p>
      <w:pPr>
        <w:spacing w:after="0" w:line="160" w:lineRule="exact"/>
        <w:rPr>
          <w:rFonts w:ascii="Times New Roman" w:cs="Times New Roman" w:eastAsia="Times New Roman" w:hAnsi="Times New Roman"/>
          <w:sz w:val="20"/>
          <w:szCs w:val="20"/>
          <w:color w:val="auto"/>
        </w:rPr>
      </w:pPr>
    </w:p>
    <w:p>
      <w:pPr>
        <w:jc w:val="both"/>
        <w:ind w:left="1500" w:firstLine="1503"/>
        <w:spacing w:after="0" w:line="249" w:lineRule="auto"/>
        <w:tabs>
          <w:tab w:leader="none" w:pos="3567"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Borrower may declare and pay dividends with respect to its common stock payable solely in additional shares of its common stock, and, with respect to its preferred stock (other than Disqualified Equity Interests), payable solely in additional shares of such preferred stock or in shares of its common stock, and (B) Subsidiaries may declare and pay dividends ratably with respect to their Equity Interests;</w:t>
      </w:r>
    </w:p>
    <w:p>
      <w:pPr>
        <w:spacing w:after="0" w:line="178" w:lineRule="exact"/>
        <w:rPr>
          <w:rFonts w:ascii="Times New Roman" w:cs="Times New Roman" w:eastAsia="Times New Roman" w:hAnsi="Times New Roman"/>
          <w:sz w:val="20"/>
          <w:szCs w:val="20"/>
          <w:color w:val="auto"/>
        </w:rPr>
      </w:pPr>
    </w:p>
    <w:p>
      <w:pPr>
        <w:jc w:val="both"/>
        <w:ind w:left="1500" w:firstLine="1503"/>
        <w:spacing w:after="0" w:line="245" w:lineRule="auto"/>
        <w:tabs>
          <w:tab w:leader="none" w:pos="3567"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so long as (A) no Event of Default has occurred and is continuing or would result therefrom, and (B) after giving effect to such Restricted Payment (including the incurrence, assumption or acquisition of any Indebtedness in connection therewith) the Borrower shall be in pro forma compliance with a Consolidated Total Net Leverage Ratio of not more than 2.75 to 1.00 for the most recently ended Reference Period and the Borrower shall have delivered to the Administrative Agent reasonably detailed calculations demonstrating such compliance;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0" w:name="page181"/>
    <w:bookmarkEnd w:id="180"/>
    <w:p>
      <w:pPr>
        <w:ind w:left="1500" w:firstLine="1503"/>
        <w:spacing w:after="0" w:line="268" w:lineRule="auto"/>
        <w:tabs>
          <w:tab w:leader="none" w:pos="3567"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issuances of Equity Interests (other than Disqualified Equity Interests) to sellers of Permitted Acquisitions in satisfaction of obligations of the type described in </w:t>
      </w:r>
      <w:r>
        <w:rPr>
          <w:rFonts w:ascii="Times New Roman" w:cs="Times New Roman" w:eastAsia="Times New Roman" w:hAnsi="Times New Roman"/>
          <w:sz w:val="20"/>
          <w:szCs w:val="20"/>
          <w:u w:val="single" w:color="auto"/>
          <w:color w:val="auto"/>
        </w:rPr>
        <w:t>Section 6.01(j)</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left="3580" w:hanging="577"/>
        <w:spacing w:after="0"/>
        <w:tabs>
          <w:tab w:leader="none" w:pos="3580"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4" w:lineRule="exact"/>
        <w:rPr>
          <w:rFonts w:ascii="Times New Roman" w:cs="Times New Roman" w:eastAsia="Times New Roman" w:hAnsi="Times New Roman"/>
          <w:sz w:val="20"/>
          <w:szCs w:val="20"/>
          <w:color w:val="auto"/>
        </w:rPr>
      </w:pPr>
    </w:p>
    <w:p>
      <w:pPr>
        <w:ind w:left="1500" w:right="20" w:firstLine="1503"/>
        <w:spacing w:after="0" w:line="268" w:lineRule="auto"/>
        <w:tabs>
          <w:tab w:leader="none" w:pos="3567"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Restricted Payment made in exchange for, or out of the proceeds of, the substantially concurrent issuance of Equity Interests (other than Disqualified Equity Interests);</w:t>
      </w:r>
    </w:p>
    <w:p>
      <w:pPr>
        <w:spacing w:after="0" w:line="156" w:lineRule="exact"/>
        <w:rPr>
          <w:rFonts w:ascii="Times New Roman" w:cs="Times New Roman" w:eastAsia="Times New Roman" w:hAnsi="Times New Roman"/>
          <w:sz w:val="20"/>
          <w:szCs w:val="20"/>
          <w:color w:val="auto"/>
        </w:rPr>
      </w:pPr>
    </w:p>
    <w:p>
      <w:pPr>
        <w:jc w:val="both"/>
        <w:ind w:left="1500" w:firstLine="1503"/>
        <w:spacing w:after="0" w:line="255" w:lineRule="auto"/>
        <w:tabs>
          <w:tab w:leader="none" w:pos="3567"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cash payment, </w:t>
      </w:r>
      <w:r>
        <w:rPr>
          <w:rFonts w:ascii="Times New Roman" w:cs="Times New Roman" w:eastAsia="Times New Roman" w:hAnsi="Times New Roman"/>
          <w:sz w:val="20"/>
          <w:szCs w:val="20"/>
          <w:i w:val="1"/>
          <w:iCs w:val="1"/>
          <w:color w:val="auto"/>
        </w:rPr>
        <w:t>in lieu</w:t>
      </w:r>
      <w:r>
        <w:rPr>
          <w:rFonts w:ascii="Times New Roman" w:cs="Times New Roman" w:eastAsia="Times New Roman" w:hAnsi="Times New Roman"/>
          <w:sz w:val="20"/>
          <w:szCs w:val="20"/>
          <w:color w:val="auto"/>
        </w:rPr>
        <w:t xml:space="preserve"> of issuance of fractional shares in connection with the exercise of warrants, options or other securities convertible into or exchangeable for the Equity Interests of the Borrower or a Subsidiary;</w:t>
      </w:r>
    </w:p>
    <w:p>
      <w:pPr>
        <w:spacing w:after="0" w:line="174" w:lineRule="exact"/>
        <w:rPr>
          <w:rFonts w:ascii="Times New Roman" w:cs="Times New Roman" w:eastAsia="Times New Roman" w:hAnsi="Times New Roman"/>
          <w:sz w:val="20"/>
          <w:szCs w:val="20"/>
          <w:color w:val="auto"/>
        </w:rPr>
      </w:pPr>
    </w:p>
    <w:p>
      <w:pPr>
        <w:jc w:val="both"/>
        <w:ind w:left="1500" w:firstLine="1503"/>
        <w:spacing w:after="0" w:line="246" w:lineRule="auto"/>
        <w:tabs>
          <w:tab w:leader="none" w:pos="3567"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repurchases of Equity Interests deemed to occur upon the exercise of stock options, warrants or other convertible or exchangeable securities if such Equity Interests represents a portion of the exercise, conversion or exchange price thereof and repurchases of Equity Interests deemed to occur upon the withholding of a portion of the Equity Interests granted or awarded to a current or former officer, director, employee or consultant to pay for the taxes payable by such Person upon such grant or award (or upon vesting thereof); and</w:t>
      </w:r>
    </w:p>
    <w:p>
      <w:pPr>
        <w:spacing w:after="0" w:line="183" w:lineRule="exact"/>
        <w:rPr>
          <w:rFonts w:ascii="Times New Roman" w:cs="Times New Roman" w:eastAsia="Times New Roman" w:hAnsi="Times New Roman"/>
          <w:sz w:val="20"/>
          <w:szCs w:val="20"/>
          <w:color w:val="auto"/>
        </w:rPr>
      </w:pPr>
    </w:p>
    <w:p>
      <w:pPr>
        <w:jc w:val="both"/>
        <w:ind w:left="1500" w:firstLine="1503"/>
        <w:spacing w:after="0" w:line="249" w:lineRule="auto"/>
        <w:tabs>
          <w:tab w:leader="none" w:pos="3567"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repurchase, redeem, retire or otherwise acquire for value Equity Interests (including any stock appreciation rights in respect thereof) of the Borrower from current or former employees, officers, directors or consultants;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aggregate annual cash payments in respect of such repurchases, redemptions, retirements and acquisitions shall not exceed $5.0 million in any fiscal year.</w:t>
      </w:r>
    </w:p>
    <w:p>
      <w:pPr>
        <w:spacing w:after="0" w:line="178"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will, nor will it permit any Subsidiary to, make or agree to pay or make, directly or indirectly, any payment or other distribution (whether in cash, securities or other property) of or in respect of principal of or interest on any Junior Debt, or any payment or other distribution (whether in cash, securities or other property), including any sinking fund or similar deposit, on account of the purchase, redemption, retirement, acquisition, cancellation or termination of any Junior Debt, except:</w:t>
      </w:r>
    </w:p>
    <w:p>
      <w:pPr>
        <w:spacing w:after="0" w:line="178" w:lineRule="exact"/>
        <w:rPr>
          <w:rFonts w:ascii="Times New Roman" w:cs="Times New Roman" w:eastAsia="Times New Roman" w:hAnsi="Times New Roman"/>
          <w:sz w:val="20"/>
          <w:szCs w:val="20"/>
          <w:color w:val="auto"/>
        </w:rPr>
      </w:pPr>
    </w:p>
    <w:p>
      <w:pPr>
        <w:ind w:left="1500" w:firstLine="1503"/>
        <w:spacing w:after="0" w:line="268" w:lineRule="auto"/>
        <w:tabs>
          <w:tab w:leader="none" w:pos="3567"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payment of regularly scheduled interest, expenses and indemnities as and when due in respect of any Junior Debt permitted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left="3580" w:hanging="577"/>
        <w:spacing w:after="0"/>
        <w:tabs>
          <w:tab w:leader="none" w:pos="358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refinancings of any Junior Debt to the extent permitted by </w:t>
      </w:r>
      <w:r>
        <w:rPr>
          <w:rFonts w:ascii="Times New Roman" w:cs="Times New Roman" w:eastAsia="Times New Roman" w:hAnsi="Times New Roman"/>
          <w:sz w:val="20"/>
          <w:szCs w:val="20"/>
          <w:u w:val="single" w:color="auto"/>
          <w:color w:val="auto"/>
        </w:rPr>
        <w:t>Section 6.01(f)</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1500" w:firstLine="1503"/>
        <w:spacing w:after="0" w:line="249" w:lineRule="auto"/>
        <w:tabs>
          <w:tab w:leader="none" w:pos="3567"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and other payments of any Junior Debt made solely with the proceeds of the substantially concurrent issuance of Equity Interests (other than Disqualified Equity Interests) or in the form of Equity Interests (other than Disqualified Equity Interests) of the Borrower together with cash for any fractional shares and cash for any accrued but unpaid interest and any premium payable in connection therewith; and</w:t>
      </w:r>
    </w:p>
    <w:p>
      <w:pPr>
        <w:spacing w:after="0" w:line="178" w:lineRule="exact"/>
        <w:rPr>
          <w:rFonts w:ascii="Times New Roman" w:cs="Times New Roman" w:eastAsia="Times New Roman" w:hAnsi="Times New Roman"/>
          <w:sz w:val="20"/>
          <w:szCs w:val="20"/>
          <w:color w:val="auto"/>
        </w:rPr>
      </w:pPr>
    </w:p>
    <w:p>
      <w:pPr>
        <w:ind w:left="1500" w:right="20" w:firstLine="1503"/>
        <w:spacing w:after="0" w:line="268" w:lineRule="auto"/>
        <w:tabs>
          <w:tab w:leader="none" w:pos="3567"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settlement upon any conversion of Convertible Debt in accordance with the terms thereof in an aggregate amount not to exceed the principal amount thereof.</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1" w:name="page182"/>
    <w:bookmarkEnd w:id="181"/>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SECTION 6.08 </w:t>
      </w:r>
      <w:r>
        <w:rPr>
          <w:rFonts w:ascii="Times New Roman" w:cs="Times New Roman" w:eastAsia="Times New Roman" w:hAnsi="Times New Roman"/>
          <w:sz w:val="20"/>
          <w:szCs w:val="20"/>
          <w:u w:val="single" w:color="auto"/>
          <w:color w:val="auto"/>
        </w:rPr>
        <w:t>Transactions with Affiliates</w:t>
      </w:r>
      <w:r>
        <w:rPr>
          <w:rFonts w:ascii="Times New Roman" w:cs="Times New Roman" w:eastAsia="Times New Roman" w:hAnsi="Times New Roman"/>
          <w:sz w:val="20"/>
          <w:szCs w:val="20"/>
          <w:color w:val="auto"/>
        </w:rPr>
        <w:t xml:space="preserve">. No Loan Party will, nor will it permit any Subsidiary to, sell, lease or otherwise 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such Loan Party or such Subsidiary than could be obtained on an arm’s-length basis from unrelated third parties, (b) transactions between or among the Borrower and any Loan Party not involving any other Affiliate, (c) transactions between or among Subsidiaries of Borrower that are not Loan Parties, (d) any Restricted Payment permitted by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(e) reasonable and customary director, officer and employee compensation (including bonuses) and other benefits (including retirement, health, stock option and other benefit plans), indemnification arrangements, (f) severance and reimbursement of reasonable and documented costs paid to members of the board of directors of any Loan Party or any of its Subsidiaries and (g) transactions described in </w:t>
      </w:r>
      <w:r>
        <w:rPr>
          <w:rFonts w:ascii="Times New Roman" w:cs="Times New Roman" w:eastAsia="Times New Roman" w:hAnsi="Times New Roman"/>
          <w:sz w:val="20"/>
          <w:szCs w:val="20"/>
          <w:u w:val="single" w:color="auto"/>
          <w:color w:val="auto"/>
        </w:rPr>
        <w:t>Schedule 6.08</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9"/>
          <w:szCs w:val="19"/>
          <w:color w:val="auto"/>
        </w:rPr>
        <w:t>SECTION 6.09</w:t>
      </w:r>
      <w:r>
        <w:rPr>
          <w:rFonts w:ascii="Times New Roman" w:cs="Times New Roman" w:eastAsia="Times New Roman" w:hAnsi="Times New Roman"/>
          <w:sz w:val="19"/>
          <w:szCs w:val="19"/>
          <w:u w:val="single" w:color="auto"/>
          <w:color w:val="auto"/>
        </w:rPr>
        <w:t>Restrictive Agreements</w:t>
      </w:r>
      <w:r>
        <w:rPr>
          <w:rFonts w:ascii="Times New Roman" w:cs="Times New Roman" w:eastAsia="Times New Roman" w:hAnsi="Times New Roman"/>
          <w:sz w:val="19"/>
          <w:szCs w:val="19"/>
          <w:color w:val="auto"/>
        </w:rPr>
        <w:t xml:space="preserve">. No Loan Party will, nor will it permit any Subsidiary to, directly or indirectly, enter into, incur or permit to exist any agreement or other arrangement that prohibits, restricts or imposes any condition upon (a) the ability of such Loan Party or any of its Subsidiaries to create, incur or permit to exist any Lien upon any of its property or assets, (b) the ability of any Subsidiary to pay dividends or other distributions with respect to any shares of its capital stock or to make or repay loans or advances to the Borrower or any other Subsidiary or to Guarantee Indebtedness of the Borrower or any other Subsidiary or (c) the ability of the Borrower or any other Subsidiary to make any Disposition; except for: (i) such encumbrances or restrictions existing under or by reason of applicable law or any Loan Document; (ii) restrictions and conditions existing on the date hereof identified on </w:t>
      </w:r>
      <w:r>
        <w:rPr>
          <w:rFonts w:ascii="Times New Roman" w:cs="Times New Roman" w:eastAsia="Times New Roman" w:hAnsi="Times New Roman"/>
          <w:sz w:val="19"/>
          <w:szCs w:val="19"/>
          <w:u w:val="single" w:color="auto"/>
          <w:color w:val="auto"/>
        </w:rPr>
        <w:t>Schedule 6.09</w:t>
      </w:r>
      <w:r>
        <w:rPr>
          <w:rFonts w:ascii="Times New Roman" w:cs="Times New Roman" w:eastAsia="Times New Roman" w:hAnsi="Times New Roman"/>
          <w:sz w:val="19"/>
          <w:szCs w:val="19"/>
          <w:color w:val="auto"/>
        </w:rPr>
        <w:t xml:space="preserve"> (but not including any extension or renewal of, or any amendment or modification expanding the scope of any such restriction or condition); (iii) customary restrictions and conditions contained in agreements relating to the sale of a Subsidiary or other property pending such sale, provided such restrictions and conditions apply only to the Subsidiary or other property that is to be sold and such sale is permitted hereunder; (iv) restrictions or conditions imposed by any agreement relating to secured Indebtedness permitted by this Agreement if such restrictions or conditions apply only to the property or assets securing such Indebtedness; (v) customary provisions in leases and other contracts restricting the assignment thereof; (vi) customary restrictions contained in any software licenses; (vii) without affecting the Loan Parties’ obligations under </w:t>
      </w:r>
      <w:r>
        <w:rPr>
          <w:rFonts w:ascii="Times New Roman" w:cs="Times New Roman" w:eastAsia="Times New Roman" w:hAnsi="Times New Roman"/>
          <w:sz w:val="19"/>
          <w:szCs w:val="19"/>
          <w:u w:val="single" w:color="auto"/>
          <w:color w:val="auto"/>
        </w:rPr>
        <w:t>Section 5.09</w:t>
      </w:r>
      <w:r>
        <w:rPr>
          <w:rFonts w:ascii="Times New Roman" w:cs="Times New Roman" w:eastAsia="Times New Roman" w:hAnsi="Times New Roman"/>
          <w:sz w:val="19"/>
          <w:szCs w:val="19"/>
          <w:color w:val="auto"/>
        </w:rPr>
        <w:t xml:space="preserve">, customary provisions in the organizational documents of a Person or asset sale or stock sale agreements or similar agreements which restrict the transfer of ownership in such Person; (viii) in the case of any joint venture permitted hereunder with a Person that is not a Loan Party, restrictions in such Person’s organizational documents or pursuant to any joint venture agreement or stockholders agreement solely to the extent of the Equity Interests of or property held in the subject joint venture; (ix) restrictions imposed by any holder of a Lien permitted by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xml:space="preserve"> restricting the transfer of the property subject thereto; (x) without affecting the Loan Parties’ obligations under </w:t>
      </w:r>
      <w:r>
        <w:rPr>
          <w:rFonts w:ascii="Times New Roman" w:cs="Times New Roman" w:eastAsia="Times New Roman" w:hAnsi="Times New Roman"/>
          <w:sz w:val="19"/>
          <w:szCs w:val="19"/>
          <w:u w:val="single" w:color="auto"/>
          <w:color w:val="auto"/>
        </w:rPr>
        <w:t>Section 5.09</w:t>
      </w:r>
      <w:r>
        <w:rPr>
          <w:rFonts w:ascii="Times New Roman" w:cs="Times New Roman" w:eastAsia="Times New Roman" w:hAnsi="Times New Roman"/>
          <w:sz w:val="19"/>
          <w:szCs w:val="19"/>
          <w:color w:val="auto"/>
        </w:rPr>
        <w:t xml:space="preserve">, any agreement in effect at the time a Person becomes a Subsidiary of the Borrower (including any amendments thereto that are otherwise permitted by the Loan Documents and that are no more materially restrictive with respect to such encumbrances and restrictions than those prior to such amendment or refinancing), so long as such agreement was not entered into in connection with or in contemplation of such person becoming a Subsidiary of Borrower and imposes restrictions only on such Person and its assets; (xi) restrictions on cash or other deposits required by suppliers or landlords under contracts entered into in the ordinary course of business; (xii) without affecting the Loan Parties’ obligations under </w:t>
      </w:r>
      <w:r>
        <w:rPr>
          <w:rFonts w:ascii="Times New Roman" w:cs="Times New Roman" w:eastAsia="Times New Roman" w:hAnsi="Times New Roman"/>
          <w:sz w:val="19"/>
          <w:szCs w:val="19"/>
          <w:u w:val="single" w:color="auto"/>
          <w:color w:val="auto"/>
        </w:rPr>
        <w:t>Section 5.09</w:t>
      </w:r>
      <w:r>
        <w:rPr>
          <w:rFonts w:ascii="Times New Roman" w:cs="Times New Roman" w:eastAsia="Times New Roman" w:hAnsi="Times New Roman"/>
          <w:sz w:val="19"/>
          <w:szCs w:val="19"/>
          <w:color w:val="auto"/>
        </w:rPr>
        <w:t>, restrictions imposed solely on Foreign Subsidiaries pursuant to any Swap Agreement entered into by the Borrower or any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82" w:name="page183"/>
    <w:bookmarkEnd w:id="182"/>
    <w:p>
      <w:pPr>
        <w:ind w:right="20"/>
        <w:spacing w:after="0" w:line="268" w:lineRule="auto"/>
        <w:rPr>
          <w:sz w:val="20"/>
          <w:szCs w:val="20"/>
          <w:color w:val="auto"/>
        </w:rPr>
      </w:pPr>
      <w:r>
        <w:rPr>
          <w:rFonts w:ascii="Times New Roman" w:cs="Times New Roman" w:eastAsia="Times New Roman" w:hAnsi="Times New Roman"/>
          <w:sz w:val="20"/>
          <w:szCs w:val="20"/>
          <w:color w:val="auto"/>
        </w:rPr>
        <w:t xml:space="preserve">Subsidiary and permitted pursuant to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or (xiii) customary restrictions or conditions pursuant to any Indebtedness incurred pursuant to </w:t>
      </w:r>
      <w:r>
        <w:rPr>
          <w:rFonts w:ascii="Times New Roman" w:cs="Times New Roman" w:eastAsia="Times New Roman" w:hAnsi="Times New Roman"/>
          <w:sz w:val="20"/>
          <w:szCs w:val="20"/>
          <w:u w:val="single" w:color="auto"/>
          <w:color w:val="auto"/>
        </w:rPr>
        <w:t>Section 6.01(s)</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6.10</w:t>
      </w:r>
      <w:r>
        <w:rPr>
          <w:rFonts w:ascii="Times New Roman" w:cs="Times New Roman" w:eastAsia="Times New Roman" w:hAnsi="Times New Roman"/>
          <w:sz w:val="20"/>
          <w:szCs w:val="20"/>
          <w:u w:val="single" w:color="auto"/>
          <w:color w:val="auto"/>
        </w:rPr>
        <w:t>Amendment of Material Documents; End of Fiscal Years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9" w:lineRule="auto"/>
        <w:tabs>
          <w:tab w:leader="none" w:pos="1018"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will, nor will it permit any Subsidiary (i) to, amend, modify or waive any of its rights under its certificate of incorporation, by-laws, operating, management or partnership agreement or other organizational documents or (ii) to, amend, modify or waive any provisions of any Junior Debt, in each case, to the extent any such amendment, modification or waiver would be materially adverse to the Administrative Agent or the Lenders.</w:t>
      </w:r>
    </w:p>
    <w:p>
      <w:pPr>
        <w:spacing w:after="0" w:line="178"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will, nor will it permit any Subsidiary to make any material change in its accounting treatment and reporting practices except as required or permitted by GAAP.</w:t>
      </w:r>
    </w:p>
    <w:p>
      <w:pPr>
        <w:spacing w:after="0" w:line="160"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not, nor will it permit any of its Subsidiaries to, change its fiscal year to end on a date other than December 31;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acquired entity that maintains a different end of fiscal year shall have a period not to exceed 180 days to comply with this </w:t>
      </w:r>
      <w:r>
        <w:rPr>
          <w:rFonts w:ascii="Times New Roman" w:cs="Times New Roman" w:eastAsia="Times New Roman" w:hAnsi="Times New Roman"/>
          <w:sz w:val="20"/>
          <w:szCs w:val="20"/>
          <w:u w:val="single" w:color="auto"/>
          <w:color w:val="auto"/>
        </w:rPr>
        <w:t>Section 6.10(c)</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6.11</w:t>
      </w:r>
      <w:r>
        <w:rPr>
          <w:rFonts w:ascii="Times New Roman" w:cs="Times New Roman" w:eastAsia="Times New Roman" w:hAnsi="Times New Roman"/>
          <w:sz w:val="20"/>
          <w:szCs w:val="20"/>
          <w:u w:val="single" w:color="auto"/>
          <w:color w:val="auto"/>
        </w:rPr>
        <w:t>Financial Covenants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1" w:lineRule="auto"/>
        <w:tabs>
          <w:tab w:leader="none" w:pos="1018"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Total Net Leverage Ratio</w:t>
      </w:r>
      <w:r>
        <w:rPr>
          <w:rFonts w:ascii="Times New Roman" w:cs="Times New Roman" w:eastAsia="Times New Roman" w:hAnsi="Times New Roman"/>
          <w:sz w:val="20"/>
          <w:szCs w:val="20"/>
          <w:color w:val="auto"/>
        </w:rPr>
        <w:t xml:space="preserve">. Commencing with the fiscal quarter ending on June 30, 2024, the Borrower shall not permit the Consolidated Total Net Leverage Ratio, determined for the four consecutive fiscal quarter period ending on the last day of each fiscal quarter, to be greater than 3.50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connection with a Material Acquisition, at the written election of the Borrower to the Administrative Agent, the maximum Consolidated Total Net Leverage Ratio permitted under this </w:t>
      </w:r>
      <w:r>
        <w:rPr>
          <w:rFonts w:ascii="Times New Roman" w:cs="Times New Roman" w:eastAsia="Times New Roman" w:hAnsi="Times New Roman"/>
          <w:sz w:val="20"/>
          <w:szCs w:val="20"/>
          <w:u w:val="single" w:color="auto"/>
          <w:color w:val="auto"/>
        </w:rPr>
        <w:t>Section 6.11(a)</w:t>
      </w:r>
      <w:r>
        <w:rPr>
          <w:rFonts w:ascii="Times New Roman" w:cs="Times New Roman" w:eastAsia="Times New Roman" w:hAnsi="Times New Roman"/>
          <w:sz w:val="20"/>
          <w:szCs w:val="20"/>
          <w:color w:val="auto"/>
        </w:rPr>
        <w:t xml:space="preserve"> shall be increased to 4.00 to 1.00 as of the end of a Specified Quarter and the three consecutive fiscal quarters ending immediately following such Specified Quarter (the “</w:t>
      </w:r>
      <w:r>
        <w:rPr>
          <w:rFonts w:ascii="Times New Roman" w:cs="Times New Roman" w:eastAsia="Times New Roman" w:hAnsi="Times New Roman"/>
          <w:sz w:val="20"/>
          <w:szCs w:val="20"/>
          <w:u w:val="single" w:color="auto"/>
          <w:color w:val="auto"/>
        </w:rPr>
        <w:t>Adjusted Covenant Period</w:t>
      </w:r>
      <w:r>
        <w:rPr>
          <w:rFonts w:ascii="Times New Roman" w:cs="Times New Roman" w:eastAsia="Times New Roman" w:hAnsi="Times New Roman"/>
          <w:sz w:val="20"/>
          <w:szCs w:val="20"/>
          <w:color w:val="auto"/>
        </w:rPr>
        <w:t xml:space="preserve">”) (it being understood and agreed that following the end of the Adjusted Covenant Period, the maximum Consolidated Total Net Leverage Ratio permitted under this </w:t>
      </w:r>
      <w:r>
        <w:rPr>
          <w:rFonts w:ascii="Times New Roman" w:cs="Times New Roman" w:eastAsia="Times New Roman" w:hAnsi="Times New Roman"/>
          <w:sz w:val="20"/>
          <w:szCs w:val="20"/>
          <w:u w:val="single" w:color="auto"/>
          <w:color w:val="auto"/>
        </w:rPr>
        <w:t>Section 6.11(a</w:t>
      </w:r>
      <w:r>
        <w:rPr>
          <w:rFonts w:ascii="Times New Roman" w:cs="Times New Roman" w:eastAsia="Times New Roman" w:hAnsi="Times New Roman"/>
          <w:sz w:val="20"/>
          <w:szCs w:val="20"/>
          <w:color w:val="auto"/>
        </w:rPr>
        <w:t xml:space="preserve">) shall be restored to 3.50 to 1.00 as of the end of each subsequent fiscal quarter until another Adjusted Covenant Period (if any) occurs pursuant to the terms and conditions described in this </w:t>
      </w:r>
      <w:r>
        <w:rPr>
          <w:rFonts w:ascii="Times New Roman" w:cs="Times New Roman" w:eastAsia="Times New Roman" w:hAnsi="Times New Roman"/>
          <w:sz w:val="20"/>
          <w:szCs w:val="20"/>
          <w:u w:val="single" w:color="auto"/>
          <w:color w:val="auto"/>
        </w:rPr>
        <w:t>Section 6.11(a)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Borrower may not elect again to increase the maximum Consolidated Total Net Leverage Ratio permitted under this </w:t>
      </w:r>
      <w:r>
        <w:rPr>
          <w:rFonts w:ascii="Times New Roman" w:cs="Times New Roman" w:eastAsia="Times New Roman" w:hAnsi="Times New Roman"/>
          <w:sz w:val="20"/>
          <w:szCs w:val="20"/>
          <w:u w:val="single" w:color="auto"/>
          <w:color w:val="auto"/>
        </w:rPr>
        <w:t>Section 6.11(a)</w:t>
      </w:r>
      <w:r>
        <w:rPr>
          <w:rFonts w:ascii="Times New Roman" w:cs="Times New Roman" w:eastAsia="Times New Roman" w:hAnsi="Times New Roman"/>
          <w:sz w:val="20"/>
          <w:szCs w:val="20"/>
          <w:color w:val="auto"/>
        </w:rPr>
        <w:t xml:space="preserve"> to 4.00 to 1.00, regardless of the date of consummation of any subsequent Material Acquisition, unless and until Borrower shall have complied with the restored maximum Consolidated Total Net Leverage Ratio covenant level of 3.50 to 1.00 for the two consecutive fiscal quarters following such restoration.</w:t>
      </w:r>
    </w:p>
    <w:p>
      <w:pPr>
        <w:spacing w:after="0" w:line="195"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Commencing with the fiscal quarter ending on June 30, 2024, the Borrower shall not permit the Consolidated Interest Coverage Ratio, determined for the four consecutive fiscal quarter period ending on the last day of each fiscal quarter, to be less than 3.00 to 1.00.</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6.12</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4" w:lineRule="auto"/>
        <w:tabs>
          <w:tab w:leader="none" w:pos="1018"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Plan, the Borrower shall not (i) permit an ERISA Event to occur; (ii) engage, or permit any ERISA Affiliate to engage, in any transaction described in Section 4069 of ERISA, (iii) engage in, or permit any ERISA Affiliate to engage in, any prohibited transaction described in Section 406 of ERISA or 4975 of the Code for which a statutory or class exemption is not available or a private exemption has not previously been obtained from the U.S. Department of Labor that would reasonably be expected to result in liability exceeding $5.0 million, (iv) adopt or permit any ERISA Affiliate to adopt any employee welfare benefit plan within the meaning of Section 3(1) of ERISA which provides benefits to employees after termination of employment other than as required by Section 601 of ERISA or applicable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3" w:name="page184"/>
    <w:bookmarkEnd w:id="183"/>
    <w:p>
      <w:pPr>
        <w:jc w:val="both"/>
        <w:spacing w:after="0" w:line="249" w:lineRule="auto"/>
        <w:rPr>
          <w:sz w:val="20"/>
          <w:szCs w:val="20"/>
          <w:color w:val="auto"/>
        </w:rPr>
      </w:pPr>
      <w:r>
        <w:rPr>
          <w:rFonts w:ascii="Times New Roman" w:cs="Times New Roman" w:eastAsia="Times New Roman" w:hAnsi="Times New Roman"/>
          <w:sz w:val="20"/>
          <w:szCs w:val="20"/>
          <w:color w:val="auto"/>
        </w:rPr>
        <w:t>law, (v) fail to make any contribution or payment to any Multiemployer Plan which it or any ERISA Affiliate may be required to make under any agreement relating to such Multiemployer Plan, or any law pertaining thereto, or (vi) fail, or permit any ERISA Affiliate to fail, to pay any required installment or any other payment required under Section 412 of the Code on or before the due date for such installment or other payment.</w:t>
      </w:r>
    </w:p>
    <w:p>
      <w:pPr>
        <w:spacing w:after="0" w:line="178" w:lineRule="exact"/>
        <w:rPr>
          <w:sz w:val="20"/>
          <w:szCs w:val="20"/>
          <w:color w:val="auto"/>
        </w:rPr>
      </w:pPr>
    </w:p>
    <w:p>
      <w:pPr>
        <w:ind w:firstLine="757"/>
        <w:spacing w:after="0" w:line="268" w:lineRule="auto"/>
        <w:tabs>
          <w:tab w:leader="none" w:pos="1018"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establish, maintain, contribute to or become obligated to contribute to any Plan, except where such establishment, maintenance, contribution, or obligation could not reasonably be expected to have a Material Adverse Effect.</w:t>
      </w:r>
    </w:p>
    <w:p>
      <w:pPr>
        <w:spacing w:after="0" w:line="160"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will take any action, omit to take any action or permit any other party to take any action that would result in (i) such Loan Party holding Plan Assets or “plan assets” subject to Similar Law or (ii) any transaction contemplated under the Loan Documents constituting or resulting in a non-exempt prohibited transaction under Section 406 of ERISA or Section 4975 of the Code or any violation of applicable Similar Law.</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EVENTS OF DEFAULT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any of the following events (each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shall occur and be continuing:</w:t>
      </w:r>
    </w:p>
    <w:p>
      <w:pPr>
        <w:spacing w:after="0" w:line="215" w:lineRule="exact"/>
        <w:rPr>
          <w:sz w:val="20"/>
          <w:szCs w:val="20"/>
          <w:color w:val="auto"/>
        </w:rPr>
      </w:pPr>
    </w:p>
    <w:p>
      <w:pPr>
        <w:ind w:firstLine="757"/>
        <w:spacing w:after="0" w:line="268" w:lineRule="auto"/>
        <w:tabs>
          <w:tab w:leader="none" w:pos="101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60"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fail to pay any interest on any Loan or any fee or any other amount (other than an amount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payable under this Agreement or any other Loan Document, when and as the same shall become due and payable, and such failure shall continue unremedied for a period of five (5) Business Days;</w:t>
      </w:r>
    </w:p>
    <w:p>
      <w:pPr>
        <w:spacing w:after="0" w:line="176"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representation or warranty made or deemed made by or on behalf of any Loan Party or any Subsidiary in or in connection with this Agreement or any Loan Document or any amendment or modification thereof or waiver thereunder, or in any report, certificate, financial statement or other document furnished pursuant to or in connection with this Agreement or any Loan Document or any amendment or modification thereof or waiver thereunder, shall prove to have been materially incorrect when made or deemed made;</w:t>
      </w:r>
    </w:p>
    <w:p>
      <w:pPr>
        <w:spacing w:after="0" w:line="178"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Party shall fail to observe or perform any covenant, condition or agreement contained in </w:t>
      </w:r>
      <w:r>
        <w:rPr>
          <w:rFonts w:ascii="Times New Roman" w:cs="Times New Roman" w:eastAsia="Times New Roman" w:hAnsi="Times New Roman"/>
          <w:sz w:val="20"/>
          <w:szCs w:val="20"/>
          <w:u w:val="single" w:color="auto"/>
          <w:color w:val="auto"/>
        </w:rPr>
        <w:t>Section 5.02(a)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5.03</w:t>
      </w:r>
      <w:r>
        <w:rPr>
          <w:rFonts w:ascii="Times New Roman" w:cs="Times New Roman" w:eastAsia="Times New Roman" w:hAnsi="Times New Roman"/>
          <w:sz w:val="20"/>
          <w:szCs w:val="20"/>
          <w:color w:val="auto"/>
        </w:rPr>
        <w:t xml:space="preserve"> (with respect to maintaining a Loan Party’s existence), </w:t>
      </w:r>
      <w:r>
        <w:rPr>
          <w:rFonts w:ascii="Times New Roman" w:cs="Times New Roman" w:eastAsia="Times New Roman" w:hAnsi="Times New Roman"/>
          <w:sz w:val="20"/>
          <w:szCs w:val="20"/>
          <w:u w:val="single" w:color="auto"/>
          <w:color w:val="auto"/>
        </w:rPr>
        <w:t>5.08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5.09</w:t>
      </w:r>
      <w:r>
        <w:rPr>
          <w:rFonts w:ascii="Times New Roman" w:cs="Times New Roman" w:eastAsia="Times New Roman" w:hAnsi="Times New Roman"/>
          <w:sz w:val="20"/>
          <w:szCs w:val="20"/>
          <w:color w:val="auto"/>
        </w:rPr>
        <w:t xml:space="preserve"> or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(e) any Loan Party shall fail to observe or perform any covenant, condition or agree ment contained in this Agreement (other than those which constitute a default under another Section of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or any other Loan Document, and such failure shall continue unremedied for a period of (i) 5 Business Days after the earlier of any Loan Party’s knowledge of such breach or notice thereof from the Administrative Agent (which notice will be given at the request of any Lender) if such breach relates to terms or provisions of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5.02</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5.02(a)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5.03</w:t>
      </w:r>
      <w:r>
        <w:rPr>
          <w:rFonts w:ascii="Times New Roman" w:cs="Times New Roman" w:eastAsia="Times New Roman" w:hAnsi="Times New Roman"/>
          <w:sz w:val="20"/>
          <w:szCs w:val="20"/>
          <w:color w:val="auto"/>
        </w:rPr>
        <w:t xml:space="preserve"> (other than with respect to maintaining a Loan Party’s existence) through </w:t>
      </w:r>
      <w:r>
        <w:rPr>
          <w:rFonts w:ascii="Times New Roman" w:cs="Times New Roman" w:eastAsia="Times New Roman" w:hAnsi="Times New Roman"/>
          <w:sz w:val="20"/>
          <w:szCs w:val="20"/>
          <w:u w:val="single" w:color="auto"/>
          <w:color w:val="auto"/>
        </w:rPr>
        <w:t>5.06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5.10</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5.15</w:t>
      </w:r>
      <w:r>
        <w:rPr>
          <w:rFonts w:ascii="Times New Roman" w:cs="Times New Roman" w:eastAsia="Times New Roman" w:hAnsi="Times New Roman"/>
          <w:sz w:val="20"/>
          <w:szCs w:val="20"/>
          <w:color w:val="auto"/>
        </w:rPr>
        <w:t xml:space="preserve"> or of this Agreement or (ii) thirty (30) days after the earlier of any Loan Party’s knowledge of such breach or notice thereof from the Administrative Agent (which notice will be given at the request of any Lender);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4" w:name="page185"/>
    <w:bookmarkEnd w:id="184"/>
    <w:p>
      <w:pPr>
        <w:ind w:firstLine="757"/>
        <w:spacing w:after="0" w:line="268" w:lineRule="auto"/>
        <w:tabs>
          <w:tab w:leader="none" w:pos="1018"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or any Subsidiary shall fail to make any payment (whether of principal or interest and regardless of amount) in respect of any Material Indebtedness, when and as the same shall become due and payable beyond any applicable grace period;</w:t>
      </w:r>
    </w:p>
    <w:p>
      <w:pPr>
        <w:spacing w:after="0" w:line="160" w:lineRule="exact"/>
        <w:rPr>
          <w:rFonts w:ascii="Times New Roman" w:cs="Times New Roman" w:eastAsia="Times New Roman" w:hAnsi="Times New Roman"/>
          <w:sz w:val="20"/>
          <w:szCs w:val="20"/>
          <w:color w:val="auto"/>
        </w:rPr>
      </w:pPr>
    </w:p>
    <w:p>
      <w:pPr>
        <w:jc w:val="both"/>
        <w:ind w:firstLine="757"/>
        <w:spacing w:after="0" w:line="257" w:lineRule="auto"/>
        <w:tabs>
          <w:tab w:leader="none" w:pos="1018"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w:t>
      </w:r>
      <w:r>
        <w:rPr>
          <w:rFonts w:ascii="Times New Roman" w:cs="Times New Roman" w:eastAsia="Times New Roman" w:hAnsi="Times New Roman"/>
          <w:sz w:val="19"/>
          <w:szCs w:val="19"/>
          <w:u w:val="single" w:color="auto"/>
          <w:color w:val="auto"/>
        </w:rPr>
        <w:t>clause (g)</w:t>
      </w:r>
      <w:r>
        <w:rPr>
          <w:rFonts w:ascii="Times New Roman" w:cs="Times New Roman" w:eastAsia="Times New Roman" w:hAnsi="Times New Roman"/>
          <w:sz w:val="19"/>
          <w:szCs w:val="19"/>
          <w:color w:val="auto"/>
        </w:rPr>
        <w:t xml:space="preserve"> shall not apply to (i) secured Indebtedness that becomes due as a result of the voluntary sale or transfer of the property or assets securing such Indebtedness (ii) with respect to any Material Indebtedness consisting of Swap Agreements, termination events or equivalent events pursuant to the terms of such Swap Agreements and not as a result of any default thereunder by the Borrower or any of its Subsidiaries, (iii) any conversion of exchange of any Convertible Debt and any conversion or exchange trigger that results in such Convertible Debt becoming convertible or exchangeable, as applicable and (iv) to the extent repaid in full upon consummation of the related Permitted Acquisition, any Specified Material Indebtedness;</w:t>
      </w:r>
    </w:p>
    <w:p>
      <w:pPr>
        <w:spacing w:after="0" w:line="173" w:lineRule="exact"/>
        <w:rPr>
          <w:rFonts w:ascii="Times New Roman" w:cs="Times New Roman" w:eastAsia="Times New Roman" w:hAnsi="Times New Roman"/>
          <w:sz w:val="19"/>
          <w:szCs w:val="19"/>
          <w:color w:val="auto"/>
        </w:rPr>
      </w:pPr>
    </w:p>
    <w:p>
      <w:pPr>
        <w:jc w:val="both"/>
        <w:ind w:firstLine="757"/>
        <w:spacing w:after="0" w:line="245" w:lineRule="auto"/>
        <w:tabs>
          <w:tab w:leader="none" w:pos="1018"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involuntary proceeding shall be commenced or an involuntary petition shall be filed seeking (i) liquidation, reorganization or other relief in respect of a Loan Party or any Material Foreign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any Material Foreign Subsidiary or for a substantial part of its assets, and, in any such case, such proceeding or petition shall continue undismissed for sixty (60) days or an order or decree approving or ordering any of the foregoing shall be entered;</w:t>
      </w:r>
    </w:p>
    <w:p>
      <w:pPr>
        <w:spacing w:after="0" w:line="182"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Party or any Material Foreign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(iii) apply for or consent to the appointment of a receiver, trustee, custodian, sequestrator, conservator or similar official for such Loan Party or Material Foreign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83"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or any Subsidiary of any Loan Party shall become unable, admit in writing its inability or fail generally to pay its debts as they become due;</w:t>
      </w:r>
    </w:p>
    <w:p>
      <w:pPr>
        <w:spacing w:after="0" w:line="160"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judgments, orders, court-approved settlements or other settlements (i) for the payment of money in an aggregate amount in excess of $10.0 million (not paid or fully covered by insurance company as to which the relevant insurance company has acknowledged coverage) or (ii) that could reasonably be expected to result in a Material Adverse Effect, in each case, shall be rendered against any Loan Party, any Subsidiary of any Loan Party or any combination thereof and the same shall not have been paid, vacated or discharged or effectively stayed or bonded pending appeal within thirty (30) days after the entry thereof or enforcement proceedings shall have been commenced by any creditor upon such judgment, order or court-approved settlement, and such enforcement proceedings have not been effectively stayed, vacated or bonded, or any action shall be legally taken by a judgment creditor to attach or levy upon any assets of any Loan Party or any Subsidiary of any Loan Party to enforce any such judgment;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5" w:name="page186"/>
    <w:bookmarkEnd w:id="185"/>
    <w:p>
      <w:pPr>
        <w:ind w:firstLine="757"/>
        <w:spacing w:after="0" w:line="268" w:lineRule="auto"/>
        <w:tabs>
          <w:tab w:leader="none" w:pos="1018"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ERISA Event shall occur that, when taken together with all other ERISA Events that have occurred, could reasonably be expected to, individually or in the aggregate, result in liability of the Loan Parties in excess of $10.0 million;</w:t>
      </w:r>
    </w:p>
    <w:p>
      <w:pPr>
        <w:spacing w:after="0" w:line="16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(m)the present value of the accrued benefit liabilities (whether or not vested) under each Foreign Pension Plan, determined as of the end of the Borrower’s most recently ended fiscal year on the basis of actuarial assumptions, each of which is reasonable, could reasonably be expected to exceed the assets of such Foreign Pension Plans allocable to such benefit liabilities by more than $10.0 million;</w:t>
      </w:r>
    </w:p>
    <w:p>
      <w:pPr>
        <w:spacing w:after="0" w:line="176" w:lineRule="exact"/>
        <w:rPr>
          <w:sz w:val="20"/>
          <w:szCs w:val="20"/>
          <w:color w:val="auto"/>
        </w:rPr>
      </w:pPr>
    </w:p>
    <w:p>
      <w:pPr>
        <w:ind w:left="1020" w:hanging="263"/>
        <w:spacing w:after="0"/>
        <w:tabs>
          <w:tab w:leader="none" w:pos="102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Control shall occur;</w:t>
      </w:r>
    </w:p>
    <w:p>
      <w:pPr>
        <w:spacing w:after="0" w:line="214"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Guaranty shall fail to remain in full force or effect with respect to each Loan Guarantor or any action shall be taken to discontinue or to assert the invalidity or unenforceability of the Loan Guaranty or any Loan Guarantor shall deny that it has any further liability under the Loan Guaranty to which it is a party, or shall give notice to such effect;</w:t>
      </w:r>
    </w:p>
    <w:p>
      <w:pPr>
        <w:spacing w:after="0" w:line="176"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Collateral Document shall for any reason fail to create a valid and perfected first priority security interest in any Collateral purported to be covered thereby (other than with respect to Collateral collectively having a book value not exceeding $5.0 million), except as expressly permitted by the terms of any Collateral Document or other Loan Document, (ii) any material provision of any Collateral Document shall fail to remain in full force or effect or (iii) any action shall be taken by any Loan Party to discontinue or to assert the invalidity or unenforceability of any Collateral Document or the failure of such Collateral Document to create a valid and perfected first priority security interest in any Collateral purported to be covered thereby;</w:t>
      </w:r>
    </w:p>
    <w:p>
      <w:pPr>
        <w:spacing w:after="0" w:line="182"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provision of any Loan Document for any reason ceases to be valid, binding and enforceable in accordance with its terms (or any Loan Party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 or</w:t>
      </w:r>
    </w:p>
    <w:p>
      <w:pPr>
        <w:spacing w:after="0" w:line="178"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shall cease or any Loan Party has asserted in writing that the Obligations cease to constitute senior indebtedness under the subordination provisions of any document or instrument evidencing Subordinated Indebtedness or any such subordination provision ceases, for any reason, to be a valid, binding and enforceable obligation of the parties hereto,</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then, and in every such event (other than an event with respect to any Loan Party described in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or (i) of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 standing to be due and payable in whole (or in part, in which case any principal not so declared to be due and payable may thereafter be declared to be due and payable), and thereupon the principal of the Loans so declared to be due and payable, together with accrued and unpaid interest thereon and all fees and other obligations of the Loan Parties accrued hereunder, shall become due and payable immediately, without presentment, demand, protest or other notice of any kind, all of which are hereby waived by the Loan Parties; and in case of any event with respect to the Loan Parties described in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the Commitments shall automatically terminate and the principal of the Loans then outstanding, together with accrued interest thereon and all fees and other obligations of the Loan Parties accrued hereunder, shall automatically become due and payable, without presentment, demand, protest or other notice of any kind, all of which are hereby waived by the Loan Parties. Upon the occurrence and the continuance of an Event of Default, the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6" w:name="page187"/>
    <w:bookmarkEnd w:id="186"/>
    <w:p>
      <w:pPr>
        <w:jc w:val="both"/>
        <w:spacing w:after="0" w:line="268" w:lineRule="auto"/>
        <w:rPr>
          <w:sz w:val="20"/>
          <w:szCs w:val="20"/>
          <w:color w:val="auto"/>
        </w:rPr>
      </w:pPr>
      <w:r>
        <w:rPr>
          <w:rFonts w:ascii="Times New Roman" w:cs="Times New Roman" w:eastAsia="Times New Roman" w:hAnsi="Times New Roman"/>
          <w:sz w:val="20"/>
          <w:szCs w:val="20"/>
          <w:color w:val="auto"/>
        </w:rPr>
        <w:t>Administrative Agent may, and at the request of the Required Lenders shall, exercise any rights and remedies provided to the Administrative Agent under the Loan Documents or at law or equity, including all remedies provided under the UCC.</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VIII</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THE ADMINISTRATIVE AGENT</w:t>
      </w:r>
    </w:p>
    <w:p>
      <w:pPr>
        <w:spacing w:after="0" w:line="21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SECTION 8.01</w:t>
      </w:r>
      <w:r>
        <w:rPr>
          <w:rFonts w:ascii="Times New Roman" w:cs="Times New Roman" w:eastAsia="Times New Roman" w:hAnsi="Times New Roman"/>
          <w:sz w:val="20"/>
          <w:szCs w:val="20"/>
          <w:u w:val="single" w:color="auto"/>
          <w:color w:val="auto"/>
        </w:rPr>
        <w:t>Appointment</w:t>
      </w:r>
      <w:r>
        <w:rPr>
          <w:rFonts w:ascii="Times New Roman" w:cs="Times New Roman" w:eastAsia="Times New Roman" w:hAnsi="Times New Roman"/>
          <w:sz w:val="20"/>
          <w:szCs w:val="20"/>
          <w:color w:val="auto"/>
        </w:rPr>
        <w:t xml:space="preserve">. Each of the Lenders, on behalf of itself and any of its Affiliates that are Secured Parties and the Issuing Banks hereby irrevocably appoints the Administrative Agent as its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 In addition, to the extent required under the laws of any jurisdiction other than the U.S., each of the Lenders and the Issuing Bank hereby grants to the Administrative Agent any required powers of attorney to execute any Collateral Document governed by the laws of such jurisdiction on such Lender’s or Issuing Bank’s behalf. The provisions of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are solely for the benefit of the Administrative Agent and the Lenders (including the Issuing Bank), and the Loan Parties shall not have rights as a third party beneficiary of any of such provisions.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19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SECTION 8.02</w:t>
      </w:r>
      <w:r>
        <w:rPr>
          <w:rFonts w:ascii="Times New Roman" w:cs="Times New Roman" w:eastAsia="Times New Roman" w:hAnsi="Times New Roman"/>
          <w:sz w:val="20"/>
          <w:szCs w:val="20"/>
          <w:u w:val="single" w:color="auto"/>
          <w:color w:val="auto"/>
        </w:rPr>
        <w:t>Rights as a Lender</w:t>
      </w:r>
      <w:r>
        <w:rPr>
          <w:rFonts w:ascii="Times New Roman" w:cs="Times New Roman" w:eastAsia="Times New Roman" w:hAnsi="Times New Roman"/>
          <w:sz w:val="20"/>
          <w:szCs w:val="20"/>
          <w:color w:val="auto"/>
        </w:rPr>
        <w:t>. The bank serving as the Administrative Agent hereunder shall have the same rights and powers in its capacity as a Lender as any other Lender and may exercise the same as though it were not the Administrative Agent, and such bank and its Affili ates may accept deposits from, lend money to and generally engage in any kind of business with the Loan Parties or any Subsidiary of a Loan Party or other Affiliate thereof as if it were not the Administrative Agent hereunder.</w:t>
      </w:r>
    </w:p>
    <w:p>
      <w:pPr>
        <w:spacing w:after="0" w:line="17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SECTION 8.03</w:t>
      </w:r>
      <w:r>
        <w:rPr>
          <w:rFonts w:ascii="Times New Roman" w:cs="Times New Roman" w:eastAsia="Times New Roman" w:hAnsi="Times New Roman"/>
          <w:sz w:val="19"/>
          <w:szCs w:val="19"/>
          <w:u w:val="single" w:color="auto"/>
          <w:color w:val="auto"/>
        </w:rPr>
        <w:t>Duties and Obligations</w:t>
      </w:r>
      <w:r>
        <w:rPr>
          <w:rFonts w:ascii="Times New Roman" w:cs="Times New Roman" w:eastAsia="Times New Roman" w:hAnsi="Times New Roman"/>
          <w:sz w:val="19"/>
          <w:szCs w:val="19"/>
          <w:color w:val="auto"/>
        </w:rPr>
        <w:t xml:space="preserve">. 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under the circumstances as provided in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xml:space="preserve">), and (c) except as expressly set forth in the Loan Documents, the Administrative Agent shall not have any duty to disclose, and shall not be liable for the failure to disclose, any information relating to any Loan Party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or in the absence of its own gross negligence or willful misconduct as determined by a final nonappealable judgment of a court of competent jurisdiction.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7" w:name="page188"/>
    <w:bookmarkEnd w:id="187"/>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forth in any Loan Document, (iv) the validity, enforceability, effectiveness or genuineness of any Loan Document or any other agreement, instrument or document, (v) the creation, perfection or priority of Liens on the Collateral or the existence of the Collateral, or (vi) the satisfaction of any condition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elsewhere in any Loan Document, other than to confirm receipt of items expressly required to be delivered to the Administrative Agent. None of the Lenders or other Persons identified on the facing page or signature pages of this Agreement as a “syndication agent,” “documentation agent,” “lead arranger,” “bookrunner” or other similar term shall have any right, power,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19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SECTION 8.04</w:t>
      </w:r>
      <w:r>
        <w:rPr>
          <w:rFonts w:ascii="Times New Roman" w:cs="Times New Roman" w:eastAsia="Times New Roman" w:hAnsi="Times New Roman"/>
          <w:sz w:val="20"/>
          <w:szCs w:val="20"/>
          <w:u w:val="single" w:color="auto"/>
          <w:color w:val="auto"/>
        </w:rPr>
        <w:t>Reliance</w:t>
      </w:r>
      <w:r>
        <w:rPr>
          <w:rFonts w:ascii="Times New Roman" w:cs="Times New Roman" w:eastAsia="Times New Roman" w:hAnsi="Times New Roman"/>
          <w:sz w:val="20"/>
          <w:szCs w:val="20"/>
          <w:color w:val="auto"/>
        </w:rPr>
        <w:t>. 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SECTION 8.05</w:t>
      </w:r>
      <w:r>
        <w:rPr>
          <w:rFonts w:ascii="Times New Roman" w:cs="Times New Roman" w:eastAsia="Times New Roman" w:hAnsi="Times New Roman"/>
          <w:sz w:val="20"/>
          <w:szCs w:val="20"/>
          <w:u w:val="single" w:color="auto"/>
          <w:color w:val="auto"/>
        </w:rPr>
        <w:t>Actions through Sub-Agents</w:t>
      </w:r>
      <w:r>
        <w:rPr>
          <w:rFonts w:ascii="Times New Roman" w:cs="Times New Roman" w:eastAsia="Times New Roman" w:hAnsi="Times New Roman"/>
          <w:sz w:val="20"/>
          <w:szCs w:val="20"/>
          <w:color w:val="auto"/>
        </w:rPr>
        <w:t>. The Administrative Agent may perform any and all of its duties and exercise its rights and powers by or through any one or more sub-agents appointed by the Administrative Agent. The Administrative Agent and any such sub-agent may perform any and all of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8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SECTION 8.06</w:t>
      </w:r>
      <w:r>
        <w:rPr>
          <w:rFonts w:ascii="Times New Roman" w:cs="Times New Roman" w:eastAsia="Times New Roman" w:hAnsi="Times New Roman"/>
          <w:sz w:val="20"/>
          <w:szCs w:val="20"/>
          <w:u w:val="single" w:color="auto"/>
          <w:color w:val="auto"/>
        </w:rPr>
        <w:t>Resignation</w:t>
      </w:r>
      <w:r>
        <w:rPr>
          <w:rFonts w:ascii="Times New Roman" w:cs="Times New Roman" w:eastAsia="Times New Roman" w:hAnsi="Times New Roman"/>
          <w:sz w:val="20"/>
          <w:szCs w:val="20"/>
          <w:color w:val="auto"/>
        </w:rPr>
        <w:t xml:space="preserve">. Subject to the appointment and acceptance of a successor Administrative Agent as provided in this paragraph, the Administrative Agent may resign at any time by notifying the Lenders, the Issuing Banks and the Borrower. Upon any such resignation, the Required Lenders shall have the right, in consultation with the Borrower, to appoint a successor. If no successor shall have been so appointed by the Required Lenders and shall have accepted such appointment within thirty (30) days after the retiring Administrative Agent gives notice of its resignation, then the retiring Administrative Agent may, on behalf of the Lenders and the Issuing Banks, appoint a successor Administrative Agent which shall be a commercial bank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and under the other Loan Documents. The fees payable by the Borrower to a successor Administrative Agent shall be the same as those payable to its predecessor, unless otherwise agreed by the Borrower and such successor. Notwithstanding the foregoing,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(a) the retiring Administrative Agent shall be discharged from its duties and obligations hereunder and under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solely for purposes of maintaining any security interest granted to the Administrative Agent under any Collateral Document for the benefit of the Secured Parties, the retiring Administrative Agent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88" w:name="page189"/>
    <w:bookmarkEnd w:id="188"/>
    <w:p>
      <w:pPr>
        <w:jc w:val="both"/>
        <w:spacing w:after="0" w:line="233" w:lineRule="exact"/>
        <w:rPr>
          <w:sz w:val="20"/>
          <w:szCs w:val="20"/>
          <w:color w:val="auto"/>
        </w:rPr>
      </w:pPr>
      <w:r>
        <w:rPr>
          <w:rFonts w:ascii="Times New Roman" w:cs="Times New Roman" w:eastAsia="Times New Roman" w:hAnsi="Times New Roman"/>
          <w:sz w:val="19"/>
          <w:szCs w:val="19"/>
          <w:color w:val="auto"/>
        </w:rPr>
        <w:t xml:space="preserve">shall continue to be vested with such security interest as collateral agent for the benefit of the Secured Parties and, in the case of any Collateral in the possession of the Administrative Agent, shall continue to hold such Collateral, in each case until such time as a successor Administrative Agent is appointed and accepts such appointment in accordance with this paragraph (it being understood and agreed that the retiring Administrative Agent shall have no duty or obligation to take any further action under any Collateral Document, including any action required to maintain the perfection of any such security interest), and (b) the Required Lenders shall succeed to and become vested with all the rights, powers, privileges and duties of the retiring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all payments required to be made hereunder or under any other Loan Document to the Administrative Agent for the account of any Person other than the Administrative Agent shall be made directly to such Person and (ii) all notices and other communications required or contemplated to be given or made to the Administrative Agent shall also directly be given or made to each Lender and each Issuing Bank. Following the effectiveness of the Administrative Agent’s resignation from its capacity as such, the provisions of this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2.17(d)</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9.03</w:t>
      </w:r>
      <w:r>
        <w:rPr>
          <w:rFonts w:ascii="Times New Roman" w:cs="Times New Roman" w:eastAsia="Times New Roman" w:hAnsi="Times New Roman"/>
          <w:sz w:val="19"/>
          <w:szCs w:val="19"/>
          <w:color w:val="auto"/>
        </w:rPr>
        <w:t>, as well as any exculpatory, reimbursement and indemnification provisions set forth in any other Loan Document, shall continue in effect for the benefit of such retiring Administrative Agent, its sub</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agents and their respective Related Parties in respect of any actions taken or omitted to be taken by any of them while it was acting as Administrative Agent and in respect of the matters referred to in the proviso under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above.</w:t>
      </w:r>
    </w:p>
    <w:p>
      <w:pPr>
        <w:spacing w:after="0" w:line="19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SECTION 8.07</w:t>
      </w:r>
      <w:r>
        <w:rPr>
          <w:rFonts w:ascii="Times New Roman" w:cs="Times New Roman" w:eastAsia="Times New Roman" w:hAnsi="Times New Roman"/>
          <w:sz w:val="19"/>
          <w:szCs w:val="19"/>
          <w:u w:val="single" w:color="auto"/>
          <w:color w:val="auto"/>
        </w:rPr>
        <w:t>Non-Reliance</w:t>
      </w:r>
      <w:r>
        <w:rPr>
          <w:rFonts w:ascii="Times New Roman" w:cs="Times New Roman" w:eastAsia="Times New Roman" w:hAnsi="Times New Roman"/>
          <w:sz w:val="19"/>
          <w:szCs w:val="19"/>
          <w:color w:val="auto"/>
        </w:rPr>
        <w:t>. Each Lender acknowledges and agrees that the extensions of credit made hereunder are commercial loans and letters of credit and not investments in a business enterprise or securities. Each Lender further represents that it is engaged in making, acquiring or holding commercial loans in the ordinary course of its business and has, independently and without reliance upon the Administrative Agent or any other Lender and based on such documents and information as it has deemed appropriate, made its own credit analysis and decision to enter into this Agreement as a Lender, and to make, acquire or hold Loans hereunder. Each Lender shall, independently and without reliance upon the Administrative Agent or any other Lender and based on such documents and informa 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any related agreement or any document furnished hereunder or thereunder and in deciding whether or to the extent to which it will continue as a Lender or assign or otherwise transfer its rights, interests and obligations hereunder.</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8.08</w:t>
      </w:r>
      <w:r>
        <w:rPr>
          <w:rFonts w:ascii="Times New Roman" w:cs="Times New Roman" w:eastAsia="Times New Roman" w:hAnsi="Times New Roman"/>
          <w:sz w:val="20"/>
          <w:szCs w:val="20"/>
          <w:u w:val="single" w:color="auto"/>
          <w:color w:val="auto"/>
        </w:rPr>
        <w:t>Not Partners or Co-Venturers; Administrative Agent as Representative of the Secured Parties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9" w:lineRule="auto"/>
        <w:tabs>
          <w:tab w:leader="none" w:pos="1018"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178"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its capacity, the Administrative Agent is a “representative” of the Secured Parties within the meaning of the term “secured party” as defined in the New York Uniform Commercial Code. Each Lender (and other Secured Party by its acceptance of the benefits of the Loan Documents) authorizes the Administrative Agent to enter into each of the Collateral Documents to which it is a party and to take all action contemplated by such documents. Each Lender (and other Secured Party by its acceptance of the benefits of the Loan Documents) agrees that no Secured Party (other than the Administrative Agent) shall have the right individually to seek to realize upon the security granted by any Collateral Document, it being understood and agreed that such rights and remedies may be exercised solely by the Administrative Agent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9" w:name="page190"/>
    <w:bookmarkEnd w:id="189"/>
    <w:p>
      <w:pPr>
        <w:jc w:val="both"/>
        <w:spacing w:after="0" w:line="249" w:lineRule="auto"/>
        <w:rPr>
          <w:sz w:val="20"/>
          <w:szCs w:val="20"/>
          <w:color w:val="auto"/>
        </w:rPr>
      </w:pPr>
      <w:r>
        <w:rPr>
          <w:rFonts w:ascii="Times New Roman" w:cs="Times New Roman" w:eastAsia="Times New Roman" w:hAnsi="Times New Roman"/>
          <w:sz w:val="20"/>
          <w:szCs w:val="20"/>
          <w:color w:val="auto"/>
        </w:rPr>
        <w:t>for the benefit of the Secured Parties upon the terms of the Collateral Documents.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8.09</w:t>
      </w:r>
      <w:r>
        <w:rPr>
          <w:rFonts w:ascii="Times New Roman" w:cs="Times New Roman" w:eastAsia="Times New Roman" w:hAnsi="Times New Roman"/>
          <w:sz w:val="20"/>
          <w:szCs w:val="20"/>
          <w:u w:val="single" w:color="auto"/>
          <w:color w:val="auto"/>
        </w:rPr>
        <w:t>Lenders Not Subject to ERISA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9" w:lineRule="auto"/>
        <w:tabs>
          <w:tab w:leader="none" w:pos="1018"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78" w:lineRule="exact"/>
        <w:rPr>
          <w:rFonts w:ascii="Times New Roman" w:cs="Times New Roman" w:eastAsia="Times New Roman" w:hAnsi="Times New Roman"/>
          <w:sz w:val="20"/>
          <w:szCs w:val="20"/>
          <w:color w:val="auto"/>
        </w:rPr>
      </w:pPr>
    </w:p>
    <w:p>
      <w:pPr>
        <w:jc w:val="both"/>
        <w:ind w:left="760" w:firstLine="1494"/>
        <w:spacing w:after="0" w:line="253" w:lineRule="auto"/>
        <w:tabs>
          <w:tab w:leader="none" w:pos="2557"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6" w:lineRule="exact"/>
        <w:rPr>
          <w:rFonts w:ascii="Times New Roman" w:cs="Times New Roman" w:eastAsia="Times New Roman" w:hAnsi="Times New Roman"/>
          <w:sz w:val="20"/>
          <w:szCs w:val="20"/>
          <w:color w:val="auto"/>
        </w:rPr>
      </w:pPr>
    </w:p>
    <w:p>
      <w:pPr>
        <w:jc w:val="both"/>
        <w:ind w:left="760" w:firstLine="1494"/>
        <w:spacing w:after="0" w:line="244" w:lineRule="auto"/>
        <w:tabs>
          <w:tab w:leader="none" w:pos="2557"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4" w:lineRule="exact"/>
        <w:rPr>
          <w:sz w:val="20"/>
          <w:szCs w:val="20"/>
          <w:color w:val="auto"/>
        </w:rPr>
      </w:pPr>
    </w:p>
    <w:p>
      <w:pPr>
        <w:jc w:val="both"/>
        <w:ind w:left="760" w:firstLine="1498"/>
        <w:spacing w:after="0" w:line="259" w:lineRule="auto"/>
        <w:rPr>
          <w:sz w:val="20"/>
          <w:szCs w:val="20"/>
          <w:color w:val="auto"/>
        </w:rPr>
      </w:pPr>
      <w:r>
        <w:rPr>
          <w:rFonts w:ascii="Times New Roman" w:cs="Times New Roman" w:eastAsia="Times New Roman" w:hAnsi="Times New Roman"/>
          <w:sz w:val="19"/>
          <w:szCs w:val="19"/>
          <w:color w:val="auto"/>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w:t>
      </w:r>
    </w:p>
    <w:p>
      <w:pPr>
        <w:spacing w:after="0" w:line="2" w:lineRule="exact"/>
        <w:rPr>
          <w:sz w:val="20"/>
          <w:szCs w:val="20"/>
          <w:color w:val="auto"/>
        </w:rPr>
      </w:pPr>
    </w:p>
    <w:p>
      <w:pPr>
        <w:jc w:val="both"/>
        <w:ind w:left="760" w:hanging="3"/>
        <w:spacing w:after="0" w:line="241" w:lineRule="auto"/>
        <w:tabs>
          <w:tab w:leader="none" w:pos="108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7" w:lineRule="exact"/>
        <w:rPr>
          <w:sz w:val="20"/>
          <w:szCs w:val="20"/>
          <w:color w:val="auto"/>
        </w:rPr>
      </w:pPr>
    </w:p>
    <w:p>
      <w:pPr>
        <w:ind w:left="760" w:firstLine="1498"/>
        <w:spacing w:after="0" w:line="268" w:lineRule="auto"/>
        <w:rPr>
          <w:sz w:val="20"/>
          <w:szCs w:val="20"/>
          <w:color w:val="auto"/>
        </w:rPr>
      </w:pPr>
      <w:r>
        <w:rPr>
          <w:rFonts w:ascii="Times New Roman" w:cs="Times New Roman" w:eastAsia="Times New Roman" w:hAnsi="Times New Roman"/>
          <w:sz w:val="20"/>
          <w:szCs w:val="20"/>
          <w:color w:val="auto"/>
        </w:rPr>
        <w:t>(iv)such other representation, warranty and covenant as may be agreed in writing between the Administrative Agent, in its sole discretion, and such Lender.</w:t>
      </w:r>
    </w:p>
    <w:p>
      <w:pPr>
        <w:spacing w:after="0" w:line="161" w:lineRule="exact"/>
        <w:rPr>
          <w:sz w:val="20"/>
          <w:szCs w:val="20"/>
          <w:color w:val="auto"/>
        </w:rPr>
      </w:pPr>
    </w:p>
    <w:p>
      <w:pPr>
        <w:jc w:val="both"/>
        <w:ind w:firstLine="757"/>
        <w:spacing w:after="0" w:line="244" w:lineRule="auto"/>
        <w:tabs>
          <w:tab w:leader="none" w:pos="1018"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90" w:name="page191"/>
    <w:bookmarkEnd w:id="190"/>
    <w:p>
      <w:pPr>
        <w:spacing w:after="0" w:line="268" w:lineRule="auto"/>
        <w:rPr>
          <w:sz w:val="20"/>
          <w:szCs w:val="20"/>
          <w:color w:val="auto"/>
        </w:rPr>
      </w:pPr>
      <w:r>
        <w:rPr>
          <w:rFonts w:ascii="Times New Roman" w:cs="Times New Roman" w:eastAsia="Times New Roman" w:hAnsi="Times New Roman"/>
          <w:sz w:val="20"/>
          <w:szCs w:val="20"/>
          <w:color w:val="auto"/>
        </w:rPr>
        <w:t>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8.10</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tabs>
          <w:tab w:leader="none" w:pos="1018"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(x) notifies a Lender, Issuing Bank or Secured Party, or any Person who has received funds on behalf of a Lender, Issuing Bank or Secured Party (any such Lender, Issuing Bank, Secured Party or other recipient, a “</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Issuing Bank, Secured Party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and (y) demands in writing the return of such Erroneous Payment (or a portion thereof), such Erroneous Payment shall at all times remain the property of the Administrative Agent pending its return or repayment as contemplated below in this </w:t>
      </w:r>
      <w:r>
        <w:rPr>
          <w:rFonts w:ascii="Times New Roman" w:cs="Times New Roman" w:eastAsia="Times New Roman" w:hAnsi="Times New Roman"/>
          <w:sz w:val="20"/>
          <w:szCs w:val="20"/>
          <w:u w:val="single" w:color="auto"/>
          <w:color w:val="auto"/>
        </w:rPr>
        <w:t>Section 8.10</w:t>
      </w:r>
      <w:r>
        <w:rPr>
          <w:rFonts w:ascii="Times New Roman" w:cs="Times New Roman" w:eastAsia="Times New Roman" w:hAnsi="Times New Roman"/>
          <w:sz w:val="20"/>
          <w:szCs w:val="20"/>
          <w:color w:val="auto"/>
        </w:rPr>
        <w:t xml:space="preserve"> and held in trust for the benefit of the Administrative Agent, and such Lender, Issuing Bank or Secured Party shall (or, with respect to any Payment Recipient who received such funds on its behalf, shall cause such Payment Recipient to) promptly, but in no event later than two (2)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shall be conclusive, absent manifest error.</w:t>
      </w:r>
    </w:p>
    <w:p>
      <w:pPr>
        <w:spacing w:after="0" w:line="201"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1"/>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limiting the immediately preceding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each Lender, Issuing Bank or Secured Party, or any Person who has received funds on behalf of a Lender, Issuing Bank or Secured Party,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w:t>
      </w:r>
    </w:p>
    <w:p>
      <w:pPr>
        <w:spacing w:after="0" w:line="2" w:lineRule="exact"/>
        <w:rPr>
          <w:rFonts w:ascii="Times New Roman" w:cs="Times New Roman" w:eastAsia="Times New Roman" w:hAnsi="Times New Roman"/>
          <w:sz w:val="19"/>
          <w:szCs w:val="19"/>
          <w:color w:val="auto"/>
        </w:rPr>
      </w:pPr>
    </w:p>
    <w:p>
      <w:pPr>
        <w:jc w:val="both"/>
        <w:ind w:right="20" w:firstLine="8"/>
        <w:spacing w:after="0" w:line="242" w:lineRule="auto"/>
        <w:tabs>
          <w:tab w:leader="none" w:pos="288"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was not preceded or 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then in each such case:</w:t>
      </w:r>
    </w:p>
    <w:p>
      <w:pPr>
        <w:spacing w:after="0" w:line="185" w:lineRule="exact"/>
        <w:rPr>
          <w:rFonts w:ascii="Times New Roman" w:cs="Times New Roman" w:eastAsia="Times New Roman" w:hAnsi="Times New Roman"/>
          <w:sz w:val="20"/>
          <w:szCs w:val="20"/>
          <w:color w:val="auto"/>
        </w:rPr>
      </w:pPr>
    </w:p>
    <w:p>
      <w:pPr>
        <w:jc w:val="both"/>
        <w:ind w:left="760" w:firstLine="1494"/>
        <w:spacing w:after="0" w:line="249" w:lineRule="auto"/>
        <w:tabs>
          <w:tab w:leader="none" w:pos="2557" w:val="left"/>
        </w:tabs>
        <w:numPr>
          <w:ilvl w:val="2"/>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 acknowledges and agrees that (A) in the case of immediately preceding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an error and mistake shall be presumed to have been made (absent written confirmation from the Administrative Agent to the contrary) or (B) an error and mistake has been made (in the case of immediately preceding </w:t>
      </w:r>
      <w:r>
        <w:rPr>
          <w:rFonts w:ascii="Times New Roman" w:cs="Times New Roman" w:eastAsia="Times New Roman" w:hAnsi="Times New Roman"/>
          <w:sz w:val="20"/>
          <w:szCs w:val="20"/>
          <w:u w:val="single" w:color="auto"/>
          <w:color w:val="auto"/>
        </w:rPr>
        <w:t>clause (z)</w:t>
      </w:r>
      <w:r>
        <w:rPr>
          <w:rFonts w:ascii="Times New Roman" w:cs="Times New Roman" w:eastAsia="Times New Roman" w:hAnsi="Times New Roman"/>
          <w:sz w:val="20"/>
          <w:szCs w:val="20"/>
          <w:color w:val="auto"/>
        </w:rPr>
        <w:t>), in each case, with respect to such payment, prepayment or repayment;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91" w:name="page192"/>
    <w:bookmarkEnd w:id="191"/>
    <w:p>
      <w:pPr>
        <w:jc w:val="both"/>
        <w:ind w:left="760" w:firstLine="1494"/>
        <w:spacing w:after="0" w:line="246" w:lineRule="auto"/>
        <w:tabs>
          <w:tab w:leader="none" w:pos="2557"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Issuing Bank or Secured Party shall (and shall cause any other recipient that receives funds on its respective behalf to) promptly (and, in all events, within one Business Day of its knowledge of the occurrence of any of the circumstances described in the immediately preceding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(z)</w:t>
      </w:r>
      <w:r>
        <w:rPr>
          <w:rFonts w:ascii="Times New Roman" w:cs="Times New Roman" w:eastAsia="Times New Roman" w:hAnsi="Times New Roman"/>
          <w:sz w:val="20"/>
          <w:szCs w:val="20"/>
          <w:color w:val="auto"/>
        </w:rPr>
        <w:t xml:space="preserve">)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20"/>
          <w:szCs w:val="20"/>
          <w:u w:val="single" w:color="auto"/>
          <w:color w:val="auto"/>
        </w:rPr>
        <w:t>Section 8.10(b)</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20"/>
          <w:szCs w:val="20"/>
          <w:color w:val="auto"/>
        </w:rPr>
        <w:t xml:space="preserve">For the avoidance of doubt, the failure to deliver a notice to the Administrative Agent pursuant to this </w:t>
      </w:r>
      <w:r>
        <w:rPr>
          <w:rFonts w:ascii="Times New Roman" w:cs="Times New Roman" w:eastAsia="Times New Roman" w:hAnsi="Times New Roman"/>
          <w:sz w:val="20"/>
          <w:szCs w:val="20"/>
          <w:u w:val="single" w:color="auto"/>
          <w:color w:val="auto"/>
        </w:rPr>
        <w:t>Section 8.10(b)</w:t>
      </w:r>
      <w:r>
        <w:rPr>
          <w:rFonts w:ascii="Times New Roman" w:cs="Times New Roman" w:eastAsia="Times New Roman" w:hAnsi="Times New Roman"/>
          <w:sz w:val="20"/>
          <w:szCs w:val="20"/>
          <w:color w:val="auto"/>
        </w:rPr>
        <w:t xml:space="preserve"> shall not have any effect on a Payment Recipient’s obligations pursuant to </w:t>
      </w:r>
      <w:r>
        <w:rPr>
          <w:rFonts w:ascii="Times New Roman" w:cs="Times New Roman" w:eastAsia="Times New Roman" w:hAnsi="Times New Roman"/>
          <w:sz w:val="20"/>
          <w:szCs w:val="20"/>
          <w:u w:val="single" w:color="auto"/>
          <w:color w:val="auto"/>
        </w:rPr>
        <w:t>Section 8.10(a)</w:t>
      </w:r>
      <w:r>
        <w:rPr>
          <w:rFonts w:ascii="Times New Roman" w:cs="Times New Roman" w:eastAsia="Times New Roman" w:hAnsi="Times New Roman"/>
          <w:sz w:val="20"/>
          <w:szCs w:val="20"/>
          <w:color w:val="auto"/>
        </w:rPr>
        <w:t xml:space="preserve"> or on whether or not an Erroneous Payment has been made.</w:t>
      </w:r>
    </w:p>
    <w:p>
      <w:pPr>
        <w:spacing w:after="0" w:line="176" w:lineRule="exact"/>
        <w:rPr>
          <w:sz w:val="20"/>
          <w:szCs w:val="20"/>
          <w:color w:val="auto"/>
        </w:rPr>
      </w:pPr>
    </w:p>
    <w:p>
      <w:pPr>
        <w:jc w:val="both"/>
        <w:ind w:firstLine="757"/>
        <w:spacing w:after="0" w:line="246" w:lineRule="auto"/>
        <w:tabs>
          <w:tab w:leader="none" w:pos="1018"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under any Loan Document with respect to any payment of principal, interest, fees or other amounts, against any amount that the Administrative Agent has demanded to be returned under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In the event that an Erroneous Payment (or portion thereof) is not recovered by the Administrative Agent for any reason, after demand therefor in accordance with immediately preceding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9"/>
          <w:szCs w:val="19"/>
          <w:u w:val="single" w:color="auto"/>
          <w:color w:val="auto"/>
        </w:rPr>
        <w:t>Erroneous Payment Return Deficiency</w:t>
      </w:r>
      <w:r>
        <w:rPr>
          <w:rFonts w:ascii="Times New Roman" w:cs="Times New Roman" w:eastAsia="Times New Roman" w:hAnsi="Times New Roman"/>
          <w:sz w:val="19"/>
          <w:szCs w:val="19"/>
          <w:color w:val="auto"/>
        </w:rPr>
        <w:t>”), upon the Administrative Agent’s notice to such Lender at any time, then effective immediately (with the consideration therefor being acknowledged by the parties hereto), (A) such Lender shall be deemed to have assigned its Loans (but not its Commitments) with respect to which such Erroneous Payment was made (the “</w:t>
      </w:r>
      <w:r>
        <w:rPr>
          <w:rFonts w:ascii="Times New Roman" w:cs="Times New Roman" w:eastAsia="Times New Roman" w:hAnsi="Times New Roman"/>
          <w:sz w:val="19"/>
          <w:szCs w:val="19"/>
          <w:u w:val="single" w:color="auto"/>
          <w:color w:val="auto"/>
        </w:rPr>
        <w:t>Erroneous Payment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Impacted Class</w:t>
      </w:r>
      <w:r>
        <w:rPr>
          <w:rFonts w:ascii="Times New Roman" w:cs="Times New Roman" w:eastAsia="Times New Roman" w:hAnsi="Times New Roman"/>
          <w:sz w:val="19"/>
          <w:szCs w:val="19"/>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9"/>
          <w:szCs w:val="19"/>
          <w:u w:val="single" w:color="auto"/>
          <w:color w:val="auto"/>
        </w:rPr>
        <w:t>Erroneous Payment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Deficiency Assignment</w:t>
      </w:r>
      <w:r>
        <w:rPr>
          <w:rFonts w:ascii="Times New Roman" w:cs="Times New Roman" w:eastAsia="Times New Roman" w:hAnsi="Times New Roman"/>
          <w:sz w:val="19"/>
          <w:szCs w:val="19"/>
          <w:color w:val="auto"/>
        </w:rPr>
        <w:t>”) (on a cashless basis and such amount calculated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an Electronic System as to which the Administrative Agent and such parties are participants) with respect to such Erroneous Payment Deficiency Assignment, and such Lender shall deliver any Notes evidencing such Loans to the Borrower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92" w:name="page193"/>
    <w:bookmarkEnd w:id="192"/>
    <w:p>
      <w:pPr>
        <w:jc w:val="both"/>
        <w:ind w:firstLine="1505"/>
        <w:spacing w:after="0" w:line="242" w:lineRule="auto"/>
        <w:tabs>
          <w:tab w:leader="none" w:pos="1845"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(but excluding, in all events, any assignment consent or approval requirements (whether from the Borrower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spacing w:after="0" w:line="189"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Issuing Bank or Secured Party, to the rights and interests of such Lender, Issuing Bank or Secured Party, as the case may be) under the Loan Documents with respect to such amount (the “</w:t>
      </w:r>
      <w:r>
        <w:rPr>
          <w:rFonts w:ascii="Times New Roman" w:cs="Times New Roman" w:eastAsia="Times New Roman" w:hAnsi="Times New Roman"/>
          <w:sz w:val="20"/>
          <w:szCs w:val="20"/>
          <w:u w:val="single" w:color="auto"/>
          <w:color w:val="auto"/>
        </w:rPr>
        <w:t>Erroneous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 Subrogation Rights</w:t>
      </w:r>
      <w:r>
        <w:rPr>
          <w:rFonts w:ascii="Times New Roman" w:cs="Times New Roman" w:eastAsia="Times New Roman" w:hAnsi="Times New Roman"/>
          <w:sz w:val="20"/>
          <w:szCs w:val="20"/>
          <w:color w:val="auto"/>
        </w:rPr>
        <w:t xml:space="preserve">”) (provided that the Loan Parties’ Secured Obligations under the Loan Documents in respect of the Erroneous Payment Subrogation Rights shall not be duplicative of such Secured Obligations in respect of Loans that have been assigned to the Administrative Agent under an Erroneous Payment Deficiency Assignment) and (y) an Erroneous Payment shall not pay, prepay, repay, discharge or otherwise satisfy any Secured Obligations owed by the Borrower or any other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Section 8.10</w:t>
      </w:r>
      <w:r>
        <w:rPr>
          <w:rFonts w:ascii="Times New Roman" w:cs="Times New Roman" w:eastAsia="Times New Roman" w:hAnsi="Times New Roman"/>
          <w:sz w:val="20"/>
          <w:szCs w:val="20"/>
          <w:color w:val="auto"/>
        </w:rPr>
        <w:t xml:space="preserve">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p>
    <w:p>
      <w:pPr>
        <w:spacing w:after="0" w:line="190"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78" w:lineRule="exact"/>
        <w:rPr>
          <w:rFonts w:ascii="Times New Roman" w:cs="Times New Roman" w:eastAsia="Times New Roman" w:hAnsi="Times New Roman"/>
          <w:sz w:val="20"/>
          <w:szCs w:val="20"/>
          <w:color w:val="auto"/>
        </w:rPr>
      </w:pPr>
    </w:p>
    <w:p>
      <w:pPr>
        <w:jc w:val="both"/>
        <w:ind w:firstLine="757"/>
        <w:spacing w:after="0" w:line="273" w:lineRule="auto"/>
        <w:tabs>
          <w:tab w:leader="none" w:pos="1018"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party’s obligations, agreements and waivers under this </w:t>
      </w:r>
      <w:r>
        <w:rPr>
          <w:rFonts w:ascii="Times New Roman" w:cs="Times New Roman" w:eastAsia="Times New Roman" w:hAnsi="Times New Roman"/>
          <w:sz w:val="19"/>
          <w:szCs w:val="19"/>
          <w:u w:val="single" w:color="auto"/>
          <w:color w:val="auto"/>
        </w:rPr>
        <w:t>Section 8.10</w:t>
      </w:r>
      <w:r>
        <w:rPr>
          <w:rFonts w:ascii="Times New Roman" w:cs="Times New Roman" w:eastAsia="Times New Roman" w:hAnsi="Times New Roman"/>
          <w:sz w:val="19"/>
          <w:szCs w:val="19"/>
          <w:color w:val="auto"/>
        </w:rPr>
        <w:t xml:space="preserve"> shall survive the resignation or replacement of the Administrative Agent, any transfer of rights or obligations by, or the replacement of, a Lender or Issuing Bank, the termination of the Commitments and/or the repayment, satisfaction or discharge of all Secured Obligations (or any portion thereof) under any Loan Document.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20"/>
          <w:szCs w:val="20"/>
          <w:color w:val="auto"/>
        </w:rPr>
        <w:t>ARTICLE IX</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21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SECTION 9.01</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left="-20" w:firstLine="757"/>
        <w:spacing w:after="0" w:line="253" w:lineRule="auto"/>
        <w:tabs>
          <w:tab w:leader="none" w:pos="998"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in the case of notices and other communications expressly permitted to be given by telephone or Electronic Systems (and subject in each case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all notices and other communications provided for herein shall be in writing and shall be delivered by hand or overnight courier service, mailed by certified or registered mail or sent by fax, as follows:</w:t>
      </w:r>
    </w:p>
    <w:p>
      <w:pPr>
        <w:spacing w:after="0" w:line="176" w:lineRule="exact"/>
        <w:rPr>
          <w:rFonts w:ascii="Times New Roman" w:cs="Times New Roman" w:eastAsia="Times New Roman" w:hAnsi="Times New Roman"/>
          <w:sz w:val="20"/>
          <w:szCs w:val="20"/>
          <w:color w:val="auto"/>
        </w:rPr>
      </w:pPr>
    </w:p>
    <w:p>
      <w:pPr>
        <w:ind w:left="2540" w:hanging="306"/>
        <w:spacing w:after="0"/>
        <w:tabs>
          <w:tab w:leader="none" w:pos="2540"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Loan Party, to the Borrower at:</w:t>
      </w:r>
    </w:p>
    <w:p>
      <w:pPr>
        <w:spacing w:after="0" w:line="21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Flywire Corporation</w:t>
      </w:r>
    </w:p>
    <w:p>
      <w:pPr>
        <w:ind w:left="2980"/>
        <w:spacing w:after="0" w:line="211" w:lineRule="auto"/>
        <w:rPr>
          <w:sz w:val="20"/>
          <w:szCs w:val="20"/>
          <w:color w:val="auto"/>
        </w:rPr>
      </w:pPr>
      <w:r>
        <w:rPr>
          <w:rFonts w:ascii="Times New Roman" w:cs="Times New Roman" w:eastAsia="Times New Roman" w:hAnsi="Times New Roman"/>
          <w:sz w:val="20"/>
          <w:szCs w:val="20"/>
          <w:color w:val="auto"/>
        </w:rPr>
        <w:t>141 Tremont Street,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w:t>
      </w:r>
    </w:p>
    <w:p>
      <w:pPr>
        <w:ind w:left="2980"/>
        <w:spacing w:after="0"/>
        <w:rPr>
          <w:sz w:val="20"/>
          <w:szCs w:val="20"/>
          <w:color w:val="auto"/>
        </w:rPr>
      </w:pPr>
      <w:r>
        <w:rPr>
          <w:rFonts w:ascii="Times New Roman" w:cs="Times New Roman" w:eastAsia="Times New Roman" w:hAnsi="Times New Roman"/>
          <w:sz w:val="20"/>
          <w:szCs w:val="20"/>
          <w:color w:val="auto"/>
        </w:rPr>
        <w:t>Boston, MA 02111</w:t>
      </w:r>
    </w:p>
    <w:p>
      <w:pPr>
        <w:ind w:left="2980"/>
        <w:spacing w:after="0"/>
        <w:rPr>
          <w:sz w:val="20"/>
          <w:szCs w:val="20"/>
          <w:color w:val="auto"/>
        </w:rPr>
      </w:pPr>
      <w:r>
        <w:rPr>
          <w:rFonts w:ascii="Times New Roman" w:cs="Times New Roman" w:eastAsia="Times New Roman" w:hAnsi="Times New Roman"/>
          <w:sz w:val="20"/>
          <w:szCs w:val="20"/>
          <w:color w:val="auto"/>
        </w:rPr>
        <w:t>Attention: CFO and General Counsel</w:t>
      </w:r>
    </w:p>
    <w:p>
      <w:pPr>
        <w:ind w:left="2980"/>
        <w:spacing w:after="0"/>
        <w:rPr>
          <w:sz w:val="20"/>
          <w:szCs w:val="20"/>
          <w:color w:val="auto"/>
        </w:rPr>
      </w:pPr>
      <w:r>
        <w:rPr>
          <w:rFonts w:ascii="Times New Roman" w:cs="Times New Roman" w:eastAsia="Times New Roman" w:hAnsi="Times New Roman"/>
          <w:sz w:val="20"/>
          <w:szCs w:val="20"/>
          <w:color w:val="auto"/>
        </w:rPr>
        <w:t>E-mail Address:</w:t>
      </w:r>
    </w:p>
    <w:p>
      <w:pPr>
        <w:ind w:left="2980"/>
        <w:spacing w:after="0"/>
        <w:rPr>
          <w:sz w:val="20"/>
          <w:szCs w:val="20"/>
          <w:color w:val="auto"/>
        </w:rPr>
      </w:pPr>
      <w:r>
        <w:rPr>
          <w:rFonts w:ascii="Times New Roman" w:cs="Times New Roman" w:eastAsia="Times New Roman" w:hAnsi="Times New Roman"/>
          <w:sz w:val="20"/>
          <w:szCs w:val="20"/>
          <w:color w:val="auto"/>
        </w:rPr>
        <w:t>mellis@flywire.com – CFO</w:t>
      </w:r>
    </w:p>
    <w:p>
      <w:pPr>
        <w:ind w:left="2980"/>
        <w:spacing w:after="0"/>
        <w:rPr>
          <w:sz w:val="20"/>
          <w:szCs w:val="20"/>
          <w:color w:val="auto"/>
        </w:rPr>
      </w:pPr>
      <w:r>
        <w:rPr>
          <w:rFonts w:ascii="Times New Roman" w:cs="Times New Roman" w:eastAsia="Times New Roman" w:hAnsi="Times New Roman"/>
          <w:sz w:val="20"/>
          <w:szCs w:val="20"/>
          <w:color w:val="auto"/>
        </w:rPr>
        <w:t>peter@flywire.com – GC and CCO</w:t>
      </w:r>
    </w:p>
    <w:p>
      <w:pPr>
        <w:spacing w:after="0" w:line="20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2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Rutan &amp; Tucker, LLP</w:t>
      </w:r>
    </w:p>
    <w:p>
      <w:pPr>
        <w:spacing w:after="0" w:line="2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18575 Jamboree Road, 9th Floor</w:t>
      </w:r>
    </w:p>
    <w:p>
      <w:pPr>
        <w:ind w:left="2980"/>
        <w:spacing w:after="0"/>
        <w:rPr>
          <w:sz w:val="20"/>
          <w:szCs w:val="20"/>
          <w:color w:val="auto"/>
        </w:rPr>
      </w:pPr>
      <w:r>
        <w:rPr>
          <w:rFonts w:ascii="Times New Roman" w:cs="Times New Roman" w:eastAsia="Times New Roman" w:hAnsi="Times New Roman"/>
          <w:sz w:val="20"/>
          <w:szCs w:val="20"/>
          <w:color w:val="auto"/>
        </w:rPr>
        <w:t>Irvine, CA 92612</w:t>
      </w:r>
    </w:p>
    <w:p>
      <w:pPr>
        <w:ind w:left="2980"/>
        <w:spacing w:after="0"/>
        <w:rPr>
          <w:sz w:val="20"/>
          <w:szCs w:val="20"/>
          <w:color w:val="auto"/>
        </w:rPr>
      </w:pPr>
      <w:r>
        <w:rPr>
          <w:rFonts w:ascii="Times New Roman" w:cs="Times New Roman" w:eastAsia="Times New Roman" w:hAnsi="Times New Roman"/>
          <w:sz w:val="20"/>
          <w:szCs w:val="20"/>
          <w:color w:val="auto"/>
        </w:rPr>
        <w:t>Attention: Shigenobu Itoh</w:t>
      </w:r>
    </w:p>
    <w:p>
      <w:pPr>
        <w:ind w:left="2980"/>
        <w:spacing w:after="0"/>
        <w:rPr>
          <w:sz w:val="20"/>
          <w:szCs w:val="20"/>
          <w:color w:val="auto"/>
        </w:rPr>
      </w:pPr>
      <w:r>
        <w:rPr>
          <w:rFonts w:ascii="Times New Roman" w:cs="Times New Roman" w:eastAsia="Times New Roman" w:hAnsi="Times New Roman"/>
          <w:sz w:val="20"/>
          <w:szCs w:val="20"/>
          <w:color w:val="auto"/>
        </w:rPr>
        <w:t>E-mail Address: sitoh@rutan.com</w:t>
      </w:r>
    </w:p>
    <w:p>
      <w:pPr>
        <w:ind w:left="2980"/>
        <w:spacing w:after="0"/>
        <w:rPr>
          <w:sz w:val="20"/>
          <w:szCs w:val="20"/>
          <w:color w:val="auto"/>
        </w:rPr>
      </w:pPr>
      <w:r>
        <w:rPr>
          <w:rFonts w:ascii="Times New Roman" w:cs="Times New Roman" w:eastAsia="Times New Roman" w:hAnsi="Times New Roman"/>
          <w:sz w:val="20"/>
          <w:szCs w:val="20"/>
          <w:color w:val="auto"/>
        </w:rPr>
        <w:t>Fax Number: (714) 546-9035</w:t>
      </w:r>
    </w:p>
    <w:p>
      <w:pPr>
        <w:spacing w:after="0" w:line="19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(ii) if to the Administrative Agent or to Citi, in its capacity as Issuing Bank or Swingline Lender, to Citibank,</w:t>
      </w:r>
    </w:p>
    <w:p>
      <w:pPr>
        <w:spacing w:after="0" w:line="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N.A. at:</w:t>
      </w:r>
    </w:p>
    <w:p>
      <w:pPr>
        <w:spacing w:after="0" w:line="19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Citibank, N.A.</w:t>
      </w:r>
    </w:p>
    <w:p>
      <w:pPr>
        <w:spacing w:after="0" w:line="2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388 Greenwich Street</w:t>
      </w:r>
    </w:p>
    <w:p>
      <w:pPr>
        <w:ind w:left="2980"/>
        <w:spacing w:after="0"/>
        <w:rPr>
          <w:sz w:val="20"/>
          <w:szCs w:val="20"/>
          <w:color w:val="auto"/>
        </w:rPr>
      </w:pPr>
      <w:r>
        <w:rPr>
          <w:rFonts w:ascii="Times New Roman" w:cs="Times New Roman" w:eastAsia="Times New Roman" w:hAnsi="Times New Roman"/>
          <w:sz w:val="20"/>
          <w:szCs w:val="20"/>
          <w:color w:val="auto"/>
        </w:rPr>
        <w:t>New York, NY 10013</w:t>
      </w:r>
    </w:p>
    <w:p>
      <w:pPr>
        <w:ind w:left="2980"/>
        <w:spacing w:after="0"/>
        <w:rPr>
          <w:sz w:val="20"/>
          <w:szCs w:val="20"/>
          <w:color w:val="auto"/>
        </w:rPr>
      </w:pPr>
      <w:r>
        <w:rPr>
          <w:rFonts w:ascii="Times New Roman" w:cs="Times New Roman" w:eastAsia="Times New Roman" w:hAnsi="Times New Roman"/>
          <w:sz w:val="20"/>
          <w:szCs w:val="20"/>
          <w:color w:val="auto"/>
        </w:rPr>
        <w:t>Attention: Jonathan Wronski</w:t>
      </w:r>
    </w:p>
    <w:p>
      <w:pPr>
        <w:ind w:left="2980"/>
        <w:spacing w:after="0"/>
        <w:rPr>
          <w:sz w:val="20"/>
          <w:szCs w:val="20"/>
          <w:color w:val="auto"/>
        </w:rPr>
      </w:pPr>
      <w:r>
        <w:rPr>
          <w:rFonts w:ascii="Times New Roman" w:cs="Times New Roman" w:eastAsia="Times New Roman" w:hAnsi="Times New Roman"/>
          <w:sz w:val="20"/>
          <w:szCs w:val="20"/>
          <w:color w:val="auto"/>
        </w:rPr>
        <w:t>E-mail Address: Jonathan.wronski@citi.com</w:t>
      </w:r>
    </w:p>
    <w:p>
      <w:pPr>
        <w:spacing w:after="0" w:line="19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2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Jones Day</w:t>
      </w:r>
    </w:p>
    <w:p>
      <w:pPr>
        <w:spacing w:after="0" w:line="2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901 Lakeside Avenue</w:t>
      </w:r>
    </w:p>
    <w:p>
      <w:pPr>
        <w:ind w:left="2980"/>
        <w:spacing w:after="0"/>
        <w:rPr>
          <w:sz w:val="20"/>
          <w:szCs w:val="20"/>
          <w:color w:val="auto"/>
        </w:rPr>
      </w:pPr>
      <w:r>
        <w:rPr>
          <w:rFonts w:ascii="Times New Roman" w:cs="Times New Roman" w:eastAsia="Times New Roman" w:hAnsi="Times New Roman"/>
          <w:sz w:val="20"/>
          <w:szCs w:val="20"/>
          <w:color w:val="auto"/>
        </w:rPr>
        <w:t>Cleveland, OH 44114</w:t>
      </w:r>
    </w:p>
    <w:p>
      <w:pPr>
        <w:ind w:left="2980"/>
        <w:spacing w:after="0"/>
        <w:rPr>
          <w:sz w:val="20"/>
          <w:szCs w:val="20"/>
          <w:color w:val="auto"/>
        </w:rPr>
      </w:pPr>
      <w:r>
        <w:rPr>
          <w:rFonts w:ascii="Times New Roman" w:cs="Times New Roman" w:eastAsia="Times New Roman" w:hAnsi="Times New Roman"/>
          <w:sz w:val="20"/>
          <w:szCs w:val="20"/>
          <w:color w:val="auto"/>
        </w:rPr>
        <w:t>Attention: Jason Samblanet</w:t>
      </w:r>
    </w:p>
    <w:p>
      <w:pPr>
        <w:ind w:left="2980"/>
        <w:spacing w:after="0"/>
        <w:rPr>
          <w:sz w:val="20"/>
          <w:szCs w:val="20"/>
          <w:color w:val="auto"/>
        </w:rPr>
      </w:pPr>
      <w:r>
        <w:rPr>
          <w:rFonts w:ascii="Times New Roman" w:cs="Times New Roman" w:eastAsia="Times New Roman" w:hAnsi="Times New Roman"/>
          <w:sz w:val="20"/>
          <w:szCs w:val="20"/>
          <w:color w:val="auto"/>
        </w:rPr>
        <w:t>E-mail Address: jsamblanet@jonesday.com</w:t>
      </w:r>
    </w:p>
    <w:p>
      <w:pPr>
        <w:spacing w:after="0" w:line="19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(iii)if to any other Lender, to it at its address, e-mail address or fax number set forth in its Administrative</w:t>
      </w:r>
    </w:p>
    <w:p>
      <w:pPr>
        <w:spacing w:after="0" w:line="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Questionnaire.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725805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1" w:right="339" w:bottom="1440" w:gutter="0" w:footer="0" w:header="0"/>
        </w:sectPr>
      </w:pPr>
    </w:p>
    <w:bookmarkStart w:id="194" w:name="page195"/>
    <w:bookmarkEnd w:id="194"/>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All such notices and other communications (i) sent by hand or overnight courier service, or mailed by certified or registered mail, shall be deemed to have been given when received, (ii) sent by fax shall be deemed to have been given when 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not given during normal business hours of the recipient, such notice or communication shall be deemed to have been given at the opening of business on the next Business Day for the recipient or (iii) delivered through Electronic Systems to the extent provided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shall be effective as provided in such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757"/>
        <w:spacing w:after="0" w:line="241" w:lineRule="auto"/>
        <w:tabs>
          <w:tab w:leader="none" w:pos="1018"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Notices and other communications to the Lenders hereunder may be delivered or furnished by Electronic Systems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or to compliance and no Event of Default certificates delivered pursuant to </w:t>
      </w:r>
      <w:r>
        <w:rPr>
          <w:rFonts w:ascii="Times New Roman" w:cs="Times New Roman" w:eastAsia="Times New Roman" w:hAnsi="Times New Roman"/>
          <w:sz w:val="20"/>
          <w:szCs w:val="20"/>
          <w:u w:val="single" w:color="auto"/>
          <w:color w:val="auto"/>
        </w:rPr>
        <w:t>Section 5.01(d)</w:t>
      </w:r>
      <w:r>
        <w:rPr>
          <w:rFonts w:ascii="Times New Roman" w:cs="Times New Roman" w:eastAsia="Times New Roman" w:hAnsi="Times New Roman"/>
          <w:sz w:val="20"/>
          <w:szCs w:val="20"/>
          <w:color w:val="auto"/>
        </w:rPr>
        <w:t xml:space="preserve"> unless otherwise agreed by the Administrative Agent and the applicable Lender. Each of the Administrative Agent and the Borrower (on behalf of the Loan Parties) may, in its discretion, agree to accept notices and other communications to it hereunder by Electronic Systems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 Unless the Administrative Agent otherwise proscribes,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(b)(i)</w:t>
      </w:r>
      <w:r>
        <w:rPr>
          <w:rFonts w:ascii="Times New Roman" w:cs="Times New Roman" w:eastAsia="Times New Roman" w:hAnsi="Times New Roman"/>
          <w:sz w:val="20"/>
          <w:szCs w:val="20"/>
          <w:color w:val="auto"/>
        </w:rPr>
        <w:t xml:space="preserve">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91"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party hereto may change its address, fax number or e-mail address for notices and other communications hereunder by notice to the other parties hereto.</w:t>
      </w:r>
    </w:p>
    <w:p>
      <w:pPr>
        <w:spacing w:after="0" w:line="16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Systems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1140" w:firstLine="1489"/>
        <w:spacing w:after="0" w:line="253" w:lineRule="auto"/>
        <w:tabs>
          <w:tab w:leader="none" w:pos="3072"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agrees that the Administrative Agent may, but shall not be obligated to, make Communications (as defined below) available to the Issuing Bank and the other Lenders by posting the Communications on Debt Domain, Intralinks, Syndtrak, ClearPar or a substantially similar Electronic System.</w:t>
      </w:r>
    </w:p>
    <w:p>
      <w:pPr>
        <w:spacing w:after="0" w:line="176" w:lineRule="exact"/>
        <w:rPr>
          <w:rFonts w:ascii="Times New Roman" w:cs="Times New Roman" w:eastAsia="Times New Roman" w:hAnsi="Times New Roman"/>
          <w:sz w:val="20"/>
          <w:szCs w:val="20"/>
          <w:color w:val="auto"/>
        </w:rPr>
      </w:pPr>
    </w:p>
    <w:p>
      <w:pPr>
        <w:jc w:val="both"/>
        <w:ind w:left="1140" w:firstLine="1489"/>
        <w:spacing w:after="0" w:line="242" w:lineRule="auto"/>
        <w:tabs>
          <w:tab w:leader="none" w:pos="3072"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have any liability to the Borrower or the other Loan Parties, any Lender, the Issuing Bank or any other Person or entity for damages of any kind, including direct or indirect, special, incidental or consequential damages, losses or expenses (whether in tort, contract or otherwise) arising out of the Borrower’s, any other Loan Party’s or the Administrative Agent’s transmission of communications through an Electronic System. “</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means, collectively, any notice, demand, communication, information, document or other material provided by or 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95" w:name="page196"/>
    <w:bookmarkEnd w:id="195"/>
    <w:p>
      <w:pPr>
        <w:jc w:val="both"/>
        <w:ind w:left="1140"/>
        <w:spacing w:after="0" w:line="253" w:lineRule="auto"/>
        <w:rPr>
          <w:sz w:val="20"/>
          <w:szCs w:val="20"/>
          <w:color w:val="auto"/>
        </w:rPr>
      </w:pPr>
      <w:r>
        <w:rPr>
          <w:rFonts w:ascii="Times New Roman" w:cs="Times New Roman" w:eastAsia="Times New Roman" w:hAnsi="Times New Roman"/>
          <w:sz w:val="20"/>
          <w:szCs w:val="20"/>
          <w:color w:val="auto"/>
        </w:rPr>
        <w:t xml:space="preserve">behalf of any Loan Party pursuant to any Loan Document or the transactions contemplated therein which is distributed by the Administrative Agent, any Lender or the Issuing Bank by means of electronic communications pursuant to this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including through an Electronic System.</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9.02</w:t>
      </w:r>
      <w:r>
        <w:rPr>
          <w:rFonts w:ascii="Times New Roman" w:cs="Times New Roman" w:eastAsia="Times New Roman" w:hAnsi="Times New Roman"/>
          <w:sz w:val="20"/>
          <w:szCs w:val="20"/>
          <w:u w:val="single" w:color="auto"/>
          <w:color w:val="auto"/>
        </w:rPr>
        <w:t>Waivers; Amendments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2" w:lineRule="auto"/>
        <w:tabs>
          <w:tab w:leader="none" w:pos="1018"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failure or delay by the Administrative Agent, any Swingline Lender,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any Swingline Lender, the Issuing Banks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and then such waiver or consent shall be effective only in the specific instance and for the purpose for which given. Without limiting the generality of the foregoing, the making of a Loan (including any Swingline Loan) or issuance of a Letter of Credit shall not be construed as a waiver of any Default, regardless of whether the Administrative Agent, any Lender or any Issuing Bank may have had notice or knowledge of such Default at the time.</w:t>
      </w:r>
    </w:p>
    <w:p>
      <w:pPr>
        <w:spacing w:after="0" w:line="189" w:lineRule="exact"/>
        <w:rPr>
          <w:rFonts w:ascii="Times New Roman" w:cs="Times New Roman" w:eastAsia="Times New Roman" w:hAnsi="Times New Roman"/>
          <w:sz w:val="20"/>
          <w:szCs w:val="20"/>
          <w:color w:val="auto"/>
        </w:rPr>
      </w:pPr>
    </w:p>
    <w:p>
      <w:pPr>
        <w:jc w:val="both"/>
        <w:ind w:firstLine="757"/>
        <w:spacing w:after="0"/>
        <w:tabs>
          <w:tab w:leader="none" w:pos="1018"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2.22</w:t>
      </w:r>
      <w:r>
        <w:rPr>
          <w:rFonts w:ascii="Times New Roman" w:cs="Times New Roman" w:eastAsia="Times New Roman" w:hAnsi="Times New Roman"/>
          <w:sz w:val="20"/>
          <w:szCs w:val="20"/>
          <w:color w:val="auto"/>
        </w:rPr>
        <w:t xml:space="preserve"> (with respect to any Commitment Increase), </w:t>
      </w:r>
      <w:r>
        <w:rPr>
          <w:rFonts w:ascii="Times New Roman" w:cs="Times New Roman" w:eastAsia="Times New Roman" w:hAnsi="Times New Roman"/>
          <w:sz w:val="20"/>
          <w:szCs w:val="20"/>
          <w:u w:val="single" w:color="auto"/>
          <w:color w:val="auto"/>
        </w:rPr>
        <w:t>2.24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2.25</w:t>
      </w:r>
      <w:r>
        <w:rPr>
          <w:rFonts w:ascii="Times New Roman" w:cs="Times New Roman" w:eastAsia="Times New Roman" w:hAnsi="Times New Roman"/>
          <w:sz w:val="20"/>
          <w:szCs w:val="20"/>
          <w:color w:val="auto"/>
        </w:rPr>
        <w:t xml:space="preserve">, neither this Agreement nor any other Loan Document nor any provision hereof or thereof may be waived, amended or modified except (i) in the case of this Agreement, pursuant to an agreement or agreements in writing entered into by the Borrower and the Required Lenders or, (ii) in the case of any other Loan Document, pursuant to an agreement or agreements in writing entered into by the Administrative Agent and the Loan Party or Loan Parties that are parties thereto, with the consent of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agreement shall (i) increase the Commitment of any Lender without the written consent of such Lender (including any such Lender that is a Defaulting Lender), (ii)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(other than as a result of the implementation of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xml:space="preserve"> or any waiver of any default interest applicable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2.13(c)</w:t>
      </w:r>
      <w:r>
        <w:rPr>
          <w:rFonts w:ascii="Times New Roman" w:cs="Times New Roman" w:eastAsia="Times New Roman" w:hAnsi="Times New Roman"/>
          <w:sz w:val="20"/>
          <w:szCs w:val="20"/>
          <w:color w:val="auto"/>
        </w:rPr>
        <w:t xml:space="preserve">),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(including any such Lender that is a Defaulting Lender) directly affected thereby, (iv) change </w:t>
      </w:r>
      <w:r>
        <w:rPr>
          <w:rFonts w:ascii="Times New Roman" w:cs="Times New Roman" w:eastAsia="Times New Roman" w:hAnsi="Times New Roman"/>
          <w:sz w:val="20"/>
          <w:szCs w:val="20"/>
          <w:u w:val="single" w:color="auto"/>
          <w:color w:val="auto"/>
        </w:rPr>
        <w:t>Section 2.09(d)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2.18(b) or (d)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2.24(c)</w:t>
      </w:r>
      <w:r>
        <w:rPr>
          <w:rFonts w:ascii="Times New Roman" w:cs="Times New Roman" w:eastAsia="Times New Roman" w:hAnsi="Times New Roman"/>
          <w:sz w:val="20"/>
          <w:szCs w:val="20"/>
          <w:color w:val="auto"/>
        </w:rPr>
        <w:t xml:space="preserve"> in a manner that would alter the manner in which payments or Commitment reductions are shared, without the written consent of each Lender (other than any Defaulting Lender), (v) change any of the provisions of this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or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(other than any Defaulting Lender), (vi) change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without the consent of each Lender (other than any Defaulting Lender), (vii) release any Loan Guarantor from its obligation under its Loan Guaranty (except as otherwise expressly permitted herein or in the other Loan Documents), without the written consent of each Lender (other than any Defaulting Lender), (viii) except as provided in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or in any Collateral Document, release all or substantially all of the Collateral, without the written consent of each Lender or (ix) subordinate the Liens on all or substantially all the value of the Collateral to the Liens securing any other Indebtedness, or contractually subordinate with respect to payment any Obligations,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96" w:name="page197"/>
    <w:bookmarkEnd w:id="196"/>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without the written consent of each Lender;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 such agreement shall amend, modify or otherwise affect the rights or duties of the Administrative Agent, Swingline Lenders or the Issuing Banks hereunder without the prior written consent of the Administrative Agent, Swingline Lenders or the Issuing Banks, as the case may be (it being understood that any change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shall require the consent of the Administrative Agent and the Issuing Banks). The Administrative Agent may also amend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to reflect assignments entered into pursuant to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757"/>
        <w:spacing w:after="0"/>
        <w:tabs>
          <w:tab w:leader="none" w:pos="1018"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9.02(b)(viii)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9.02(b)(ix)</w:t>
      </w:r>
      <w:r>
        <w:rPr>
          <w:rFonts w:ascii="Times New Roman" w:cs="Times New Roman" w:eastAsia="Times New Roman" w:hAnsi="Times New Roman"/>
          <w:sz w:val="20"/>
          <w:szCs w:val="20"/>
          <w:color w:val="auto"/>
        </w:rPr>
        <w:t xml:space="preserve">, the Lenders hereby irrevocably authorize the Administrative Agent, at its option and in its sole discretion, to release any Liens granted to the Administrative Agent by the Loan Parties on any Collateral (i) upon the termination of the all Commitments, payment and satisfaction in full in cash of all Secured Obligations (other than Unliquidated Obligations), and the cash collateralization of all Unliquidated Obligations in a manner satisfactory to each affected Lender,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 of a Subsidiary, the Administrative Agent is authorized to release any Loan Guaranty provided by such Subsidiary, (iii) constituting property leased to a Loan Party under a lease which has expired or been terminated in a transaction permitted under this Agreement, or (iv) as required to effect any sale or other disposition of such Collateral in connection with any exercise of remedies of the Administrative Agent and the Lenders pursuant to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Except as provided in the preceding sentence, the Administrative Agent will not release any Liens on Collateral without the prior written authorization of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Administrative Agent may, in its discretion, release its Liens on Collateral valued in the aggregate not in excess of $1.0 million during any calendar year without the prior written authorization of the Required Lenders (it being agreed that the Administrative Agent may rely conclusively on one or more certificates of the Borrower as to the value of any Collateral to be so released, without further inquiry).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201"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has not been obtained being referred to herein as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then the Borrower may elect to replace a Non-Consenting Lender as a Lender party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concurrently with such replacement, (i) another bank or other entity which is reasonably satisfactory to the Borrower, the Administrative Agent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and (ii) the Borrower shall pay to such Non-Consenting Lender in same day funds on the day of such replacement (1) all interest, fees and other amounts then accrued but unpaid to such Non-Consenting Lender by the Borrower hereunder to and including the date of termination, including payments due to such Non-Consenting Lender under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(2) an amount, if any, equal to the payment which would have been due to such Lender on the day of such replacement under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had the Loans of such Non-Consenting Lender been prepaid on such date rather than sold to the replacement Lender. Notwithstanding anything herein to the contrary, each party hereto agrees that any assignment pursuant to the terms of this </w:t>
      </w:r>
      <w:r>
        <w:rPr>
          <w:rFonts w:ascii="Times New Roman" w:cs="Times New Roman" w:eastAsia="Times New Roman" w:hAnsi="Times New Roman"/>
          <w:sz w:val="20"/>
          <w:szCs w:val="20"/>
          <w:u w:val="single" w:color="auto"/>
          <w:color w:val="auto"/>
        </w:rPr>
        <w:t>Section 9.20(d)</w:t>
      </w:r>
      <w:r>
        <w:rPr>
          <w:rFonts w:ascii="Times New Roman" w:cs="Times New Roman" w:eastAsia="Times New Roman" w:hAnsi="Times New Roman"/>
          <w:sz w:val="20"/>
          <w:szCs w:val="20"/>
          <w:color w:val="auto"/>
        </w:rPr>
        <w:t xml:space="preserve"> may be effected pursuant to an Assignment and Assumption executed by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97" w:name="page198"/>
    <w:bookmarkEnd w:id="197"/>
    <w:p>
      <w:pPr>
        <w:spacing w:after="0" w:line="268" w:lineRule="auto"/>
        <w:rPr>
          <w:sz w:val="20"/>
          <w:szCs w:val="20"/>
          <w:color w:val="auto"/>
        </w:rPr>
      </w:pPr>
      <w:r>
        <w:rPr>
          <w:rFonts w:ascii="Times New Roman" w:cs="Times New Roman" w:eastAsia="Times New Roman" w:hAnsi="Times New Roman"/>
          <w:sz w:val="20"/>
          <w:szCs w:val="20"/>
          <w:color w:val="auto"/>
        </w:rPr>
        <w:t>the Borrower, the Administrative Agent and the assignee and that the Non-Consenting Lender making such assignment need not be a party thereto.</w:t>
      </w:r>
    </w:p>
    <w:p>
      <w:pPr>
        <w:spacing w:after="0" w:line="161" w:lineRule="exact"/>
        <w:rPr>
          <w:sz w:val="20"/>
          <w:szCs w:val="20"/>
          <w:color w:val="auto"/>
        </w:rPr>
      </w:pPr>
    </w:p>
    <w:p>
      <w:pPr>
        <w:jc w:val="both"/>
        <w:ind w:firstLine="757"/>
        <w:spacing w:after="0" w:line="273" w:lineRule="auto"/>
        <w:tabs>
          <w:tab w:leader="none" w:pos="1018"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herein the Administrative Agent may, with the consent of the Borrower only, amend, modify or supplement this Agreement or any of the other Loan Documents to cure any ambiguity, omission, mistake, defect or inconsistency. A copy of any such amendment, modification or supplement shall be promptly delivered by the Administrative Agent to each Lender.</w:t>
      </w:r>
    </w:p>
    <w:p>
      <w:pPr>
        <w:spacing w:after="0" w:line="157" w:lineRule="exact"/>
        <w:rPr>
          <w:rFonts w:ascii="Times New Roman" w:cs="Times New Roman" w:eastAsia="Times New Roman" w:hAnsi="Times New Roman"/>
          <w:sz w:val="19"/>
          <w:szCs w:val="19"/>
          <w:color w:val="auto"/>
        </w:rPr>
      </w:pPr>
    </w:p>
    <w:p>
      <w:pPr>
        <w:jc w:val="both"/>
        <w:ind w:firstLine="757"/>
        <w:spacing w:after="0" w:line="249" w:lineRule="auto"/>
        <w:tabs>
          <w:tab w:leader="none" w:pos="101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From time to time, upon the Borrower’s request, the Lenders party hereto may agree to amend this Agreement to implement the ability for the Borrower to borrow in currencies (other than Dollars) and other modifications related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any such modifications shall be subject to the current policies and procedures of each such Lender and (ii) each Lender may elect to approve such changes in its sole discretion (it being understood that no such additional currencies will be added without the approval of each Lender).</w:t>
      </w:r>
    </w:p>
    <w:p>
      <w:pPr>
        <w:spacing w:after="0" w:line="178"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the Administrative Agent and the Borrower may amend, modify or supplement this Agreement or any of the other Loan Documents as may be reasonably necessary or appropriate, in the opinion of the Administrative Agent, in connection with a Foreign Subsidiary becoming a Loan Guarantor (such amendments, modifications or supplements are referred to herein as “</w:t>
      </w:r>
      <w:r>
        <w:rPr>
          <w:rFonts w:ascii="Times New Roman" w:cs="Times New Roman" w:eastAsia="Times New Roman" w:hAnsi="Times New Roman"/>
          <w:sz w:val="20"/>
          <w:szCs w:val="20"/>
          <w:u w:val="single" w:color="auto"/>
          <w:color w:val="auto"/>
        </w:rPr>
        <w:t>Voluntary Foreign Guarantor Amendments</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9.03</w:t>
      </w:r>
      <w:r>
        <w:rPr>
          <w:rFonts w:ascii="Times New Roman" w:cs="Times New Roman" w:eastAsia="Times New Roman" w:hAnsi="Times New Roman"/>
          <w:sz w:val="20"/>
          <w:szCs w:val="20"/>
          <w:u w:val="single" w:color="auto"/>
          <w:color w:val="auto"/>
        </w:rPr>
        <w:t>Expenses; Indemnity; Damage Waiver</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757"/>
        <w:spacing w:after="0" w:line="234" w:lineRule="exact"/>
        <w:tabs>
          <w:tab w:leader="none" w:pos="1018"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pay (i) all reasonable and documented out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pocket expenses incurred by the Administrative Agent, the Lead Arranger and their respective Affiliates, including the reasonable and documented fees, charges and disbursements of one outside counsel and one local counsel in each relevant jurisdiction for the Administrative Agent and Lead Arranger (and, solely in the case of an actual or perceived conflict of interest, one additional counsel (and, if reasonably necessary, (x) one firm of local counsel in each relevant jurisdiction and (y) any special or regulatory counsel) and any other counsel retained with the Borrower’s consent, such consent not to be unreasonably withheld or delayed), in connection with the syndication and distribution (including via the internet or through an Electronic System) of the credit facilities provided for herein, the preparation and administration of the Loan Documents or any amendments, modifications or waivers of the provisions of the Loan Documents (whether or not the transactions contemplated hereby or thereby shall be consummated), (ii) all reasonable and documented out-of-pocket expenses incurred by any Issuing Bank in connection with the issuance, amendment, renewal or extension of any Letter of Credit or any demand for payment thereunder and (iii) all documented out-of-pocket expenses incurred by the Administrative Agent, Swingline Lenders, any Issuing Bank or any Lender, including the fees, charges and disbursements of any outside counsel for the Administrative Agent, Swingline Lenders, any Issuing Bank or any Lender, in connection with the enforcement, collection or protection of its rights in connection with the Loan Documents, including its rights under this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or in connection with the Loans made or Letters of Credit issued hereunder, including all such out-of</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pocket expenses incurred during any workout, restructuring or negotiations in respect of such Loans or Letters of Credit. Expenses being reimbursed by the Borrower under this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include, without limiting the generality of the foregoing, costs and expenses incurred in connection with:</w:t>
      </w:r>
    </w:p>
    <w:p>
      <w:pPr>
        <w:spacing w:after="0" w:line="201" w:lineRule="exact"/>
        <w:rPr>
          <w:rFonts w:ascii="Times New Roman" w:cs="Times New Roman" w:eastAsia="Times New Roman" w:hAnsi="Times New Roman"/>
          <w:sz w:val="20"/>
          <w:szCs w:val="20"/>
          <w:color w:val="auto"/>
        </w:rPr>
      </w:pPr>
    </w:p>
    <w:p>
      <w:pPr>
        <w:ind w:left="1220" w:firstLine="1498"/>
        <w:spacing w:after="0" w:line="268" w:lineRule="auto"/>
        <w:tabs>
          <w:tab w:leader="none" w:pos="3062"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taxes, fees and other charges for (A) lien searches and (B) filing financing statements and continuations, and other actions to perfect, protect, and continue the Administrative Agent’s Liens;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98" w:name="page199"/>
    <w:bookmarkEnd w:id="198"/>
    <w:p>
      <w:pPr>
        <w:ind w:left="1220" w:firstLine="1498"/>
        <w:spacing w:after="0" w:line="268" w:lineRule="auto"/>
        <w:tabs>
          <w:tab w:leader="none" w:pos="3062"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sums paid or incurred to take any action required of any Loan Party under the Loan Documents that such Loan Party fails to pay or take; and</w:t>
      </w:r>
    </w:p>
    <w:p>
      <w:pPr>
        <w:spacing w:after="0" w:line="160" w:lineRule="exact"/>
        <w:rPr>
          <w:rFonts w:ascii="Times New Roman" w:cs="Times New Roman" w:eastAsia="Times New Roman" w:hAnsi="Times New Roman"/>
          <w:sz w:val="20"/>
          <w:szCs w:val="20"/>
          <w:color w:val="auto"/>
        </w:rPr>
      </w:pPr>
    </w:p>
    <w:p>
      <w:pPr>
        <w:ind w:left="1220" w:firstLine="1498"/>
        <w:spacing w:after="0" w:line="268" w:lineRule="auto"/>
        <w:tabs>
          <w:tab w:leader="none" w:pos="3062"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forwarding loan proceeds, collecting checks and other items of payment, and costs and expenses of preserving and protecting the Collateral.</w:t>
      </w:r>
    </w:p>
    <w:p>
      <w:pPr>
        <w:spacing w:after="0" w:line="16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 xml:space="preserve">All of the foregoing costs and expenses may be charged to the Borrower as Loans or to another deposit account, all as described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2.18(c)</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firstLine="757"/>
        <w:spacing w:after="0" w:line="253" w:lineRule="auto"/>
        <w:tabs>
          <w:tab w:leader="none" w:pos="1018"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indemnify the Administrative Agent, Swingline Lenders, each Issuing Bank and each Lender, and each Related Party of any of the foregoing Persons (each such Person being called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xml:space="preserve">”) against, and hold each Indemnitee harmless from, any and all losses, claims, damages, penalties, liabilities and related expenses (except for Taxes, which shall be covered by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2.17</w:t>
      </w:r>
      <w:r>
        <w:rPr>
          <w:rFonts w:ascii="Times New Roman" w:cs="Times New Roman" w:eastAsia="Times New Roman" w:hAnsi="Times New Roman"/>
          <w:sz w:val="19"/>
          <w:szCs w:val="19"/>
          <w:color w:val="auto"/>
        </w:rPr>
        <w:t xml:space="preserve">, other than any Taxes that represent losses, claims, damages, etc. arising from any non-Tax claim), including the reasonable and documented fees, charges and disbursements of one counsel for all Indemnitees (and, if reasonably necessary, a single local counsel for all Indemnitees taken as a whole in each relevant jurisdiction and, solely in the case of an actual or perceived conflict of interest, one additional counsel (and, if reasonably necessary, (x) one firm of local counsel in each relevant jurisdiction and (y) any special or regulatory counsel) to each group of affected Indemnitees similarly situated taken as a whole and any other counsel retained with the Borrower’s consent, such consent not to be unreasonably withheld or delayed),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(including any Swingline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in any way to the Borrower or any of its Subsidiaries, (iv) the failure of the Borrower to deliver to the Administrative Agent the required receipts or other required documentary evidence with respect to a payment made by the Borrower for Indemnified Taxes or Other Taxes pursuant to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xml:space="preserve"> or (v) any actual or prospective claim, litigation, investigation or proceeding relating to any of the foregoing, whether based on contract, tort or any other theory and regardless of whether any Indemnitee is a party thereto and whether or not such claim, litigation, investigation or proceeding is brought by the Borrower, any of its Subsidiaries or and third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such indemnity shall not, as to any Indemnitee, be available to the extent that such losses, claims, damages, penalties, liabilities or related expenses (x) are determined by a court of competent jurisdiction by final and nonappealable judgment to have resulted from the gross negligence or willful misconduct of such Indemnitee or (y) result from any dispute solely among Indemnitees and does not involve any act or omission by any Loan Party or any of their Subsidiaries (other than claims against the Administrative Agent, Swingline Lenders and Issuing Banks in their respective capacities as such).</w:t>
      </w:r>
    </w:p>
    <w:p>
      <w:pPr>
        <w:spacing w:after="0" w:line="189" w:lineRule="exact"/>
        <w:rPr>
          <w:rFonts w:ascii="Times New Roman" w:cs="Times New Roman" w:eastAsia="Times New Roman" w:hAnsi="Times New Roman"/>
          <w:sz w:val="19"/>
          <w:szCs w:val="19"/>
          <w:color w:val="auto"/>
        </w:rPr>
      </w:pPr>
    </w:p>
    <w:p>
      <w:pPr>
        <w:jc w:val="both"/>
        <w:ind w:firstLine="757"/>
        <w:spacing w:after="0" w:line="245" w:lineRule="auto"/>
        <w:tabs>
          <w:tab w:leader="none" w:pos="1018"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the Borrower fails to pay any amount required to be paid by it to the Administrative Agent or any Issuing Bank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each Lender severally agrees to pay to the Administrative Agent or such Issuing Bank,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unreimbursed expense or indemnified loss, claim, damage, penalty, liability or related expense, as the case may be, was incurred by or asserted against the Administrative Agent or such Issuing Bank in its capacity as such.</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99" w:name="page200"/>
    <w:bookmarkEnd w:id="199"/>
    <w:p>
      <w:pPr>
        <w:jc w:val="both"/>
        <w:ind w:firstLine="757"/>
        <w:spacing w:after="0" w:line="245" w:lineRule="auto"/>
        <w:tabs>
          <w:tab w:leader="none" w:pos="1018"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no Loan Party shall assert, and each hereby waives, any claim against the Administrative Agent, any Swingline Lender, any Issuing Bank and any Lender, and any Related Party of any of the foregoing Persons (each such Person being called an “</w:t>
      </w:r>
      <w:r>
        <w:rPr>
          <w:rFonts w:ascii="Times New Roman" w:cs="Times New Roman" w:eastAsia="Times New Roman" w:hAnsi="Times New Roman"/>
          <w:sz w:val="20"/>
          <w:szCs w:val="20"/>
          <w:u w:val="single" w:color="auto"/>
          <w:color w:val="auto"/>
        </w:rPr>
        <w:t>Excluded Person</w:t>
      </w:r>
      <w:r>
        <w:rPr>
          <w:rFonts w:ascii="Times New Roman" w:cs="Times New Roman" w:eastAsia="Times New Roman" w:hAnsi="Times New Roman"/>
          <w:sz w:val="20"/>
          <w:szCs w:val="20"/>
          <w:color w:val="auto"/>
        </w:rPr>
        <w:t>”) for any damages arising from the use by unintended recipients of information or other materials obtained through telecommunications, electronic or other information transmission systems (including the Internet), except as determined by a court of competent jurisdiction by final and nonappealable judgment to have resulted from the gross negligence or willful misconduct of such Excluded Person.</w:t>
      </w:r>
    </w:p>
    <w:p>
      <w:pPr>
        <w:spacing w:after="0" w:line="182"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Excluded Person nor any Loan Party shall be liable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(including any Swingline Loan) or Letter of Credit or the use of the proceeds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shall relieve any Loan Party of any obligation it may have to indemnify an Indemnitee against special, indirect, consequential or punitive damages asserted against such Indemnitee by a third party.</w:t>
      </w:r>
    </w:p>
    <w:p>
      <w:pPr>
        <w:spacing w:after="0" w:line="182"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amounts due under this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shall be payable promptly after written demand therefor.</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9.04</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2" w:lineRule="auto"/>
        <w:tabs>
          <w:tab w:leader="none" w:pos="1018"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or as may be required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9.02(d)</w:t>
      </w:r>
      <w:r>
        <w:rPr>
          <w:rFonts w:ascii="Times New Roman" w:cs="Times New Roman" w:eastAsia="Times New Roman" w:hAnsi="Times New Roman"/>
          <w:sz w:val="20"/>
          <w:szCs w:val="20"/>
          <w:color w:val="auto"/>
        </w:rPr>
        <w:t xml:space="preserve">. Nothing in this Agreement, expressed or implied, shall be construed to confer upon any Person (other than the parties hereto, their respective successors and assigns permitted hereby (including any Affiliate of an Issuing Bank that issues any Letter of Credit), Participants (to the extent provided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and, to the extent expressly contemplated hereby, the Related Parties of each of the Administrative Agent, Swingline Lenders, the Issuing Banks and the Lenders) any legal or equitable right, remedy or claim under or by reason of this Agreement.</w:t>
      </w:r>
    </w:p>
    <w:p>
      <w:pPr>
        <w:spacing w:after="0" w:line="189"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Subject to the conditions set forth in </w:t>
      </w:r>
      <w:r>
        <w:rPr>
          <w:rFonts w:ascii="Times New Roman" w:cs="Times New Roman" w:eastAsia="Times New Roman" w:hAnsi="Times New Roman"/>
          <w:sz w:val="20"/>
          <w:szCs w:val="20"/>
          <w:u w:val="single" w:color="auto"/>
          <w:color w:val="auto"/>
        </w:rPr>
        <w:t>clause (b)(ii)</w:t>
      </w:r>
      <w:r>
        <w:rPr>
          <w:rFonts w:ascii="Times New Roman" w:cs="Times New Roman" w:eastAsia="Times New Roman" w:hAnsi="Times New Roman"/>
          <w:sz w:val="20"/>
          <w:szCs w:val="20"/>
          <w:color w:val="auto"/>
        </w:rPr>
        <w:t xml:space="preserve"> below, any Lender may assign to one or more Persons (other than an Ineligible Institution) all or a portion of its rights and obligations under this Agreement (including all or a portion of its Commitment and the Loans at the time owing to it) with the prior written consent (such consent not to be unreasonably withheld, conditioned or delayed) of:</w:t>
      </w:r>
    </w:p>
    <w:p>
      <w:pPr>
        <w:spacing w:after="0" w:line="176" w:lineRule="exact"/>
        <w:rPr>
          <w:sz w:val="20"/>
          <w:szCs w:val="20"/>
          <w:color w:val="auto"/>
        </w:rPr>
      </w:pPr>
    </w:p>
    <w:p>
      <w:pPr>
        <w:jc w:val="both"/>
        <w:ind w:left="1500" w:firstLine="749"/>
        <w:spacing w:after="0" w:line="249" w:lineRule="auto"/>
        <w:rPr>
          <w:sz w:val="20"/>
          <w:szCs w:val="20"/>
          <w:color w:val="auto"/>
        </w:rPr>
      </w:pPr>
      <w:r>
        <w:rPr>
          <w:rFonts w:ascii="Times New Roman" w:cs="Times New Roman" w:eastAsia="Times New Roman" w:hAnsi="Times New Roman"/>
          <w:sz w:val="20"/>
          <w:szCs w:val="20"/>
          <w:color w:val="auto"/>
        </w:rPr>
        <w:t xml:space="preserve">(A)the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deemed to have consented to any such assignment unless it shall object thereto by written notice to the Administrative Agent within five (5) Business Days after having received notice thereof,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 consent of the Borrower shall be required for an assignment to a Lender, an Affiliate of a Lender, an Approved Fund or, if an Event of Default has occurred and is continuing, any other assignee;</w:t>
      </w:r>
    </w:p>
    <w:p>
      <w:pPr>
        <w:spacing w:after="0" w:line="178" w:lineRule="exact"/>
        <w:rPr>
          <w:sz w:val="20"/>
          <w:szCs w:val="20"/>
          <w:color w:val="auto"/>
        </w:rPr>
      </w:pPr>
    </w:p>
    <w:p>
      <w:pPr>
        <w:ind w:left="2560" w:hanging="306"/>
        <w:spacing w:after="0"/>
        <w:tabs>
          <w:tab w:leader="none" w:pos="256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w:t>
      </w:r>
    </w:p>
    <w:p>
      <w:pPr>
        <w:spacing w:after="0" w:line="214" w:lineRule="exact"/>
        <w:rPr>
          <w:rFonts w:ascii="Times New Roman" w:cs="Times New Roman" w:eastAsia="Times New Roman" w:hAnsi="Times New Roman"/>
          <w:sz w:val="20"/>
          <w:szCs w:val="20"/>
          <w:color w:val="auto"/>
        </w:rPr>
      </w:pPr>
    </w:p>
    <w:p>
      <w:pPr>
        <w:ind w:left="2560" w:hanging="306"/>
        <w:spacing w:after="0"/>
        <w:tabs>
          <w:tab w:leader="none" w:pos="256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Swingline Lenders; and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0" w:name="page201"/>
    <w:bookmarkEnd w:id="200"/>
    <w:p>
      <w:pPr>
        <w:ind w:left="1140"/>
        <w:spacing w:after="0"/>
        <w:rPr>
          <w:sz w:val="20"/>
          <w:szCs w:val="20"/>
          <w:color w:val="auto"/>
        </w:rPr>
      </w:pPr>
      <w:r>
        <w:rPr>
          <w:rFonts w:ascii="Times New Roman" w:cs="Times New Roman" w:eastAsia="Times New Roman" w:hAnsi="Times New Roman"/>
          <w:sz w:val="20"/>
          <w:szCs w:val="20"/>
          <w:color w:val="auto"/>
        </w:rPr>
        <w:t>(D)the Issuing Banks.</w:t>
      </w:r>
    </w:p>
    <w:p>
      <w:pPr>
        <w:spacing w:after="0" w:line="215" w:lineRule="exact"/>
        <w:rPr>
          <w:sz w:val="20"/>
          <w:szCs w:val="20"/>
          <w:color w:val="auto"/>
        </w:rPr>
      </w:pPr>
    </w:p>
    <w:p>
      <w:pPr>
        <w:ind w:left="920" w:hanging="535"/>
        <w:spacing w:after="0"/>
        <w:tabs>
          <w:tab w:leader="none" w:pos="92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Assignments shall be subject to the following additional conditions:</w:t>
      </w:r>
    </w:p>
    <w:p>
      <w:pPr>
        <w:spacing w:after="0" w:line="215" w:lineRule="exact"/>
        <w:rPr>
          <w:sz w:val="20"/>
          <w:szCs w:val="20"/>
          <w:color w:val="auto"/>
        </w:rPr>
      </w:pPr>
    </w:p>
    <w:p>
      <w:pPr>
        <w:jc w:val="both"/>
        <w:ind w:left="380" w:firstLine="749"/>
        <w:spacing w:after="0" w:line="245" w:lineRule="auto"/>
        <w:rPr>
          <w:sz w:val="20"/>
          <w:szCs w:val="20"/>
          <w:color w:val="auto"/>
        </w:rPr>
      </w:pPr>
      <w:r>
        <w:rPr>
          <w:rFonts w:ascii="Times New Roman" w:cs="Times New Roman" w:eastAsia="Times New Roman" w:hAnsi="Times New Roman"/>
          <w:sz w:val="20"/>
          <w:szCs w:val="20"/>
          <w:color w:val="auto"/>
        </w:rPr>
        <w:t xml:space="preserve">(A)except in the case of an assignment to a Lender or an Affiliate of a Lender or an Approved Fund or an assignment of the entire remaining amount of the assigning Lender’s Commitment or Loans (including any Swingline Loans), the amount of the Commitment or Loans of the assigning Lender subject to each such assignment (determined as of the date the Assignment and Assumption with respect to such assignment is delivered to the Administrative Agent) shall not be less than $1.0 million unless each of the Borrower and the Administrative Agent otherwise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consent of the Borrower shall be required if an Event of Default has occurred and is continuing;</w:t>
      </w:r>
    </w:p>
    <w:p>
      <w:pPr>
        <w:spacing w:after="0" w:line="183" w:lineRule="exact"/>
        <w:rPr>
          <w:sz w:val="20"/>
          <w:szCs w:val="20"/>
          <w:color w:val="auto"/>
        </w:rPr>
      </w:pPr>
    </w:p>
    <w:p>
      <w:pPr>
        <w:ind w:left="380" w:firstLine="754"/>
        <w:spacing w:after="0" w:line="268" w:lineRule="auto"/>
        <w:tabs>
          <w:tab w:leader="none" w:pos="1428"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partial assignment shall be made as an assignment of a proportionate part of all the assigning Lender’s rights and obligations under this Agreement;</w:t>
      </w:r>
    </w:p>
    <w:p>
      <w:pPr>
        <w:spacing w:after="0" w:line="160" w:lineRule="exact"/>
        <w:rPr>
          <w:rFonts w:ascii="Times New Roman" w:cs="Times New Roman" w:eastAsia="Times New Roman" w:hAnsi="Times New Roman"/>
          <w:sz w:val="20"/>
          <w:szCs w:val="20"/>
          <w:color w:val="auto"/>
        </w:rPr>
      </w:pPr>
    </w:p>
    <w:p>
      <w:pPr>
        <w:ind w:left="380" w:firstLine="754"/>
        <w:spacing w:after="0" w:line="268" w:lineRule="auto"/>
        <w:tabs>
          <w:tab w:leader="none" w:pos="1428"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to each assignment shall execute and deliver to the Administrative Agent an Assignment and Assumption, together with a processing and recordation fee of $3,500 and the tax forms required by </w:t>
      </w:r>
      <w:r>
        <w:rPr>
          <w:rFonts w:ascii="Times New Roman" w:cs="Times New Roman" w:eastAsia="Times New Roman" w:hAnsi="Times New Roman"/>
          <w:sz w:val="20"/>
          <w:szCs w:val="20"/>
          <w:u w:val="single" w:color="auto"/>
          <w:color w:val="auto"/>
        </w:rPr>
        <w:t>Section 2.17(f)</w:t>
      </w:r>
      <w:r>
        <w:rPr>
          <w:rFonts w:ascii="Times New Roman" w:cs="Times New Roman" w:eastAsia="Times New Roman" w:hAnsi="Times New Roman"/>
          <w:sz w:val="20"/>
          <w:szCs w:val="20"/>
          <w:color w:val="auto"/>
        </w:rPr>
        <w:t>; and</w:t>
      </w:r>
    </w:p>
    <w:p>
      <w:pPr>
        <w:spacing w:after="0" w:line="161" w:lineRule="exact"/>
        <w:rPr>
          <w:sz w:val="20"/>
          <w:szCs w:val="20"/>
          <w:color w:val="auto"/>
        </w:rPr>
      </w:pPr>
    </w:p>
    <w:p>
      <w:pPr>
        <w:jc w:val="both"/>
        <w:ind w:left="380" w:firstLine="749"/>
        <w:spacing w:after="0" w:line="246" w:lineRule="auto"/>
        <w:rPr>
          <w:sz w:val="20"/>
          <w:szCs w:val="20"/>
          <w:color w:val="auto"/>
        </w:rPr>
      </w:pPr>
      <w:r>
        <w:rPr>
          <w:rFonts w:ascii="Times New Roman" w:cs="Times New Roman" w:eastAsia="Times New Roman" w:hAnsi="Times New Roman"/>
          <w:sz w:val="20"/>
          <w:szCs w:val="20"/>
          <w:color w:val="auto"/>
        </w:rPr>
        <w:t>(D)the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3" w:lineRule="exact"/>
        <w:rPr>
          <w:sz w:val="20"/>
          <w:szCs w:val="20"/>
          <w:color w:val="auto"/>
        </w:rPr>
      </w:pPr>
    </w:p>
    <w:p>
      <w:pPr>
        <w:jc w:val="both"/>
        <w:ind w:left="380" w:firstLine="5"/>
        <w:spacing w:after="0" w:line="242" w:lineRule="auto"/>
        <w:tabs>
          <w:tab w:leader="none" w:pos="919"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acceptance and recording thereof pursuant to </w:t>
      </w:r>
      <w:r>
        <w:rPr>
          <w:rFonts w:ascii="Times New Roman" w:cs="Times New Roman" w:eastAsia="Times New Roman" w:hAnsi="Times New Roman"/>
          <w:sz w:val="20"/>
          <w:szCs w:val="20"/>
          <w:u w:val="single" w:color="auto"/>
          <w:color w:val="auto"/>
        </w:rPr>
        <w:t>clause (b)(iv)</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from and after the effective date specified in each Assignment and Assumption (A) the assignee thereunder shall be a party hereto and, to the extent of the interest assigned by such Assignment and Assumption, have the rights and obligations of a Lender under this Agreement and (B)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(subject to the requirements and limitations therein including the requirements under Section 2.17(f))). Any assignment or transfer by a Lender of rights or obligations under this Agreement that does not comply with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jc w:val="both"/>
        <w:ind w:left="380" w:firstLine="5"/>
        <w:spacing w:after="0" w:line="245" w:lineRule="auto"/>
        <w:tabs>
          <w:tab w:leader="none" w:pos="919"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acting solely for this purpose as a non-fiduciary agent of the Borrower, shall maintain at one of its offices located in the United States a copy of each Assignment and Assumption delivered to it and a register for the recordation of the names and addresses of the Lenders, and the Commitment of, and principal amounts (and stated interest) of the Loans, LC Disbursements and other Obligations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Administrative</w:t>
      </w:r>
    </w:p>
    <w:p>
      <w:pPr>
        <w:spacing w:after="0" w:line="19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725805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201" w:name="page202"/>
    <w:bookmarkEnd w:id="201"/>
    <w:p>
      <w:pPr>
        <w:jc w:val="both"/>
        <w:ind w:left="1500" w:firstLine="539"/>
        <w:spacing w:after="0" w:line="249" w:lineRule="auto"/>
        <w:rPr>
          <w:sz w:val="20"/>
          <w:szCs w:val="20"/>
          <w:color w:val="auto"/>
        </w:rPr>
      </w:pPr>
      <w:r>
        <w:rPr>
          <w:rFonts w:ascii="Times New Roman" w:cs="Times New Roman" w:eastAsia="Times New Roman" w:hAnsi="Times New Roman"/>
          <w:sz w:val="20"/>
          <w:szCs w:val="20"/>
          <w:color w:val="auto"/>
        </w:rPr>
        <w:t>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Borrower, the Issuing Banks and any Lender, at any reasonable time and from time to time upon reasonable prior notice.</w:t>
      </w:r>
    </w:p>
    <w:p>
      <w:pPr>
        <w:spacing w:after="0" w:line="178" w:lineRule="exact"/>
        <w:rPr>
          <w:sz w:val="20"/>
          <w:szCs w:val="20"/>
          <w:color w:val="auto"/>
        </w:rPr>
      </w:pPr>
    </w:p>
    <w:p>
      <w:pPr>
        <w:jc w:val="both"/>
        <w:ind w:left="1500" w:firstLine="5"/>
        <w:spacing w:after="0" w:line="241" w:lineRule="auto"/>
        <w:tabs>
          <w:tab w:leader="none" w:pos="2039" w:val="left"/>
        </w:tabs>
        <w:numPr>
          <w:ilvl w:val="2"/>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its receipt of (x) a duly completed Assignment and Assumption executed by an assigning Lender (unless the execution thereof is not required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9.02(d)</w:t>
      </w:r>
      <w:r>
        <w:rPr>
          <w:rFonts w:ascii="Times New Roman" w:cs="Times New Roman" w:eastAsia="Times New Roman" w:hAnsi="Times New Roman"/>
          <w:sz w:val="20"/>
          <w:szCs w:val="20"/>
          <w:color w:val="auto"/>
        </w:rPr>
        <w:t xml:space="preserve">) and an assignee or (y) to the extent applicable, an agreement incorporating an Assignment and Assumption by reference pursuant to any applicable electronic platform as to which the Administrative Agent and the parties to the Assignment and Assumption are participants, the assignee’s completed Administrative Questionnaire (unless the assignee shall already be a Lender hereunder), the processing and recordation fee and tax forms referred to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and any written consent to such assignment required by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the Administrative Agent shall accept such Assignment and Assumption and record the information contained therein in the Register;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either the assigning Lender or the assignee shall have failed to make any payment required to be made by it pursuant to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2.06(d)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2.07(b)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9.03(c)</w:t>
      </w:r>
      <w:r>
        <w:rPr>
          <w:rFonts w:ascii="Times New Roman" w:cs="Times New Roman" w:eastAsia="Times New Roman" w:hAnsi="Times New Roman"/>
          <w:sz w:val="20"/>
          <w:szCs w:val="20"/>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93" w:lineRule="exact"/>
        <w:rPr>
          <w:rFonts w:ascii="Times New Roman" w:cs="Times New Roman" w:eastAsia="Times New Roman" w:hAnsi="Times New Roman"/>
          <w:sz w:val="20"/>
          <w:szCs w:val="20"/>
          <w:color w:val="auto"/>
        </w:rPr>
      </w:pPr>
    </w:p>
    <w:p>
      <w:pPr>
        <w:jc w:val="both"/>
        <w:ind w:firstLine="757"/>
        <w:spacing w:after="0"/>
        <w:tabs>
          <w:tab w:leader="none" w:pos="1018"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without the consent of the Borrower, the Administrative Agent, any Issuing Bank of the Swingline Lenders, sell participations to one or more banks or other entities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other than an Ineligible Institution in all or a portion of such Lender’s rights and obligations under this Agreement (including all or a portion of its Commitment and the Loans (including any Swingline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Lender’s obligations under this Agreement shall remain unchanged, (B) such Lender shall remain solely responsible to the other parties hereto for the performance of such obligations (C) the Borrower, the Administrative Agent, the Swingline Lenders, the Issuing Banks and the other Lenders shall continue to deal solely and directly with such Lender in connection with such Lender’s rights and obligations under this Agreement and (D) such Lender shall have provided the Borrower with prior written notice of any such participation.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20"/>
          <w:szCs w:val="20"/>
          <w:u w:val="single" w:color="auto"/>
          <w:color w:val="auto"/>
        </w:rPr>
        <w:t>Section 9.02(b)</w:t>
      </w:r>
      <w:r>
        <w:rPr>
          <w:rFonts w:ascii="Times New Roman" w:cs="Times New Roman" w:eastAsia="Times New Roman" w:hAnsi="Times New Roman"/>
          <w:sz w:val="20"/>
          <w:szCs w:val="20"/>
          <w:color w:val="auto"/>
        </w:rPr>
        <w:t xml:space="preserve"> that affects such Participant. The Borrower agrees that each Participant shall be entitled to the benefits of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(subject to the requirements and limitations therein, including the requirements under </w:t>
      </w:r>
      <w:r>
        <w:rPr>
          <w:rFonts w:ascii="Times New Roman" w:cs="Times New Roman" w:eastAsia="Times New Roman" w:hAnsi="Times New Roman"/>
          <w:sz w:val="20"/>
          <w:szCs w:val="20"/>
          <w:u w:val="single" w:color="auto"/>
          <w:color w:val="auto"/>
        </w:rPr>
        <w:t>Section 2.17(f)</w:t>
      </w:r>
      <w:r>
        <w:rPr>
          <w:rFonts w:ascii="Times New Roman" w:cs="Times New Roman" w:eastAsia="Times New Roman" w:hAnsi="Times New Roman"/>
          <w:sz w:val="20"/>
          <w:szCs w:val="20"/>
          <w:color w:val="auto"/>
        </w:rPr>
        <w:t xml:space="preserve"> (it being understood that the documentation required under </w:t>
      </w:r>
      <w:r>
        <w:rPr>
          <w:rFonts w:ascii="Times New Roman" w:cs="Times New Roman" w:eastAsia="Times New Roman" w:hAnsi="Times New Roman"/>
          <w:sz w:val="20"/>
          <w:szCs w:val="20"/>
          <w:u w:val="single" w:color="auto"/>
          <w:color w:val="auto"/>
        </w:rPr>
        <w:t>Section 2.17(f)</w:t>
      </w:r>
      <w:r>
        <w:rPr>
          <w:rFonts w:ascii="Times New Roman" w:cs="Times New Roman" w:eastAsia="Times New Roman" w:hAnsi="Times New Roman"/>
          <w:sz w:val="20"/>
          <w:szCs w:val="20"/>
          <w:color w:val="auto"/>
        </w:rPr>
        <w:t xml:space="preserve"> shall be delivered to the participating Lender)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clause</w:t>
      </w:r>
    </w:p>
    <w:p>
      <w:pPr>
        <w:spacing w:after="0" w:line="11" w:lineRule="exact"/>
        <w:rPr>
          <w:rFonts w:ascii="Times New Roman" w:cs="Times New Roman" w:eastAsia="Times New Roman" w:hAnsi="Times New Roman"/>
          <w:sz w:val="20"/>
          <w:szCs w:val="20"/>
          <w:color w:val="auto"/>
        </w:rPr>
      </w:pPr>
    </w:p>
    <w:p>
      <w:pPr>
        <w:jc w:val="both"/>
        <w:ind w:firstLine="8"/>
        <w:spacing w:after="0" w:line="251" w:lineRule="auto"/>
        <w:tabs>
          <w:tab w:leader="none" w:pos="280" w:val="left"/>
        </w:tabs>
        <w:numPr>
          <w:ilvl w:val="0"/>
          <w:numId w:val="20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of this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To the extent permitted by law, each Participant also shall be entitled to the benefits of </w:t>
      </w:r>
      <w:r>
        <w:rPr>
          <w:rFonts w:ascii="Times New Roman" w:cs="Times New Roman" w:eastAsia="Times New Roman" w:hAnsi="Times New Roman"/>
          <w:sz w:val="19"/>
          <w:szCs w:val="19"/>
          <w:u w:val="single" w:color="auto"/>
          <w:color w:val="auto"/>
        </w:rPr>
        <w:t>Section 9.08</w:t>
      </w:r>
      <w:r>
        <w:rPr>
          <w:rFonts w:ascii="Times New Roman" w:cs="Times New Roman" w:eastAsia="Times New Roman" w:hAnsi="Times New Roman"/>
          <w:sz w:val="19"/>
          <w:szCs w:val="19"/>
          <w:color w:val="auto"/>
        </w:rPr>
        <w:t xml:space="preserve"> as though it were a Lender, provided such Participant (1) agrees to be subject to the provisions of </w:t>
      </w:r>
      <w:r>
        <w:rPr>
          <w:rFonts w:ascii="Times New Roman" w:cs="Times New Roman" w:eastAsia="Times New Roman" w:hAnsi="Times New Roman"/>
          <w:sz w:val="19"/>
          <w:szCs w:val="19"/>
          <w:u w:val="single" w:color="auto"/>
          <w:color w:val="auto"/>
        </w:rPr>
        <w:t>Sections 2.18</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2.19</w:t>
      </w:r>
      <w:r>
        <w:rPr>
          <w:rFonts w:ascii="Times New Roman" w:cs="Times New Roman" w:eastAsia="Times New Roman" w:hAnsi="Times New Roman"/>
          <w:sz w:val="19"/>
          <w:szCs w:val="19"/>
          <w:color w:val="auto"/>
        </w:rPr>
        <w:t xml:space="preserve"> as if it were an assignee under </w:t>
      </w:r>
      <w:r>
        <w:rPr>
          <w:rFonts w:ascii="Times New Roman" w:cs="Times New Roman" w:eastAsia="Times New Roman" w:hAnsi="Times New Roman"/>
          <w:sz w:val="19"/>
          <w:szCs w:val="19"/>
          <w:u w:val="single" w:color="auto"/>
          <w:color w:val="auto"/>
        </w:rPr>
        <w:t>clause</w:t>
      </w:r>
    </w:p>
    <w:p>
      <w:pPr>
        <w:spacing w:after="0" w:line="1" w:lineRule="exact"/>
        <w:rPr>
          <w:rFonts w:ascii="Times New Roman" w:cs="Times New Roman" w:eastAsia="Times New Roman" w:hAnsi="Times New Roman"/>
          <w:sz w:val="19"/>
          <w:szCs w:val="19"/>
          <w:u w:val="single" w:color="auto"/>
          <w:color w:val="auto"/>
        </w:rPr>
      </w:pPr>
    </w:p>
    <w:p>
      <w:pPr>
        <w:jc w:val="both"/>
        <w:ind w:firstLine="8"/>
        <w:spacing w:after="0" w:line="242" w:lineRule="auto"/>
        <w:tabs>
          <w:tab w:leader="none" w:pos="316" w:val="left"/>
        </w:tabs>
        <w:numPr>
          <w:ilvl w:val="0"/>
          <w:numId w:val="20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of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and (2) shall not be entitled to receive any greater payment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2" w:name="page203"/>
    <w:bookmarkEnd w:id="202"/>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 xml:space="preserve">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9"/>
          <w:szCs w:val="19"/>
          <w:u w:val="single" w:color="auto"/>
          <w:color w:val="auto"/>
        </w:rPr>
        <w:t>Section 2.19(b)</w:t>
      </w:r>
      <w:r>
        <w:rPr>
          <w:rFonts w:ascii="Times New Roman" w:cs="Times New Roman" w:eastAsia="Times New Roman" w:hAnsi="Times New Roman"/>
          <w:sz w:val="19"/>
          <w:szCs w:val="19"/>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9"/>
          <w:szCs w:val="19"/>
          <w:u w:val="single" w:color="auto"/>
          <w:color w:val="auto"/>
        </w:rPr>
        <w:t>Section 9.08</w:t>
      </w:r>
      <w:r>
        <w:rPr>
          <w:rFonts w:ascii="Times New Roman" w:cs="Times New Roman" w:eastAsia="Times New Roman" w:hAnsi="Times New Roman"/>
          <w:sz w:val="19"/>
          <w:szCs w:val="19"/>
          <w:color w:val="auto"/>
        </w:rPr>
        <w:t xml:space="preserve"> as though it were a Lender, provided such Participant agrees to be subject to </w:t>
      </w:r>
      <w:r>
        <w:rPr>
          <w:rFonts w:ascii="Times New Roman" w:cs="Times New Roman" w:eastAsia="Times New Roman" w:hAnsi="Times New Roman"/>
          <w:sz w:val="19"/>
          <w:szCs w:val="19"/>
          <w:u w:val="single" w:color="auto"/>
          <w:color w:val="auto"/>
        </w:rPr>
        <w:t>Section 2.18(d)</w:t>
      </w:r>
      <w:r>
        <w:rPr>
          <w:rFonts w:ascii="Times New Roman" w:cs="Times New Roman" w:eastAsia="Times New Roman" w:hAnsi="Times New Roman"/>
          <w:sz w:val="19"/>
          <w:szCs w:val="19"/>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LC Disbursements or other Obligations under this Agreement or any other Loan Document (the “</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(other than the Borrower to the extent required in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color w:val="auto"/>
        </w:rPr>
        <w:t xml:space="preserve"> of the proviso to </w:t>
      </w:r>
      <w:r>
        <w:rPr>
          <w:rFonts w:ascii="Times New Roman" w:cs="Times New Roman" w:eastAsia="Times New Roman" w:hAnsi="Times New Roman"/>
          <w:sz w:val="19"/>
          <w:szCs w:val="19"/>
          <w:u w:val="single" w:color="auto"/>
          <w:color w:val="auto"/>
        </w:rPr>
        <w:t>clause</w:t>
      </w:r>
    </w:p>
    <w:p>
      <w:pPr>
        <w:spacing w:after="0" w:line="4" w:lineRule="exact"/>
        <w:rPr>
          <w:sz w:val="20"/>
          <w:szCs w:val="20"/>
          <w:color w:val="auto"/>
        </w:rPr>
      </w:pPr>
    </w:p>
    <w:p>
      <w:pPr>
        <w:jc w:val="both"/>
        <w:ind w:firstLine="8"/>
        <w:spacing w:after="0"/>
        <w:tabs>
          <w:tab w:leader="none" w:pos="270" w:val="left"/>
        </w:tabs>
        <w:numPr>
          <w:ilvl w:val="0"/>
          <w:numId w:val="2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above) except to the extent that such disclosure is necessary to establish that such Commitment, Loan, Letter of Credit or other Obligation is in registered form under Section 5f.103-1(c) or proposed Section 1.163-5(b)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9" w:lineRule="exact"/>
        <w:rPr>
          <w:rFonts w:ascii="Times New Roman" w:cs="Times New Roman" w:eastAsia="Times New Roman" w:hAnsi="Times New Roman"/>
          <w:sz w:val="20"/>
          <w:szCs w:val="20"/>
          <w:u w:val="single" w:color="auto"/>
          <w:color w:val="auto"/>
        </w:rPr>
      </w:pPr>
    </w:p>
    <w:p>
      <w:pPr>
        <w:jc w:val="both"/>
        <w:ind w:firstLine="757"/>
        <w:spacing w:after="0" w:line="266" w:lineRule="auto"/>
        <w:tabs>
          <w:tab w:leader="none" w:pos="1018" w:val="left"/>
        </w:tabs>
        <w:numPr>
          <w:ilvl w:val="1"/>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shall not apply to any such pledge or assignment of a security interest;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no such pledge or assignment of a security interest shall release a Lender from any of its obligations hereunder or substitute any such pledgee or assignee for such Lender as a party hereto.</w:t>
      </w:r>
    </w:p>
    <w:p>
      <w:pPr>
        <w:spacing w:after="0" w:line="16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SECTION 9.05</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All covenants, agreements, representations and warranties made by the Loan Parties in the Loan Documents and in the certificates or other instru 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 ing and unpaid or any Letter of Credit is outstanding and so long as the Commitments have not expired or terminated. The provisions of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9.06</w:t>
      </w:r>
      <w:r>
        <w:rPr>
          <w:rFonts w:ascii="Times New Roman" w:cs="Times New Roman" w:eastAsia="Times New Roman" w:hAnsi="Times New Roman"/>
          <w:sz w:val="20"/>
          <w:szCs w:val="20"/>
          <w:u w:val="single" w:color="auto"/>
          <w:color w:val="auto"/>
        </w:rPr>
        <w:t>Counterparts; Integration; Effectiveness; Electronic Execution</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5" w:lineRule="auto"/>
        <w:tabs>
          <w:tab w:leader="none" w:pos="1018"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this Agreement shall become effective when it shall have been executed by the Administrative Agent and when the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3" w:name="page204"/>
    <w:bookmarkEnd w:id="203"/>
    <w:p>
      <w:pPr>
        <w:ind w:right="20"/>
        <w:spacing w:after="0" w:line="268" w:lineRule="auto"/>
        <w:rPr>
          <w:sz w:val="20"/>
          <w:szCs w:val="20"/>
          <w:color w:val="auto"/>
        </w:rPr>
      </w:pPr>
      <w:r>
        <w:rPr>
          <w:rFonts w:ascii="Times New Roman" w:cs="Times New Roman" w:eastAsia="Times New Roman" w:hAnsi="Times New Roman"/>
          <w:sz w:val="20"/>
          <w:szCs w:val="20"/>
          <w:color w:val="auto"/>
        </w:rPr>
        <w:t>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61" w:lineRule="exact"/>
        <w:rPr>
          <w:sz w:val="20"/>
          <w:szCs w:val="20"/>
          <w:color w:val="auto"/>
        </w:rPr>
      </w:pPr>
    </w:p>
    <w:p>
      <w:pPr>
        <w:jc w:val="both"/>
        <w:ind w:firstLine="757"/>
        <w:spacing w:after="0" w:line="243" w:lineRule="auto"/>
        <w:tabs>
          <w:tab w:leader="none" w:pos="1018"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SECTION 9.07</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78"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SECTION 9.08</w:t>
      </w:r>
      <w:r>
        <w:rPr>
          <w:rFonts w:ascii="Times New Roman" w:cs="Times New Roman" w:eastAsia="Times New Roman" w:hAnsi="Times New Roman"/>
          <w:sz w:val="20"/>
          <w:szCs w:val="20"/>
          <w:u w:val="single" w:color="auto"/>
          <w:color w:val="auto"/>
        </w:rPr>
        <w:t>Right of Setoff</w:t>
      </w:r>
      <w:r>
        <w:rPr>
          <w:rFonts w:ascii="Times New Roman" w:cs="Times New Roman" w:eastAsia="Times New Roman" w:hAnsi="Times New Roman"/>
          <w:sz w:val="20"/>
          <w:szCs w:val="20"/>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or such Loan Guarantor against any of and all the Secured Obligations held by such Lender, irrespective of whether or not such Lender shall have made any demand under the Loan Documents and although such obligations may be unmatured. The applicable Lender shall notify the Borrower and the Administrative Agent of such setoff or 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failure to give or any delay in giving such notice shall not affect the validity of any such setoff or application under this </w:t>
      </w:r>
      <w:r>
        <w:rPr>
          <w:rFonts w:ascii="Times New Roman" w:cs="Times New Roman" w:eastAsia="Times New Roman" w:hAnsi="Times New Roman"/>
          <w:sz w:val="20"/>
          <w:szCs w:val="20"/>
          <w:u w:val="single" w:color="auto"/>
          <w:color w:val="auto"/>
        </w:rPr>
        <w:t>Section 9.08</w:t>
      </w:r>
      <w:r>
        <w:rPr>
          <w:rFonts w:ascii="Times New Roman" w:cs="Times New Roman" w:eastAsia="Times New Roman" w:hAnsi="Times New Roman"/>
          <w:sz w:val="20"/>
          <w:szCs w:val="20"/>
          <w:color w:val="auto"/>
        </w:rPr>
        <w:t xml:space="preserve">. The rights of each Lender under this </w:t>
      </w:r>
      <w:r>
        <w:rPr>
          <w:rFonts w:ascii="Times New Roman" w:cs="Times New Roman" w:eastAsia="Times New Roman" w:hAnsi="Times New Roman"/>
          <w:sz w:val="20"/>
          <w:szCs w:val="20"/>
          <w:u w:val="single" w:color="auto"/>
          <w:color w:val="auto"/>
        </w:rPr>
        <w:t>Section 9.08</w:t>
      </w:r>
      <w:r>
        <w:rPr>
          <w:rFonts w:ascii="Times New Roman" w:cs="Times New Roman" w:eastAsia="Times New Roman" w:hAnsi="Times New Roman"/>
          <w:sz w:val="20"/>
          <w:szCs w:val="20"/>
          <w:color w:val="auto"/>
        </w:rPr>
        <w:t xml:space="preserve"> are in addition to other rights and remedies (including other rights of setoff) which such Lender may have.</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9.09</w:t>
      </w:r>
      <w:r>
        <w:rPr>
          <w:rFonts w:ascii="Times New Roman" w:cs="Times New Roman" w:eastAsia="Times New Roman" w:hAnsi="Times New Roman"/>
          <w:sz w:val="20"/>
          <w:szCs w:val="20"/>
          <w:u w:val="single" w:color="auto"/>
          <w:color w:val="auto"/>
        </w:rPr>
        <w:t>Governing Law; Jurisdiction; Consent to Service of Process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right="20" w:firstLine="757"/>
        <w:spacing w:after="0" w:line="268" w:lineRule="auto"/>
        <w:tabs>
          <w:tab w:leader="none" w:pos="1018"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Documents (other than those containing a contrary express choice of law provision) shall be governed by and construed in accordance with the laws of the State of New York.</w:t>
      </w:r>
    </w:p>
    <w:p>
      <w:pPr>
        <w:spacing w:after="0" w:line="160" w:lineRule="exact"/>
        <w:rPr>
          <w:rFonts w:ascii="Times New Roman" w:cs="Times New Roman" w:eastAsia="Times New Roman" w:hAnsi="Times New Roman"/>
          <w:sz w:val="20"/>
          <w:szCs w:val="20"/>
          <w:color w:val="auto"/>
        </w:rPr>
      </w:pPr>
    </w:p>
    <w:p>
      <w:pPr>
        <w:jc w:val="both"/>
        <w:ind w:firstLine="757"/>
        <w:spacing w:after="0" w:line="257" w:lineRule="auto"/>
        <w:tabs>
          <w:tab w:leader="none" w:pos="1018"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Party hereby irrevocably and unconditionally submits, for itself and its property, to the exclusive jurisdiction of any U.S. Federal or New York State court sitting in New York, New York in any action or proceeding arising out of or relating to any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Each party hereto agrees that the Administrative Agent and the Secured Parties retain the right to bring proceedings against any Loan Party in the courts of any other jurisdiction solely in connection with the exercise of any rights under any Collateral Document. Nothing in this Agreement or any other Loan Document shall affect any right that the Administrative Agent, any Issuing Bank or any Lender may otherwise have to bring any action or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9"/>
          <w:szCs w:val="19"/>
          <w:color w:val="auto"/>
        </w:rPr>
        <w:t>proceeding relating to this Agreement or any other Loan Document against any Loan Party or its proper  ties in the courts of any jurisdiction.</w:t>
      </w:r>
    </w:p>
    <w:p>
      <w:pPr>
        <w:spacing w:after="0" w:line="226" w:lineRule="exact"/>
        <w:rPr>
          <w:sz w:val="20"/>
          <w:szCs w:val="20"/>
          <w:color w:val="auto"/>
        </w:rPr>
      </w:pPr>
    </w:p>
    <w:p>
      <w:pPr>
        <w:jc w:val="both"/>
        <w:ind w:firstLine="757"/>
        <w:spacing w:after="0" w:line="246" w:lineRule="auto"/>
        <w:tabs>
          <w:tab w:leader="none" w:pos="1018"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Loan Party hereby irrevocably and unconditionally waives, to the fullest extent it may legally and effectively do so, any objection which it may now or here 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9.09</w:t>
      </w:r>
      <w:r>
        <w:rPr>
          <w:rFonts w:ascii="Times New Roman" w:cs="Times New Roman" w:eastAsia="Times New Roman" w:hAnsi="Times New Roman"/>
          <w:sz w:val="20"/>
          <w:szCs w:val="20"/>
          <w:color w:val="auto"/>
        </w:rPr>
        <w:t>. Each of the parties hereto hereby irrevocably waives, to the fullest extent permitted by law, the defense of an inconvenient forum to the maintenance of such action or proceeding in any such court.</w:t>
      </w:r>
    </w:p>
    <w:p>
      <w:pPr>
        <w:spacing w:after="0" w:line="183"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to this Agreement irrevocably consents to service of process in the manner provided for notices in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Nothing in this Agreement or any other Loan Document will affect the right of any party to this Agreement to serve process in any other manner permitted by law.</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SECTION 9.10</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xml:space="preserve">.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SECTION 9.11</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SECTION 9.12</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xml:space="preserve">. Each of the Administrative Agent, the Issuing Banks and the Lenders agrees to maintain the confidentiality of the Information (as defined below), except that Information may be disclosed (a) to its and its Affiliates’ respective officers, directors, employees, legal counsel, independent auditors and other experts or agents who need to know such information in connection with the transactions contemplated hereby and are informed of the confidential nature of such information, (b) upon the request or demand of any regulatory authority having jurisdiction over it or any of its Affiliates (in which case (except with respect to any audit or examination conducted by bank accountants or any bank or other regulatory authority exercising examination or regulatory authority), it, to the extent practicable and permitted by law, rule or regulation, agrees to inform the Borrower promptly thereof), (c) pursuant to the order of any court or administrative agency, in any pending legal, judicial or administrative proceeding or as otherwise required by applicable law or regulation or as requested by a governmental authority (in which case (except with respect to any audit or examination conducted by bank accountants or any bank or other regulatory authority exercising examination or regulatory authority), it, to the extent practicable and permitted by law, rule or regulation, agrees to inform the Borrower promptly thereof),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xml:space="preserve"> or otherwise reasonably acceptable to the Borrower, to (i) any assignee of or Participant in, or any prospective assignee of or Participant in, any of its rights or obligations under this Agreement (and any of their respective advisors) or (ii) any actual or prospective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5" w:name="page206"/>
    <w:bookmarkEnd w:id="205"/>
    <w:p>
      <w:pPr>
        <w:jc w:val="both"/>
        <w:spacing w:after="0"/>
        <w:rPr>
          <w:sz w:val="20"/>
          <w:szCs w:val="20"/>
          <w:color w:val="auto"/>
        </w:rPr>
      </w:pPr>
      <w:r>
        <w:rPr>
          <w:rFonts w:ascii="Times New Roman" w:cs="Times New Roman" w:eastAsia="Times New Roman" w:hAnsi="Times New Roman"/>
          <w:sz w:val="20"/>
          <w:szCs w:val="20"/>
          <w:color w:val="auto"/>
        </w:rPr>
        <w:t xml:space="preserve">counterparty (or its advisors) to any swap or derivative transaction relating to the Loan Parties and their obligations, (g) with the consent of the Borrower, (h) [reserved], (i) to the extent that such information is independently developed by it or its Affiliates, in each case, so long as not based on information obtained in a manner that would otherwise violate this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xml:space="preserve">, (j) for purposes of establishing a “due diligence” defense, (k) to ratings agencies or (l) to the extent such Information (i) becomes publicly available other than as a result of a breach of this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xml:space="preserve">, or (ii) becomes available to the Administrative Agent, any Issuing Bank or any Lender on a non-confidential basis from a source other than the Borrower. In addition, the Administrative Agent, the Lenders, and any of their respective Related Parties, may (A) disclose the existence of this Agreement and information about this Agreement to market data collectors, similar service providers to the lending industry and service providers to the Administrative Agent or the Lenders in connection with the administration of this Agreement, the other Loan Documents, and the Commitments; and (B) use any information (not constituting Information subject to the foregoing confidentiality restrictions) related to the syndication and arrangement of the credit facilities contemplated by this Agreement in connection with marketing, press releases, or other transactional announcements or updates provided to investor or trade publications, including the placement of “tombstone” advertisements in publications of its choice at its own expense. For the purposes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9.12</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means all information received from the Borrower relating to the Borrower or their business, other than any such information that is available to the Administrative Agent, any Issuing Bank or any Lender on a non-confidential basis prior to disclosure by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19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EACH LENDER ACKNOWLEDGES THAT INFORMATION AS DEFINED IN </w:t>
      </w:r>
      <w:r>
        <w:rPr>
          <w:rFonts w:ascii="Times New Roman" w:cs="Times New Roman" w:eastAsia="Times New Roman" w:hAnsi="Times New Roman"/>
          <w:sz w:val="20"/>
          <w:szCs w:val="20"/>
          <w:b w:val="1"/>
          <w:bCs w:val="1"/>
          <w:u w:val="single" w:color="auto"/>
          <w:color w:val="auto"/>
        </w:rPr>
        <w:t>SECTION 9.12</w:t>
      </w:r>
      <w:r>
        <w:rPr>
          <w:rFonts w:ascii="Times New Roman" w:cs="Times New Roman" w:eastAsia="Times New Roman" w:hAnsi="Times New Roman"/>
          <w:sz w:val="20"/>
          <w:szCs w:val="20"/>
          <w:b w:val="1"/>
          <w:bCs w:val="1"/>
          <w:color w:val="auto"/>
        </w:rPr>
        <w:t xml:space="preserve"> FURNISHED TO IT PURSUANT TO THIS AGREEMENT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8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SECTION 9.13</w:t>
      </w:r>
      <w:r>
        <w:rPr>
          <w:rFonts w:ascii="Times New Roman" w:cs="Times New Roman" w:eastAsia="Times New Roman" w:hAnsi="Times New Roman"/>
          <w:sz w:val="20"/>
          <w:szCs w:val="20"/>
          <w:u w:val="single" w:color="auto"/>
          <w:color w:val="auto"/>
        </w:rPr>
        <w:t>Several Obligations; Nonreliance; Violation of Law</w:t>
      </w:r>
      <w:r>
        <w:rPr>
          <w:rFonts w:ascii="Times New Roman" w:cs="Times New Roman" w:eastAsia="Times New Roman" w:hAnsi="Times New Roman"/>
          <w:sz w:val="20"/>
          <w:szCs w:val="20"/>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6" w:name="page207"/>
    <w:bookmarkEnd w:id="206"/>
    <w:p>
      <w:pPr>
        <w:jc w:val="both"/>
        <w:spacing w:after="0" w:line="268" w:lineRule="auto"/>
        <w:rPr>
          <w:sz w:val="20"/>
          <w:szCs w:val="20"/>
          <w:color w:val="auto"/>
        </w:rPr>
      </w:pPr>
      <w:r>
        <w:rPr>
          <w:rFonts w:ascii="Times New Roman" w:cs="Times New Roman" w:eastAsia="Times New Roman" w:hAnsi="Times New Roman"/>
          <w:sz w:val="20"/>
          <w:szCs w:val="20"/>
          <w:color w:val="auto"/>
        </w:rPr>
        <w:t>in this Agreement to the contrary notwithstanding, no Issuing Bank nor any Lender shall be obligated to extend credit to the Borrower in violation of any Requirement of Law.</w:t>
      </w:r>
    </w:p>
    <w:p>
      <w:pPr>
        <w:spacing w:after="0" w:line="16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9.14 </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spacing w:after="0" w:line="17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SECTION 9.15</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w:t>
      </w:r>
    </w:p>
    <w:p>
      <w:pPr>
        <w:spacing w:after="0" w:line="17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SECTION 9.16 </w:t>
      </w:r>
      <w:r>
        <w:rPr>
          <w:rFonts w:ascii="Times New Roman" w:cs="Times New Roman" w:eastAsia="Times New Roman" w:hAnsi="Times New Roman"/>
          <w:sz w:val="20"/>
          <w:szCs w:val="20"/>
          <w:u w:val="single" w:color="auto"/>
          <w:color w:val="auto"/>
        </w:rPr>
        <w:t>Appointment for Perfection</w:t>
      </w:r>
      <w:r>
        <w:rPr>
          <w:rFonts w:ascii="Times New Roman" w:cs="Times New Roman" w:eastAsia="Times New Roman" w:hAnsi="Times New Roman"/>
          <w:sz w:val="20"/>
          <w:szCs w:val="20"/>
          <w:color w:val="auto"/>
        </w:rPr>
        <w:t>. Each Lender hereby appoints each other Lender as its agent for the purpose of perfecting Liens, for the benefit of the Administrative Agent and the other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8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SECTION 9.17</w:t>
      </w:r>
      <w:r>
        <w:rPr>
          <w:rFonts w:ascii="Times New Roman" w:cs="Times New Roman" w:eastAsia="Times New Roman" w:hAnsi="Times New Roman"/>
          <w:sz w:val="20"/>
          <w:szCs w:val="20"/>
          <w:u w:val="single" w:color="auto"/>
          <w:color w:val="auto"/>
        </w:rPr>
        <w:t>Interest Rate Limitation</w:t>
      </w:r>
      <w:r>
        <w:rPr>
          <w:rFonts w:ascii="Times New Roman" w:cs="Times New Roman" w:eastAsia="Times New Roman" w:hAnsi="Times New Roman"/>
          <w:sz w:val="20"/>
          <w:szCs w:val="20"/>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shall exceed the maximum lawful rate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xml:space="preserv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 xml:space="preserve">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9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SECTION 9.18</w:t>
      </w:r>
      <w:r>
        <w:rPr>
          <w:rFonts w:ascii="Times New Roman" w:cs="Times New Roman" w:eastAsia="Times New Roman" w:hAnsi="Times New Roman"/>
          <w:sz w:val="20"/>
          <w:szCs w:val="20"/>
          <w:u w:val="single" w:color="auto"/>
          <w:color w:val="auto"/>
        </w:rPr>
        <w:t>No Advisory or Fiduciary Responsibility</w:t>
      </w:r>
      <w:r>
        <w:rPr>
          <w:rFonts w:ascii="Times New Roman" w:cs="Times New Roman" w:eastAsia="Times New Roman" w:hAnsi="Times New Roman"/>
          <w:sz w:val="20"/>
          <w:szCs w:val="20"/>
          <w:color w:val="auto"/>
        </w:rPr>
        <w:t>. In connection with all aspects of each transaction contemplated hereby (including in connection with any amendment, waiver or other modification hereof or of any other Loan Document), the Borrower acknowledges and agrees that: (i) (A) the arranging and other services regarding this Agreement provided by the Lenders are arm’s-length commercial transactions between the Borrower and its Affiliates, on the one hand, and the Lenders and their Affiliates,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each of the Lenders and their Affiliates is and has been acting solely as a principal and, except as expressly agreed in writing by the relevant parties, has not been, is not, and will not be acting as an advisor, agent or fiduciary for the Borrower or any of its Affiliates, or any other Person and (B) no Lender or any of its Affiliates has any obligation to the Borrower or any of its Affiliates with respect to the transactions contemplated hereby except, in the case of a Lender, those obligations expressly set forth herein and in the other Loan Documents; and (iii) each of the Lenders and their respective Affiliates may be engaged in a broad range of transactions that involve interests that differ from those of the Borrower and its Affiliates, and no Lender or any of its Affiliates has any obligation to disclose any of such interests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7" w:name="page208"/>
    <w:bookmarkEnd w:id="207"/>
    <w:p>
      <w:pPr>
        <w:jc w:val="both"/>
        <w:spacing w:after="0" w:line="253" w:lineRule="auto"/>
        <w:rPr>
          <w:sz w:val="20"/>
          <w:szCs w:val="20"/>
          <w:color w:val="auto"/>
        </w:rPr>
      </w:pPr>
      <w:r>
        <w:rPr>
          <w:rFonts w:ascii="Times New Roman" w:cs="Times New Roman" w:eastAsia="Times New Roman" w:hAnsi="Times New Roman"/>
          <w:sz w:val="20"/>
          <w:szCs w:val="20"/>
          <w:color w:val="auto"/>
        </w:rPr>
        <w:t>to the Borrower or its Affiliates. To the fullest extent permitted by law, the Borrower hereby waives and releases any claims that it may have against each of the Lenders and their Affiliates with respect to any breach or alleged breach of agency or fiduciary duty in connection with any aspect of any transaction contemplated hereby.</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SECTION 9.19</w:t>
      </w:r>
      <w:r>
        <w:rPr>
          <w:rFonts w:ascii="Times New Roman" w:cs="Times New Roman" w:eastAsia="Times New Roman" w:hAnsi="Times New Roman"/>
          <w:sz w:val="20"/>
          <w:szCs w:val="20"/>
          <w:u w:val="single" w:color="auto"/>
          <w:color w:val="auto"/>
        </w:rPr>
        <w:t>Acknowledgement and Consent to Bail-In of Affected Financial Institutions</w:t>
      </w:r>
      <w:r>
        <w:rPr>
          <w:rFonts w:ascii="Times New Roman" w:cs="Times New Roman" w:eastAsia="Times New Roman" w:hAnsi="Times New Roman"/>
          <w:sz w:val="20"/>
          <w:szCs w:val="20"/>
          <w:color w:val="auto"/>
        </w:rPr>
        <w:t>.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(all such liabilities, the “</w:t>
      </w:r>
      <w:r>
        <w:rPr>
          <w:rFonts w:ascii="Times New Roman" w:cs="Times New Roman" w:eastAsia="Times New Roman" w:hAnsi="Times New Roman"/>
          <w:sz w:val="20"/>
          <w:szCs w:val="20"/>
          <w:u w:val="single" w:color="auto"/>
          <w:color w:val="auto"/>
        </w:rPr>
        <w:t>Covered Liabilities</w:t>
      </w:r>
      <w:r>
        <w:rPr>
          <w:rFonts w:ascii="Times New Roman" w:cs="Times New Roman" w:eastAsia="Times New Roman" w:hAnsi="Times New Roman"/>
          <w:sz w:val="20"/>
          <w:szCs w:val="20"/>
          <w:color w:val="auto"/>
        </w:rPr>
        <w:t>”), may be subject to the Write-Down and Conversion Powers of the applicable Resolution Authority and agrees and consents to, and acknowledges and agrees to be bound by:</w:t>
      </w:r>
    </w:p>
    <w:p>
      <w:pPr>
        <w:spacing w:after="0" w:line="183" w:lineRule="exact"/>
        <w:rPr>
          <w:sz w:val="20"/>
          <w:szCs w:val="20"/>
          <w:color w:val="auto"/>
        </w:rPr>
      </w:pPr>
    </w:p>
    <w:p>
      <w:pPr>
        <w:ind w:firstLine="757"/>
        <w:spacing w:after="0" w:line="268" w:lineRule="auto"/>
        <w:tabs>
          <w:tab w:leader="none" w:pos="1018"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Covered Liability arising hereunder which may be payable to it by any Lender that is an Affected Financial Institution; and</w:t>
      </w:r>
    </w:p>
    <w:p>
      <w:pPr>
        <w:spacing w:after="0" w:line="16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Covered Liability, including, if applicable:</w:t>
      </w:r>
    </w:p>
    <w:p>
      <w:pPr>
        <w:spacing w:after="0" w:line="214" w:lineRule="exact"/>
        <w:rPr>
          <w:rFonts w:ascii="Times New Roman" w:cs="Times New Roman" w:eastAsia="Times New Roman" w:hAnsi="Times New Roman"/>
          <w:sz w:val="20"/>
          <w:szCs w:val="20"/>
          <w:color w:val="auto"/>
        </w:rPr>
      </w:pPr>
    </w:p>
    <w:p>
      <w:pPr>
        <w:ind w:left="3580" w:hanging="577"/>
        <w:spacing w:after="0"/>
        <w:tabs>
          <w:tab w:leader="none" w:pos="3580"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Covered Liability;</w:t>
      </w:r>
    </w:p>
    <w:p>
      <w:pPr>
        <w:spacing w:after="0" w:line="214" w:lineRule="exact"/>
        <w:rPr>
          <w:rFonts w:ascii="Times New Roman" w:cs="Times New Roman" w:eastAsia="Times New Roman" w:hAnsi="Times New Roman"/>
          <w:sz w:val="20"/>
          <w:szCs w:val="20"/>
          <w:color w:val="auto"/>
        </w:rPr>
      </w:pPr>
    </w:p>
    <w:p>
      <w:pPr>
        <w:jc w:val="both"/>
        <w:ind w:left="1500" w:firstLine="1503"/>
        <w:spacing w:after="0" w:line="249" w:lineRule="auto"/>
        <w:tabs>
          <w:tab w:leader="none" w:pos="3567"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Covered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Covered Liability under this Agreement or any other Loan Document; or</w:t>
      </w:r>
    </w:p>
    <w:p>
      <w:pPr>
        <w:spacing w:after="0" w:line="178" w:lineRule="exact"/>
        <w:rPr>
          <w:rFonts w:ascii="Times New Roman" w:cs="Times New Roman" w:eastAsia="Times New Roman" w:hAnsi="Times New Roman"/>
          <w:sz w:val="20"/>
          <w:szCs w:val="20"/>
          <w:color w:val="auto"/>
        </w:rPr>
      </w:pPr>
    </w:p>
    <w:p>
      <w:pPr>
        <w:ind w:left="1500" w:firstLine="1503"/>
        <w:spacing w:after="0" w:line="268" w:lineRule="auto"/>
        <w:tabs>
          <w:tab w:leader="none" w:pos="3567"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Covered Liability in connection with the exercise of the Write-Down and Conversion Powers of the applicable Resolution Authority.</w:t>
      </w:r>
    </w:p>
    <w:p>
      <w:pPr>
        <w:spacing w:after="0" w:line="161"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9"/>
          <w:szCs w:val="19"/>
          <w:color w:val="auto"/>
        </w:rPr>
        <w:t>SECTION 9.20</w:t>
      </w:r>
      <w:r>
        <w:rPr>
          <w:rFonts w:ascii="Times New Roman" w:cs="Times New Roman" w:eastAsia="Times New Roman" w:hAnsi="Times New Roman"/>
          <w:sz w:val="19"/>
          <w:szCs w:val="19"/>
          <w:u w:val="single" w:color="auto"/>
          <w:color w:val="auto"/>
        </w:rPr>
        <w:t>Acknowledgment Regarding any Supported QFCs</w:t>
      </w:r>
      <w:r>
        <w:rPr>
          <w:rFonts w:ascii="Times New Roman" w:cs="Times New Roman" w:eastAsia="Times New Roman" w:hAnsi="Times New Roman"/>
          <w:sz w:val="19"/>
          <w:szCs w:val="19"/>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19"/>
          <w:szCs w:val="19"/>
          <w:u w:val="single" w:color="auto"/>
          <w:color w:val="auto"/>
        </w:rPr>
        <w:t>QFC Credit Support</w:t>
      </w:r>
      <w:r>
        <w:rPr>
          <w:rFonts w:ascii="Times New Roman" w:cs="Times New Roman" w:eastAsia="Times New Roman" w:hAnsi="Times New Roman"/>
          <w:sz w:val="19"/>
          <w:szCs w:val="19"/>
          <w:color w:val="auto"/>
        </w:rPr>
        <w:t>” and each such QFC a “</w:t>
      </w:r>
      <w:r>
        <w:rPr>
          <w:rFonts w:ascii="Times New Roman" w:cs="Times New Roman" w:eastAsia="Times New Roman" w:hAnsi="Times New Roman"/>
          <w:sz w:val="19"/>
          <w:szCs w:val="19"/>
          <w:u w:val="single" w:color="auto"/>
          <w:color w:val="auto"/>
        </w:rPr>
        <w:t>Supported QFC</w:t>
      </w:r>
      <w:r>
        <w:rPr>
          <w:rFonts w:ascii="Times New Roman" w:cs="Times New Roman" w:eastAsia="Times New Roman" w:hAnsi="Times New Roman"/>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9"/>
          <w:szCs w:val="19"/>
          <w:u w:val="single" w:color="auto"/>
          <w:color w:val="auto"/>
        </w:rPr>
        <w:t>U.S. Special Resolution 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0" w:lineRule="exact"/>
        <w:rPr>
          <w:sz w:val="20"/>
          <w:szCs w:val="20"/>
          <w:color w:val="auto"/>
        </w:rPr>
      </w:pPr>
    </w:p>
    <w:p>
      <w:pPr>
        <w:jc w:val="both"/>
        <w:ind w:firstLine="757"/>
        <w:spacing w:after="0" w:line="246" w:lineRule="auto"/>
        <w:tabs>
          <w:tab w:leader="none" w:pos="1018"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20"/>
          <w:szCs w:val="20"/>
          <w:color w:val="auto"/>
        </w:rPr>
        <w:t>(and any such interest, obligation and rights in property) were governed by the laws of the United States or a state of the United States.</w:t>
      </w:r>
    </w:p>
    <w:p>
      <w:pPr>
        <w:spacing w:after="0" w:line="215" w:lineRule="exact"/>
        <w:rPr>
          <w:sz w:val="20"/>
          <w:szCs w:val="20"/>
          <w:color w:val="auto"/>
        </w:rPr>
      </w:pPr>
    </w:p>
    <w:p>
      <w:pPr>
        <w:jc w:val="both"/>
        <w:ind w:firstLine="757"/>
        <w:spacing w:after="0" w:line="246" w:lineRule="auto"/>
        <w:tabs>
          <w:tab w:leader="none" w:pos="1018"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pacing w:after="0" w:line="183"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SECTION 9.21</w:t>
      </w:r>
      <w:r>
        <w:rPr>
          <w:rFonts w:ascii="Times New Roman" w:cs="Times New Roman" w:eastAsia="Times New Roman" w:hAnsi="Times New Roman"/>
          <w:sz w:val="19"/>
          <w:szCs w:val="19"/>
          <w:u w:val="single" w:color="auto"/>
          <w:color w:val="auto"/>
        </w:rPr>
        <w:t>Amendment and Restatement of Existing Credit Agreement</w:t>
      </w:r>
      <w:r>
        <w:rPr>
          <w:rFonts w:ascii="Times New Roman" w:cs="Times New Roman" w:eastAsia="Times New Roman" w:hAnsi="Times New Roman"/>
          <w:sz w:val="19"/>
          <w:szCs w:val="19"/>
          <w:color w:val="auto"/>
        </w:rPr>
        <w:t xml:space="preserve">. The parties to this Agreement agree that, on the Effective Date, the terms and provisions of the Existing Credit Agreement shall be and hereby are amended, superseded and restated in their entirety by the terms and provisions of this Agreement. This Agreement is not intended to and shall not constitute a novation. All loans made and obligations incurred under the Existing Credit Agreement which are outstanding on the Effective Date shall continue as Loans and Secured Obligations under (and shall be governed by the terms of) this Agreement and the other Loan Documents. Without limiting the foregoing, upon the effectiveness hereof: (a) all references in the “Loan Documents” (as defined in the Existing Credit Agreement) to the “Administrative Agent,” the “Credit Agreement” and the “Loan Documents” shall be deemed to refer to the Administrative Agent, this Agreement and the Loan Documents, (b) all obligations constituting “Obligations” with any Lender or any Affiliate of any Lender which are outstanding on the Effective Date shall continue as Obligations under this Agreement and the other Loan Documents, (c) the liens and security interests in favor of the Administrative Agent for the benefit of the Secured Parties securing payment of the Secured Obligations (and all filings with any Governmental Authority in connection therewith) are in all respects continuing and in full force and effect with respect to all Secured Obligations, (d) the Administrative Agent shall, in consultation with the Borrower, make such reallocations, sales, assignments or other relevant actions in respect of each Lender’s credit and loan exposure under the Existing Credit Agreement as are necessary in the judgment of the Administrative Agent in order that each such Lender’s outstanding Revolving Credit Loans hereunder reflect such Lender’s ratable share of the outstanding Revolving Credit Loans on the Effective Date, (e) [reserved], (f) the Loan Parties hereby agree to compensate each Lender for any and all losses, costs and expenses incurred by such Lender in connection with the sale and assignment of any Term SOFR Loans and such reallocation described above, in each case, on the terms and in the manner set forth in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of the Existing Credit Agreement, and (g) each of the Loan Parties reaffirms the terms and conditions of the “Loan Documents” (as referred to and defined in the Existing Credit Agreement) executed by it, as modified and/or restated by the Loan Documents, and acknowledges and agrees that each “Loan Document” (as referred to and defined in the Existing Credit Agreement) executed by it, as modified and/or restated by the Loan Documents, remains in full force and effect and is hereby ratified, reaffirmed and confirmed.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X</w:t>
      </w: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u w:val="single" w:color="auto"/>
          <w:color w:val="auto"/>
        </w:rPr>
        <w:t>LOAN GUARANTY</w:t>
      </w:r>
    </w:p>
    <w:p>
      <w:pPr>
        <w:spacing w:after="0" w:line="21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19"/>
          <w:szCs w:val="19"/>
          <w:color w:val="auto"/>
        </w:rPr>
        <w:t>SECTION 10.01</w:t>
      </w:r>
      <w:r>
        <w:rPr>
          <w:rFonts w:ascii="Times New Roman" w:cs="Times New Roman" w:eastAsia="Times New Roman" w:hAnsi="Times New Roman"/>
          <w:sz w:val="19"/>
          <w:szCs w:val="19"/>
          <w:u w:val="single" w:color="auto"/>
          <w:color w:val="auto"/>
        </w:rPr>
        <w:t>Guaranty</w:t>
      </w:r>
      <w:r>
        <w:rPr>
          <w:rFonts w:ascii="Times New Roman" w:cs="Times New Roman" w:eastAsia="Times New Roman" w:hAnsi="Times New Roman"/>
          <w:sz w:val="19"/>
          <w:szCs w:val="19"/>
          <w:color w:val="auto"/>
        </w:rPr>
        <w:t>. Each Loan Guarantor (other than those that have delivered a separate guaranty with respect to the Guaranteed Obligations) hereby agrees that it is jointly and severally liable for, and, as a primary obligor and not merely as surety, absolutely, unconditionally and irrevocably guarantees to the Secured Parties, the prompt payment when due, whether at stated maturity, upon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9" w:name="page210"/>
    <w:bookmarkEnd w:id="209"/>
    <w:p>
      <w:pPr>
        <w:jc w:val="both"/>
        <w:spacing w:after="0" w:line="242" w:lineRule="auto"/>
        <w:rPr>
          <w:sz w:val="20"/>
          <w:szCs w:val="20"/>
          <w:color w:val="auto"/>
        </w:rPr>
      </w:pPr>
      <w:r>
        <w:rPr>
          <w:rFonts w:ascii="Times New Roman" w:cs="Times New Roman" w:eastAsia="Times New Roman" w:hAnsi="Times New Roman"/>
          <w:sz w:val="20"/>
          <w:szCs w:val="20"/>
          <w:color w:val="auto"/>
        </w:rPr>
        <w:t>acceleration or otherwise, and at all times thereafter, of the Secured Obligations and all costs and expenses including, without limitation, all court costs and attorneys’ and paralegals’ fees and expenses paid or incurred by the Administrative Agent, the Issuing Banks and the Lenders in endeavoring to collect all or any part of the Secured Obligations from, or in prosecuting any action against, the Borrower, any Loan Guarantor or any other guarantor of all or any part of the Secured Obligations (such costs and expenses, together with the Secured Obligations, collectively the “</w:t>
      </w:r>
      <w:r>
        <w:rPr>
          <w:rFonts w:ascii="Times New Roman" w:cs="Times New Roman" w:eastAsia="Times New Roman" w:hAnsi="Times New Roman"/>
          <w:sz w:val="20"/>
          <w:szCs w:val="20"/>
          <w:u w:val="single" w:color="auto"/>
          <w:color w:val="auto"/>
        </w:rPr>
        <w:t>Guaranteed Obligations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spacing w:after="0" w:line="18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SECTION 10.02</w:t>
      </w:r>
      <w:r>
        <w:rPr>
          <w:rFonts w:ascii="Times New Roman" w:cs="Times New Roman" w:eastAsia="Times New Roman" w:hAnsi="Times New Roman"/>
          <w:sz w:val="20"/>
          <w:szCs w:val="20"/>
          <w:u w:val="single" w:color="auto"/>
          <w:color w:val="auto"/>
        </w:rPr>
        <w:t>Guaranty of Payment</w:t>
      </w:r>
      <w:r>
        <w:rPr>
          <w:rFonts w:ascii="Times New Roman" w:cs="Times New Roman" w:eastAsia="Times New Roman" w:hAnsi="Times New Roman"/>
          <w:sz w:val="20"/>
          <w:szCs w:val="20"/>
          <w:color w:val="auto"/>
        </w:rPr>
        <w:t>. This Loan Guaranty is a guaranty of payment and not of collection. Each Loan Guarantor waives any right to require the Administrative Agent, any Issuing Bank or any Lender to sue the Borrower, any Loan Guarantor, any other guarantor, or any other Person obligated for all or any part of the Guaranteed Obligations (each, an “</w:t>
      </w:r>
      <w:r>
        <w:rPr>
          <w:rFonts w:ascii="Times New Roman" w:cs="Times New Roman" w:eastAsia="Times New Roman" w:hAnsi="Times New Roman"/>
          <w:sz w:val="20"/>
          <w:szCs w:val="20"/>
          <w:u w:val="single" w:color="auto"/>
          <w:color w:val="auto"/>
        </w:rPr>
        <w:t>Obligated Party</w:t>
      </w:r>
      <w:r>
        <w:rPr>
          <w:rFonts w:ascii="Times New Roman" w:cs="Times New Roman" w:eastAsia="Times New Roman" w:hAnsi="Times New Roman"/>
          <w:sz w:val="20"/>
          <w:szCs w:val="20"/>
          <w:color w:val="auto"/>
        </w:rPr>
        <w:t>”), or otherwise to enforce its payment against any collateral securing all or any part of the Guaranteed Obligations.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10.03</w:t>
      </w:r>
      <w:r>
        <w:rPr>
          <w:rFonts w:ascii="Times New Roman" w:cs="Times New Roman" w:eastAsia="Times New Roman" w:hAnsi="Times New Roman"/>
          <w:sz w:val="20"/>
          <w:szCs w:val="20"/>
          <w:u w:val="single" w:color="auto"/>
          <w:color w:val="auto"/>
        </w:rPr>
        <w:t>No Discharge or Diminishment of Loan Guaranty</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59" w:lineRule="auto"/>
        <w:tabs>
          <w:tab w:leader="none" w:pos="1018" w:val="left"/>
        </w:tabs>
        <w:numPr>
          <w:ilvl w:val="1"/>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provided for herein, to the fullest extent permitted by applicable law, the obligations of each Loan Guarantor hereunder are unconditional and absolute and not subject to any reduction, limitation, impairment or termination for any reason (other than Payment in Full), and the cash collateralization of all Unliquidated Obligations in a manner satisfactory to each affected Lender), including:</w:t>
      </w:r>
    </w:p>
    <w:p>
      <w:pPr>
        <w:spacing w:after="0" w:line="2" w:lineRule="exact"/>
        <w:rPr>
          <w:rFonts w:ascii="Times New Roman" w:cs="Times New Roman" w:eastAsia="Times New Roman" w:hAnsi="Times New Roman"/>
          <w:sz w:val="19"/>
          <w:szCs w:val="19"/>
          <w:color w:val="auto"/>
        </w:rPr>
      </w:pPr>
    </w:p>
    <w:p>
      <w:pPr>
        <w:jc w:val="both"/>
        <w:ind w:firstLine="8"/>
        <w:spacing w:after="0"/>
        <w:tabs>
          <w:tab w:leader="none" w:pos="237"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of waiver, release, extension, renewal, settlement, surrender, alteration, or compromise of any of the Guaranteed Obligations, by operation of law or otherwise; (ii) any change in the corporate existence, structure or ownership of the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any Issuing Bank, any Lender, or any other Person, whether in connection herewith or in any unrelated transactions.</w:t>
      </w:r>
    </w:p>
    <w:p>
      <w:pPr>
        <w:spacing w:after="0" w:line="18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fullest extent permitted by applicable law, 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78"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Further, to the fullest extent permitted by applicable law, the obligations of any Loan Guarantor hereunder are not discharged or impaired or otherwise affected by: (i) the failure of the Administrative Agent, any Issuing Bank or any Lender to assert any claim or demand or to enforce any remedy with respect to all or any part of the Guaranteed Obligations; (ii) any waiver or modification of or supplement to any provision of any agreement relating to the Guaranteed Obligations (including, without limitation, any Conforming Changes or any other modifications or other amendments delivered or otherwise implemented or effected (automatically or otherwise) in accordance with or in furtherance of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(iii) any release, non-perfection, or invalidity of any indirect or direct security for the obligations of the Borrower for all or any part of the Guaranteed Obligations or any obligations of any other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10" w:name="page211"/>
    <w:bookmarkEnd w:id="210"/>
    <w:p>
      <w:pPr>
        <w:jc w:val="both"/>
        <w:spacing w:after="0" w:line="246" w:lineRule="auto"/>
        <w:rPr>
          <w:sz w:val="20"/>
          <w:szCs w:val="20"/>
          <w:color w:val="auto"/>
        </w:rPr>
      </w:pPr>
      <w:r>
        <w:rPr>
          <w:rFonts w:ascii="Times New Roman" w:cs="Times New Roman" w:eastAsia="Times New Roman" w:hAnsi="Times New Roman"/>
          <w:sz w:val="20"/>
          <w:szCs w:val="20"/>
          <w:color w:val="auto"/>
        </w:rPr>
        <w:t>Obligated Party liable for any of the Guaranteed Obligations; (iv) any action or failure to act by the Administrative Agent, any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Payment in Full).</w:t>
      </w:r>
    </w:p>
    <w:p>
      <w:pPr>
        <w:spacing w:after="0" w:line="18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SECTION 10.04</w:t>
      </w:r>
      <w:r>
        <w:rPr>
          <w:rFonts w:ascii="Times New Roman" w:cs="Times New Roman" w:eastAsia="Times New Roman" w:hAnsi="Times New Roman"/>
          <w:sz w:val="20"/>
          <w:szCs w:val="20"/>
          <w:u w:val="single" w:color="auto"/>
          <w:color w:val="auto"/>
        </w:rPr>
        <w:t>Defenses Waived</w:t>
      </w:r>
      <w:r>
        <w:rPr>
          <w:rFonts w:ascii="Times New Roman" w:cs="Times New Roman" w:eastAsia="Times New Roman" w:hAnsi="Times New Roman"/>
          <w:sz w:val="20"/>
          <w:szCs w:val="20"/>
          <w:color w:val="auto"/>
        </w:rPr>
        <w:t>. To the fullest extent permitted by applicable law, each Loan Guarantor hereby waives any defense based on or arising out of any defense of the Borrower or any Loan Guarantor or the unenforceability of all or any part of the Guaranteed Obligations from any cause, or the cessation from any cause of the liability of the Borrower, any Loan Guarantor or any other Obligated Party, other than Payment in Full.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Paid in Full.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19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SECTION 10.05</w:t>
      </w:r>
      <w:r>
        <w:rPr>
          <w:rFonts w:ascii="Times New Roman" w:cs="Times New Roman" w:eastAsia="Times New Roman" w:hAnsi="Times New Roman"/>
          <w:sz w:val="20"/>
          <w:szCs w:val="20"/>
          <w:u w:val="single" w:color="auto"/>
          <w:color w:val="auto"/>
        </w:rPr>
        <w:t>Rights of Subrogation</w:t>
      </w:r>
      <w:r>
        <w:rPr>
          <w:rFonts w:ascii="Times New Roman" w:cs="Times New Roman" w:eastAsia="Times New Roman" w:hAnsi="Times New Roman"/>
          <w:sz w:val="20"/>
          <w:szCs w:val="20"/>
          <w:color w:val="auto"/>
        </w:rPr>
        <w:t>. No Loan Guarantor will assert any right, claim or cause of action, including, without limitation, a claim of subrogation, contribution or indemnification that it has against any Obligated Party, or any collateral, until Payment in Full.</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SECTION 10.06</w:t>
      </w:r>
      <w:r>
        <w:rPr>
          <w:rFonts w:ascii="Times New Roman" w:cs="Times New Roman" w:eastAsia="Times New Roman" w:hAnsi="Times New Roman"/>
          <w:sz w:val="19"/>
          <w:szCs w:val="19"/>
          <w:u w:val="single" w:color="auto"/>
          <w:color w:val="auto"/>
        </w:rPr>
        <w:t>Reinstatement; Stay of Acceleration</w:t>
      </w:r>
      <w:r>
        <w:rPr>
          <w:rFonts w:ascii="Times New Roman" w:cs="Times New Roman" w:eastAsia="Times New Roman" w:hAnsi="Times New Roman"/>
          <w:sz w:val="19"/>
          <w:szCs w:val="19"/>
          <w:color w:val="auto"/>
        </w:rPr>
        <w:t>. If at any time any payment of any portion of the Guaranteed Obligations (including a payment effected through exercise of a right of setoff) is rescinded or must otherwise be restored or returned upon the insolvency, bankruptcy, or reorganization of the Borrower or otherwise (including pursuant to any settlement entered into by any Secured Party in its discretion), each Loan Guarantor’s obligations under this Loan Guaranty with respect to that payment shall be reinstated at such time as though the payment had not been made and whether or not the Administrative Agent, the Issuing Banks and the Lenders are in possession of this Loan Guaranty. If acceleration of the time for payment of any of the Guaranteed Obligations is stayed upon the insolvency, bankruptcy or reorganization of the Borrower, all such amounts otherwise subject to acceleration under the terms of any agreement relating to the Guaranteed Obligations shall nonetheless be payable by the Loan Guarantors forthwith on demand by the Administrative Agent.</w:t>
      </w:r>
    </w:p>
    <w:p>
      <w:pPr>
        <w:spacing w:after="0" w:line="17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SECTION 10.07</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neither the Administrative Agent nor any Issuing Bank nor any Lender shall have any duty to advise any Loan Guarantor of information known to it regarding those circumstances or risks.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11" w:name="page212"/>
    <w:bookmarkEnd w:id="211"/>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SECTION 10.08</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xml:space="preserve">. Each of the Lenders and the Issuing Bank may continue to make loans or extend credit to the Borrower based on this Loan Guaranty until five (5)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the Guaranteed Obligations. Nothing in this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xml:space="preserve"> shall be deemed to constitute a waiver of, or eliminate, limit, reduce or otherwise impair any rights or remedies the Administrative Agent or any Lender may have in respect of, any Default or Event of Default that shall exist under </w:t>
      </w:r>
      <w:r>
        <w:rPr>
          <w:rFonts w:ascii="Times New Roman" w:cs="Times New Roman" w:eastAsia="Times New Roman" w:hAnsi="Times New Roman"/>
          <w:sz w:val="20"/>
          <w:szCs w:val="20"/>
          <w:u w:val="single" w:color="auto"/>
          <w:color w:val="auto"/>
        </w:rPr>
        <w:t>clause (o)</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hereof as a result of any such notice of termination.</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10.09[</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SECTION 10.10</w:t>
      </w:r>
      <w:r>
        <w:rPr>
          <w:rFonts w:ascii="Times New Roman" w:cs="Times New Roman" w:eastAsia="Times New Roman" w:hAnsi="Times New Roman"/>
          <w:sz w:val="20"/>
          <w:szCs w:val="20"/>
          <w:u w:val="single" w:color="auto"/>
          <w:color w:val="auto"/>
        </w:rPr>
        <w:t>Maximum Liability</w:t>
      </w:r>
      <w:r>
        <w:rPr>
          <w:rFonts w:ascii="Times New Roman" w:cs="Times New Roman" w:eastAsia="Times New Roman" w:hAnsi="Times New Roman"/>
          <w:sz w:val="20"/>
          <w:szCs w:val="20"/>
          <w:color w:val="auto"/>
        </w:rPr>
        <w:t>.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SECTION 10.11</w:t>
      </w:r>
      <w:r>
        <w:rPr>
          <w:rFonts w:ascii="Times New Roman" w:cs="Times New Roman" w:eastAsia="Times New Roman" w:hAnsi="Times New Roman"/>
          <w:sz w:val="20"/>
          <w:szCs w:val="20"/>
          <w:u w:val="single" w:color="auto"/>
          <w:color w:val="auto"/>
        </w:rPr>
        <w:t>Contribution</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57"/>
        <w:spacing w:after="0" w:line="243" w:lineRule="auto"/>
        <w:tabs>
          <w:tab w:leader="none" w:pos="1018"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Loan Guarantor shall make a payment under this Loan Guaranty (a “</w:t>
      </w:r>
      <w:r>
        <w:rPr>
          <w:rFonts w:ascii="Times New Roman" w:cs="Times New Roman" w:eastAsia="Times New Roman" w:hAnsi="Times New Roman"/>
          <w:sz w:val="20"/>
          <w:szCs w:val="20"/>
          <w:u w:val="single" w:color="auto"/>
          <w:color w:val="auto"/>
        </w:rPr>
        <w:t>Guarantor Payment</w:t>
      </w:r>
      <w:r>
        <w:rPr>
          <w:rFonts w:ascii="Times New Roman" w:cs="Times New Roman" w:eastAsia="Times New Roman" w:hAnsi="Times New Roman"/>
          <w:sz w:val="20"/>
          <w:szCs w:val="20"/>
          <w:color w:val="auto"/>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Payment in Full,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86"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any date of determination, the “</w:t>
      </w:r>
      <w:r>
        <w:rPr>
          <w:rFonts w:ascii="Times New Roman" w:cs="Times New Roman" w:eastAsia="Times New Roman" w:hAnsi="Times New Roman"/>
          <w:sz w:val="20"/>
          <w:szCs w:val="20"/>
          <w:u w:val="single" w:color="auto"/>
          <w:color w:val="auto"/>
        </w:rPr>
        <w:t>Allocable Amount</w:t>
      </w:r>
      <w:r>
        <w:rPr>
          <w:rFonts w:ascii="Times New Roman" w:cs="Times New Roman" w:eastAsia="Times New Roman" w:hAnsi="Times New Roman"/>
          <w:sz w:val="20"/>
          <w:szCs w:val="20"/>
          <w:color w:val="auto"/>
        </w:rPr>
        <w: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183"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is intended only to define the relative rights of the Loan Guarantors, and nothing set forth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10.11</w:t>
      </w:r>
      <w:r>
        <w:rPr>
          <w:rFonts w:ascii="Times New Roman" w:cs="Times New Roman" w:eastAsia="Times New Roman" w:hAnsi="Times New Roman"/>
          <w:sz w:val="20"/>
          <w:szCs w:val="20"/>
          <w:color w:val="auto"/>
        </w:rPr>
        <w:t xml:space="preserve"> is intended to or shall impair the obligations of the Loan Guarantors, jointly and severally, to pay any amounts as and when the same shall become due and payable in accordance with the terms of this Loan Guaranty.</w:t>
      </w:r>
    </w:p>
    <w:p>
      <w:pPr>
        <w:spacing w:after="0" w:line="176"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acknowledge that the rights of contribution and indemnification hereunder shall constitute assets of the Loan Guarantor or Loan Guarantors to which such contribution and indemnification is owing.</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12" w:name="page213"/>
    <w:bookmarkEnd w:id="212"/>
    <w:p>
      <w:pPr>
        <w:ind w:firstLine="757"/>
        <w:spacing w:after="0" w:line="268" w:lineRule="auto"/>
        <w:tabs>
          <w:tab w:leader="none" w:pos="1018"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rights of the indemnifying Loan Guarantors against other Loan Guarantors under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shall be exercisable upon Payment in Full.</w:t>
      </w:r>
    </w:p>
    <w:p>
      <w:pPr>
        <w:spacing w:after="0" w:line="16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SECTION 10.12</w:t>
      </w:r>
      <w:r>
        <w:rPr>
          <w:rFonts w:ascii="Times New Roman" w:cs="Times New Roman" w:eastAsia="Times New Roman" w:hAnsi="Times New Roman"/>
          <w:sz w:val="20"/>
          <w:szCs w:val="20"/>
          <w:u w:val="single" w:color="auto"/>
          <w:color w:val="auto"/>
        </w:rPr>
        <w:t>Liability Cumulative</w:t>
      </w:r>
      <w:r>
        <w:rPr>
          <w:rFonts w:ascii="Times New Roman" w:cs="Times New Roman" w:eastAsia="Times New Roman" w:hAnsi="Times New Roman"/>
          <w:sz w:val="20"/>
          <w:szCs w:val="20"/>
          <w:color w:val="auto"/>
        </w:rPr>
        <w:t xml:space="preserve">. The liability of each Loan Party as a Loan Guarantor under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is in addition to and shall be cumulative with all liabilities of each Loan Party to the Administrative Agent, the Issuing Banks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183"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9"/>
          <w:szCs w:val="19"/>
          <w:color w:val="auto"/>
        </w:rPr>
        <w:t>SECTION 10.13</w:t>
      </w:r>
      <w:r>
        <w:rPr>
          <w:rFonts w:ascii="Times New Roman" w:cs="Times New Roman" w:eastAsia="Times New Roman" w:hAnsi="Times New Roman"/>
          <w:sz w:val="19"/>
          <w:szCs w:val="19"/>
          <w:u w:val="single" w:color="auto"/>
          <w:color w:val="auto"/>
        </w:rPr>
        <w:t>Keepwell</w:t>
      </w:r>
      <w:r>
        <w:rPr>
          <w:rFonts w:ascii="Times New Roman" w:cs="Times New Roman" w:eastAsia="Times New Roman" w:hAnsi="Times New Roman"/>
          <w:sz w:val="19"/>
          <w:szCs w:val="19"/>
          <w:color w:val="auto"/>
        </w:rPr>
        <w:t>. Each Qualified ECP Guarantor hereby jointly and severally absolutely, unconditionally and irrevocably undertakes to provide such funds or other support as may be needed from time to time by each other Loan Party or Loan Guarantor to honor all of its obligations under this Loan Guaranty in respect of a Swap Obligation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each Qualified ECP Guarantor shall only be liable under this </w:t>
      </w:r>
      <w:r>
        <w:rPr>
          <w:rFonts w:ascii="Times New Roman" w:cs="Times New Roman" w:eastAsia="Times New Roman" w:hAnsi="Times New Roman"/>
          <w:sz w:val="19"/>
          <w:szCs w:val="19"/>
          <w:u w:val="single" w:color="auto"/>
          <w:color w:val="auto"/>
        </w:rPr>
        <w:t>Section 10.13</w:t>
      </w:r>
      <w:r>
        <w:rPr>
          <w:rFonts w:ascii="Times New Roman" w:cs="Times New Roman" w:eastAsia="Times New Roman" w:hAnsi="Times New Roman"/>
          <w:sz w:val="19"/>
          <w:szCs w:val="19"/>
          <w:color w:val="auto"/>
        </w:rPr>
        <w:t xml:space="preserve"> for the maximum amount of such liability that can be hereby incurred without rendering its obligations under this </w:t>
      </w:r>
      <w:r>
        <w:rPr>
          <w:rFonts w:ascii="Times New Roman" w:cs="Times New Roman" w:eastAsia="Times New Roman" w:hAnsi="Times New Roman"/>
          <w:sz w:val="19"/>
          <w:szCs w:val="19"/>
          <w:u w:val="single" w:color="auto"/>
          <w:color w:val="auto"/>
        </w:rPr>
        <w:t>Section 10.13</w:t>
      </w:r>
      <w:r>
        <w:rPr>
          <w:rFonts w:ascii="Times New Roman" w:cs="Times New Roman" w:eastAsia="Times New Roman" w:hAnsi="Times New Roman"/>
          <w:sz w:val="19"/>
          <w:szCs w:val="19"/>
          <w:color w:val="auto"/>
        </w:rPr>
        <w:t xml:space="preserve"> or otherwise under this Loan Guaranty, voidable under applicable law relating to fraudulent conveyance or fraudulent transfer, and not for any greater amount). Except as otherwise provided herein, the obligations of each Qualified ECP Guarantor under this </w:t>
      </w:r>
      <w:r>
        <w:rPr>
          <w:rFonts w:ascii="Times New Roman" w:cs="Times New Roman" w:eastAsia="Times New Roman" w:hAnsi="Times New Roman"/>
          <w:sz w:val="19"/>
          <w:szCs w:val="19"/>
          <w:u w:val="single" w:color="auto"/>
          <w:color w:val="auto"/>
        </w:rPr>
        <w:t>Section 10.13</w:t>
      </w:r>
      <w:r>
        <w:rPr>
          <w:rFonts w:ascii="Times New Roman" w:cs="Times New Roman" w:eastAsia="Times New Roman" w:hAnsi="Times New Roman"/>
          <w:sz w:val="19"/>
          <w:szCs w:val="19"/>
          <w:color w:val="auto"/>
        </w:rPr>
        <w:t xml:space="preserve"> shall remain in full force and effect until the termination of all Swap Obligations. Each Qualified ECP Guarantor intends that this </w:t>
      </w:r>
      <w:r>
        <w:rPr>
          <w:rFonts w:ascii="Times New Roman" w:cs="Times New Roman" w:eastAsia="Times New Roman" w:hAnsi="Times New Roman"/>
          <w:sz w:val="19"/>
          <w:szCs w:val="19"/>
          <w:u w:val="single" w:color="auto"/>
          <w:color w:val="auto"/>
        </w:rPr>
        <w:t>Section 10.13</w:t>
      </w:r>
      <w:r>
        <w:rPr>
          <w:rFonts w:ascii="Times New Roman" w:cs="Times New Roman" w:eastAsia="Times New Roman" w:hAnsi="Times New Roman"/>
          <w:sz w:val="19"/>
          <w:szCs w:val="19"/>
          <w:color w:val="auto"/>
        </w:rPr>
        <w:t xml:space="preserve"> constitute, and this </w:t>
      </w:r>
      <w:r>
        <w:rPr>
          <w:rFonts w:ascii="Times New Roman" w:cs="Times New Roman" w:eastAsia="Times New Roman" w:hAnsi="Times New Roman"/>
          <w:sz w:val="19"/>
          <w:szCs w:val="19"/>
          <w:u w:val="single" w:color="auto"/>
          <w:color w:val="auto"/>
        </w:rPr>
        <w:t>Section 10.13</w:t>
      </w:r>
      <w:r>
        <w:rPr>
          <w:rFonts w:ascii="Times New Roman" w:cs="Times New Roman" w:eastAsia="Times New Roman" w:hAnsi="Times New Roman"/>
          <w:sz w:val="19"/>
          <w:szCs w:val="19"/>
          <w:color w:val="auto"/>
        </w:rPr>
        <w:t xml:space="preserve"> shall be deemed to constitute, a “keepwell, support, or other agreement” for the benefit of each other Loan Party for all purposes of Section 1a(18)(A)(v)(II) of the Commodity Exchange Act.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Pages Follow.]</w:t>
      </w:r>
    </w:p>
    <w:p>
      <w:pPr>
        <w:spacing w:after="0" w:line="219"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and delivered by their respective authorized officers as of the day and year first above written.</w:t>
      </w:r>
    </w:p>
    <w:p>
      <w:pPr>
        <w:spacing w:after="0" w:line="15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FLYWIRE CORPORATION</w:t>
      </w: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Peter Butterfield</w:t>
      </w:r>
    </w:p>
    <w:p>
      <w:pPr>
        <w:spacing w:after="0" w:line="2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Name: Peter Butterfield</w:t>
      </w:r>
    </w:p>
    <w:p>
      <w:pPr>
        <w:ind w:left="4900"/>
        <w:spacing w:after="0"/>
        <w:rPr>
          <w:sz w:val="20"/>
          <w:szCs w:val="20"/>
          <w:color w:val="auto"/>
        </w:rPr>
      </w:pPr>
      <w:r>
        <w:rPr>
          <w:rFonts w:ascii="Times New Roman" w:cs="Times New Roman" w:eastAsia="Times New Roman" w:hAnsi="Times New Roman"/>
          <w:sz w:val="20"/>
          <w:szCs w:val="20"/>
          <w:color w:val="auto"/>
        </w:rPr>
        <w:t>Title: Chief Compliance Officer, General Counsel and Secretary</w:t>
      </w:r>
    </w:p>
    <w:p>
      <w:pPr>
        <w:spacing w:after="0" w:line="1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FLYWIRE GLOBAL CORP.</w:t>
      </w: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Peter Butterfield</w:t>
      </w:r>
    </w:p>
    <w:p>
      <w:pPr>
        <w:spacing w:after="0" w:line="2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Name: Peter Butterfield</w:t>
      </w:r>
    </w:p>
    <w:p>
      <w:pPr>
        <w:ind w:left="4900"/>
        <w:spacing w:after="0"/>
        <w:rPr>
          <w:sz w:val="20"/>
          <w:szCs w:val="20"/>
          <w:color w:val="auto"/>
        </w:rPr>
      </w:pPr>
      <w:r>
        <w:rPr>
          <w:rFonts w:ascii="Times New Roman" w:cs="Times New Roman" w:eastAsia="Times New Roman" w:hAnsi="Times New Roman"/>
          <w:sz w:val="20"/>
          <w:szCs w:val="20"/>
          <w:color w:val="auto"/>
        </w:rPr>
        <w:t>Title: Secretary</w:t>
      </w:r>
    </w:p>
    <w:p>
      <w:pPr>
        <w:spacing w:after="0" w:line="18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FLYWIRE HEALTHCARE CORPORATION</w:t>
      </w: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Peter Butterfield</w:t>
      </w:r>
    </w:p>
    <w:p>
      <w:pPr>
        <w:spacing w:after="0" w:line="2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Name: Peter Butterfield</w:t>
      </w:r>
    </w:p>
    <w:p>
      <w:pPr>
        <w:ind w:left="4900"/>
        <w:spacing w:after="0"/>
        <w:rPr>
          <w:sz w:val="20"/>
          <w:szCs w:val="20"/>
          <w:color w:val="auto"/>
        </w:rPr>
      </w:pPr>
      <w:r>
        <w:rPr>
          <w:rFonts w:ascii="Times New Roman" w:cs="Times New Roman" w:eastAsia="Times New Roman" w:hAnsi="Times New Roman"/>
          <w:sz w:val="20"/>
          <w:szCs w:val="20"/>
          <w:color w:val="auto"/>
        </w:rPr>
        <w:t>Title: Secretary</w:t>
      </w:r>
    </w:p>
    <w:p>
      <w:pPr>
        <w:spacing w:after="0" w:line="18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FLYWIRE PAYMENTS CORPORATION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13" w:name="page214"/>
    <w:bookmarkEnd w:id="213"/>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Peter Butterfield</w:t>
      </w:r>
    </w:p>
    <w:p>
      <w:pPr>
        <w:spacing w:after="0" w:line="2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Name: Peter Butterfield</w:t>
      </w:r>
    </w:p>
    <w:p>
      <w:pPr>
        <w:ind w:left="3780"/>
        <w:spacing w:after="0"/>
        <w:rPr>
          <w:sz w:val="20"/>
          <w:szCs w:val="20"/>
          <w:color w:val="auto"/>
        </w:rPr>
      </w:pPr>
      <w:r>
        <w:rPr>
          <w:rFonts w:ascii="Times New Roman" w:cs="Times New Roman" w:eastAsia="Times New Roman" w:hAnsi="Times New Roman"/>
          <w:sz w:val="20"/>
          <w:szCs w:val="20"/>
          <w:color w:val="auto"/>
        </w:rPr>
        <w:t>Title: Secretary</w:t>
      </w:r>
    </w:p>
    <w:p>
      <w:pPr>
        <w:spacing w:after="0" w:line="18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b w:val="1"/>
          <w:bCs w:val="1"/>
          <w:color w:val="auto"/>
        </w:rPr>
        <w:t>FLYWIRE SECURITIES CORPORATION</w:t>
      </w:r>
    </w:p>
    <w:p>
      <w:pPr>
        <w:spacing w:after="0" w:line="200" w:lineRule="exact"/>
        <w:rPr>
          <w:sz w:val="20"/>
          <w:szCs w:val="20"/>
          <w:color w:val="auto"/>
        </w:rPr>
      </w:pPr>
    </w:p>
    <w:p>
      <w:pPr>
        <w:spacing w:after="0" w:line="24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Peter Butterfield</w:t>
      </w:r>
    </w:p>
    <w:p>
      <w:pPr>
        <w:spacing w:after="0" w:line="2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Name: Peter Butterfield</w:t>
      </w:r>
    </w:p>
    <w:p>
      <w:pPr>
        <w:ind w:left="3780"/>
        <w:spacing w:after="0"/>
        <w:rPr>
          <w:sz w:val="20"/>
          <w:szCs w:val="20"/>
          <w:color w:val="auto"/>
        </w:rPr>
      </w:pPr>
      <w:r>
        <w:rPr>
          <w:rFonts w:ascii="Times New Roman" w:cs="Times New Roman" w:eastAsia="Times New Roman" w:hAnsi="Times New Roman"/>
          <w:sz w:val="20"/>
          <w:szCs w:val="20"/>
          <w:color w:val="auto"/>
        </w:rPr>
        <w:t>Title: Secretary</w:t>
      </w:r>
    </w:p>
    <w:p>
      <w:pPr>
        <w:spacing w:after="0" w:line="1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9"/>
          <w:szCs w:val="19"/>
          <w:b w:val="1"/>
          <w:bCs w:val="1"/>
          <w:color w:val="auto"/>
        </w:rPr>
        <w:t>SIMPLIFICARE INC.</w:t>
      </w:r>
    </w:p>
    <w:p>
      <w:pPr>
        <w:spacing w:after="0" w:line="200" w:lineRule="exact"/>
        <w:rPr>
          <w:sz w:val="20"/>
          <w:szCs w:val="20"/>
          <w:color w:val="auto"/>
        </w:rPr>
      </w:pPr>
    </w:p>
    <w:p>
      <w:pPr>
        <w:spacing w:after="0" w:line="24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Peter Butterfield</w:t>
      </w:r>
    </w:p>
    <w:p>
      <w:pPr>
        <w:spacing w:after="0" w:line="2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Name: Peter Butterfield</w:t>
      </w:r>
    </w:p>
    <w:p>
      <w:pPr>
        <w:ind w:left="3780"/>
        <w:spacing w:after="0"/>
        <w:rPr>
          <w:sz w:val="20"/>
          <w:szCs w:val="20"/>
          <w:color w:val="auto"/>
        </w:rPr>
      </w:pPr>
      <w:r>
        <w:rPr>
          <w:rFonts w:ascii="Times New Roman" w:cs="Times New Roman" w:eastAsia="Times New Roman" w:hAnsi="Times New Roman"/>
          <w:sz w:val="20"/>
          <w:szCs w:val="20"/>
          <w:color w:val="auto"/>
        </w:rPr>
        <w:t>Title: Secretary</w:t>
      </w:r>
    </w:p>
    <w:p>
      <w:pPr>
        <w:spacing w:after="0" w:line="18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b w:val="1"/>
          <w:bCs w:val="1"/>
          <w:color w:val="auto"/>
        </w:rPr>
        <w:t>ONPLAN HOLDINGS, LLC</w:t>
      </w:r>
    </w:p>
    <w:p>
      <w:pPr>
        <w:spacing w:after="0" w:line="200" w:lineRule="exact"/>
        <w:rPr>
          <w:sz w:val="20"/>
          <w:szCs w:val="20"/>
          <w:color w:val="auto"/>
        </w:rPr>
      </w:pPr>
    </w:p>
    <w:p>
      <w:pPr>
        <w:spacing w:after="0" w:line="24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Peter Butterfield</w:t>
      </w:r>
    </w:p>
    <w:p>
      <w:pPr>
        <w:spacing w:after="0" w:line="2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Name: Peter Butterfield</w:t>
      </w:r>
    </w:p>
    <w:p>
      <w:pPr>
        <w:ind w:left="3780"/>
        <w:spacing w:after="0"/>
        <w:rPr>
          <w:sz w:val="20"/>
          <w:szCs w:val="20"/>
          <w:color w:val="auto"/>
        </w:rPr>
      </w:pPr>
      <w:r>
        <w:rPr>
          <w:rFonts w:ascii="Times New Roman" w:cs="Times New Roman" w:eastAsia="Times New Roman" w:hAnsi="Times New Roman"/>
          <w:sz w:val="20"/>
          <w:szCs w:val="20"/>
          <w:color w:val="auto"/>
        </w:rPr>
        <w:t>Title: Secretary and Vice President</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725805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4" w:name="page215"/>
    <w:bookmarkEnd w:id="214"/>
    <w:p>
      <w:pPr>
        <w:ind w:left="3380"/>
        <w:spacing w:after="0" w:line="272" w:lineRule="auto"/>
        <w:rPr>
          <w:sz w:val="20"/>
          <w:szCs w:val="20"/>
          <w:color w:val="auto"/>
        </w:rPr>
      </w:pPr>
      <w:r>
        <w:rPr>
          <w:rFonts w:ascii="Times New Roman" w:cs="Times New Roman" w:eastAsia="Times New Roman" w:hAnsi="Times New Roman"/>
          <w:sz w:val="20"/>
          <w:szCs w:val="20"/>
          <w:b w:val="1"/>
          <w:bCs w:val="1"/>
          <w:color w:val="auto"/>
        </w:rPr>
        <w:t>CITIBANK, N.A.</w:t>
      </w:r>
      <w:r>
        <w:rPr>
          <w:rFonts w:ascii="Times New Roman" w:cs="Times New Roman" w:eastAsia="Times New Roman" w:hAnsi="Times New Roman"/>
          <w:sz w:val="20"/>
          <w:szCs w:val="20"/>
          <w:color w:val="auto"/>
        </w:rPr>
        <w:t>, individually as a Lender, as Administrative Agent, Swingline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 and an Issuing Bank</w:t>
      </w:r>
    </w:p>
    <w:p>
      <w:pPr>
        <w:spacing w:after="0" w:line="40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 Jonathan Wronski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-10795</wp:posOffset>
            </wp:positionV>
            <wp:extent cx="125476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7">
                      <a:extLst>
                        <a:ext uri="{28A0092B-C50C-407E-A947-70E740481C1C}"/>
                      </a:extLst>
                    </a:blip>
                    <a:srcRect/>
                    <a:stretch>
                      <a:fillRect/>
                    </a:stretch>
                  </pic:blipFill>
                  <pic:spPr bwMode="auto">
                    <a:xfrm>
                      <a:off x="0" y="0"/>
                      <a:ext cx="1254760" cy="8255"/>
                    </a:xfrm>
                    <a:prstGeom prst="rect">
                      <a:avLst/>
                    </a:prstGeom>
                    <a:noFill/>
                  </pic:spPr>
                </pic:pic>
              </a:graphicData>
            </a:graphic>
          </wp:anchor>
        </w:drawing>
      </w:r>
    </w:p>
    <w:p>
      <w:pPr>
        <w:spacing w:after="0" w:line="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Name: Jonathan Wronski</w:t>
      </w:r>
    </w:p>
    <w:p>
      <w:pPr>
        <w:ind w:left="37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725805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0"/>
          </w:cols>
          <w:pgMar w:left="1440" w:top="1407" w:right="659" w:bottom="1440" w:gutter="0" w:footer="0" w:header="0"/>
        </w:sectPr>
      </w:pPr>
    </w:p>
    <w:bookmarkStart w:id="215" w:name="page216"/>
    <w:bookmarkEnd w:id="215"/>
    <w:p>
      <w:pPr>
        <w:spacing w:after="0" w:line="39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b w:val="1"/>
          <w:bCs w:val="1"/>
          <w:color w:val="auto"/>
        </w:rPr>
        <w:t>JPMORGAN CHASE BANK. N.A.</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7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 Eleftherios Karsos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-10795</wp:posOffset>
            </wp:positionV>
            <wp:extent cx="150622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9">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Name: Eleftherios Karsos</w:t>
      </w:r>
    </w:p>
    <w:p>
      <w:pPr>
        <w:ind w:left="3780"/>
        <w:spacing w:after="0"/>
        <w:rPr>
          <w:sz w:val="20"/>
          <w:szCs w:val="20"/>
          <w:color w:val="auto"/>
        </w:rPr>
      </w:pPr>
      <w:r>
        <w:rPr>
          <w:rFonts w:ascii="Times New Roman" w:cs="Times New Roman" w:eastAsia="Times New Roman" w:hAnsi="Times New Roman"/>
          <w:sz w:val="20"/>
          <w:szCs w:val="20"/>
          <w:color w:val="auto"/>
        </w:rPr>
        <w:t>Title: Authorized Officer</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725805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6" w:name="page217"/>
    <w:bookmarkEnd w:id="216"/>
    <w:p>
      <w:pPr>
        <w:spacing w:after="0" w:line="40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b w:val="1"/>
          <w:bCs w:val="1"/>
          <w:color w:val="auto"/>
        </w:rPr>
        <w:t>BANK OF AMERICA N.A.</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7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 Thomas M. Paulk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-10795</wp:posOffset>
            </wp:positionV>
            <wp:extent cx="150622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1">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Name: Thomas M. Paulk</w:t>
      </w:r>
    </w:p>
    <w:p>
      <w:pPr>
        <w:ind w:left="37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725805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7" w:name="page218"/>
    <w:bookmarkEnd w:id="217"/>
    <w:p>
      <w:pPr>
        <w:spacing w:after="0" w:line="39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b w:val="1"/>
          <w:bCs w:val="1"/>
          <w:color w:val="auto"/>
        </w:rPr>
        <w:t>FIRST-CITIZENS BANK &amp; TRUST COMPANY</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7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 Abbey Honegger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-10795</wp:posOffset>
            </wp:positionV>
            <wp:extent cx="150622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3">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Name: Abbey Honegger</w:t>
      </w:r>
    </w:p>
    <w:p>
      <w:pPr>
        <w:ind w:left="37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725805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8" w:name="page219"/>
    <w:bookmarkEnd w:id="218"/>
    <w:tbl>
      <w:tblPr>
        <w:tblLayout w:type="fixed"/>
        <w:tblInd w:w="10" w:type="dxa"/>
        <w:tblCellMar>
          <w:top w:w="0" w:type="dxa"/>
          <w:left w:w="0" w:type="dxa"/>
          <w:bottom w:w="0" w:type="dxa"/>
          <w:right w:w="0" w:type="dxa"/>
        </w:tblCellMar>
      </w:tblPr>
      <w:tr>
        <w:trPr>
          <w:trHeight w:val="258"/>
        </w:trPr>
        <w:tc>
          <w:tcPr>
            <w:tcW w:w="4120" w:type="dxa"/>
            <w:vAlign w:val="bottom"/>
          </w:tcPr>
          <w:p>
            <w:pPr>
              <w:spacing w:after="0"/>
              <w:rPr>
                <w:sz w:val="22"/>
                <w:szCs w:val="22"/>
                <w:color w:val="auto"/>
              </w:rPr>
            </w:pPr>
          </w:p>
        </w:tc>
        <w:tc>
          <w:tcPr>
            <w:tcW w:w="7120" w:type="dxa"/>
            <w:vAlign w:val="bottom"/>
            <w:gridSpan w:val="2"/>
          </w:tcPr>
          <w:p>
            <w:pPr>
              <w:jc w:val="center"/>
              <w:ind w:right="4001"/>
              <w:spacing w:after="0"/>
              <w:rPr>
                <w:sz w:val="20"/>
                <w:szCs w:val="20"/>
                <w:color w:val="auto"/>
              </w:rPr>
            </w:pPr>
            <w:r>
              <w:rPr>
                <w:rFonts w:ascii="Times New Roman" w:cs="Times New Roman" w:eastAsia="Times New Roman" w:hAnsi="Times New Roman"/>
                <w:sz w:val="20"/>
                <w:szCs w:val="20"/>
                <w:color w:val="auto"/>
                <w:w w:val="99"/>
              </w:rPr>
              <w:t>COMMITMENT SCHEDULE</w:t>
            </w:r>
          </w:p>
        </w:tc>
      </w:tr>
      <w:tr>
        <w:trPr>
          <w:trHeight w:val="206"/>
        </w:trPr>
        <w:tc>
          <w:tcPr>
            <w:tcW w:w="412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tcPr>
          <w:p>
            <w:pPr>
              <w:spacing w:after="0"/>
              <w:rPr>
                <w:sz w:val="17"/>
                <w:szCs w:val="17"/>
                <w:color w:val="auto"/>
              </w:rPr>
            </w:pPr>
          </w:p>
        </w:tc>
      </w:tr>
      <w:tr>
        <w:trPr>
          <w:trHeight w:val="353"/>
        </w:trPr>
        <w:tc>
          <w:tcPr>
            <w:tcW w:w="4120" w:type="dxa"/>
            <w:vAlign w:val="bottom"/>
            <w:tcBorders>
              <w:left w:val="single" w:sz="8" w:color="auto"/>
            </w:tcBorders>
          </w:tcPr>
          <w:p>
            <w:pPr>
              <w:ind w:left="3220"/>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2960" w:type="dxa"/>
            <w:vAlign w:val="bottom"/>
            <w:tcBorders>
              <w:right w:val="single" w:sz="8" w:color="auto"/>
            </w:tcBorders>
          </w:tcPr>
          <w:p>
            <w:pPr>
              <w:spacing w:after="0"/>
              <w:rPr>
                <w:sz w:val="24"/>
                <w:szCs w:val="24"/>
                <w:color w:val="auto"/>
              </w:rPr>
            </w:pPr>
          </w:p>
        </w:tc>
        <w:tc>
          <w:tcPr>
            <w:tcW w:w="416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20"/>
                <w:szCs w:val="20"/>
                <w:b w:val="1"/>
                <w:bCs w:val="1"/>
                <w:color w:val="auto"/>
              </w:rPr>
              <w:t>Total Commitment</w:t>
            </w:r>
          </w:p>
        </w:tc>
      </w:tr>
      <w:tr>
        <w:trPr>
          <w:trHeight w:val="112"/>
        </w:trPr>
        <w:tc>
          <w:tcPr>
            <w:tcW w:w="4120" w:type="dxa"/>
            <w:vAlign w:val="bottom"/>
            <w:tcBorders>
              <w:left w:val="single" w:sz="8" w:color="auto"/>
              <w:bottom w:val="single" w:sz="8" w:color="auto"/>
            </w:tcBorders>
          </w:tcPr>
          <w:p>
            <w:pPr>
              <w:spacing w:after="0"/>
              <w:rPr>
                <w:sz w:val="9"/>
                <w:szCs w:val="9"/>
                <w:color w:val="auto"/>
              </w:rPr>
            </w:pPr>
          </w:p>
        </w:tc>
        <w:tc>
          <w:tcPr>
            <w:tcW w:w="2960" w:type="dxa"/>
            <w:vAlign w:val="bottom"/>
            <w:tcBorders>
              <w:bottom w:val="single" w:sz="8" w:color="auto"/>
              <w:right w:val="single" w:sz="8" w:color="auto"/>
            </w:tcBorders>
          </w:tcPr>
          <w:p>
            <w:pPr>
              <w:spacing w:after="0"/>
              <w:rPr>
                <w:sz w:val="9"/>
                <w:szCs w:val="9"/>
                <w:color w:val="auto"/>
              </w:rPr>
            </w:pPr>
          </w:p>
        </w:tc>
        <w:tc>
          <w:tcPr>
            <w:tcW w:w="4160" w:type="dxa"/>
            <w:vAlign w:val="bottom"/>
            <w:tcBorders>
              <w:bottom w:val="single" w:sz="8" w:color="auto"/>
              <w:right w:val="single" w:sz="8" w:color="auto"/>
            </w:tcBorders>
          </w:tcPr>
          <w:p>
            <w:pPr>
              <w:spacing w:after="0"/>
              <w:rPr>
                <w:sz w:val="9"/>
                <w:szCs w:val="9"/>
                <w:color w:val="auto"/>
              </w:rPr>
            </w:pPr>
          </w:p>
        </w:tc>
      </w:tr>
      <w:tr>
        <w:trPr>
          <w:trHeight w:val="380"/>
        </w:trPr>
        <w:tc>
          <w:tcPr>
            <w:tcW w:w="41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Citibank, N.A.</w:t>
            </w:r>
          </w:p>
        </w:tc>
        <w:tc>
          <w:tcPr>
            <w:tcW w:w="2960" w:type="dxa"/>
            <w:vAlign w:val="bottom"/>
            <w:tcBorders>
              <w:right w:val="single" w:sz="8" w:color="auto"/>
            </w:tcBorders>
          </w:tcPr>
          <w:p>
            <w:pPr>
              <w:spacing w:after="0"/>
              <w:rPr>
                <w:sz w:val="24"/>
                <w:szCs w:val="24"/>
                <w:color w:val="auto"/>
              </w:rPr>
            </w:pPr>
          </w:p>
        </w:tc>
        <w:tc>
          <w:tcPr>
            <w:tcW w:w="4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$45,000,000</w:t>
            </w:r>
          </w:p>
        </w:tc>
      </w:tr>
      <w:tr>
        <w:trPr>
          <w:trHeight w:val="129"/>
        </w:trPr>
        <w:tc>
          <w:tcPr>
            <w:tcW w:w="4120" w:type="dxa"/>
            <w:vAlign w:val="bottom"/>
            <w:tcBorders>
              <w:left w:val="single" w:sz="8" w:color="auto"/>
              <w:bottom w:val="single" w:sz="8" w:color="auto"/>
            </w:tcBorders>
          </w:tcPr>
          <w:p>
            <w:pPr>
              <w:spacing w:after="0"/>
              <w:rPr>
                <w:sz w:val="11"/>
                <w:szCs w:val="11"/>
                <w:color w:val="auto"/>
              </w:rPr>
            </w:pPr>
          </w:p>
        </w:tc>
        <w:tc>
          <w:tcPr>
            <w:tcW w:w="2960" w:type="dxa"/>
            <w:vAlign w:val="bottom"/>
            <w:tcBorders>
              <w:bottom w:val="single" w:sz="8" w:color="auto"/>
              <w:right w:val="single" w:sz="8" w:color="auto"/>
            </w:tcBorders>
          </w:tcPr>
          <w:p>
            <w:pPr>
              <w:spacing w:after="0"/>
              <w:rPr>
                <w:sz w:val="11"/>
                <w:szCs w:val="11"/>
                <w:color w:val="auto"/>
              </w:rPr>
            </w:pPr>
          </w:p>
        </w:tc>
        <w:tc>
          <w:tcPr>
            <w:tcW w:w="4160" w:type="dxa"/>
            <w:vAlign w:val="bottom"/>
            <w:tcBorders>
              <w:bottom w:val="single" w:sz="8" w:color="auto"/>
              <w:right w:val="single" w:sz="8" w:color="auto"/>
            </w:tcBorders>
          </w:tcPr>
          <w:p>
            <w:pPr>
              <w:spacing w:after="0"/>
              <w:rPr>
                <w:sz w:val="11"/>
                <w:szCs w:val="11"/>
                <w:color w:val="auto"/>
              </w:rPr>
            </w:pPr>
          </w:p>
        </w:tc>
      </w:tr>
      <w:tr>
        <w:trPr>
          <w:trHeight w:val="377"/>
        </w:trPr>
        <w:tc>
          <w:tcPr>
            <w:tcW w:w="41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JPMorgan Chase Bank, N.A.</w:t>
            </w:r>
          </w:p>
        </w:tc>
        <w:tc>
          <w:tcPr>
            <w:tcW w:w="2960" w:type="dxa"/>
            <w:vAlign w:val="bottom"/>
            <w:tcBorders>
              <w:right w:val="single" w:sz="8" w:color="auto"/>
            </w:tcBorders>
          </w:tcPr>
          <w:p>
            <w:pPr>
              <w:spacing w:after="0"/>
              <w:rPr>
                <w:sz w:val="24"/>
                <w:szCs w:val="24"/>
                <w:color w:val="auto"/>
              </w:rPr>
            </w:pPr>
          </w:p>
        </w:tc>
        <w:tc>
          <w:tcPr>
            <w:tcW w:w="4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$30,000,000</w:t>
            </w:r>
          </w:p>
        </w:tc>
      </w:tr>
      <w:tr>
        <w:trPr>
          <w:trHeight w:val="129"/>
        </w:trPr>
        <w:tc>
          <w:tcPr>
            <w:tcW w:w="4120" w:type="dxa"/>
            <w:vAlign w:val="bottom"/>
            <w:tcBorders>
              <w:left w:val="single" w:sz="8" w:color="auto"/>
              <w:bottom w:val="single" w:sz="8" w:color="auto"/>
            </w:tcBorders>
          </w:tcPr>
          <w:p>
            <w:pPr>
              <w:spacing w:after="0"/>
              <w:rPr>
                <w:sz w:val="11"/>
                <w:szCs w:val="11"/>
                <w:color w:val="auto"/>
              </w:rPr>
            </w:pPr>
          </w:p>
        </w:tc>
        <w:tc>
          <w:tcPr>
            <w:tcW w:w="2960" w:type="dxa"/>
            <w:vAlign w:val="bottom"/>
            <w:tcBorders>
              <w:bottom w:val="single" w:sz="8" w:color="auto"/>
              <w:right w:val="single" w:sz="8" w:color="auto"/>
            </w:tcBorders>
          </w:tcPr>
          <w:p>
            <w:pPr>
              <w:spacing w:after="0"/>
              <w:rPr>
                <w:sz w:val="11"/>
                <w:szCs w:val="11"/>
                <w:color w:val="auto"/>
              </w:rPr>
            </w:pPr>
          </w:p>
        </w:tc>
        <w:tc>
          <w:tcPr>
            <w:tcW w:w="4160" w:type="dxa"/>
            <w:vAlign w:val="bottom"/>
            <w:tcBorders>
              <w:bottom w:val="single" w:sz="8" w:color="auto"/>
              <w:right w:val="single" w:sz="8" w:color="auto"/>
            </w:tcBorders>
          </w:tcPr>
          <w:p>
            <w:pPr>
              <w:spacing w:after="0"/>
              <w:rPr>
                <w:sz w:val="11"/>
                <w:szCs w:val="11"/>
                <w:color w:val="auto"/>
              </w:rPr>
            </w:pPr>
          </w:p>
        </w:tc>
      </w:tr>
      <w:tr>
        <w:trPr>
          <w:trHeight w:val="377"/>
        </w:trPr>
        <w:tc>
          <w:tcPr>
            <w:tcW w:w="41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Bank of America, N.A.</w:t>
            </w:r>
          </w:p>
        </w:tc>
        <w:tc>
          <w:tcPr>
            <w:tcW w:w="2960" w:type="dxa"/>
            <w:vAlign w:val="bottom"/>
            <w:tcBorders>
              <w:right w:val="single" w:sz="8" w:color="auto"/>
            </w:tcBorders>
          </w:tcPr>
          <w:p>
            <w:pPr>
              <w:spacing w:after="0"/>
              <w:rPr>
                <w:sz w:val="24"/>
                <w:szCs w:val="24"/>
                <w:color w:val="auto"/>
              </w:rPr>
            </w:pPr>
          </w:p>
        </w:tc>
        <w:tc>
          <w:tcPr>
            <w:tcW w:w="4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$30,000,000</w:t>
            </w:r>
          </w:p>
        </w:tc>
      </w:tr>
      <w:tr>
        <w:trPr>
          <w:trHeight w:val="129"/>
        </w:trPr>
        <w:tc>
          <w:tcPr>
            <w:tcW w:w="4120" w:type="dxa"/>
            <w:vAlign w:val="bottom"/>
            <w:tcBorders>
              <w:left w:val="single" w:sz="8" w:color="auto"/>
              <w:bottom w:val="single" w:sz="8" w:color="auto"/>
            </w:tcBorders>
          </w:tcPr>
          <w:p>
            <w:pPr>
              <w:spacing w:after="0"/>
              <w:rPr>
                <w:sz w:val="11"/>
                <w:szCs w:val="11"/>
                <w:color w:val="auto"/>
              </w:rPr>
            </w:pPr>
          </w:p>
        </w:tc>
        <w:tc>
          <w:tcPr>
            <w:tcW w:w="2960" w:type="dxa"/>
            <w:vAlign w:val="bottom"/>
            <w:tcBorders>
              <w:bottom w:val="single" w:sz="8" w:color="auto"/>
              <w:right w:val="single" w:sz="8" w:color="auto"/>
            </w:tcBorders>
          </w:tcPr>
          <w:p>
            <w:pPr>
              <w:spacing w:after="0"/>
              <w:rPr>
                <w:sz w:val="11"/>
                <w:szCs w:val="11"/>
                <w:color w:val="auto"/>
              </w:rPr>
            </w:pPr>
          </w:p>
        </w:tc>
        <w:tc>
          <w:tcPr>
            <w:tcW w:w="4160" w:type="dxa"/>
            <w:vAlign w:val="bottom"/>
            <w:tcBorders>
              <w:bottom w:val="single" w:sz="8" w:color="auto"/>
              <w:right w:val="single" w:sz="8" w:color="auto"/>
            </w:tcBorders>
          </w:tcPr>
          <w:p>
            <w:pPr>
              <w:spacing w:after="0"/>
              <w:rPr>
                <w:sz w:val="11"/>
                <w:szCs w:val="11"/>
                <w:color w:val="auto"/>
              </w:rPr>
            </w:pPr>
          </w:p>
        </w:tc>
      </w:tr>
      <w:tr>
        <w:trPr>
          <w:trHeight w:val="377"/>
        </w:trPr>
        <w:tc>
          <w:tcPr>
            <w:tcW w:w="41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First-Citizens Bank &amp; Trust Company</w:t>
            </w:r>
          </w:p>
        </w:tc>
        <w:tc>
          <w:tcPr>
            <w:tcW w:w="2960" w:type="dxa"/>
            <w:vAlign w:val="bottom"/>
            <w:tcBorders>
              <w:right w:val="single" w:sz="8" w:color="auto"/>
            </w:tcBorders>
          </w:tcPr>
          <w:p>
            <w:pPr>
              <w:spacing w:after="0"/>
              <w:rPr>
                <w:sz w:val="24"/>
                <w:szCs w:val="24"/>
                <w:color w:val="auto"/>
              </w:rPr>
            </w:pPr>
          </w:p>
        </w:tc>
        <w:tc>
          <w:tcPr>
            <w:tcW w:w="4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$20,000,000</w:t>
            </w:r>
          </w:p>
        </w:tc>
      </w:tr>
      <w:tr>
        <w:trPr>
          <w:trHeight w:val="129"/>
        </w:trPr>
        <w:tc>
          <w:tcPr>
            <w:tcW w:w="4120" w:type="dxa"/>
            <w:vAlign w:val="bottom"/>
            <w:tcBorders>
              <w:left w:val="single" w:sz="8" w:color="auto"/>
              <w:bottom w:val="single" w:sz="8" w:color="auto"/>
            </w:tcBorders>
          </w:tcPr>
          <w:p>
            <w:pPr>
              <w:spacing w:after="0"/>
              <w:rPr>
                <w:sz w:val="11"/>
                <w:szCs w:val="11"/>
                <w:color w:val="auto"/>
              </w:rPr>
            </w:pPr>
          </w:p>
        </w:tc>
        <w:tc>
          <w:tcPr>
            <w:tcW w:w="2960" w:type="dxa"/>
            <w:vAlign w:val="bottom"/>
            <w:tcBorders>
              <w:bottom w:val="single" w:sz="8" w:color="auto"/>
              <w:right w:val="single" w:sz="8" w:color="auto"/>
            </w:tcBorders>
          </w:tcPr>
          <w:p>
            <w:pPr>
              <w:spacing w:after="0"/>
              <w:rPr>
                <w:sz w:val="11"/>
                <w:szCs w:val="11"/>
                <w:color w:val="auto"/>
              </w:rPr>
            </w:pPr>
          </w:p>
        </w:tc>
        <w:tc>
          <w:tcPr>
            <w:tcW w:w="4160" w:type="dxa"/>
            <w:vAlign w:val="bottom"/>
            <w:tcBorders>
              <w:bottom w:val="single" w:sz="8" w:color="auto"/>
              <w:right w:val="single" w:sz="8" w:color="auto"/>
            </w:tcBorders>
          </w:tcPr>
          <w:p>
            <w:pPr>
              <w:spacing w:after="0"/>
              <w:rPr>
                <w:sz w:val="11"/>
                <w:szCs w:val="11"/>
                <w:color w:val="auto"/>
              </w:rPr>
            </w:pPr>
          </w:p>
        </w:tc>
      </w:tr>
      <w:tr>
        <w:trPr>
          <w:trHeight w:val="350"/>
        </w:trPr>
        <w:tc>
          <w:tcPr>
            <w:tcW w:w="4120" w:type="dxa"/>
            <w:vAlign w:val="bottom"/>
            <w:tcBorders>
              <w:left w:val="single" w:sz="8" w:color="auto"/>
            </w:tcBorders>
          </w:tcPr>
          <w:p>
            <w:pPr>
              <w:ind w:left="33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960" w:type="dxa"/>
            <w:vAlign w:val="bottom"/>
            <w:tcBorders>
              <w:right w:val="single" w:sz="8" w:color="auto"/>
            </w:tcBorders>
          </w:tcPr>
          <w:p>
            <w:pPr>
              <w:spacing w:after="0"/>
              <w:rPr>
                <w:sz w:val="24"/>
                <w:szCs w:val="24"/>
                <w:color w:val="auto"/>
              </w:rPr>
            </w:pPr>
          </w:p>
        </w:tc>
        <w:tc>
          <w:tcPr>
            <w:tcW w:w="4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$125,000,000</w:t>
            </w:r>
          </w:p>
        </w:tc>
      </w:tr>
      <w:tr>
        <w:trPr>
          <w:trHeight w:val="115"/>
        </w:trPr>
        <w:tc>
          <w:tcPr>
            <w:tcW w:w="4120" w:type="dxa"/>
            <w:vAlign w:val="bottom"/>
            <w:tcBorders>
              <w:left w:val="single" w:sz="8" w:color="auto"/>
              <w:bottom w:val="single" w:sz="8" w:color="auto"/>
            </w:tcBorders>
          </w:tcPr>
          <w:p>
            <w:pPr>
              <w:spacing w:after="0"/>
              <w:rPr>
                <w:sz w:val="10"/>
                <w:szCs w:val="10"/>
                <w:color w:val="auto"/>
              </w:rPr>
            </w:pPr>
          </w:p>
        </w:tc>
        <w:tc>
          <w:tcPr>
            <w:tcW w:w="2960" w:type="dxa"/>
            <w:vAlign w:val="bottom"/>
            <w:tcBorders>
              <w:bottom w:val="single" w:sz="8" w:color="auto"/>
              <w:right w:val="single" w:sz="8" w:color="auto"/>
            </w:tcBorders>
          </w:tcPr>
          <w:p>
            <w:pPr>
              <w:spacing w:after="0"/>
              <w:rPr>
                <w:sz w:val="10"/>
                <w:szCs w:val="10"/>
                <w:color w:val="auto"/>
              </w:rPr>
            </w:pPr>
          </w:p>
        </w:tc>
        <w:tc>
          <w:tcPr>
            <w:tcW w:w="4160" w:type="dxa"/>
            <w:vAlign w:val="bottom"/>
            <w:tcBorders>
              <w:bottom w:val="single" w:sz="8" w:color="auto"/>
              <w:right w:val="single" w:sz="8" w:color="auto"/>
            </w:tcBorders>
          </w:tcPr>
          <w:p>
            <w:pPr>
              <w:spacing w:after="0"/>
              <w:rPr>
                <w:sz w:val="10"/>
                <w:szCs w:val="10"/>
                <w:color w:val="auto"/>
              </w:rPr>
            </w:pPr>
          </w:p>
        </w:tc>
      </w:tr>
      <w:tr>
        <w:trPr>
          <w:trHeight w:val="477"/>
        </w:trPr>
        <w:tc>
          <w:tcPr>
            <w:tcW w:w="4120" w:type="dxa"/>
            <w:vAlign w:val="bottom"/>
          </w:tcPr>
          <w:p>
            <w:pPr>
              <w:spacing w:after="0"/>
              <w:rPr>
                <w:sz w:val="24"/>
                <w:szCs w:val="24"/>
                <w:color w:val="auto"/>
              </w:rPr>
            </w:pPr>
          </w:p>
        </w:tc>
        <w:tc>
          <w:tcPr>
            <w:tcW w:w="2960" w:type="dxa"/>
            <w:vAlign w:val="bottom"/>
          </w:tcPr>
          <w:p>
            <w:pPr>
              <w:jc w:val="right"/>
              <w:ind w:right="1197"/>
              <w:spacing w:after="0"/>
              <w:rPr>
                <w:sz w:val="20"/>
                <w:szCs w:val="20"/>
                <w:color w:val="auto"/>
              </w:rPr>
            </w:pPr>
            <w:r>
              <w:rPr>
                <w:rFonts w:ascii="Times New Roman" w:cs="Times New Roman" w:eastAsia="Times New Roman" w:hAnsi="Times New Roman"/>
                <w:sz w:val="22"/>
                <w:szCs w:val="22"/>
                <w:color w:val="auto"/>
              </w:rPr>
              <w:t>132</w:t>
            </w:r>
          </w:p>
        </w:tc>
        <w:tc>
          <w:tcPr>
            <w:tcW w:w="4160" w:type="dxa"/>
            <w:vAlign w:val="bottom"/>
          </w:tcPr>
          <w:p>
            <w:pPr>
              <w:spacing w:after="0"/>
              <w:rPr>
                <w:sz w:val="24"/>
                <w:szCs w:val="24"/>
                <w:color w:val="auto"/>
              </w:rPr>
            </w:pPr>
          </w:p>
        </w:tc>
      </w:tr>
      <w:tr>
        <w:trPr>
          <w:trHeight w:val="1141"/>
        </w:trPr>
        <w:tc>
          <w:tcPr>
            <w:tcW w:w="41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10.20</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w:t>
      </w:r>
      <w:r>
        <w:rPr>
          <w:rFonts w:ascii="Times New Roman" w:cs="Times New Roman" w:eastAsia="Times New Roman" w:hAnsi="Times New Roman"/>
          <w:sz w:val="22"/>
          <w:szCs w:val="22"/>
          <w:b w:val="1"/>
          <w:bCs w:val="1"/>
          <w:color w:val="auto"/>
        </w:rPr>
        <w:t>mployment</w:t>
      </w:r>
      <w:r>
        <w:rPr>
          <w:rFonts w:ascii="Times New Roman" w:cs="Times New Roman" w:eastAsia="Times New Roman" w:hAnsi="Times New Roman"/>
          <w:sz w:val="32"/>
          <w:szCs w:val="32"/>
          <w:b w:val="1"/>
          <w:bCs w:val="1"/>
          <w:color w:val="auto"/>
        </w:rPr>
        <w:t xml:space="preserve"> A</w:t>
      </w:r>
      <w:r>
        <w:rPr>
          <w:rFonts w:ascii="Times New Roman" w:cs="Times New Roman" w:eastAsia="Times New Roman" w:hAnsi="Times New Roman"/>
          <w:sz w:val="22"/>
          <w:szCs w:val="22"/>
          <w:b w:val="1"/>
          <w:bCs w:val="1"/>
          <w:color w:val="auto"/>
        </w:rPr>
        <w:t>greement</w:t>
      </w:r>
    </w:p>
    <w:p>
      <w:pPr>
        <w:spacing w:after="0" w:line="200" w:lineRule="exact"/>
        <w:rPr>
          <w:sz w:val="20"/>
          <w:szCs w:val="20"/>
          <w:color w:val="auto"/>
        </w:rPr>
      </w:pPr>
    </w:p>
    <w:p>
      <w:pPr>
        <w:spacing w:after="0" w:line="351" w:lineRule="exact"/>
        <w:rPr>
          <w:sz w:val="20"/>
          <w:szCs w:val="20"/>
          <w:color w:val="auto"/>
        </w:rPr>
      </w:pPr>
    </w:p>
    <w:p>
      <w:pPr>
        <w:ind w:right="20" w:firstLine="1498"/>
        <w:spacing w:after="0" w:line="275" w:lineRule="auto"/>
        <w:rPr>
          <w:sz w:val="20"/>
          <w:szCs w:val="20"/>
          <w:color w:val="auto"/>
        </w:rPr>
      </w:pPr>
      <w:r>
        <w:rPr>
          <w:rFonts w:ascii="Times New Roman" w:cs="Times New Roman" w:eastAsia="Times New Roman" w:hAnsi="Times New Roman"/>
          <w:sz w:val="23"/>
          <w:szCs w:val="23"/>
          <w:color w:val="auto"/>
        </w:rPr>
        <w:t>T</w:t>
      </w:r>
      <w:r>
        <w:rPr>
          <w:rFonts w:ascii="Times New Roman" w:cs="Times New Roman" w:eastAsia="Times New Roman" w:hAnsi="Times New Roman"/>
          <w:sz w:val="16"/>
          <w:szCs w:val="16"/>
          <w:color w:val="auto"/>
        </w:rPr>
        <w:t>his</w:t>
      </w:r>
      <w:r>
        <w:rPr>
          <w:rFonts w:ascii="Times New Roman" w:cs="Times New Roman" w:eastAsia="Times New Roman" w:hAnsi="Times New Roman"/>
          <w:sz w:val="23"/>
          <w:szCs w:val="23"/>
          <w:color w:val="auto"/>
        </w:rPr>
        <w:t xml:space="preserve"> A</w:t>
      </w:r>
      <w:r>
        <w:rPr>
          <w:rFonts w:ascii="Times New Roman" w:cs="Times New Roman" w:eastAsia="Times New Roman" w:hAnsi="Times New Roman"/>
          <w:sz w:val="16"/>
          <w:szCs w:val="16"/>
          <w:color w:val="auto"/>
        </w:rPr>
        <w:t>greement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(the “Agreement”) is entered into by and between Cosmin Pitigoi (the “Executive” or “you”)</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 xml:space="preserve">and </w:t>
      </w:r>
      <w:r>
        <w:rPr>
          <w:rFonts w:ascii="Times New Roman" w:cs="Times New Roman" w:eastAsia="Times New Roman" w:hAnsi="Times New Roman"/>
          <w:sz w:val="23"/>
          <w:szCs w:val="23"/>
          <w:b w:val="1"/>
          <w:bCs w:val="1"/>
          <w:color w:val="auto"/>
        </w:rPr>
        <w:t>F</w:t>
      </w:r>
      <w:r>
        <w:rPr>
          <w:rFonts w:ascii="Times New Roman" w:cs="Times New Roman" w:eastAsia="Times New Roman" w:hAnsi="Times New Roman"/>
          <w:sz w:val="16"/>
          <w:szCs w:val="16"/>
          <w:b w:val="1"/>
          <w:bCs w:val="1"/>
          <w:color w:val="auto"/>
        </w:rPr>
        <w:t>lywire corporation</w:t>
      </w:r>
      <w:r>
        <w:rPr>
          <w:rFonts w:ascii="Times New Roman" w:cs="Times New Roman" w:eastAsia="Times New Roman" w:hAnsi="Times New Roman"/>
          <w:sz w:val="21"/>
          <w:szCs w:val="21"/>
          <w:color w:val="auto"/>
        </w:rPr>
        <w:t>, a Delaware corporation (the “Company”).</w:t>
      </w:r>
    </w:p>
    <w:p>
      <w:pPr>
        <w:spacing w:after="0" w:line="1" w:lineRule="exact"/>
        <w:rPr>
          <w:sz w:val="20"/>
          <w:szCs w:val="20"/>
          <w:color w:val="auto"/>
        </w:rPr>
      </w:pPr>
    </w:p>
    <w:p>
      <w:pPr>
        <w:ind w:left="1020" w:hanging="263"/>
        <w:spacing w:after="0"/>
        <w:tabs>
          <w:tab w:leader="none" w:pos="102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Duties and Scope of Employment</w:t>
      </w:r>
      <w:r>
        <w:rPr>
          <w:rFonts w:ascii="Times New Roman" w:cs="Times New Roman" w:eastAsia="Times New Roman" w:hAnsi="Times New Roman"/>
          <w:sz w:val="22"/>
          <w:szCs w:val="22"/>
          <w:color w:val="auto"/>
        </w:rPr>
        <w:t>.</w:t>
      </w:r>
    </w:p>
    <w:p>
      <w:pPr>
        <w:spacing w:after="0" w:line="70"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7"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Position</w:t>
      </w:r>
      <w:r>
        <w:rPr>
          <w:rFonts w:ascii="Times New Roman" w:cs="Times New Roman" w:eastAsia="Times New Roman" w:hAnsi="Times New Roman"/>
          <w:sz w:val="22"/>
          <w:szCs w:val="22"/>
          <w:color w:val="auto"/>
        </w:rPr>
        <w:t>. For the term of his employment under this Agreement (the “Employment”),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agrees to employ the Executive in the position of Chief Financial Officer. The Executive shall report to the Chief Executive Officer. Your start date shall be March 4, 2024, or as soon thereafter as reasonably practicable (the “Start Date”).</w:t>
      </w:r>
    </w:p>
    <w:p>
      <w:pPr>
        <w:spacing w:after="0" w:line="17"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7"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Obligations to the Company</w:t>
      </w:r>
      <w:r>
        <w:rPr>
          <w:rFonts w:ascii="Times New Roman" w:cs="Times New Roman" w:eastAsia="Times New Roman" w:hAnsi="Times New Roman"/>
          <w:sz w:val="22"/>
          <w:szCs w:val="22"/>
          <w:color w:val="auto"/>
        </w:rPr>
        <w:t>. During his Employment, the Executive (i) shall devote his full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efforts and time to the Company, (ii) shall not engage in any other employment, consulting or other business activity that would create a conflict of interest with the Company, (iii) shall not assist any person or entity in competing with the Company or in preparing to compete with the Company and (iv) shall materially comply with the Company’s policies and rules, as they may be in effect from time to time.</w:t>
      </w:r>
    </w:p>
    <w:p>
      <w:pPr>
        <w:spacing w:after="0" w:line="2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7"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Conflicting Obligations</w:t>
      </w:r>
      <w:r>
        <w:rPr>
          <w:rFonts w:ascii="Times New Roman" w:cs="Times New Roman" w:eastAsia="Times New Roman" w:hAnsi="Times New Roman"/>
          <w:sz w:val="22"/>
          <w:szCs w:val="22"/>
          <w:color w:val="auto"/>
        </w:rPr>
        <w:t>. The Executive represents and warrants to the Company that he is under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or commitments, whether contractual or otherwise, that are inconsistent with his obligations under this Agreement. The Executive represents and warrants that he will not use or disclose, in connection with his Employment, any trade secrets or other proprietary information or intellectual property in which the Executive or any other person has any right, title or interest and that his Employment will not infringe or violate the rights of any other person.</w:t>
      </w:r>
    </w:p>
    <w:p>
      <w:pPr>
        <w:spacing w:after="0" w:line="40" w:lineRule="exact"/>
        <w:rPr>
          <w:rFonts w:ascii="Times New Roman" w:cs="Times New Roman" w:eastAsia="Times New Roman" w:hAnsi="Times New Roman"/>
          <w:sz w:val="22"/>
          <w:szCs w:val="22"/>
          <w:color w:val="auto"/>
        </w:rPr>
      </w:pPr>
    </w:p>
    <w:p>
      <w:pPr>
        <w:jc w:val="both"/>
        <w:ind w:firstLine="1505"/>
        <w:spacing w:after="0" w:line="270" w:lineRule="auto"/>
        <w:tabs>
          <w:tab w:leader="none" w:pos="2037"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Employment Eligibility</w:t>
      </w:r>
      <w:r>
        <w:rPr>
          <w:rFonts w:ascii="Times New Roman" w:cs="Times New Roman" w:eastAsia="Times New Roman" w:hAnsi="Times New Roman"/>
          <w:sz w:val="20"/>
          <w:szCs w:val="20"/>
          <w:color w:val="auto"/>
        </w:rPr>
        <w:t>. You agree to provide to the Company, within three days of your hire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documentation of your eligibility to work in the United States, as required by the Immigration Reform and Control Act of 1986. You may need to obtain a work visa in order to be eligible to work in the United States. If that is the case, your Employment with the Company will be conditioned upon your obtaining a work visa in a timely manner as determined by the Company.</w:t>
      </w:r>
    </w:p>
    <w:p>
      <w:pPr>
        <w:spacing w:after="0" w:line="3"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Certain capitalized terms are defined in Section 11.</w:t>
      </w:r>
    </w:p>
    <w:p>
      <w:pPr>
        <w:spacing w:after="0" w:line="57"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Cash and Incentive Compensation</w:t>
      </w:r>
      <w:r>
        <w:rPr>
          <w:rFonts w:ascii="Times New Roman" w:cs="Times New Roman" w:eastAsia="Times New Roman" w:hAnsi="Times New Roman"/>
          <w:sz w:val="22"/>
          <w:szCs w:val="22"/>
          <w:color w:val="auto"/>
        </w:rPr>
        <w:t>.</w:t>
      </w:r>
    </w:p>
    <w:p>
      <w:pPr>
        <w:spacing w:after="0" w:line="70" w:lineRule="exact"/>
        <w:rPr>
          <w:rFonts w:ascii="Times New Roman" w:cs="Times New Roman" w:eastAsia="Times New Roman" w:hAnsi="Times New Roman"/>
          <w:sz w:val="22"/>
          <w:szCs w:val="22"/>
          <w:color w:val="auto"/>
        </w:rPr>
      </w:pPr>
    </w:p>
    <w:p>
      <w:pPr>
        <w:jc w:val="both"/>
        <w:ind w:firstLine="1505"/>
        <w:spacing w:after="0"/>
        <w:tabs>
          <w:tab w:leader="none" w:pos="2037"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Salary</w:t>
      </w:r>
      <w:r>
        <w:rPr>
          <w:rFonts w:ascii="Times New Roman" w:cs="Times New Roman" w:eastAsia="Times New Roman" w:hAnsi="Times New Roman"/>
          <w:sz w:val="22"/>
          <w:szCs w:val="22"/>
          <w:color w:val="auto"/>
        </w:rPr>
        <w:t>. The Company shall pay the Executive as compensation for his services a base salary at a gross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 rate of $410,000 (as may be adjusted, the “Base Salary”). Such salary shall be payable in accordance with the Company’s standard payroll procedures and shall be subject to adjustment pursuant to the Company’s executive compensation policies in effect from time to time.</w:t>
      </w:r>
    </w:p>
    <w:p>
      <w:pPr>
        <w:spacing w:after="0" w:line="2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7"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Bonus</w:t>
      </w:r>
      <w:r>
        <w:rPr>
          <w:rFonts w:ascii="Times New Roman" w:cs="Times New Roman" w:eastAsia="Times New Roman" w:hAnsi="Times New Roman"/>
          <w:sz w:val="22"/>
          <w:szCs w:val="22"/>
          <w:color w:val="auto"/>
        </w:rPr>
        <w:t>. You will be eligible for an annual discretionary performance bonus subject to achievement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targets as approved by the Company’s Board of Directors (the “Board”) or its Compensation Committee (the “Committee”). This discretionary target bonus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20" w:name="page221"/>
    <w:bookmarkEnd w:id="220"/>
    <w:p>
      <w:pPr>
        <w:jc w:val="both"/>
        <w:spacing w:after="0" w:line="237" w:lineRule="auto"/>
        <w:rPr>
          <w:sz w:val="20"/>
          <w:szCs w:val="20"/>
          <w:color w:val="auto"/>
        </w:rPr>
      </w:pPr>
      <w:r>
        <w:rPr>
          <w:rFonts w:ascii="Times New Roman" w:cs="Times New Roman" w:eastAsia="Times New Roman" w:hAnsi="Times New Roman"/>
          <w:sz w:val="22"/>
          <w:szCs w:val="22"/>
          <w:color w:val="auto"/>
        </w:rPr>
        <w:t>$300,000 and any such bonus will be paid in accordance with the Company’s bonus program then in effect. Performance bonus goals and attainment of such goals will be evaluated and approved by the Committee and paid on an annual basis, with such payment, to the extent earned, to be made within 2 ½ months following the close of the applicable fiscal year, but only if you are still employed by the Company as of the date of payment. The determinations of the Board or Committee with respect to your bonus will be final and binding.</w:t>
      </w:r>
    </w:p>
    <w:p>
      <w:pPr>
        <w:spacing w:after="0" w:line="28" w:lineRule="exact"/>
        <w:rPr>
          <w:sz w:val="20"/>
          <w:szCs w:val="20"/>
          <w:color w:val="auto"/>
        </w:rPr>
      </w:pPr>
    </w:p>
    <w:p>
      <w:pPr>
        <w:jc w:val="both"/>
        <w:ind w:firstLine="1505"/>
        <w:spacing w:after="0" w:line="246" w:lineRule="auto"/>
        <w:tabs>
          <w:tab w:leader="none" w:pos="2037"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Relocation Benefits</w:t>
      </w:r>
      <w:r>
        <w:rPr>
          <w:rFonts w:ascii="Times New Roman" w:cs="Times New Roman" w:eastAsia="Times New Roman" w:hAnsi="Times New Roman"/>
          <w:sz w:val="22"/>
          <w:szCs w:val="22"/>
          <w:color w:val="auto"/>
        </w:rPr>
        <w:t>. In the event you relocate to Boston in the first 12 months of your Employment,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will pay you (a) up to three months of reasonable temporary housing expenses not to exceed $5,000 per month and (b) a $20,000 relocation allowance for miscellaneous expenses in connection with your move.</w:t>
      </w:r>
    </w:p>
    <w:p>
      <w:pPr>
        <w:spacing w:after="0" w:line="31"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7"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Equity Awards</w:t>
      </w:r>
      <w:r>
        <w:rPr>
          <w:rFonts w:ascii="Times New Roman" w:cs="Times New Roman" w:eastAsia="Times New Roman" w:hAnsi="Times New Roman"/>
          <w:sz w:val="22"/>
          <w:szCs w:val="22"/>
          <w:color w:val="auto"/>
        </w:rPr>
        <w:t>. You will be eligible to participate in the Company’s equity award program,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 of the Board. Subject to the approval of the Committee, you will be granted a one-time sign-on award of a number of restricted stock units equal to $9,250,000 (determined using the average daily closing price per share of the Company’s common stock for the 20 trading days immediately preceding the Start Date, rounded down to the nearest whole share) (the "RSUs") under the Company’s 2021 Equity Incentive Plan (the “Plan”). The RSUs will be subject to the terms and conditions of the Plan and a notice of restricted stock unit award and restricted stock unit agreement (collectively, the “RSU Award Agreement”). You will vest in 35% of the RSUs after 12 months of continuous full-time service, and the balance will vest in quarterly installments over the next 12 quarters of continuous service such that 28% of the RSUs shall vest in the second year and 22% of the RSUs shall vest in the third year and the remaining 15% of the RSUs shall vest in the fourth year, as described more fully in the Plan and in each RSU Award Agreement. You will be eligible for additional equity awards beginning in 2025 as determined by the Committee.</w:t>
      </w:r>
    </w:p>
    <w:p>
      <w:pPr>
        <w:spacing w:after="0" w:line="51" w:lineRule="exact"/>
        <w:rPr>
          <w:rFonts w:ascii="Times New Roman" w:cs="Times New Roman" w:eastAsia="Times New Roman" w:hAnsi="Times New Roman"/>
          <w:sz w:val="22"/>
          <w:szCs w:val="22"/>
          <w:color w:val="auto"/>
        </w:rPr>
      </w:pPr>
    </w:p>
    <w:p>
      <w:pPr>
        <w:jc w:val="both"/>
        <w:ind w:firstLine="757"/>
        <w:spacing w:after="0"/>
        <w:tabs>
          <w:tab w:leader="none" w:pos="1018"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Executive Benefits</w:t>
      </w:r>
      <w:r>
        <w:rPr>
          <w:rFonts w:ascii="Times New Roman" w:cs="Times New Roman" w:eastAsia="Times New Roman" w:hAnsi="Times New Roman"/>
          <w:sz w:val="22"/>
          <w:szCs w:val="22"/>
          <w:color w:val="auto"/>
        </w:rPr>
        <w:t>. During his Employment, the Executive shall be eligible for paid time off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PTO policy, as in effect from time to time. During his Employment, the Executive shall also be eligible to participate in the executive benefit plans maintained by the Company, subject in each case to the generally applicable terms and conditions of the plan in question and to the determinations of any person or committee administering such plan.</w:t>
      </w:r>
    </w:p>
    <w:p>
      <w:pPr>
        <w:spacing w:after="0" w:line="2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 of Employment</w:t>
      </w:r>
      <w:r>
        <w:rPr>
          <w:rFonts w:ascii="Times New Roman" w:cs="Times New Roman" w:eastAsia="Times New Roman" w:hAnsi="Times New Roman"/>
          <w:sz w:val="22"/>
          <w:szCs w:val="22"/>
          <w:color w:val="auto"/>
        </w:rPr>
        <w:t>.</w:t>
      </w:r>
    </w:p>
    <w:p>
      <w:pPr>
        <w:spacing w:after="0" w:line="70"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7"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Employment at Will</w:t>
      </w:r>
      <w:r>
        <w:rPr>
          <w:rFonts w:ascii="Times New Roman" w:cs="Times New Roman" w:eastAsia="Times New Roman" w:hAnsi="Times New Roman"/>
          <w:sz w:val="22"/>
          <w:szCs w:val="22"/>
          <w:color w:val="auto"/>
        </w:rPr>
        <w:t>. The Executive’s Employment with the Company shall be “at will,” meaning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either the Executive or the Company shall be entitled to terminate the Executive’s Employment at any time and for any reason, with or without Cause. Any contrary representations that may have been made to the Executive shall be superseded by this Agreement. This Agreement shall constitute the full and complete agreement between the Executive and the Company on the “at will” nature of the Executive’s Employment. Although the Executive’s job duties, title, compensation and benefits, as well as the Company’s personnel policies and procedures, may change from time to time, the “at will” nature of the Executive’s Employment may only be changed in an express written agreement signed by the Executive and a duly authorized officer of the Company (other than the Executive). The termination of the Executive’s Employment shall not limit or otherwise affect his obligations under Sections 6 and/or 7 below or his rights under Section 5 below.</w:t>
      </w:r>
    </w:p>
    <w:p>
      <w:pPr>
        <w:spacing w:after="0" w:line="31" w:lineRule="exact"/>
        <w:rPr>
          <w:rFonts w:ascii="Times New Roman" w:cs="Times New Roman" w:eastAsia="Times New Roman" w:hAnsi="Times New Roman"/>
          <w:sz w:val="22"/>
          <w:szCs w:val="22"/>
          <w:color w:val="auto"/>
        </w:rPr>
      </w:pPr>
    </w:p>
    <w:p>
      <w:pPr>
        <w:ind w:firstLine="1505"/>
        <w:spacing w:after="0" w:line="261" w:lineRule="auto"/>
        <w:tabs>
          <w:tab w:leader="none" w:pos="2037"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Rights upon Termination</w:t>
      </w:r>
      <w:r>
        <w:rPr>
          <w:rFonts w:ascii="Times New Roman" w:cs="Times New Roman" w:eastAsia="Times New Roman" w:hAnsi="Times New Roman"/>
          <w:sz w:val="22"/>
          <w:szCs w:val="22"/>
          <w:color w:val="auto"/>
        </w:rPr>
        <w:t>. Except as expressly provided in Section 5 below, upon the termination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the Executive shall only be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21" w:name="page222"/>
    <w:bookmarkEnd w:id="221"/>
    <w:p>
      <w:pPr>
        <w:jc w:val="both"/>
        <w:spacing w:after="0" w:line="244" w:lineRule="auto"/>
        <w:rPr>
          <w:sz w:val="20"/>
          <w:szCs w:val="20"/>
          <w:color w:val="auto"/>
        </w:rPr>
      </w:pPr>
      <w:r>
        <w:rPr>
          <w:rFonts w:ascii="Times New Roman" w:cs="Times New Roman" w:eastAsia="Times New Roman" w:hAnsi="Times New Roman"/>
          <w:sz w:val="22"/>
          <w:szCs w:val="22"/>
          <w:color w:val="auto"/>
        </w:rPr>
        <w:t>to the compensation and benefits that the Executive has earned under this Agreement before the effective date of the termination. The payments under this Agreement shall fully discharge all responsibilities of the Company to the Executive (other than payments of accrued and vested executive benefits, if any, under the Company’s executive benefit plans).</w:t>
      </w:r>
    </w:p>
    <w:p>
      <w:pPr>
        <w:spacing w:after="0" w:line="20" w:lineRule="exact"/>
        <w:rPr>
          <w:sz w:val="20"/>
          <w:szCs w:val="20"/>
          <w:color w:val="auto"/>
        </w:rPr>
      </w:pPr>
    </w:p>
    <w:p>
      <w:pPr>
        <w:ind w:left="1020" w:hanging="263"/>
        <w:spacing w:after="0"/>
        <w:tabs>
          <w:tab w:leader="none" w:pos="102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Benefits</w:t>
      </w:r>
      <w:r>
        <w:rPr>
          <w:rFonts w:ascii="Times New Roman" w:cs="Times New Roman" w:eastAsia="Times New Roman" w:hAnsi="Times New Roman"/>
          <w:sz w:val="22"/>
          <w:szCs w:val="22"/>
          <w:color w:val="auto"/>
        </w:rPr>
        <w:t>.</w:t>
      </w:r>
    </w:p>
    <w:p>
      <w:pPr>
        <w:spacing w:after="0" w:line="70" w:lineRule="exact"/>
        <w:rPr>
          <w:rFonts w:ascii="Times New Roman" w:cs="Times New Roman" w:eastAsia="Times New Roman" w:hAnsi="Times New Roman"/>
          <w:sz w:val="22"/>
          <w:szCs w:val="22"/>
          <w:color w:val="auto"/>
        </w:rPr>
      </w:pPr>
    </w:p>
    <w:p>
      <w:pPr>
        <w:jc w:val="both"/>
        <w:ind w:firstLine="1505"/>
        <w:spacing w:after="0" w:line="260" w:lineRule="auto"/>
        <w:tabs>
          <w:tab w:leader="none" w:pos="2037"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General. </w:t>
      </w:r>
      <w:r>
        <w:rPr>
          <w:rFonts w:ascii="Times New Roman" w:cs="Times New Roman" w:eastAsia="Times New Roman" w:hAnsi="Times New Roman"/>
          <w:sz w:val="20"/>
          <w:szCs w:val="20"/>
          <w:color w:val="auto"/>
        </w:rPr>
        <w:t>If you are subject to an Involuntary Termination, then you will be entitled to the benefits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described in Sections 5(b), 5(c) and 5(d). However, Sections 5(b), 5(c) and 5(d) will not apply unless you (i) have returned all Company property in your possession, and (ii) have executed a general release of all claims (with applicable carve-out for continued indemnification, non-disparagement and other customary exceptions) that you may have against the Company or persons affiliated with the Company. You must execute and return the release on or before the date specified by the Company in the prescribed form (the “Release Deadline”). The Release Deadline will in no event be later than 50 days after your Separation. If you fail to return the release on or before the Release Deadline, or if you revoke the release, then you will not be entitled to the benefits described in Sections 5(b), 5(c) and 5(d). Your obligation to provide the release will be waived and treated as satisfied if the Company has not delivered the initial form of release to you within ten days after your employment ends.</w:t>
      </w:r>
    </w:p>
    <w:p>
      <w:pPr>
        <w:spacing w:after="0" w:line="9" w:lineRule="exact"/>
        <w:rPr>
          <w:rFonts w:ascii="Times New Roman" w:cs="Times New Roman" w:eastAsia="Times New Roman" w:hAnsi="Times New Roman"/>
          <w:sz w:val="20"/>
          <w:szCs w:val="20"/>
          <w:color w:val="auto"/>
        </w:rPr>
      </w:pPr>
    </w:p>
    <w:p>
      <w:pPr>
        <w:jc w:val="both"/>
        <w:ind w:firstLine="1505"/>
        <w:spacing w:after="0" w:line="233" w:lineRule="auto"/>
        <w:tabs>
          <w:tab w:leader="none" w:pos="2037"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Severance Payment. </w:t>
      </w:r>
      <w:r>
        <w:rPr>
          <w:rFonts w:ascii="Times New Roman" w:cs="Times New Roman" w:eastAsia="Times New Roman" w:hAnsi="Times New Roman"/>
          <w:sz w:val="22"/>
          <w:szCs w:val="22"/>
          <w:color w:val="auto"/>
        </w:rPr>
        <w:t>If you are subject to an Involuntary Termination, then the Company will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to pay you the Base Salary for nine months following your Separation (the “Severance Period”), and (ii) pay you a lump sum payment equal to your accrued and unpaid annual bonus if you are terminated after the end of a fiscal year, but prior to payment of such bonus. The salary continuation payments will commence on the first payroll date following expiration of the applicable revocation period of the release provided for in Section 5(a) and thereafter on the Company’s normal payroll schedule. In the event you are subject to an Involuntary Termination in the three (3) months prior to a Change in Control, on a Change in Control or in the twelve (12) months following a Change in Control, then the Company will pay you a lump sum cash payment equal to (i) 1 times the sum of (x) Base Salary plus (y) annual target bonus, subject to execution of the release. However, if the 50-day period described in Section 5(a) spans two (2) calendar years, then the salary continuation payments or, if applicable, the lump sum payment will commence or be paid on the first payroll date following expiration of the applicable revocation period in the second calendar year. The Company’s obligation to make payments during the Severance Period will cease immediately upon your material breach of the PIIA (as defined below) after being provided written notice of such breach and 30 days’ opportunity to cure.</w:t>
      </w:r>
    </w:p>
    <w:p>
      <w:pPr>
        <w:spacing w:after="0" w:line="29"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7"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Equity Awards</w:t>
      </w:r>
      <w:r>
        <w:rPr>
          <w:rFonts w:ascii="Times New Roman" w:cs="Times New Roman" w:eastAsia="Times New Roman" w:hAnsi="Times New Roman"/>
          <w:sz w:val="22"/>
          <w:szCs w:val="22"/>
          <w:color w:val="auto"/>
        </w:rPr>
        <w:t>. If you are subject to an Involuntary Termination, then the Company will credit you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additional six months of vesting service with respect to your RSUs (the “cliff” will be disregarded, if applicable). In the event you are subject to an Involuntary Termination in the three (3) months prior to a Change in Control, on a Change in Control or in the twelve (12) months following a Change in Control and such Involuntary Termination occurs prior to the first anniversary of your Start Date, then the Company will credit you with an additional 12 months of vesting with respect to your RSUs (the “cliff” will be disregarded, as applicable). In the event you are subject to an Involuntary Termination in the three (3) months prior to a Change in Control, on a Change in Control or in the twelve (12) months following a Change in Control and such Involuntary Termination occurs on or after the first anniversary of your Start Date, then all of your outstanding and unvested RSUs and other equity awards that are subject to time-based vesting shall be 100% vested and non-forfeitable. In the event that prior to such Involuntary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923925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22" w:name="page223"/>
    <w:bookmarkEnd w:id="222"/>
    <w:p>
      <w:pPr>
        <w:jc w:val="both"/>
        <w:spacing w:after="0" w:line="237" w:lineRule="auto"/>
        <w:rPr>
          <w:sz w:val="20"/>
          <w:szCs w:val="20"/>
          <w:color w:val="auto"/>
        </w:rPr>
      </w:pPr>
      <w:r>
        <w:rPr>
          <w:rFonts w:ascii="Times New Roman" w:cs="Times New Roman" w:eastAsia="Times New Roman" w:hAnsi="Times New Roman"/>
          <w:sz w:val="22"/>
          <w:szCs w:val="22"/>
          <w:color w:val="auto"/>
        </w:rPr>
        <w:t>Termination, any unvested RSUs held by you were terminated without payment upon the closing of the Change in Control, then, in lieu of the acceleration of vesting set forth above, you shall receive a cash payment equal in value the “Per Share Consideration,” defined as the amount payable per share in the Change in Control, times the number of RSUs that would have been accelerated pursuant to the preceding sentence, which amount shall be payable in a lump sum within 15 business days of the Involuntary Termination.</w:t>
      </w:r>
    </w:p>
    <w:p>
      <w:pPr>
        <w:spacing w:after="0" w:line="28" w:lineRule="exact"/>
        <w:rPr>
          <w:sz w:val="20"/>
          <w:szCs w:val="20"/>
          <w:color w:val="auto"/>
        </w:rPr>
      </w:pPr>
    </w:p>
    <w:p>
      <w:pPr>
        <w:jc w:val="both"/>
        <w:ind w:firstLine="1505"/>
        <w:spacing w:after="0" w:line="238" w:lineRule="auto"/>
        <w:tabs>
          <w:tab w:leader="none" w:pos="2037"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COBRA. </w:t>
      </w:r>
      <w:r>
        <w:rPr>
          <w:rFonts w:ascii="Times New Roman" w:cs="Times New Roman" w:eastAsia="Times New Roman" w:hAnsi="Times New Roman"/>
          <w:sz w:val="22"/>
          <w:szCs w:val="22"/>
          <w:color w:val="auto"/>
        </w:rPr>
        <w:t>If you are subject to an Involuntary Termination and you elect to continue your health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insurance coverage under the Consolidated Omnibus Budget Reconciliation Act (“COBRA”) following your Separation, then the Company will continue pay the same percentage of your monthly premium under COBRA, which is understood to potentially be higher than said premium for active employees, for the nine months following your Separation (12 months if the Involuntary Termination is in connection with a Change in Control).</w:t>
      </w:r>
    </w:p>
    <w:p>
      <w:pPr>
        <w:spacing w:after="0" w:line="4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Accrued Rights. </w:t>
      </w:r>
      <w:r>
        <w:rPr>
          <w:rFonts w:ascii="Times New Roman" w:cs="Times New Roman" w:eastAsia="Times New Roman" w:hAnsi="Times New Roman"/>
          <w:sz w:val="22"/>
          <w:szCs w:val="22"/>
          <w:color w:val="auto"/>
        </w:rPr>
        <w:t>You will be entitled to receive the following upon termination of employment for any</w:t>
      </w:r>
    </w:p>
    <w:p>
      <w:pPr>
        <w:spacing w:after="0" w:line="17" w:lineRule="exact"/>
        <w:rPr>
          <w:rFonts w:ascii="Times New Roman" w:cs="Times New Roman" w:eastAsia="Times New Roman" w:hAnsi="Times New Roman"/>
          <w:sz w:val="22"/>
          <w:szCs w:val="22"/>
          <w:color w:val="auto"/>
        </w:rPr>
      </w:pPr>
    </w:p>
    <w:p>
      <w:pPr>
        <w:jc w:val="both"/>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 (i) accrued and unpaid Base Salary through the date of termination of employment; (ii) reimbursement for any unreimbursed business expenses; and (iii) such employee benefits, if any, to which the Executive may be entitled under the applicable Company plans upon termination of employment.</w:t>
      </w:r>
    </w:p>
    <w:p>
      <w:pPr>
        <w:spacing w:after="0" w:line="24"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Documents and Company Property. </w:t>
      </w:r>
      <w:r>
        <w:rPr>
          <w:rFonts w:ascii="Times New Roman" w:cs="Times New Roman" w:eastAsia="Times New Roman" w:hAnsi="Times New Roman"/>
          <w:sz w:val="22"/>
          <w:szCs w:val="22"/>
          <w:color w:val="auto"/>
        </w:rPr>
        <w:t>The Executive is prohibited from keeping in his possession in any way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correspondence, documents, other information carriers, copies thereof, and other goods made available by the Company or its affiliates to him (including, but not limited to, credit cards, mobile communication devices, keys, documents, handbooks, financial data, plans, USB sticks or other information carriers, access cards and laptop computer), except to the extent that this is necessary for the performance of his work for the Company. In any event, the Executive is obliged to immediately hand over such documents and other goods made available to him at the end of this Agreement or upon suspension of his active duties for any reason other than documents relating to his own employment and compensation.</w:t>
      </w:r>
    </w:p>
    <w:p>
      <w:pPr>
        <w:spacing w:after="0" w:line="25" w:lineRule="exact"/>
        <w:rPr>
          <w:rFonts w:ascii="Times New Roman" w:cs="Times New Roman" w:eastAsia="Times New Roman" w:hAnsi="Times New Roman"/>
          <w:sz w:val="22"/>
          <w:szCs w:val="22"/>
          <w:color w:val="auto"/>
        </w:rPr>
      </w:pPr>
    </w:p>
    <w:p>
      <w:pPr>
        <w:jc w:val="both"/>
        <w:ind w:firstLine="757"/>
        <w:spacing w:after="0" w:line="246" w:lineRule="auto"/>
        <w:tabs>
          <w:tab w:leader="none" w:pos="1018"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Proprietary Information and Inventions Agreement. </w:t>
      </w:r>
      <w:r>
        <w:rPr>
          <w:rFonts w:ascii="Times New Roman" w:cs="Times New Roman" w:eastAsia="Times New Roman" w:hAnsi="Times New Roman"/>
          <w:sz w:val="22"/>
          <w:szCs w:val="22"/>
          <w:color w:val="auto"/>
        </w:rPr>
        <w:t>You will also be required to sign a Proprietary Rights, Non-Disclosure, Developments, Non-Competition, and Non-Solicitation Agreement in the form attached as Exhibit A (the “PIIA”), as a condition of your Employment.</w:t>
      </w:r>
    </w:p>
    <w:p>
      <w:pPr>
        <w:spacing w:after="0" w:line="31"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Reimbursement of Expenses. </w:t>
      </w:r>
      <w:r>
        <w:rPr>
          <w:rFonts w:ascii="Times New Roman" w:cs="Times New Roman" w:eastAsia="Times New Roman" w:hAnsi="Times New Roman"/>
          <w:sz w:val="22"/>
          <w:szCs w:val="22"/>
          <w:color w:val="auto"/>
        </w:rPr>
        <w:t>The Company will reimburse business expenses reasonably incurred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of your duties in accordance with the Company’s standard practice and expense scheme in place at the time (generally within 30 days after you have submitted appropriate documentation, which you must do within 30 days after incurring the expense) and, in any case, on or before the last day of the calendar year following the calendar year in which the relevant expense is incurred. The Company will reimburse reasonable costs of the professional use of your (mobile) telephone.</w:t>
      </w:r>
    </w:p>
    <w:p>
      <w:pPr>
        <w:spacing w:after="0" w:line="2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w:t>
      </w:r>
      <w:r>
        <w:rPr>
          <w:rFonts w:ascii="Times New Roman" w:cs="Times New Roman" w:eastAsia="Times New Roman" w:hAnsi="Times New Roman"/>
          <w:sz w:val="22"/>
          <w:szCs w:val="22"/>
          <w:color w:val="auto"/>
        </w:rPr>
        <w:t>.</w:t>
      </w:r>
    </w:p>
    <w:p>
      <w:pPr>
        <w:spacing w:after="0" w:line="57" w:lineRule="exact"/>
        <w:rPr>
          <w:rFonts w:ascii="Times New Roman" w:cs="Times New Roman" w:eastAsia="Times New Roman" w:hAnsi="Times New Roman"/>
          <w:sz w:val="22"/>
          <w:szCs w:val="22"/>
          <w:color w:val="auto"/>
        </w:rPr>
      </w:pPr>
    </w:p>
    <w:p>
      <w:pPr>
        <w:jc w:val="both"/>
        <w:ind w:firstLine="1505"/>
        <w:spacing w:after="0"/>
        <w:tabs>
          <w:tab w:leader="none" w:pos="2037"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Company’s Successors</w:t>
      </w:r>
      <w:r>
        <w:rPr>
          <w:rFonts w:ascii="Times New Roman" w:cs="Times New Roman" w:eastAsia="Times New Roman" w:hAnsi="Times New Roman"/>
          <w:sz w:val="22"/>
          <w:szCs w:val="22"/>
          <w:color w:val="auto"/>
        </w:rPr>
        <w:t>. This Agreement shall be binding upon any successor (whether direct or indirect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whether by purchase, lease, merger, consolidation, liquidation or otherwise) to all or substantially all of the Company’s business and/or assets. For all purposes under this Agreement, the term “Company” shall include any successor to the Company’s business and/or assets which becomes bound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923290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23" w:name="page224"/>
    <w:bookmarkEnd w:id="223"/>
    <w:p>
      <w:pPr>
        <w:jc w:val="both"/>
        <w:ind w:right="80" w:firstLine="1505"/>
        <w:spacing w:after="0" w:line="246" w:lineRule="auto"/>
        <w:tabs>
          <w:tab w:leader="none" w:pos="2037"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Executive’s Successors</w:t>
      </w:r>
      <w:r>
        <w:rPr>
          <w:rFonts w:ascii="Times New Roman" w:cs="Times New Roman" w:eastAsia="Times New Roman" w:hAnsi="Times New Roman"/>
          <w:sz w:val="22"/>
          <w:szCs w:val="22"/>
          <w:color w:val="auto"/>
        </w:rPr>
        <w:t>. This Agreement and all rights of the Executive hereunder shall inure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of, and be enforceable by, the Executive’s personal or legal representatives, executors, administrators, successors, heirs, distributees, devisees and legatees.</w:t>
      </w:r>
    </w:p>
    <w:p>
      <w:pPr>
        <w:spacing w:after="0" w:line="18" w:lineRule="exact"/>
        <w:rPr>
          <w:sz w:val="20"/>
          <w:szCs w:val="20"/>
          <w:color w:val="auto"/>
        </w:rPr>
      </w:pPr>
    </w:p>
    <w:p>
      <w:pPr>
        <w:jc w:val="both"/>
        <w:ind w:right="80" w:firstLine="749"/>
        <w:spacing w:after="0" w:line="246"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b w:val="1"/>
          <w:bCs w:val="1"/>
          <w:color w:val="auto"/>
        </w:rPr>
        <w:t>Indemnification.</w:t>
      </w:r>
      <w:r>
        <w:rPr>
          <w:rFonts w:ascii="Times New Roman" w:cs="Times New Roman" w:eastAsia="Times New Roman" w:hAnsi="Times New Roman"/>
          <w:sz w:val="22"/>
          <w:szCs w:val="22"/>
          <w:color w:val="auto"/>
        </w:rPr>
        <w:t xml:space="preserve"> As an officer of the Company, you are entitled to indemnification by the Company pursuant to the Company’s standard form of indemnification agreement, the form of which is attached hereto as Exhibit B (the “Indemnification Agreement”). The Company’s indemnification obligation shall survive any termination of your employment.</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The following terms shall have the meaning set forth below wherever they are used in this Agreement:</w:t>
      </w:r>
    </w:p>
    <w:p>
      <w:pPr>
        <w:spacing w:after="0" w:line="57" w:lineRule="exact"/>
        <w:rPr>
          <w:sz w:val="20"/>
          <w:szCs w:val="20"/>
          <w:color w:val="auto"/>
        </w:rPr>
      </w:pPr>
    </w:p>
    <w:p>
      <w:pPr>
        <w:ind w:left="2040" w:hanging="535"/>
        <w:spacing w:after="0"/>
        <w:tabs>
          <w:tab w:leader="none" w:pos="204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w:t>
      </w:r>
    </w:p>
    <w:p>
      <w:pPr>
        <w:spacing w:after="0" w:line="61" w:lineRule="exact"/>
        <w:rPr>
          <w:rFonts w:ascii="Times New Roman" w:cs="Times New Roman" w:eastAsia="Times New Roman" w:hAnsi="Times New Roman"/>
          <w:sz w:val="22"/>
          <w:szCs w:val="22"/>
          <w:color w:val="auto"/>
        </w:rPr>
      </w:pPr>
    </w:p>
    <w:p>
      <w:pPr>
        <w:ind w:left="760" w:right="120" w:firstLine="1494"/>
        <w:spacing w:after="0" w:line="258" w:lineRule="auto"/>
        <w:tabs>
          <w:tab w:leader="none" w:pos="2689"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failure by you to comply with the Company’s written policies or rules after being provided written notice and 30 days’ opportunity to cure;</w:t>
      </w:r>
    </w:p>
    <w:p>
      <w:pPr>
        <w:spacing w:after="0" w:line="49" w:lineRule="exact"/>
        <w:rPr>
          <w:rFonts w:ascii="Times New Roman" w:cs="Times New Roman" w:eastAsia="Times New Roman" w:hAnsi="Times New Roman"/>
          <w:sz w:val="22"/>
          <w:szCs w:val="22"/>
          <w:color w:val="auto"/>
        </w:rPr>
      </w:pPr>
    </w:p>
    <w:p>
      <w:pPr>
        <w:ind w:left="760" w:right="120" w:firstLine="1494"/>
        <w:spacing w:after="0" w:line="258" w:lineRule="auto"/>
        <w:tabs>
          <w:tab w:leader="none" w:pos="2689"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conviction of, or plea of “guilty” or “no contest” to, a crime involving moral turpitude, deceit, dishonesty or fraud that has caused harm to the Company or any affiliate of the Company;</w:t>
      </w:r>
    </w:p>
    <w:p>
      <w:pPr>
        <w:spacing w:after="0" w:line="49" w:lineRule="exact"/>
        <w:rPr>
          <w:rFonts w:ascii="Times New Roman" w:cs="Times New Roman" w:eastAsia="Times New Roman" w:hAnsi="Times New Roman"/>
          <w:sz w:val="22"/>
          <w:szCs w:val="22"/>
          <w:color w:val="auto"/>
        </w:rPr>
      </w:pPr>
    </w:p>
    <w:p>
      <w:pPr>
        <w:jc w:val="both"/>
        <w:ind w:left="760" w:firstLine="1577"/>
        <w:spacing w:after="0" w:line="244" w:lineRule="auto"/>
        <w:tabs>
          <w:tab w:leader="none" w:pos="3121" w:val="left"/>
        </w:tabs>
        <w:numPr>
          <w:ilvl w:val="2"/>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willful and continued failure to substantially perform (other than by reason of Disabil your duties and responsibilities assigned or delegated after receiving written notification of such failure from the Company and 30 days’ opportunity to cure;</w:t>
      </w:r>
    </w:p>
    <w:p>
      <w:pPr>
        <w:spacing w:after="0" w:line="64" w:lineRule="exact"/>
        <w:rPr>
          <w:sz w:val="20"/>
          <w:szCs w:val="20"/>
          <w:color w:val="auto"/>
        </w:rPr>
      </w:pPr>
    </w:p>
    <w:p>
      <w:pPr>
        <w:jc w:val="both"/>
        <w:ind w:left="760" w:right="80" w:firstLine="1494"/>
        <w:spacing w:after="0" w:line="244" w:lineRule="auto"/>
        <w:tabs>
          <w:tab w:leader="none" w:pos="2689"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intentional act of dishonesty, deceit, fraud, moral turpitude, misconduct, breach of trust or acts intentionally against the financial or business interests of the Company by you, or your use or possession of illegal drugs in the workplace;</w:t>
      </w:r>
    </w:p>
    <w:p>
      <w:pPr>
        <w:spacing w:after="0" w:line="64" w:lineRule="exact"/>
        <w:rPr>
          <w:rFonts w:ascii="Times New Roman" w:cs="Times New Roman" w:eastAsia="Times New Roman" w:hAnsi="Times New Roman"/>
          <w:sz w:val="22"/>
          <w:szCs w:val="22"/>
          <w:color w:val="auto"/>
        </w:rPr>
      </w:pPr>
    </w:p>
    <w:p>
      <w:pPr>
        <w:ind w:left="760" w:right="100" w:firstLine="1494"/>
        <w:spacing w:after="0" w:line="258" w:lineRule="auto"/>
        <w:tabs>
          <w:tab w:leader="none" w:pos="2689"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breach by you of any of your obligations under any agreement between you and the Company after being provided written notice and 30 days’ opportunity to cure; or</w:t>
      </w:r>
    </w:p>
    <w:p>
      <w:pPr>
        <w:spacing w:after="0" w:line="49" w:lineRule="exact"/>
        <w:rPr>
          <w:rFonts w:ascii="Times New Roman" w:cs="Times New Roman" w:eastAsia="Times New Roman" w:hAnsi="Times New Roman"/>
          <w:sz w:val="22"/>
          <w:szCs w:val="22"/>
          <w:color w:val="auto"/>
        </w:rPr>
      </w:pPr>
    </w:p>
    <w:p>
      <w:pPr>
        <w:ind w:left="760" w:right="140" w:firstLine="1494"/>
        <w:spacing w:after="0" w:line="258" w:lineRule="auto"/>
        <w:tabs>
          <w:tab w:leader="none" w:pos="2689"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failure to cooperate in good faith with a governmental or internal investigation of the Company or its directors, officers or employees, if the Company has requested your cooperation</w:t>
      </w:r>
      <w:r>
        <w:rPr>
          <w:rFonts w:ascii="Times New Roman" w:cs="Times New Roman" w:eastAsia="Times New Roman" w:hAnsi="Times New Roman"/>
          <w:sz w:val="22"/>
          <w:szCs w:val="22"/>
          <w:b w:val="1"/>
          <w:bCs w:val="1"/>
          <w:color w:val="auto"/>
        </w:rPr>
        <w:t>.</w:t>
      </w:r>
    </w:p>
    <w:p>
      <w:pPr>
        <w:spacing w:after="0" w:line="49" w:lineRule="exact"/>
        <w:rPr>
          <w:sz w:val="20"/>
          <w:szCs w:val="20"/>
          <w:color w:val="auto"/>
        </w:rPr>
      </w:pPr>
    </w:p>
    <w:p>
      <w:pPr>
        <w:jc w:val="both"/>
        <w:ind w:right="80" w:firstLine="1498"/>
        <w:spacing w:after="0" w:line="244" w:lineRule="auto"/>
        <w:rPr>
          <w:sz w:val="20"/>
          <w:szCs w:val="20"/>
          <w:color w:val="auto"/>
        </w:rPr>
      </w:pPr>
      <w:r>
        <w:rPr>
          <w:rFonts w:ascii="Times New Roman" w:cs="Times New Roman" w:eastAsia="Times New Roman" w:hAnsi="Times New Roman"/>
          <w:sz w:val="22"/>
          <w:szCs w:val="22"/>
          <w:color w:val="auto"/>
        </w:rPr>
        <w:t>For purposes of this definition of Cause, no act, or failure to act, will be deemed “willful” or “intentional” if done or omitted to be done by the Executive in good faith with a reasonable belief that Executive’s act, or failure to act, was in the best interest of the Company.</w:t>
      </w:r>
    </w:p>
    <w:p>
      <w:pPr>
        <w:spacing w:after="0" w:line="60" w:lineRule="exact"/>
        <w:rPr>
          <w:sz w:val="20"/>
          <w:szCs w:val="20"/>
          <w:color w:val="auto"/>
        </w:rPr>
      </w:pPr>
    </w:p>
    <w:p>
      <w:pPr>
        <w:jc w:val="both"/>
        <w:ind w:right="80" w:firstLine="1505"/>
        <w:spacing w:after="0" w:line="234" w:lineRule="auto"/>
        <w:tabs>
          <w:tab w:leader="none" w:pos="2037"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 xml:space="preserve">Change in Control” </w:t>
      </w:r>
      <w:r>
        <w:rPr>
          <w:rFonts w:ascii="Times New Roman" w:cs="Times New Roman" w:eastAsia="Times New Roman" w:hAnsi="Times New Roman"/>
          <w:sz w:val="22"/>
          <w:szCs w:val="22"/>
          <w:color w:val="auto"/>
        </w:rPr>
        <w:t>shall mean (i) any “person” (as such term is used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(ii) the consummation of a merger or consolidation of the Company with or into any other entity, other than a merger or consolidation which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or such surviving entity or its parent outstanding immediately after such merger or consolidation; or (iii) the sale, transfer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926465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403" w:right="2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22"/>
          <w:szCs w:val="22"/>
          <w:color w:val="auto"/>
        </w:rPr>
        <w:t>other disposition of all or substantially all of the Company’s assets.</w:t>
      </w:r>
    </w:p>
    <w:p>
      <w:pPr>
        <w:spacing w:after="0" w:line="53" w:lineRule="exact"/>
        <w:rPr>
          <w:sz w:val="20"/>
          <w:szCs w:val="20"/>
          <w:color w:val="auto"/>
        </w:rPr>
      </w:pPr>
    </w:p>
    <w:p>
      <w:pPr>
        <w:ind w:left="2040" w:hanging="535"/>
        <w:spacing w:after="0"/>
        <w:tabs>
          <w:tab w:leader="none" w:pos="204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shall mean the Internal Revenue Code of 1986, as amended.</w:t>
      </w:r>
    </w:p>
    <w:p>
      <w:pPr>
        <w:spacing w:after="0" w:line="70" w:lineRule="exact"/>
        <w:rPr>
          <w:rFonts w:ascii="Times New Roman" w:cs="Times New Roman" w:eastAsia="Times New Roman" w:hAnsi="Times New Roman"/>
          <w:sz w:val="22"/>
          <w:szCs w:val="22"/>
          <w:color w:val="auto"/>
        </w:rPr>
      </w:pPr>
    </w:p>
    <w:p>
      <w:pPr>
        <w:jc w:val="both"/>
        <w:ind w:firstLine="1505"/>
        <w:spacing w:after="0"/>
        <w:tabs>
          <w:tab w:leader="none" w:pos="2037"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mean that the Executive is unable to engage in any substantial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gainful activity as required to perform his material duties (with reasonable accommodation) by reason of any medically determinable physical or mental impairment which can be expected to result in death or to last for a continuous period of not less than twelve months.</w:t>
      </w:r>
    </w:p>
    <w:p>
      <w:pPr>
        <w:spacing w:after="0" w:line="26" w:lineRule="exact"/>
        <w:rPr>
          <w:rFonts w:ascii="Times New Roman" w:cs="Times New Roman" w:eastAsia="Times New Roman" w:hAnsi="Times New Roman"/>
          <w:sz w:val="22"/>
          <w:szCs w:val="22"/>
          <w:color w:val="auto"/>
        </w:rPr>
      </w:pPr>
    </w:p>
    <w:p>
      <w:pPr>
        <w:ind w:right="20" w:firstLine="1505"/>
        <w:spacing w:after="0" w:line="261" w:lineRule="auto"/>
        <w:tabs>
          <w:tab w:leader="none" w:pos="2037"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Involuntary Termination</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Involuntary Termination</w:t>
      </w:r>
      <w:r>
        <w:rPr>
          <w:rFonts w:ascii="Times New Roman" w:cs="Times New Roman" w:eastAsia="Times New Roman" w:hAnsi="Times New Roman"/>
          <w:sz w:val="22"/>
          <w:szCs w:val="22"/>
          <w:color w:val="auto"/>
        </w:rPr>
        <w:t>” shall mean either the Executive’s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Without Cause or (ii) Resignation for Good Reason.</w:t>
      </w:r>
    </w:p>
    <w:p>
      <w:pPr>
        <w:spacing w:after="0" w:line="2" w:lineRule="exact"/>
        <w:rPr>
          <w:rFonts w:ascii="Times New Roman" w:cs="Times New Roman" w:eastAsia="Times New Roman" w:hAnsi="Times New Roman"/>
          <w:sz w:val="22"/>
          <w:szCs w:val="22"/>
          <w:color w:val="auto"/>
        </w:rPr>
      </w:pPr>
    </w:p>
    <w:p>
      <w:pPr>
        <w:jc w:val="both"/>
        <w:ind w:right="20" w:firstLine="1505"/>
        <w:spacing w:after="0" w:line="246" w:lineRule="auto"/>
        <w:tabs>
          <w:tab w:leader="none" w:pos="2037"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Resignation for Good Reason</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Resignation for Good Reason</w:t>
      </w:r>
      <w:r>
        <w:rPr>
          <w:rFonts w:ascii="Times New Roman" w:cs="Times New Roman" w:eastAsia="Times New Roman" w:hAnsi="Times New Roman"/>
          <w:sz w:val="22"/>
          <w:szCs w:val="22"/>
          <w:color w:val="auto"/>
        </w:rPr>
        <w:t>” means a Separation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 of the Executive’s resignation within 12 months after one of the following conditions has come into existence without the Executive’s written consent:</w:t>
      </w:r>
    </w:p>
    <w:p>
      <w:pPr>
        <w:spacing w:after="0" w:line="35" w:lineRule="exact"/>
        <w:rPr>
          <w:sz w:val="20"/>
          <w:szCs w:val="20"/>
          <w:color w:val="auto"/>
        </w:rPr>
      </w:pPr>
    </w:p>
    <w:p>
      <w:pPr>
        <w:ind w:right="760" w:firstLine="2254"/>
        <w:spacing w:after="0" w:line="258" w:lineRule="auto"/>
        <w:tabs>
          <w:tab w:leader="none" w:pos="2526"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your compensation (except for across-the-board reductions affecting the Company’s similarly situated employees generally);</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(ii)a material diminution in your title, duties, authority and responsibilities within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33" w:lineRule="exact"/>
        <w:rPr>
          <w:sz w:val="20"/>
          <w:szCs w:val="20"/>
          <w:color w:val="auto"/>
        </w:rPr>
      </w:pPr>
    </w:p>
    <w:p>
      <w:pPr>
        <w:jc w:val="both"/>
        <w:ind w:right="740" w:firstLine="2246"/>
        <w:spacing w:after="0" w:line="258" w:lineRule="auto"/>
        <w:rPr>
          <w:sz w:val="20"/>
          <w:szCs w:val="20"/>
          <w:color w:val="auto"/>
        </w:rPr>
      </w:pPr>
      <w:r>
        <w:rPr>
          <w:rFonts w:ascii="Times New Roman" w:cs="Times New Roman" w:eastAsia="Times New Roman" w:hAnsi="Times New Roman"/>
          <w:sz w:val="22"/>
          <w:szCs w:val="22"/>
          <w:color w:val="auto"/>
        </w:rPr>
        <w:t>(iii)relocation of your principal workplace by more than fifty (50) miles away from the location which you were working immediately prior to the required relocation without your prior consent; or</w:t>
      </w:r>
    </w:p>
    <w:p>
      <w:pPr>
        <w:spacing w:after="0" w:line="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(iv)a material breach of the Company’s obligation under any agreement between the Company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you.</w:t>
      </w:r>
    </w:p>
    <w:p>
      <w:pPr>
        <w:spacing w:after="0" w:line="33" w:lineRule="exact"/>
        <w:rPr>
          <w:sz w:val="20"/>
          <w:szCs w:val="20"/>
          <w:color w:val="auto"/>
        </w:rPr>
      </w:pPr>
    </w:p>
    <w:p>
      <w:pPr>
        <w:jc w:val="both"/>
        <w:ind w:right="760"/>
        <w:spacing w:after="0" w:line="244" w:lineRule="auto"/>
        <w:rPr>
          <w:sz w:val="20"/>
          <w:szCs w:val="20"/>
          <w:color w:val="auto"/>
        </w:rPr>
      </w:pPr>
      <w:r>
        <w:rPr>
          <w:rFonts w:ascii="Times New Roman" w:cs="Times New Roman" w:eastAsia="Times New Roman" w:hAnsi="Times New Roman"/>
          <w:sz w:val="22"/>
          <w:szCs w:val="22"/>
          <w:color w:val="auto"/>
        </w:rPr>
        <w:t>A Resignation for Good Reason shall not be deemed to have occurred unless the Executive gives the Company written notice of the condition within 60 days after the condition comes into existence and the Company fails to remedy the condition within 30 days after receiving the Executive’s written notice.</w:t>
      </w:r>
    </w:p>
    <w:p>
      <w:pPr>
        <w:spacing w:after="0" w:line="20" w:lineRule="exact"/>
        <w:rPr>
          <w:sz w:val="20"/>
          <w:szCs w:val="20"/>
          <w:color w:val="auto"/>
        </w:rPr>
      </w:pPr>
    </w:p>
    <w:p>
      <w:pPr>
        <w:ind w:firstLine="1505"/>
        <w:spacing w:after="0" w:line="261" w:lineRule="auto"/>
        <w:tabs>
          <w:tab w:leader="none" w:pos="2037"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Separation</w:t>
      </w:r>
      <w:r>
        <w:rPr>
          <w:rFonts w:ascii="Times New Roman" w:cs="Times New Roman" w:eastAsia="Times New Roman" w:hAnsi="Times New Roman"/>
          <w:sz w:val="22"/>
          <w:szCs w:val="22"/>
          <w:color w:val="auto"/>
        </w:rPr>
        <w:t>. The term “Separation” shall mean a “separation from service,” as defined in the regulations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Section 409A of the Code.</w:t>
      </w:r>
    </w:p>
    <w:p>
      <w:pPr>
        <w:spacing w:after="0" w:line="16" w:lineRule="exact"/>
        <w:rPr>
          <w:rFonts w:ascii="Times New Roman" w:cs="Times New Roman" w:eastAsia="Times New Roman" w:hAnsi="Times New Roman"/>
          <w:sz w:val="22"/>
          <w:szCs w:val="22"/>
          <w:color w:val="auto"/>
        </w:rPr>
      </w:pPr>
    </w:p>
    <w:p>
      <w:pPr>
        <w:ind w:firstLine="1505"/>
        <w:spacing w:after="0" w:line="261" w:lineRule="auto"/>
        <w:tabs>
          <w:tab w:leader="none" w:pos="2037"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Termination Without Cause</w:t>
      </w:r>
      <w:r>
        <w:rPr>
          <w:rFonts w:ascii="Times New Roman" w:cs="Times New Roman" w:eastAsia="Times New Roman" w:hAnsi="Times New Roman"/>
          <w:sz w:val="22"/>
          <w:szCs w:val="22"/>
          <w:color w:val="auto"/>
        </w:rPr>
        <w:t>” The term “Termination without Cause” means a Separation as a result of a termination of the Executive’s employment by the Company without Cause and other than as a result of Disability.</w:t>
      </w:r>
    </w:p>
    <w:p>
      <w:pPr>
        <w:spacing w:after="0" w:line="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color w:val="auto"/>
        </w:rPr>
        <w:t>Miscellaneous Provisions</w:t>
      </w:r>
      <w:r>
        <w:rPr>
          <w:rFonts w:ascii="Times New Roman" w:cs="Times New Roman" w:eastAsia="Times New Roman" w:hAnsi="Times New Roman"/>
          <w:sz w:val="22"/>
          <w:szCs w:val="22"/>
          <w:color w:val="auto"/>
        </w:rPr>
        <w:t>.</w:t>
      </w:r>
    </w:p>
    <w:p>
      <w:pPr>
        <w:spacing w:after="0" w:line="57" w:lineRule="exact"/>
        <w:rPr>
          <w:sz w:val="20"/>
          <w:szCs w:val="20"/>
          <w:color w:val="auto"/>
        </w:rPr>
      </w:pPr>
    </w:p>
    <w:p>
      <w:pPr>
        <w:jc w:val="both"/>
        <w:ind w:firstLine="1505"/>
        <w:spacing w:after="0" w:line="236" w:lineRule="auto"/>
        <w:tabs>
          <w:tab w:leader="none" w:pos="2037"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Notices and all other communications contemplated by this Agreement shall be in writing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to have been duly given when personally delivered, when delivered via email to a Company domain email address or, following the Separation, to the Executive’s personal email address on file with Human Resources, when delivered by FedEx with delivery charges prepaid, or when mailed by U.S. registered or certified mail, return receipt requested and postage prepaid. In the case of the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25" w:name="page226"/>
    <w:bookmarkEnd w:id="225"/>
    <w:p>
      <w:pPr>
        <w:jc w:val="both"/>
        <w:ind w:left="-1120" w:firstLine="1505"/>
        <w:spacing w:after="0" w:line="238" w:lineRule="auto"/>
        <w:tabs>
          <w:tab w:leader="none" w:pos="917"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Modifications and Waivers</w:t>
      </w:r>
      <w:r>
        <w:rPr>
          <w:rFonts w:ascii="Times New Roman" w:cs="Times New Roman" w:eastAsia="Times New Roman" w:hAnsi="Times New Roman"/>
          <w:sz w:val="22"/>
          <w:szCs w:val="22"/>
          <w:color w:val="auto"/>
        </w:rPr>
        <w:t>. No provision of this Agreement shall be modified, waived or discharged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the modification, waiver or discharge is agreed 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26" w:lineRule="exact"/>
        <w:rPr>
          <w:rFonts w:ascii="Times New Roman" w:cs="Times New Roman" w:eastAsia="Times New Roman" w:hAnsi="Times New Roman"/>
          <w:sz w:val="22"/>
          <w:szCs w:val="22"/>
          <w:color w:val="auto"/>
        </w:rPr>
      </w:pPr>
    </w:p>
    <w:p>
      <w:pPr>
        <w:jc w:val="both"/>
        <w:ind w:left="-1120" w:firstLine="1505"/>
        <w:spacing w:after="0" w:line="246" w:lineRule="auto"/>
        <w:tabs>
          <w:tab w:leader="none" w:pos="917"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Whole Agreement</w:t>
      </w:r>
      <w:r>
        <w:rPr>
          <w:rFonts w:ascii="Times New Roman" w:cs="Times New Roman" w:eastAsia="Times New Roman" w:hAnsi="Times New Roman"/>
          <w:sz w:val="22"/>
          <w:szCs w:val="22"/>
          <w:color w:val="auto"/>
        </w:rPr>
        <w:t>. This Agreement supersedes and replaces any prior agreements, representations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understandings (whether written, oral, implied or otherwise) between the Executive and the Company and constitute the complete agreement between the Executive and the Company regarding the subject matter set forth herein.</w:t>
      </w:r>
    </w:p>
    <w:p>
      <w:pPr>
        <w:spacing w:after="0" w:line="31" w:lineRule="exact"/>
        <w:rPr>
          <w:rFonts w:ascii="Times New Roman" w:cs="Times New Roman" w:eastAsia="Times New Roman" w:hAnsi="Times New Roman"/>
          <w:sz w:val="22"/>
          <w:szCs w:val="22"/>
          <w:color w:val="auto"/>
        </w:rPr>
      </w:pPr>
    </w:p>
    <w:p>
      <w:pPr>
        <w:jc w:val="both"/>
        <w:ind w:left="-1120" w:firstLine="1505"/>
        <w:spacing w:after="0" w:line="233" w:lineRule="auto"/>
        <w:tabs>
          <w:tab w:leader="none" w:pos="917"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Matters</w:t>
      </w:r>
      <w:r>
        <w:rPr>
          <w:rFonts w:ascii="Times New Roman" w:cs="Times New Roman" w:eastAsia="Times New Roman" w:hAnsi="Times New Roman"/>
          <w:sz w:val="22"/>
          <w:szCs w:val="22"/>
          <w:color w:val="auto"/>
        </w:rPr>
        <w:t>. All payments made under this Agreement shall be subject to reduction to reflect taxes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charges required to be withheld by law. The Company intends that all payments and benefits provided under this Agreement or otherwise are exempt from, or comply with, with the requirements of Section 409A of the Code so that none of the payments or benefits will be subject to the additional tax imposed under Section 409A of the Code, and any ambiguities herein will be interpreted in accordance with such intent. For purposes of Section 409A of the Code, each payment, installment or benefit payable under this Agreement is hereby designated as a separate payment. In addition, if the Company determines that you are a “specified employee” under Section 409A(a)(2)(B)(i) of the Code at the time of your Separation, then (i) any severance payments or benefits, to the extent that they are subject to Section 409A of the Code, will not be paid or otherwise provided until the first business day following (A) expiration of the six-month period measured from your Separation or (B) the date of your death and (ii) any installments that otherwise would have been paid or provided prior to such date will be paid or provided in a lump sum when the severance payments or benefits commence. The Company shall not have a duty to design its compensation policies in a manner that minimizes your tax liabilities, and you agree not to make any claim against the Company or the Board related to tax liabilities arising from your compensation.</w:t>
      </w:r>
    </w:p>
    <w:p>
      <w:pPr>
        <w:spacing w:after="0" w:line="29" w:lineRule="exact"/>
        <w:rPr>
          <w:rFonts w:ascii="Times New Roman" w:cs="Times New Roman" w:eastAsia="Times New Roman" w:hAnsi="Times New Roman"/>
          <w:sz w:val="22"/>
          <w:szCs w:val="22"/>
          <w:color w:val="auto"/>
        </w:rPr>
      </w:pPr>
    </w:p>
    <w:p>
      <w:pPr>
        <w:jc w:val="both"/>
        <w:ind w:left="-1120" w:firstLine="1505"/>
        <w:spacing w:after="0" w:line="233" w:lineRule="auto"/>
        <w:tabs>
          <w:tab w:leader="none" w:pos="917"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280G. Parachute Payments. </w:t>
      </w:r>
      <w:r>
        <w:rPr>
          <w:rFonts w:ascii="Times New Roman" w:cs="Times New Roman" w:eastAsia="Times New Roman" w:hAnsi="Times New Roman"/>
          <w:sz w:val="22"/>
          <w:szCs w:val="22"/>
          <w:color w:val="auto"/>
        </w:rPr>
        <w:t>If any payment or benefit that you would receive in connection with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Change in Control from the Company or otherwise (“Payment”) would (i) constitute a “parachute payment” within the meaning of Section 280G of the Code, and (ii) but for this sentence, be subject to the excise tax imposed by Section 4999 of the Code (the “Excise Tax”), then such Payment shall be equal to the Reduced Amount. The “Reduced Amount”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your receipt of the greatest economic benefit notwithstanding that all or some portion of the Payment may be subject to the Excise Tax. If a reduction in payments or benefits constituting “parachute payments” is necessary so that the Payment equals the Reduced Amount, any reduction shall be applied first,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to amounts that constitute deferred compensation within the meaning of Section 409A of the Code, and, in the event that the reductions pursuant to this Section 12(e) exceed payments that are subject to Section 409A of the Code, the remaining reductions shall be applied,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to any other remaining payments, first with respect to amounts payable in cash before being made in respect to any payments to be provided in the form of benefits or equity award acceleration, and in the form of benefits before being made with respect to equity award acceleration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913130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3"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22"/>
          <w:szCs w:val="22"/>
          <w:color w:val="auto"/>
        </w:rPr>
        <w:t>determinations hereunder shall be final, binding and conclusive on all interested parties.</w:t>
      </w:r>
    </w:p>
    <w:p>
      <w:pPr>
        <w:spacing w:after="0" w:line="53" w:lineRule="exact"/>
        <w:rPr>
          <w:sz w:val="20"/>
          <w:szCs w:val="20"/>
          <w:color w:val="auto"/>
        </w:rPr>
      </w:pPr>
    </w:p>
    <w:p>
      <w:pPr>
        <w:jc w:val="both"/>
        <w:ind w:firstLine="1505"/>
        <w:spacing w:after="0" w:line="233" w:lineRule="auto"/>
        <w:tabs>
          <w:tab w:leader="none" w:pos="2037"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Arbitration. </w:t>
      </w:r>
      <w:r>
        <w:rPr>
          <w:rFonts w:ascii="Times New Roman" w:cs="Times New Roman" w:eastAsia="Times New Roman" w:hAnsi="Times New Roman"/>
          <w:sz w:val="22"/>
          <w:szCs w:val="22"/>
          <w:color w:val="auto"/>
        </w:rPr>
        <w:t>Any controversy or claim arising out of this Agreement and any and all claims relating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Employment with the Company will be settled by final and binding arbitration. The arbitration will take place in the Commonwealth of Massachusetts. The arbitration will be administered by the American Arbitration Association under its National Rules for the Resolution of Employment Disputes. Any award or finding will be confidential. You and the Company agree to provide one another with reasonable access to documents and witnesses in connection with the resolution of the dispute. You and the Company will share the costs of arbitration equally up to, for you, the filing fee to bring a civil action in the state courts of Massachusetts. Each party will be responsible for its own attorneys’ fees, and the arbitrator may not award attorneys’ fees unless a statute or contract at issue specifically authorizes such an award. This Section 12(f) does not apply to claims for workers’ compensation benefits or unemployment insurance benefits. This Section 12(f) also does not apply to claims concerning the ownership, validity, infringement, misappropriation, disclosure, misuse or enforceability of any confidential information, patent right, copyright, mask work, trademark or any other trade secret or intellectual property held or sought by either you or the Company (whether or not arising under the PIIA).</w:t>
      </w:r>
    </w:p>
    <w:p>
      <w:pPr>
        <w:spacing w:after="0" w:line="46"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7"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Choice of Law and Severability</w:t>
      </w:r>
      <w:r>
        <w:rPr>
          <w:rFonts w:ascii="Times New Roman" w:cs="Times New Roman" w:eastAsia="Times New Roman" w:hAnsi="Times New Roman"/>
          <w:sz w:val="22"/>
          <w:szCs w:val="22"/>
          <w:color w:val="auto"/>
        </w:rPr>
        <w:t>. This Agreement shall be interpreted in accordance with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Commonwealth of Massachusetts (except its provisions governing the choice of law). If any provision of this Agreement becomes or is deemed invalid, illegal or unenforceable in any applicable jurisdiction by reason of the scope, extent or duration of its coverage or any other reason,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“Law”), then such provision shall be curtailed or limited only to the minimum extent necessary to bring such provision into compliance with the Law. All the other terms and provisions of this Agreement shall continue in full force and effect without impairment or limitation.</w:t>
      </w:r>
    </w:p>
    <w:p>
      <w:pPr>
        <w:spacing w:after="0" w:line="28" w:lineRule="exact"/>
        <w:rPr>
          <w:rFonts w:ascii="Times New Roman" w:cs="Times New Roman" w:eastAsia="Times New Roman" w:hAnsi="Times New Roman"/>
          <w:sz w:val="22"/>
          <w:szCs w:val="22"/>
          <w:color w:val="auto"/>
        </w:rPr>
      </w:pPr>
    </w:p>
    <w:p>
      <w:pPr>
        <w:jc w:val="both"/>
        <w:ind w:firstLine="1505"/>
        <w:spacing w:after="0"/>
        <w:tabs>
          <w:tab w:leader="none" w:pos="2037"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Assignment</w:t>
      </w:r>
      <w:r>
        <w:rPr>
          <w:rFonts w:ascii="Times New Roman" w:cs="Times New Roman" w:eastAsia="Times New Roman" w:hAnsi="Times New Roman"/>
          <w:sz w:val="22"/>
          <w:szCs w:val="22"/>
          <w:color w:val="auto"/>
        </w:rPr>
        <w:t>. This Agreement and all rights and obligations of the Executive hereunder are personal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Executive and may not be transferred or assigned by the Executive at any time. The Company may assign its rights under this Agreement to any entity that assumes the Company’s obligations hereunder in connection with any sale or transfer of all or a substantial portion of the Company’s assets to such entity.</w:t>
      </w:r>
    </w:p>
    <w:p>
      <w:pPr>
        <w:spacing w:after="0" w:line="26" w:lineRule="exact"/>
        <w:rPr>
          <w:rFonts w:ascii="Times New Roman" w:cs="Times New Roman" w:eastAsia="Times New Roman" w:hAnsi="Times New Roman"/>
          <w:sz w:val="22"/>
          <w:szCs w:val="22"/>
          <w:color w:val="auto"/>
        </w:rPr>
      </w:pPr>
    </w:p>
    <w:p>
      <w:pPr>
        <w:ind w:firstLine="1505"/>
        <w:spacing w:after="0" w:line="261" w:lineRule="auto"/>
        <w:tabs>
          <w:tab w:leader="none" w:pos="2037"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two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but all of which together shall constitute one and the same instrument.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on following page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27" w:name="page228"/>
    <w:bookmarkEnd w:id="227"/>
    <w:p>
      <w:pPr>
        <w:ind w:firstLine="1498"/>
        <w:spacing w:after="0" w:line="261"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each of the parties has executed this Agreement, in the case of the Company by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officer, as of the day and year first above written.</w:t>
      </w:r>
    </w:p>
    <w:p>
      <w:pPr>
        <w:spacing w:after="0" w:line="3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b w:val="1"/>
          <w:bCs w:val="1"/>
          <w:color w:val="auto"/>
        </w:rPr>
        <w:t>flywire corporation</w:t>
      </w:r>
    </w:p>
    <w:p>
      <w:pPr>
        <w:spacing w:after="0" w:line="8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2"/>
          <w:szCs w:val="22"/>
          <w:color w:val="auto"/>
        </w:rPr>
        <w:t xml:space="preserve">Signature: </w:t>
      </w:r>
      <w:r>
        <w:rPr>
          <w:rFonts w:ascii="Times New Roman" w:cs="Times New Roman" w:eastAsia="Times New Roman" w:hAnsi="Times New Roman"/>
          <w:sz w:val="22"/>
          <w:szCs w:val="22"/>
          <w:u w:val="single" w:color="auto"/>
          <w:color w:val="auto"/>
        </w:rPr>
        <w:t>/s/Michael Massaro</w:t>
      </w:r>
    </w:p>
    <w:p>
      <w:pPr>
        <w:spacing w:after="0" w:line="200" w:lineRule="exact"/>
        <w:rPr>
          <w:sz w:val="20"/>
          <w:szCs w:val="20"/>
          <w:color w:val="auto"/>
        </w:rPr>
      </w:pPr>
    </w:p>
    <w:p>
      <w:pPr>
        <w:spacing w:after="0" w:line="20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Date: February 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E</w:t>
      </w:r>
      <w:r>
        <w:rPr>
          <w:rFonts w:ascii="Times New Roman" w:cs="Times New Roman" w:eastAsia="Times New Roman" w:hAnsi="Times New Roman"/>
          <w:sz w:val="17"/>
          <w:szCs w:val="17"/>
          <w:b w:val="1"/>
          <w:bCs w:val="1"/>
          <w:color w:val="auto"/>
        </w:rPr>
        <w:t>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u w:val="single" w:color="auto"/>
          <w:color w:val="auto"/>
        </w:rPr>
        <w:t>/s/ Cosmin Pitigoi</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Cosmin Pitigoi</w:t>
      </w:r>
    </w:p>
    <w:p>
      <w:pPr>
        <w:spacing w:after="0" w:line="35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Date: February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931545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27" w:lineRule="exact"/>
        <w:rPr>
          <w:sz w:val="20"/>
          <w:szCs w:val="20"/>
          <w:color w:val="auto"/>
        </w:rPr>
      </w:pPr>
    </w:p>
    <w:p>
      <w:pPr>
        <w:jc w:val="center"/>
        <w:ind w:right="40"/>
        <w:spacing w:after="0" w:line="257"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 Michael Massaro, certify that:</w:t>
      </w:r>
    </w:p>
    <w:p>
      <w:pPr>
        <w:spacing w:after="0" w:line="103" w:lineRule="exact"/>
        <w:rPr>
          <w:sz w:val="20"/>
          <w:szCs w:val="20"/>
          <w:color w:val="auto"/>
        </w:rPr>
      </w:pPr>
    </w:p>
    <w:p>
      <w:pPr>
        <w:ind w:left="400" w:hanging="392"/>
        <w:spacing w:after="0"/>
        <w:tabs>
          <w:tab w:leader="none" w:pos="4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2024 of Flywire Corporation;</w:t>
      </w:r>
    </w:p>
    <w:p>
      <w:pPr>
        <w:spacing w:after="0" w:line="103" w:lineRule="exact"/>
        <w:rPr>
          <w:rFonts w:ascii="Arial" w:cs="Arial" w:eastAsia="Arial" w:hAnsi="Arial"/>
          <w:sz w:val="18"/>
          <w:szCs w:val="18"/>
          <w:color w:val="auto"/>
        </w:rPr>
      </w:pPr>
    </w:p>
    <w:p>
      <w:pPr>
        <w:ind w:left="520" w:hanging="512"/>
        <w:spacing w:after="0" w:line="252" w:lineRule="auto"/>
        <w:tabs>
          <w:tab w:leader="none" w:pos="41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520" w:right="380" w:hanging="512"/>
        <w:spacing w:after="0" w:line="252" w:lineRule="auto"/>
        <w:tabs>
          <w:tab w:leader="none" w:pos="41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520" w:right="180" w:hanging="512"/>
        <w:spacing w:after="0" w:line="252" w:lineRule="auto"/>
        <w:tabs>
          <w:tab w:leader="none" w:pos="41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660" w:right="280" w:hanging="507"/>
        <w:spacing w:after="0" w:line="246" w:lineRule="auto"/>
        <w:tabs>
          <w:tab w:leader="none" w:pos="155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1660" w:right="180" w:hanging="507"/>
        <w:spacing w:after="0" w:line="274" w:lineRule="auto"/>
        <w:tabs>
          <w:tab w:leader="none" w:pos="155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7"/>
          <w:szCs w:val="17"/>
          <w:color w:val="auto"/>
        </w:rPr>
      </w:pPr>
    </w:p>
    <w:p>
      <w:pPr>
        <w:ind w:left="1660" w:right="280" w:hanging="507"/>
        <w:spacing w:after="0" w:line="252" w:lineRule="auto"/>
        <w:tabs>
          <w:tab w:leader="none" w:pos="155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660" w:right="20" w:hanging="507"/>
        <w:spacing w:after="0" w:line="274" w:lineRule="auto"/>
        <w:tabs>
          <w:tab w:leader="none" w:pos="155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7"/>
          <w:szCs w:val="17"/>
          <w:color w:val="auto"/>
        </w:rPr>
      </w:pPr>
    </w:p>
    <w:p>
      <w:pPr>
        <w:ind w:left="520" w:right="400" w:hanging="512"/>
        <w:spacing w:after="0" w:line="252" w:lineRule="auto"/>
        <w:tabs>
          <w:tab w:leader="none" w:pos="41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660" w:right="140" w:hanging="507"/>
        <w:spacing w:after="0" w:line="252" w:lineRule="auto"/>
        <w:tabs>
          <w:tab w:leader="none" w:pos="155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660" w:right="540" w:hanging="507"/>
        <w:spacing w:after="0" w:line="271" w:lineRule="auto"/>
        <w:tabs>
          <w:tab w:leader="none" w:pos="155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ind w:left="6820" w:right="1280" w:hanging="6792"/>
        <w:spacing w:after="0" w:line="279" w:lineRule="auto"/>
        <w:tabs>
          <w:tab w:leader="none" w:pos="6800" w:val="left"/>
        </w:tabs>
        <w:rPr>
          <w:sz w:val="20"/>
          <w:szCs w:val="20"/>
          <w:color w:val="auto"/>
        </w:rPr>
      </w:pPr>
      <w:r>
        <w:rPr>
          <w:rFonts w:ascii="Arial" w:cs="Arial" w:eastAsia="Arial" w:hAnsi="Arial"/>
          <w:sz w:val="18"/>
          <w:szCs w:val="18"/>
          <w:color w:val="auto"/>
        </w:rPr>
        <w:t>Date: May 7, 2024</w:t>
      </w:r>
      <w:r>
        <w:rPr>
          <w:sz w:val="20"/>
          <w:szCs w:val="20"/>
          <w:color w:val="auto"/>
        </w:rPr>
        <w:tab/>
      </w:r>
      <w:r>
        <w:rPr>
          <w:rFonts w:ascii="Arial" w:cs="Arial" w:eastAsia="Arial" w:hAnsi="Arial"/>
          <w:sz w:val="18"/>
          <w:szCs w:val="18"/>
          <w:color w:val="auto"/>
        </w:rPr>
        <w:t>/s/ Michael Massaro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4559935</wp:posOffset>
            </wp:positionH>
            <wp:positionV relativeFrom="paragraph">
              <wp:posOffset>-3175</wp:posOffset>
            </wp:positionV>
            <wp:extent cx="252603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6">
                      <a:extLst>
                        <a:ext uri="{28A0092B-C50C-407E-A947-70E740481C1C}"/>
                      </a:extLst>
                    </a:blip>
                    <a:srcRect/>
                    <a:stretch>
                      <a:fillRect/>
                    </a:stretch>
                  </pic:blipFill>
                  <pic:spPr bwMode="auto">
                    <a:xfrm>
                      <a:off x="0" y="0"/>
                      <a:ext cx="2526030" cy="8255"/>
                    </a:xfrm>
                    <a:prstGeom prst="rect">
                      <a:avLst/>
                    </a:prstGeom>
                    <a:noFill/>
                  </pic:spPr>
                </pic:pic>
              </a:graphicData>
            </a:graphic>
          </wp:anchor>
        </w:drawing>
      </w:r>
    </w:p>
    <w:p>
      <w:pPr>
        <w:spacing w:after="0" w:line="225"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Michael Massaro</w:t>
      </w:r>
    </w:p>
    <w:p>
      <w:pPr>
        <w:spacing w:after="0" w:line="40"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2"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27" w:lineRule="exact"/>
        <w:rPr>
          <w:sz w:val="20"/>
          <w:szCs w:val="20"/>
          <w:color w:val="auto"/>
        </w:rPr>
      </w:pPr>
    </w:p>
    <w:p>
      <w:pPr>
        <w:jc w:val="center"/>
        <w:ind w:right="40"/>
        <w:spacing w:after="0" w:line="257"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 Cosmin Pitigoi, certify that:</w:t>
      </w:r>
    </w:p>
    <w:p>
      <w:pPr>
        <w:spacing w:after="0" w:line="103" w:lineRule="exact"/>
        <w:rPr>
          <w:sz w:val="20"/>
          <w:szCs w:val="20"/>
          <w:color w:val="auto"/>
        </w:rPr>
      </w:pPr>
    </w:p>
    <w:p>
      <w:pPr>
        <w:ind w:left="400" w:hanging="392"/>
        <w:spacing w:after="0"/>
        <w:tabs>
          <w:tab w:leader="none" w:pos="4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2024 of Flywire Corporation;</w:t>
      </w:r>
    </w:p>
    <w:p>
      <w:pPr>
        <w:spacing w:after="0" w:line="103" w:lineRule="exact"/>
        <w:rPr>
          <w:rFonts w:ascii="Arial" w:cs="Arial" w:eastAsia="Arial" w:hAnsi="Arial"/>
          <w:sz w:val="18"/>
          <w:szCs w:val="18"/>
          <w:color w:val="auto"/>
        </w:rPr>
      </w:pPr>
    </w:p>
    <w:p>
      <w:pPr>
        <w:ind w:left="520" w:hanging="512"/>
        <w:spacing w:after="0" w:line="252" w:lineRule="auto"/>
        <w:tabs>
          <w:tab w:leader="none" w:pos="41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520" w:right="380" w:hanging="512"/>
        <w:spacing w:after="0" w:line="252" w:lineRule="auto"/>
        <w:tabs>
          <w:tab w:leader="none" w:pos="41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520" w:right="180" w:hanging="512"/>
        <w:spacing w:after="0" w:line="252" w:lineRule="auto"/>
        <w:tabs>
          <w:tab w:leader="none" w:pos="41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660" w:right="280" w:hanging="507"/>
        <w:spacing w:after="0" w:line="246" w:lineRule="auto"/>
        <w:tabs>
          <w:tab w:leader="none" w:pos="155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1660" w:right="180" w:hanging="507"/>
        <w:spacing w:after="0" w:line="274" w:lineRule="auto"/>
        <w:tabs>
          <w:tab w:leader="none" w:pos="155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7"/>
          <w:szCs w:val="17"/>
          <w:color w:val="auto"/>
        </w:rPr>
      </w:pPr>
    </w:p>
    <w:p>
      <w:pPr>
        <w:ind w:left="1660" w:right="280" w:hanging="507"/>
        <w:spacing w:after="0" w:line="252" w:lineRule="auto"/>
        <w:tabs>
          <w:tab w:leader="none" w:pos="155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660" w:right="20" w:hanging="507"/>
        <w:spacing w:after="0" w:line="274" w:lineRule="auto"/>
        <w:tabs>
          <w:tab w:leader="none" w:pos="155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7"/>
          <w:szCs w:val="17"/>
          <w:color w:val="auto"/>
        </w:rPr>
      </w:pPr>
    </w:p>
    <w:p>
      <w:pPr>
        <w:ind w:left="520" w:right="400" w:hanging="512"/>
        <w:spacing w:after="0" w:line="252" w:lineRule="auto"/>
        <w:tabs>
          <w:tab w:leader="none" w:pos="41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660" w:right="140" w:hanging="507"/>
        <w:spacing w:after="0" w:line="252" w:lineRule="auto"/>
        <w:tabs>
          <w:tab w:leader="none" w:pos="155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660" w:right="540" w:hanging="507"/>
        <w:spacing w:after="0" w:line="271" w:lineRule="auto"/>
        <w:tabs>
          <w:tab w:leader="none" w:pos="155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ind w:left="6480" w:right="1540" w:hanging="6454"/>
        <w:spacing w:after="0" w:line="279" w:lineRule="auto"/>
        <w:tabs>
          <w:tab w:leader="none" w:pos="6460" w:val="left"/>
        </w:tabs>
        <w:rPr>
          <w:sz w:val="20"/>
          <w:szCs w:val="20"/>
          <w:color w:val="auto"/>
        </w:rPr>
      </w:pPr>
      <w:r>
        <w:rPr>
          <w:rFonts w:ascii="Arial" w:cs="Arial" w:eastAsia="Arial" w:hAnsi="Arial"/>
          <w:sz w:val="18"/>
          <w:szCs w:val="18"/>
          <w:color w:val="auto"/>
        </w:rPr>
        <w:t>Date: May 7, 2024</w:t>
      </w:r>
      <w:r>
        <w:rPr>
          <w:sz w:val="20"/>
          <w:szCs w:val="20"/>
          <w:color w:val="auto"/>
        </w:rPr>
        <w:tab/>
      </w:r>
      <w:r>
        <w:rPr>
          <w:rFonts w:ascii="Arial" w:cs="Arial" w:eastAsia="Arial" w:hAnsi="Arial"/>
          <w:sz w:val="18"/>
          <w:szCs w:val="18"/>
          <w:color w:val="auto"/>
        </w:rPr>
        <w:t>/s/ Cosmin Pitigoi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-3175</wp:posOffset>
            </wp:positionV>
            <wp:extent cx="274002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8">
                      <a:extLst>
                        <a:ext uri="{28A0092B-C50C-407E-A947-70E740481C1C}"/>
                      </a:extLst>
                    </a:blip>
                    <a:srcRect/>
                    <a:stretch>
                      <a:fillRect/>
                    </a:stretch>
                  </pic:blipFill>
                  <pic:spPr bwMode="auto">
                    <a:xfrm>
                      <a:off x="0" y="0"/>
                      <a:ext cx="2740025" cy="8255"/>
                    </a:xfrm>
                    <a:prstGeom prst="rect">
                      <a:avLst/>
                    </a:prstGeom>
                    <a:noFill/>
                  </pic:spPr>
                </pic:pic>
              </a:graphicData>
            </a:graphic>
          </wp:anchor>
        </w:drawing>
      </w:r>
    </w:p>
    <w:p>
      <w:pPr>
        <w:spacing w:after="0" w:line="225"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Cosmin Pitigoi</w:t>
      </w:r>
    </w:p>
    <w:p>
      <w:pPr>
        <w:spacing w:after="0" w:line="40"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Chief Financial Officer</w:t>
      </w:r>
    </w:p>
    <w:p>
      <w:pPr>
        <w:spacing w:after="0" w:line="22" w:lineRule="exact"/>
        <w:rPr>
          <w:sz w:val="20"/>
          <w:szCs w:val="20"/>
          <w:color w:val="auto"/>
        </w:rPr>
      </w:pPr>
    </w:p>
    <w:p>
      <w:pPr>
        <w:jc w:val="center"/>
        <w:ind w:left="680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1381125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30" w:name="page231"/>
    <w:bookmarkEnd w:id="230"/>
    <w:p>
      <w:pPr>
        <w:ind w:left="10200"/>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5"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In connection with the Quarterly Report of Flywire Corporation (the “Company”) on Form 10-Q for the quarter ended March 31, 2024 as filed with the Securities and Exchange Commission on the date hereof (the “Report”), I certify, pursuant to 18 U.S.C. § 1350, as adopted pursuant to § 906 of the Sarbanes-Oxley Act of 2002, that:</w:t>
      </w:r>
    </w:p>
    <w:p>
      <w:pPr>
        <w:spacing w:after="0" w:line="63" w:lineRule="exact"/>
        <w:rPr>
          <w:sz w:val="20"/>
          <w:szCs w:val="20"/>
          <w:color w:val="auto"/>
        </w:rPr>
      </w:pPr>
    </w:p>
    <w:p>
      <w:pPr>
        <w:ind w:left="1560" w:hanging="407"/>
        <w:spacing w:after="0"/>
        <w:tabs>
          <w:tab w:leader="none" w:pos="15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60" w:right="600" w:hanging="507"/>
        <w:spacing w:after="0" w:line="271" w:lineRule="auto"/>
        <w:tabs>
          <w:tab w:leader="none" w:pos="155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53" w:lineRule="exact"/>
        <w:rPr>
          <w:sz w:val="20"/>
          <w:szCs w:val="20"/>
          <w:color w:val="auto"/>
        </w:rPr>
      </w:pPr>
    </w:p>
    <w:p>
      <w:pPr>
        <w:ind w:left="6360" w:right="1500" w:hanging="6347"/>
        <w:spacing w:after="0" w:line="279" w:lineRule="auto"/>
        <w:tabs>
          <w:tab w:leader="none" w:pos="6340" w:val="left"/>
        </w:tabs>
        <w:rPr>
          <w:sz w:val="20"/>
          <w:szCs w:val="20"/>
          <w:color w:val="auto"/>
        </w:rPr>
      </w:pPr>
      <w:r>
        <w:rPr>
          <w:rFonts w:ascii="Arial" w:cs="Arial" w:eastAsia="Arial" w:hAnsi="Arial"/>
          <w:sz w:val="18"/>
          <w:szCs w:val="18"/>
          <w:color w:val="auto"/>
        </w:rPr>
        <w:t>Date: May 7, 2024</w:t>
      </w:r>
      <w:r>
        <w:rPr>
          <w:sz w:val="20"/>
          <w:szCs w:val="20"/>
          <w:color w:val="auto"/>
        </w:rPr>
        <w:tab/>
      </w:r>
      <w:r>
        <w:rPr>
          <w:rFonts w:ascii="Arial" w:cs="Arial" w:eastAsia="Arial" w:hAnsi="Arial"/>
          <w:sz w:val="18"/>
          <w:szCs w:val="18"/>
          <w:color w:val="auto"/>
        </w:rPr>
        <w:t>/s/ Michael Massaro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-3175</wp:posOffset>
            </wp:positionV>
            <wp:extent cx="280860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0">
                      <a:extLst>
                        <a:ext uri="{28A0092B-C50C-407E-A947-70E740481C1C}"/>
                      </a:extLst>
                    </a:blip>
                    <a:srcRect/>
                    <a:stretch>
                      <a:fillRect/>
                    </a:stretch>
                  </pic:blipFill>
                  <pic:spPr bwMode="auto">
                    <a:xfrm>
                      <a:off x="0" y="0"/>
                      <a:ext cx="2808605" cy="8255"/>
                    </a:xfrm>
                    <a:prstGeom prst="rect">
                      <a:avLst/>
                    </a:prstGeom>
                    <a:noFill/>
                  </pic:spPr>
                </pic:pic>
              </a:graphicData>
            </a:graphic>
          </wp:anchor>
        </w:drawing>
      </w:r>
    </w:p>
    <w:p>
      <w:pPr>
        <w:spacing w:after="0" w:line="225"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Michael Massaro</w:t>
      </w:r>
    </w:p>
    <w:p>
      <w:pPr>
        <w:spacing w:after="0" w:line="40"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2"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31" w:name="page232"/>
    <w:bookmarkEnd w:id="231"/>
    <w:p>
      <w:pPr>
        <w:ind w:left="10200"/>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5"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In connection with the Quarterly Report of Flywire Corporation (the “Company”) on Form 10-Q for the quarter ended March 31, 2024 as filed with the Securities and Exchange Commission on the date hereof (the “Report”), I certify, pursuant to 18 U.S.C. § 1350, as adopted pursuant to § 906 of the Sarbanes-Oxley Act of 2002, that:</w:t>
      </w:r>
    </w:p>
    <w:p>
      <w:pPr>
        <w:spacing w:after="0" w:line="63" w:lineRule="exact"/>
        <w:rPr>
          <w:sz w:val="20"/>
          <w:szCs w:val="20"/>
          <w:color w:val="auto"/>
        </w:rPr>
      </w:pPr>
    </w:p>
    <w:p>
      <w:pPr>
        <w:ind w:left="1560" w:hanging="407"/>
        <w:spacing w:after="0"/>
        <w:tabs>
          <w:tab w:leader="none" w:pos="15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60" w:right="600" w:hanging="507"/>
        <w:spacing w:after="0" w:line="271" w:lineRule="auto"/>
        <w:tabs>
          <w:tab w:leader="none" w:pos="155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53" w:lineRule="exact"/>
        <w:rPr>
          <w:sz w:val="20"/>
          <w:szCs w:val="20"/>
          <w:color w:val="auto"/>
        </w:rPr>
      </w:pPr>
    </w:p>
    <w:p>
      <w:pPr>
        <w:ind w:left="6360" w:right="1600" w:hanging="6347"/>
        <w:spacing w:after="0" w:line="279" w:lineRule="auto"/>
        <w:tabs>
          <w:tab w:leader="none" w:pos="6340" w:val="left"/>
        </w:tabs>
        <w:rPr>
          <w:sz w:val="20"/>
          <w:szCs w:val="20"/>
          <w:color w:val="auto"/>
        </w:rPr>
      </w:pPr>
      <w:r>
        <w:rPr>
          <w:rFonts w:ascii="Arial" w:cs="Arial" w:eastAsia="Arial" w:hAnsi="Arial"/>
          <w:sz w:val="18"/>
          <w:szCs w:val="18"/>
          <w:color w:val="auto"/>
        </w:rPr>
        <w:t>Date: May 7, 2024</w:t>
      </w:r>
      <w:r>
        <w:rPr>
          <w:sz w:val="20"/>
          <w:szCs w:val="20"/>
          <w:color w:val="auto"/>
        </w:rPr>
        <w:tab/>
      </w:r>
      <w:r>
        <w:rPr>
          <w:rFonts w:ascii="Arial" w:cs="Arial" w:eastAsia="Arial" w:hAnsi="Arial"/>
          <w:sz w:val="18"/>
          <w:szCs w:val="18"/>
          <w:color w:val="auto"/>
        </w:rPr>
        <w:t>/s/ Cosmin Pitigoi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-3175</wp:posOffset>
            </wp:positionV>
            <wp:extent cx="280860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2">
                      <a:extLst>
                        <a:ext uri="{28A0092B-C50C-407E-A947-70E740481C1C}"/>
                      </a:extLst>
                    </a:blip>
                    <a:srcRect/>
                    <a:stretch>
                      <a:fillRect/>
                    </a:stretch>
                  </pic:blipFill>
                  <pic:spPr bwMode="auto">
                    <a:xfrm>
                      <a:off x="0" y="0"/>
                      <a:ext cx="2808605" cy="8255"/>
                    </a:xfrm>
                    <a:prstGeom prst="rect">
                      <a:avLst/>
                    </a:prstGeom>
                    <a:noFill/>
                  </pic:spPr>
                </pic:pic>
              </a:graphicData>
            </a:graphic>
          </wp:anchor>
        </w:drawing>
      </w:r>
    </w:p>
    <w:p>
      <w:pPr>
        <w:spacing w:after="0" w:line="225"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Cosmin Pitigoi</w:t>
      </w:r>
    </w:p>
    <w:p>
      <w:pPr>
        <w:spacing w:after="0" w:line="40"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Chief Financial Officer</w:t>
      </w:r>
    </w:p>
    <w:p>
      <w:pPr>
        <w:spacing w:after="0" w:line="22" w:lineRule="exact"/>
        <w:rPr>
          <w:sz w:val="20"/>
          <w:szCs w:val="20"/>
          <w:color w:val="auto"/>
        </w:rPr>
      </w:pPr>
    </w:p>
    <w:p>
      <w:pPr>
        <w:jc w:val="center"/>
        <w:ind w:left="670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32" w:name="page233"/>
    <w:bookmarkEnd w:id="2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80EC70"/>
    <w:multiLevelType w:val="hybridMultilevel"/>
    <w:lvl w:ilvl="0">
      <w:lvlJc w:val="left"/>
      <w:lvlText w:val="☒"/>
      <w:numFmt w:val="bullet"/>
      <w:start w:val="1"/>
    </w:lvl>
  </w:abstractNum>
  <w:abstractNum w:abstractNumId="1">
    <w:nsid w:val="379E21B5"/>
    <w:multiLevelType w:val="hybridMultilevel"/>
    <w:lvl w:ilvl="0">
      <w:lvlJc w:val="left"/>
      <w:lvlText w:val="☐"/>
      <w:numFmt w:val="bullet"/>
      <w:start w:val="1"/>
    </w:lvl>
  </w:abstractNum>
  <w:abstractNum w:abstractNumId="2">
    <w:nsid w:val="69E373"/>
    <w:multiLevelType w:val="hybridMultilevel"/>
    <w:lvl w:ilvl="0">
      <w:lvlJc w:val="left"/>
      <w:lvlText w:val="•"/>
      <w:numFmt w:val="bullet"/>
      <w:start w:val="1"/>
    </w:lvl>
  </w:abstractNum>
  <w:abstractNum w:abstractNumId="3">
    <w:nsid w:val="2C27173B"/>
    <w:multiLevelType w:val="hybridMultilevel"/>
    <w:lvl w:ilvl="0">
      <w:lvlJc w:val="left"/>
      <w:lvlText w:val="•"/>
      <w:numFmt w:val="bullet"/>
      <w:start w:val="1"/>
    </w:lvl>
  </w:abstractNum>
  <w:abstractNum w:abstractNumId="4">
    <w:nsid w:val="4C9B0904"/>
    <w:multiLevelType w:val="hybridMultilevel"/>
    <w:lvl w:ilvl="0">
      <w:lvlJc w:val="left"/>
      <w:lvlText w:val="(%1)"/>
      <w:numFmt w:val="lowerRoman"/>
      <w:start w:val="1"/>
    </w:lvl>
  </w:abstractNum>
  <w:abstractNum w:abstractNumId="5">
    <w:nsid w:val="6AA7B75C"/>
    <w:multiLevelType w:val="hybridMultilevel"/>
    <w:lvl w:ilvl="0">
      <w:lvlJc w:val="left"/>
      <w:lvlText w:val="*"/>
      <w:numFmt w:val="bullet"/>
      <w:start w:val="1"/>
    </w:lvl>
  </w:abstractNum>
  <w:abstractNum w:abstractNumId="6">
    <w:nsid w:val="1DF029D3"/>
    <w:multiLevelType w:val="hybridMultilevel"/>
    <w:lvl w:ilvl="0">
      <w:lvlJc w:val="left"/>
      <w:lvlText w:val="*"/>
      <w:numFmt w:val="bullet"/>
      <w:start w:val="1"/>
    </w:lvl>
  </w:abstractNum>
  <w:abstractNum w:abstractNumId="7">
    <w:nsid w:val="5675FF36"/>
    <w:multiLevelType w:val="hybridMultilevel"/>
    <w:lvl w:ilvl="0">
      <w:lvlJc w:val="left"/>
      <w:lvlText w:val="•"/>
      <w:numFmt w:val="bullet"/>
      <w:start w:val="1"/>
    </w:lvl>
  </w:abstractNum>
  <w:abstractNum w:abstractNumId="8">
    <w:nsid w:val="3DD15094"/>
    <w:multiLevelType w:val="hybridMultilevel"/>
    <w:lvl w:ilvl="0">
      <w:lvlJc w:val="left"/>
      <w:lvlText w:val="•"/>
      <w:numFmt w:val="bullet"/>
      <w:start w:val="1"/>
    </w:lvl>
  </w:abstractNum>
  <w:abstractNum w:abstractNumId="9">
    <w:nsid w:val="3DB012B3"/>
    <w:multiLevelType w:val="hybridMultilevel"/>
    <w:lvl w:ilvl="0">
      <w:lvlJc w:val="left"/>
      <w:lvlText w:val="*"/>
      <w:numFmt w:val="bullet"/>
      <w:start w:val="1"/>
    </w:lvl>
  </w:abstractNum>
  <w:abstractNum w:abstractNumId="10">
    <w:nsid w:val="2708C9AF"/>
    <w:multiLevelType w:val="hybridMultilevel"/>
    <w:lvl w:ilvl="0">
      <w:lvlJc w:val="left"/>
      <w:lvlText w:val="*"/>
      <w:numFmt w:val="bullet"/>
      <w:start w:val="1"/>
    </w:lvl>
  </w:abstractNum>
  <w:abstractNum w:abstractNumId="11">
    <w:nsid w:val="5B25ACE2"/>
    <w:multiLevelType w:val="hybridMultilevel"/>
    <w:lvl w:ilvl="0">
      <w:lvlJc w:val="left"/>
      <w:lvlText w:val="•"/>
      <w:numFmt w:val="bullet"/>
      <w:start w:val="1"/>
    </w:lvl>
  </w:abstractNum>
  <w:abstractNum w:abstractNumId="12">
    <w:nsid w:val="175DFCF0"/>
    <w:multiLevelType w:val="hybridMultilevel"/>
    <w:lvl w:ilvl="0">
      <w:lvlJc w:val="left"/>
      <w:lvlText w:val="•"/>
      <w:numFmt w:val="bullet"/>
      <w:start w:val="1"/>
    </w:lvl>
  </w:abstractNum>
  <w:abstractNum w:abstractNumId="13">
    <w:nsid w:val="4F97E3E4"/>
    <w:multiLevelType w:val="hybridMultilevel"/>
    <w:lvl w:ilvl="0">
      <w:lvlJc w:val="left"/>
      <w:lvlText w:val="(%1)"/>
      <w:numFmt w:val="decimal"/>
      <w:start w:val="1"/>
    </w:lvl>
  </w:abstractNum>
  <w:abstractNum w:abstractNumId="14">
    <w:nsid w:val="53B0A9E"/>
    <w:multiLevelType w:val="hybridMultilevel"/>
    <w:lvl w:ilvl="0">
      <w:lvlJc w:val="left"/>
      <w:lvlText w:val="•"/>
      <w:numFmt w:val="bullet"/>
      <w:start w:val="1"/>
    </w:lvl>
  </w:abstractNum>
  <w:abstractNum w:abstractNumId="15">
    <w:nsid w:val="34FD6B4F"/>
    <w:multiLevelType w:val="hybridMultilevel"/>
    <w:lvl w:ilvl="0">
      <w:lvlJc w:val="left"/>
      <w:lvlText w:val="•"/>
      <w:numFmt w:val="bullet"/>
      <w:start w:val="1"/>
    </w:lvl>
  </w:abstractNum>
  <w:abstractNum w:abstractNumId="16">
    <w:nsid w:val="5915FF32"/>
    <w:multiLevelType w:val="hybridMultilevel"/>
    <w:lvl w:ilvl="0">
      <w:lvlJc w:val="left"/>
      <w:lvlText w:val="•"/>
      <w:numFmt w:val="bullet"/>
      <w:start w:val="1"/>
    </w:lvl>
  </w:abstractNum>
  <w:abstractNum w:abstractNumId="17">
    <w:nsid w:val="56438D15"/>
    <w:multiLevelType w:val="hybridMultilevel"/>
    <w:lvl w:ilvl="0">
      <w:lvlJc w:val="left"/>
      <w:lvlText w:val="•"/>
      <w:numFmt w:val="bullet"/>
      <w:start w:val="1"/>
    </w:lvl>
  </w:abstractNum>
  <w:abstractNum w:abstractNumId="18">
    <w:nsid w:val="519E3149"/>
    <w:multiLevelType w:val="hybridMultilevel"/>
    <w:lvl w:ilvl="0">
      <w:lvlJc w:val="left"/>
      <w:lvlText w:val="•"/>
      <w:numFmt w:val="bullet"/>
      <w:start w:val="1"/>
    </w:lvl>
  </w:abstractNum>
  <w:abstractNum w:abstractNumId="19">
    <w:nsid w:val="2C6E4AFD"/>
    <w:multiLevelType w:val="hybridMultilevel"/>
    <w:lvl w:ilvl="0">
      <w:lvlJc w:val="left"/>
      <w:lvlText w:val="•"/>
      <w:numFmt w:val="bullet"/>
      <w:start w:val="1"/>
    </w:lvl>
  </w:abstractNum>
  <w:abstractNum w:abstractNumId="20">
    <w:nsid w:val="17A1B582"/>
    <w:multiLevelType w:val="hybridMultilevel"/>
    <w:lvl w:ilvl="0">
      <w:lvlJc w:val="left"/>
      <w:lvlText w:val="•"/>
      <w:numFmt w:val="bullet"/>
      <w:start w:val="1"/>
    </w:lvl>
  </w:abstractNum>
  <w:abstractNum w:abstractNumId="21">
    <w:nsid w:val="4DF72E4E"/>
    <w:multiLevelType w:val="hybridMultilevel"/>
    <w:lvl w:ilvl="0">
      <w:lvlJc w:val="left"/>
      <w:lvlText w:val="•"/>
      <w:numFmt w:val="bullet"/>
      <w:start w:val="1"/>
    </w:lvl>
  </w:abstractNum>
  <w:abstractNum w:abstractNumId="22">
    <w:nsid w:val="5046B5A9"/>
    <w:multiLevelType w:val="hybridMultilevel"/>
    <w:lvl w:ilvl="0">
      <w:lvlJc w:val="left"/>
      <w:lvlText w:val="•"/>
      <w:numFmt w:val="bullet"/>
      <w:start w:val="1"/>
    </w:lvl>
  </w:abstractNum>
  <w:abstractNum w:abstractNumId="23">
    <w:nsid w:val="5D888A08"/>
    <w:multiLevelType w:val="hybridMultilevel"/>
    <w:lvl w:ilvl="0">
      <w:lvlJc w:val="left"/>
      <w:lvlText w:val="•"/>
      <w:numFmt w:val="bullet"/>
      <w:start w:val="1"/>
    </w:lvl>
  </w:abstractNum>
  <w:abstractNum w:abstractNumId="24">
    <w:nsid w:val="2A082C70"/>
    <w:multiLevelType w:val="hybridMultilevel"/>
    <w:lvl w:ilvl="0">
      <w:lvlJc w:val="left"/>
      <w:lvlText w:val="•"/>
      <w:numFmt w:val="bullet"/>
      <w:start w:val="1"/>
    </w:lvl>
  </w:abstractNum>
  <w:abstractNum w:abstractNumId="25">
    <w:nsid w:val="5EC6AFD4"/>
    <w:multiLevelType w:val="hybridMultilevel"/>
    <w:lvl w:ilvl="0">
      <w:lvlJc w:val="left"/>
      <w:lvlText w:val="•"/>
      <w:numFmt w:val="bullet"/>
      <w:start w:val="1"/>
    </w:lvl>
  </w:abstractNum>
  <w:abstractNum w:abstractNumId="26">
    <w:nsid w:val="19E21BB2"/>
    <w:multiLevelType w:val="hybridMultilevel"/>
    <w:lvl w:ilvl="0">
      <w:lvlJc w:val="left"/>
      <w:lvlText w:val="•"/>
      <w:numFmt w:val="bullet"/>
      <w:start w:val="1"/>
    </w:lvl>
  </w:abstractNum>
  <w:abstractNum w:abstractNumId="27">
    <w:nsid w:val="75E0858A"/>
    <w:multiLevelType w:val="hybridMultilevel"/>
    <w:lvl w:ilvl="0">
      <w:lvlJc w:val="left"/>
      <w:lvlText w:val="•"/>
      <w:numFmt w:val="bullet"/>
      <w:start w:val="1"/>
    </w:lvl>
  </w:abstractNum>
  <w:abstractNum w:abstractNumId="28">
    <w:nsid w:val="57A61A29"/>
    <w:multiLevelType w:val="hybridMultilevel"/>
    <w:lvl w:ilvl="0">
      <w:lvlJc w:val="left"/>
      <w:lvlText w:val="•"/>
      <w:numFmt w:val="bullet"/>
      <w:start w:val="1"/>
    </w:lvl>
  </w:abstractNum>
  <w:abstractNum w:abstractNumId="29">
    <w:nsid w:val="5399C654"/>
    <w:multiLevelType w:val="hybridMultilevel"/>
    <w:lvl w:ilvl="0">
      <w:lvlJc w:val="left"/>
      <w:lvlText w:val="•"/>
      <w:numFmt w:val="bullet"/>
      <w:start w:val="1"/>
    </w:lvl>
  </w:abstractNum>
  <w:abstractNum w:abstractNumId="30">
    <w:nsid w:val="20EE1348"/>
    <w:multiLevelType w:val="hybridMultilevel"/>
    <w:lvl w:ilvl="0">
      <w:lvlJc w:val="left"/>
      <w:lvlText w:val="•"/>
      <w:numFmt w:val="bullet"/>
      <w:start w:val="1"/>
    </w:lvl>
  </w:abstractNum>
  <w:abstractNum w:abstractNumId="31">
    <w:nsid w:val="4427069A"/>
    <w:multiLevelType w:val="hybridMultilevel"/>
    <w:lvl w:ilvl="0">
      <w:lvlJc w:val="left"/>
      <w:lvlText w:val="•"/>
      <w:numFmt w:val="bullet"/>
      <w:start w:val="1"/>
    </w:lvl>
  </w:abstractNum>
  <w:abstractNum w:abstractNumId="32">
    <w:nsid w:val="B37E80A"/>
    <w:multiLevelType w:val="hybridMultilevel"/>
    <w:lvl w:ilvl="0">
      <w:lvlJc w:val="left"/>
      <w:lvlText w:val="•"/>
      <w:numFmt w:val="bullet"/>
      <w:start w:val="1"/>
    </w:lvl>
  </w:abstractNum>
  <w:abstractNum w:abstractNumId="33">
    <w:nsid w:val="2157F6BC"/>
    <w:multiLevelType w:val="hybridMultilevel"/>
    <w:lvl w:ilvl="0">
      <w:lvlJc w:val="left"/>
      <w:lvlText w:val="•"/>
      <w:numFmt w:val="bullet"/>
      <w:start w:val="1"/>
    </w:lvl>
  </w:abstractNum>
  <w:abstractNum w:abstractNumId="34">
    <w:nsid w:val="704E1DD5"/>
    <w:multiLevelType w:val="hybridMultilevel"/>
    <w:lvl w:ilvl="0">
      <w:lvlJc w:val="left"/>
      <w:lvlText w:val="•"/>
      <w:numFmt w:val="bullet"/>
      <w:start w:val="1"/>
    </w:lvl>
  </w:abstractNum>
  <w:abstractNum w:abstractNumId="35">
    <w:nsid w:val="57D2F10E"/>
    <w:multiLevelType w:val="hybridMultilevel"/>
    <w:lvl w:ilvl="0">
      <w:lvlJc w:val="left"/>
      <w:lvlText w:val="•"/>
      <w:numFmt w:val="bullet"/>
      <w:start w:val="1"/>
    </w:lvl>
  </w:abstractNum>
  <w:abstractNum w:abstractNumId="36">
    <w:nsid w:val="BFFAE18"/>
    <w:multiLevelType w:val="hybridMultilevel"/>
    <w:lvl w:ilvl="0">
      <w:lvlJc w:val="left"/>
      <w:lvlText w:val="•"/>
      <w:numFmt w:val="bullet"/>
      <w:start w:val="1"/>
    </w:lvl>
  </w:abstractNum>
  <w:abstractNum w:abstractNumId="37">
    <w:nsid w:val="E3E47A8"/>
    <w:multiLevelType w:val="hybridMultilevel"/>
    <w:lvl w:ilvl="0">
      <w:lvlJc w:val="left"/>
      <w:lvlText w:val="%1"/>
      <w:numFmt w:val="upperLetter"/>
      <w:start w:val="35"/>
    </w:lvl>
  </w:abstractNum>
  <w:abstractNum w:abstractNumId="38">
    <w:nsid w:val="2E48F044"/>
    <w:multiLevelType w:val="hybridMultilevel"/>
    <w:lvl w:ilvl="0">
      <w:lvlJc w:val="left"/>
      <w:lvlText w:val="%1."/>
      <w:numFmt w:val="decimal"/>
      <w:start w:val="404"/>
    </w:lvl>
  </w:abstractNum>
  <w:abstractNum w:abstractNumId="39">
    <w:nsid w:val="49D0FEAC"/>
    <w:multiLevelType w:val="hybridMultilevel"/>
    <w:lvl w:ilvl="0">
      <w:lvlJc w:val="left"/>
      <w:lvlText w:val="•"/>
      <w:numFmt w:val="bullet"/>
      <w:start w:val="1"/>
    </w:lvl>
  </w:abstractNum>
  <w:abstractNum w:abstractNumId="40">
    <w:nsid w:val="4BEE5A5B"/>
    <w:multiLevelType w:val="hybridMultilevel"/>
    <w:lvl w:ilvl="0">
      <w:lvlJc w:val="left"/>
      <w:lvlText w:val="•"/>
      <w:numFmt w:val="bullet"/>
      <w:start w:val="1"/>
    </w:lvl>
  </w:abstractNum>
  <w:abstractNum w:abstractNumId="41">
    <w:nsid w:val="5551B9F3"/>
    <w:multiLevelType w:val="hybridMultilevel"/>
    <w:lvl w:ilvl="0">
      <w:lvlJc w:val="left"/>
      <w:lvlText w:val="•"/>
      <w:numFmt w:val="bullet"/>
      <w:start w:val="1"/>
    </w:lvl>
  </w:abstractNum>
  <w:abstractNum w:abstractNumId="42">
    <w:nsid w:val="24F6AB8E"/>
    <w:multiLevelType w:val="hybridMultilevel"/>
    <w:lvl w:ilvl="0">
      <w:lvlJc w:val="left"/>
      <w:lvlText w:val="*"/>
      <w:numFmt w:val="bullet"/>
      <w:start w:val="1"/>
    </w:lvl>
    <w:lvl w:ilvl="1">
      <w:lvlJc w:val="left"/>
      <w:lvlText w:val="%2"/>
      <w:numFmt w:val="decimal"/>
      <w:start w:val="104"/>
    </w:lvl>
  </w:abstractNum>
  <w:abstractNum w:abstractNumId="43">
    <w:nsid w:val="634C574C"/>
    <w:multiLevelType w:val="hybridMultilevel"/>
    <w:lvl w:ilvl="0">
      <w:lvlJc w:val="left"/>
      <w:lvlText w:val="%1"/>
      <w:numFmt w:val="upperLetter"/>
      <w:start w:val="61"/>
    </w:lvl>
  </w:abstractNum>
  <w:abstractNum w:abstractNumId="44">
    <w:nsid w:val="24E99DD7"/>
    <w:multiLevelType w:val="hybridMultilevel"/>
    <w:lvl w:ilvl="0">
      <w:lvlJc w:val="left"/>
      <w:lvlText w:val="(%1)"/>
      <w:numFmt w:val="lowerLetter"/>
      <w:start w:val="3"/>
    </w:lvl>
  </w:abstractNum>
  <w:abstractNum w:abstractNumId="45">
    <w:nsid w:val="2A31B62D"/>
    <w:multiLevelType w:val="hybridMultilevel"/>
    <w:lvl w:ilvl="0">
      <w:lvlJc w:val="left"/>
      <w:lvlText w:val="(%1)"/>
      <w:numFmt w:val="lowerLetter"/>
      <w:start w:val="1"/>
    </w:lvl>
  </w:abstractNum>
  <w:abstractNum w:abstractNumId="46">
    <w:nsid w:val="1849C29B"/>
    <w:multiLevelType w:val="hybridMultilevel"/>
    <w:lvl w:ilvl="0">
      <w:lvlJc w:val="left"/>
      <w:lvlText w:val="(%1)"/>
      <w:numFmt w:val="lowerLetter"/>
      <w:start w:val="2"/>
    </w:lvl>
  </w:abstractNum>
  <w:abstractNum w:abstractNumId="47">
    <w:nsid w:val="7DFF9D09"/>
    <w:multiLevelType w:val="hybridMultilevel"/>
    <w:lvl w:ilvl="0">
      <w:lvlJc w:val="left"/>
      <w:lvlText w:val="(%1)"/>
      <w:numFmt w:val="lowerLetter"/>
      <w:start w:val="1"/>
    </w:lvl>
    <w:lvl w:ilvl="1">
      <w:lvlJc w:val="left"/>
      <w:lvlText w:val="(%2)"/>
      <w:numFmt w:val="lowerRoman"/>
      <w:start w:val="1"/>
    </w:lvl>
  </w:abstractNum>
  <w:abstractNum w:abstractNumId="48">
    <w:nsid w:val="754342"/>
    <w:multiLevelType w:val="hybridMultilevel"/>
    <w:lvl w:ilvl="0">
      <w:lvlJc w:val="left"/>
      <w:lvlText w:val="(%1)"/>
      <w:numFmt w:val="lowerRoman"/>
      <w:start w:val="8"/>
    </w:lvl>
  </w:abstractNum>
  <w:abstractNum w:abstractNumId="49">
    <w:nsid w:val="69E7F3E5"/>
    <w:multiLevelType w:val="hybridMultilevel"/>
    <w:lvl w:ilvl="0">
      <w:lvlJc w:val="left"/>
      <w:lvlText w:val="(%1)"/>
      <w:numFmt w:val="lowerLetter"/>
      <w:start w:val="3"/>
    </w:lvl>
  </w:abstractNum>
  <w:abstractNum w:abstractNumId="50">
    <w:nsid w:val="2A6DE806"/>
    <w:multiLevelType w:val="hybridMultilevel"/>
    <w:lvl w:ilvl="0">
      <w:lvlJc w:val="left"/>
      <w:lvlText w:val="(%1)"/>
      <w:numFmt w:val="lowerLetter"/>
      <w:start w:val="2"/>
    </w:lvl>
  </w:abstractNum>
  <w:abstractNum w:abstractNumId="51">
    <w:nsid w:val="1816F8C4"/>
    <w:multiLevelType w:val="hybridMultilevel"/>
    <w:lvl w:ilvl="0">
      <w:lvlJc w:val="left"/>
      <w:lvlText w:val="(%1)"/>
      <w:numFmt w:val="lowerLetter"/>
      <w:start w:val="9"/>
    </w:lvl>
  </w:abstractNum>
  <w:abstractNum w:abstractNumId="52">
    <w:nsid w:val="37DF2233"/>
    <w:multiLevelType w:val="hybridMultilevel"/>
    <w:lvl w:ilvl="0">
      <w:lvlJc w:val="left"/>
      <w:lvlText w:val="(%1)"/>
      <w:numFmt w:val="lowerLetter"/>
      <w:start w:val="3"/>
    </w:lvl>
  </w:abstractNum>
  <w:abstractNum w:abstractNumId="53">
    <w:nsid w:val="7AB49DAF"/>
    <w:multiLevelType w:val="hybridMultilevel"/>
    <w:lvl w:ilvl="0">
      <w:lvlJc w:val="left"/>
      <w:lvlText w:val="(%1)"/>
      <w:numFmt w:val="lowerLetter"/>
      <w:start w:val="8"/>
    </w:lvl>
  </w:abstractNum>
  <w:abstractNum w:abstractNumId="54">
    <w:nsid w:val="759F82CD"/>
    <w:multiLevelType w:val="hybridMultilevel"/>
    <w:lvl w:ilvl="0">
      <w:lvlJc w:val="left"/>
      <w:lvlText w:val="(%1)"/>
      <w:numFmt w:val="lowerLetter"/>
      <w:start w:val="12"/>
    </w:lvl>
  </w:abstractNum>
  <w:abstractNum w:abstractNumId="55">
    <w:nsid w:val="61E74EA3"/>
    <w:multiLevelType w:val="hybridMultilevel"/>
    <w:lvl w:ilvl="0">
      <w:lvlJc w:val="left"/>
      <w:lvlText w:val="(%1)"/>
      <w:numFmt w:val="lowerLetter"/>
      <w:start w:val="14"/>
    </w:lvl>
  </w:abstractNum>
  <w:abstractNum w:abstractNumId="56">
    <w:nsid w:val="597B4D84"/>
    <w:multiLevelType w:val="hybridMultilevel"/>
    <w:lvl w:ilvl="0">
      <w:lvlJc w:val="left"/>
      <w:lvlText w:val="(%1)"/>
      <w:numFmt w:val="lowerLetter"/>
      <w:start w:val="17"/>
    </w:lvl>
  </w:abstractNum>
  <w:abstractNum w:abstractNumId="57">
    <w:nsid w:val="F819E7F"/>
    <w:multiLevelType w:val="hybridMultilevel"/>
    <w:lvl w:ilvl="0">
      <w:lvlJc w:val="left"/>
      <w:lvlText w:val="(%1)"/>
      <w:numFmt w:val="lowerRoman"/>
      <w:start w:val="10"/>
    </w:lvl>
  </w:abstractNum>
  <w:abstractNum w:abstractNumId="58">
    <w:nsid w:val="57C7D42D"/>
    <w:multiLevelType w:val="hybridMultilevel"/>
    <w:lvl w:ilvl="0">
      <w:lvlJc w:val="left"/>
      <w:lvlText w:val="(%1)"/>
      <w:numFmt w:val="lowerLetter"/>
      <w:start w:val="1"/>
    </w:lvl>
  </w:abstractNum>
  <w:abstractNum w:abstractNumId="59">
    <w:nsid w:val="312167AD"/>
    <w:multiLevelType w:val="hybridMultilevel"/>
    <w:lvl w:ilvl="0">
      <w:lvlJc w:val="left"/>
      <w:lvlText w:val="(%1)"/>
      <w:numFmt w:val="lowerLetter"/>
      <w:start w:val="1"/>
    </w:lvl>
  </w:abstractNum>
  <w:abstractNum w:abstractNumId="60">
    <w:nsid w:val="631B64D4"/>
    <w:multiLevelType w:val="hybridMultilevel"/>
    <w:lvl w:ilvl="0">
      <w:lvlJc w:val="left"/>
      <w:lvlText w:val="(%1)"/>
      <w:numFmt w:val="lowerLetter"/>
      <w:start w:val="3"/>
    </w:lvl>
  </w:abstractNum>
  <w:abstractNum w:abstractNumId="61">
    <w:nsid w:val="78B5E776"/>
    <w:multiLevelType w:val="hybridMultilevel"/>
    <w:lvl w:ilvl="0">
      <w:lvlJc w:val="left"/>
      <w:lvlText w:val="(%1)"/>
      <w:numFmt w:val="lowerLetter"/>
      <w:start w:val="4"/>
    </w:lvl>
  </w:abstractNum>
  <w:abstractNum w:abstractNumId="62">
    <w:nsid w:val="75486E47"/>
    <w:multiLevelType w:val="hybridMultilevel"/>
    <w:lvl w:ilvl="0">
      <w:lvlJc w:val="left"/>
      <w:lvlText w:val="(%1)"/>
      <w:numFmt w:val="lowerRoman"/>
      <w:start w:val="2"/>
    </w:lvl>
  </w:abstractNum>
  <w:abstractNum w:abstractNumId="63">
    <w:nsid w:val="6E534CDE"/>
    <w:multiLevelType w:val="hybridMultilevel"/>
    <w:lvl w:ilvl="0">
      <w:lvlJc w:val="left"/>
      <w:lvlText w:val="(%1)"/>
      <w:numFmt w:val="lowerLetter"/>
      <w:start w:val="1"/>
    </w:lvl>
  </w:abstractNum>
  <w:abstractNum w:abstractNumId="64">
    <w:nsid w:val="1A0DDE32"/>
    <w:multiLevelType w:val="hybridMultilevel"/>
    <w:lvl w:ilvl="0">
      <w:lvlJc w:val="left"/>
      <w:lvlText w:val="(%1)"/>
      <w:numFmt w:val="lowerLetter"/>
      <w:start w:val="3"/>
    </w:lvl>
  </w:abstractNum>
  <w:abstractNum w:abstractNumId="65">
    <w:nsid w:val="65968C1C"/>
    <w:multiLevelType w:val="hybridMultilevel"/>
    <w:lvl w:ilvl="0">
      <w:lvlJc w:val="left"/>
      <w:lvlText w:val="(%1)"/>
      <w:numFmt w:val="lowerLetter"/>
      <w:start w:val="6"/>
    </w:lvl>
  </w:abstractNum>
  <w:abstractNum w:abstractNumId="66">
    <w:nsid w:val="46263DEC"/>
    <w:multiLevelType w:val="hybridMultilevel"/>
    <w:lvl w:ilvl="0">
      <w:lvlJc w:val="left"/>
      <w:lvlText w:val="(%1)"/>
      <w:numFmt w:val="lowerLetter"/>
      <w:start w:val="1"/>
    </w:lvl>
  </w:abstractNum>
  <w:abstractNum w:abstractNumId="67">
    <w:nsid w:val="260D8C4A"/>
    <w:multiLevelType w:val="hybridMultilevel"/>
    <w:lvl w:ilvl="0">
      <w:lvlJc w:val="left"/>
      <w:lvlText w:val="(%1)"/>
      <w:numFmt w:val="lowerLetter"/>
      <w:start w:val="2"/>
    </w:lvl>
  </w:abstractNum>
  <w:abstractNum w:abstractNumId="68">
    <w:nsid w:val="73D4D3C4"/>
    <w:multiLevelType w:val="hybridMultilevel"/>
    <w:lvl w:ilvl="0">
      <w:lvlJc w:val="left"/>
      <w:lvlText w:val="(%1)"/>
      <w:numFmt w:val="lowerLetter"/>
      <w:start w:val="5"/>
    </w:lvl>
  </w:abstractNum>
  <w:abstractNum w:abstractNumId="69">
    <w:nsid w:val="746F2E30"/>
    <w:multiLevelType w:val="hybridMultilevel"/>
    <w:lvl w:ilvl="0">
      <w:lvlJc w:val="left"/>
      <w:lvlText w:val="%1"/>
      <w:numFmt w:val="lowerLetter"/>
      <w:start w:val="1"/>
    </w:lvl>
    <w:lvl w:ilvl="1">
      <w:lvlJc w:val="left"/>
      <w:lvlText w:val="(%2)"/>
      <w:numFmt w:val="lowerLetter"/>
      <w:start w:val="7"/>
    </w:lvl>
  </w:abstractNum>
  <w:abstractNum w:abstractNumId="70">
    <w:nsid w:val="6FDE8AF6"/>
    <w:multiLevelType w:val="hybridMultilevel"/>
    <w:lvl w:ilvl="0">
      <w:lvlJc w:val="left"/>
      <w:lvlText w:val="(%1)"/>
      <w:numFmt w:val="lowerLetter"/>
      <w:start w:val="9"/>
    </w:lvl>
    <w:lvl w:ilvl="1">
      <w:lvlJc w:val="left"/>
      <w:lvlText w:val="(%2)"/>
      <w:numFmt w:val="lowerLetter"/>
      <w:start w:val="10"/>
    </w:lvl>
  </w:abstractNum>
  <w:abstractNum w:abstractNumId="71">
    <w:nsid w:val="3FC32E20"/>
    <w:multiLevelType w:val="hybridMultilevel"/>
    <w:lvl w:ilvl="0">
      <w:lvlJc w:val="left"/>
      <w:lvlText w:val="(%1)"/>
      <w:numFmt w:val="lowerLetter"/>
      <w:start w:val="11"/>
    </w:lvl>
  </w:abstractNum>
  <w:abstractNum w:abstractNumId="72">
    <w:nsid w:val="49C0E823"/>
    <w:multiLevelType w:val="hybridMultilevel"/>
    <w:lvl w:ilvl="0">
      <w:lvlJc w:val="left"/>
      <w:lvlText w:val="(%1)"/>
      <w:numFmt w:val="lowerLetter"/>
      <w:start w:val="1"/>
    </w:lvl>
  </w:abstractNum>
  <w:abstractNum w:abstractNumId="73">
    <w:nsid w:val="14D53685"/>
    <w:multiLevelType w:val="hybridMultilevel"/>
    <w:lvl w:ilvl="0">
      <w:lvlJc w:val="left"/>
      <w:lvlText w:val="(%1)"/>
      <w:numFmt w:val="lowerLetter"/>
      <w:start w:val="2"/>
    </w:lvl>
  </w:abstractNum>
  <w:abstractNum w:abstractNumId="74">
    <w:nsid w:val="230F856C"/>
    <w:multiLevelType w:val="hybridMultilevel"/>
    <w:lvl w:ilvl="0">
      <w:lvlJc w:val="left"/>
      <w:lvlText w:val="(%1)"/>
      <w:numFmt w:val="lowerLetter"/>
      <w:start w:val="1"/>
    </w:lvl>
  </w:abstractNum>
  <w:abstractNum w:abstractNumId="75">
    <w:nsid w:val="6EAA85FB"/>
    <w:multiLevelType w:val="hybridMultilevel"/>
    <w:lvl w:ilvl="0">
      <w:lvlJc w:val="left"/>
      <w:lvlText w:val="(%1)"/>
      <w:numFmt w:val="lowerLetter"/>
      <w:start w:val="4"/>
    </w:lvl>
  </w:abstractNum>
  <w:abstractNum w:abstractNumId="76">
    <w:nsid w:val="3F06ECB2"/>
    <w:multiLevelType w:val="hybridMultilevel"/>
    <w:lvl w:ilvl="0">
      <w:lvlJc w:val="left"/>
      <w:lvlText w:val="%1"/>
      <w:numFmt w:val="lowerLetter"/>
      <w:start w:val="1"/>
    </w:lvl>
    <w:lvl w:ilvl="1">
      <w:lvlJc w:val="left"/>
      <w:lvlText w:val="(%2)"/>
      <w:numFmt w:val="lowerLetter"/>
      <w:start w:val="1"/>
    </w:lvl>
  </w:abstractNum>
  <w:abstractNum w:abstractNumId="77">
    <w:nsid w:val="3B594807"/>
    <w:multiLevelType w:val="hybridMultilevel"/>
    <w:lvl w:ilvl="0">
      <w:lvlJc w:val="left"/>
      <w:lvlText w:val="(%1)"/>
      <w:numFmt w:val="lowerLetter"/>
      <w:start w:val="3"/>
    </w:lvl>
    <w:lvl w:ilvl="1">
      <w:lvlJc w:val="left"/>
      <w:lvlText w:val="%2"/>
      <w:numFmt w:val="lowerLetter"/>
      <w:start w:val="1"/>
    </w:lvl>
  </w:abstractNum>
  <w:abstractNum w:abstractNumId="78">
    <w:nsid w:val="6CAA2304"/>
    <w:multiLevelType w:val="hybridMultilevel"/>
    <w:lvl w:ilvl="0">
      <w:lvlJc w:val="left"/>
      <w:lvlText w:val="(%1)"/>
      <w:numFmt w:val="lowerLetter"/>
      <w:start w:val="1"/>
    </w:lvl>
  </w:abstractNum>
  <w:abstractNum w:abstractNumId="79">
    <w:nsid w:val="3F7C2FF4"/>
    <w:multiLevelType w:val="hybridMultilevel"/>
    <w:lvl w:ilvl="0">
      <w:lvlJc w:val="left"/>
      <w:lvlText w:val="(%1)"/>
      <w:numFmt w:val="lowerLetter"/>
      <w:start w:val="1"/>
    </w:lvl>
  </w:abstractNum>
  <w:abstractNum w:abstractNumId="80">
    <w:nsid w:val="25413BEC"/>
    <w:multiLevelType w:val="hybridMultilevel"/>
    <w:lvl w:ilvl="0">
      <w:lvlJc w:val="left"/>
      <w:lvlText w:val="(%1)"/>
      <w:numFmt w:val="lowerLetter"/>
      <w:start w:val="3"/>
    </w:lvl>
  </w:abstractNum>
  <w:abstractNum w:abstractNumId="81">
    <w:nsid w:val="17180B0B"/>
    <w:multiLevelType w:val="hybridMultilevel"/>
    <w:lvl w:ilvl="0">
      <w:lvlJc w:val="left"/>
      <w:lvlText w:val="(%1)"/>
      <w:numFmt w:val="lowerLetter"/>
      <w:start w:val="1"/>
    </w:lvl>
  </w:abstractNum>
  <w:abstractNum w:abstractNumId="82">
    <w:nsid w:val="579328B9"/>
    <w:multiLevelType w:val="hybridMultilevel"/>
    <w:lvl w:ilvl="0">
      <w:lvlJc w:val="left"/>
      <w:lvlText w:val="(%1)"/>
      <w:numFmt w:val="lowerLetter"/>
      <w:start w:val="3"/>
    </w:lvl>
  </w:abstractNum>
  <w:abstractNum w:abstractNumId="83">
    <w:nsid w:val="5D205E20"/>
    <w:multiLevelType w:val="hybridMultilevel"/>
    <w:lvl w:ilvl="0">
      <w:lvlJc w:val="left"/>
      <w:lvlText w:val="(%1)"/>
      <w:numFmt w:val="lowerLetter"/>
      <w:start w:val="1"/>
    </w:lvl>
  </w:abstractNum>
  <w:abstractNum w:abstractNumId="84">
    <w:nsid w:val="11CCA8BA"/>
    <w:multiLevelType w:val="hybridMultilevel"/>
    <w:lvl w:ilvl="0">
      <w:lvlJc w:val="left"/>
      <w:lvlText w:val="(%1)"/>
      <w:numFmt w:val="lowerLetter"/>
      <w:start w:val="1"/>
    </w:lvl>
    <w:lvl w:ilvl="1">
      <w:lvlJc w:val="left"/>
      <w:lvlText w:val="(%2)"/>
      <w:numFmt w:val="lowerLetter"/>
      <w:start w:val="9"/>
    </w:lvl>
  </w:abstractNum>
  <w:abstractNum w:abstractNumId="85">
    <w:nsid w:val="4D32AB86"/>
    <w:multiLevelType w:val="hybridMultilevel"/>
    <w:lvl w:ilvl="0">
      <w:lvlJc w:val="left"/>
      <w:lvlText w:val="(%1)"/>
      <w:numFmt w:val="lowerRoman"/>
      <w:start w:val="2"/>
    </w:lvl>
  </w:abstractNum>
  <w:abstractNum w:abstractNumId="86">
    <w:nsid w:val="3F07ACC3"/>
    <w:multiLevelType w:val="hybridMultilevel"/>
    <w:lvl w:ilvl="0">
      <w:lvlJc w:val="left"/>
      <w:lvlText w:val="(%1)"/>
      <w:numFmt w:val="lowerLetter"/>
      <w:start w:val="2"/>
    </w:lvl>
  </w:abstractNum>
  <w:abstractNum w:abstractNumId="87">
    <w:nsid w:val="6B47F63E"/>
    <w:multiLevelType w:val="hybridMultilevel"/>
    <w:lvl w:ilvl="0">
      <w:lvlJc w:val="left"/>
      <w:lvlText w:val="(%1)"/>
      <w:numFmt w:val="lowerLetter"/>
      <w:start w:val="1"/>
    </w:lvl>
    <w:lvl w:ilvl="1">
      <w:lvlJc w:val="left"/>
      <w:lvlText w:val="(%2)"/>
      <w:numFmt w:val="lowerLetter"/>
      <w:start w:val="9"/>
    </w:lvl>
  </w:abstractNum>
  <w:abstractNum w:abstractNumId="88">
    <w:nsid w:val="5CB44A05"/>
    <w:multiLevelType w:val="hybridMultilevel"/>
    <w:lvl w:ilvl="0">
      <w:lvlJc w:val="left"/>
      <w:lvlText w:val="(%1)"/>
      <w:numFmt w:val="lowerRoman"/>
      <w:start w:val="2"/>
    </w:lvl>
  </w:abstractNum>
  <w:abstractNum w:abstractNumId="89">
    <w:nsid w:val="16CF80F1"/>
    <w:multiLevelType w:val="hybridMultilevel"/>
    <w:lvl w:ilvl="0">
      <w:lvlJc w:val="left"/>
      <w:lvlText w:val="(%1)"/>
      <w:numFmt w:val="lowerLetter"/>
      <w:start w:val="2"/>
    </w:lvl>
  </w:abstractNum>
  <w:abstractNum w:abstractNumId="90">
    <w:nsid w:val="1C695DEC"/>
    <w:multiLevelType w:val="hybridMultilevel"/>
    <w:lvl w:ilvl="0">
      <w:lvlJc w:val="left"/>
      <w:lvlText w:val="(%1)"/>
      <w:numFmt w:val="lowerLetter"/>
      <w:start w:val="1"/>
    </w:lvl>
  </w:abstractNum>
  <w:abstractNum w:abstractNumId="91">
    <w:nsid w:val="3FCFAED9"/>
    <w:multiLevelType w:val="hybridMultilevel"/>
    <w:lvl w:ilvl="0">
      <w:lvlJc w:val="left"/>
      <w:lvlText w:val="(%1)"/>
      <w:numFmt w:val="lowerLetter"/>
      <w:start w:val="5"/>
    </w:lvl>
    <w:lvl w:ilvl="1">
      <w:lvlJc w:val="left"/>
      <w:lvlText w:val="(%2)"/>
      <w:numFmt w:val="lowerRoman"/>
      <w:start w:val="1"/>
    </w:lvl>
  </w:abstractNum>
  <w:abstractNum w:abstractNumId="92">
    <w:nsid w:val="F856867"/>
    <w:multiLevelType w:val="hybridMultilevel"/>
    <w:lvl w:ilvl="0">
      <w:lvlJc w:val="left"/>
      <w:lvlText w:val="(%1)"/>
      <w:numFmt w:val="upperLetter"/>
      <w:start w:val="2"/>
    </w:lvl>
  </w:abstractNum>
  <w:abstractNum w:abstractNumId="93">
    <w:nsid w:val="11B1CC33"/>
    <w:multiLevelType w:val="hybridMultilevel"/>
    <w:lvl w:ilvl="0">
      <w:lvlJc w:val="left"/>
      <w:lvlText w:val="%1"/>
      <w:numFmt w:val="upperLetter"/>
      <w:start w:val="1"/>
    </w:lvl>
    <w:lvl w:ilvl="1">
      <w:lvlJc w:val="left"/>
      <w:lvlText w:val="(%2)"/>
      <w:numFmt w:val="decimal"/>
      <w:start w:val="1"/>
    </w:lvl>
  </w:abstractNum>
  <w:abstractNum w:abstractNumId="94">
    <w:nsid w:val="2E22FBB7"/>
    <w:multiLevelType w:val="hybridMultilevel"/>
    <w:lvl w:ilvl="0">
      <w:lvlJc w:val="left"/>
      <w:lvlText w:val="(%1)"/>
      <w:numFmt w:val="upperLetter"/>
      <w:start w:val="3"/>
    </w:lvl>
    <w:lvl w:ilvl="1">
      <w:lvlJc w:val="left"/>
      <w:lvlText w:val="%2"/>
      <w:numFmt w:val="decimal"/>
      <w:start w:val="1"/>
    </w:lvl>
  </w:abstractNum>
  <w:abstractNum w:abstractNumId="95">
    <w:nsid w:val="29934699"/>
    <w:multiLevelType w:val="hybridMultilevel"/>
    <w:lvl w:ilvl="0">
      <w:lvlJc w:val="left"/>
      <w:lvlText w:val="(%1)"/>
      <w:numFmt w:val="lowerLetter"/>
      <w:start w:val="7"/>
    </w:lvl>
  </w:abstractNum>
  <w:abstractNum w:abstractNumId="96">
    <w:nsid w:val="77485850"/>
    <w:multiLevelType w:val="hybridMultilevel"/>
    <w:lvl w:ilvl="0">
      <w:lvlJc w:val="left"/>
      <w:lvlText w:val="(%1)"/>
      <w:numFmt w:val="lowerLetter"/>
      <w:start w:val="1"/>
    </w:lvl>
  </w:abstractNum>
  <w:abstractNum w:abstractNumId="97">
    <w:nsid w:val="744939A3"/>
    <w:multiLevelType w:val="hybridMultilevel"/>
    <w:lvl w:ilvl="0">
      <w:lvlJc w:val="left"/>
      <w:lvlText w:val="(%1)"/>
      <w:numFmt w:val="lowerLetter"/>
      <w:start w:val="2"/>
    </w:lvl>
  </w:abstractNum>
  <w:abstractNum w:abstractNumId="98">
    <w:nsid w:val="4FA0D2E3"/>
    <w:multiLevelType w:val="hybridMultilevel"/>
    <w:lvl w:ilvl="0">
      <w:lvlJc w:val="left"/>
      <w:lvlText w:val="(%1)"/>
      <w:numFmt w:val="lowerLetter"/>
      <w:start w:val="3"/>
    </w:lvl>
  </w:abstractNum>
  <w:abstractNum w:abstractNumId="99">
    <w:nsid w:val="6B1D2C14"/>
    <w:multiLevelType w:val="hybridMultilevel"/>
    <w:lvl w:ilvl="0">
      <w:lvlJc w:val="left"/>
      <w:lvlText w:val="(%1)"/>
      <w:numFmt w:val="lowerLetter"/>
      <w:start w:val="5"/>
    </w:lvl>
  </w:abstractNum>
  <w:abstractNum w:abstractNumId="100">
    <w:nsid w:val="68B867D3"/>
    <w:multiLevelType w:val="hybridMultilevel"/>
    <w:lvl w:ilvl="0">
      <w:lvlJc w:val="left"/>
      <w:lvlText w:val="(%1)"/>
      <w:numFmt w:val="lowerLetter"/>
      <w:start w:val="1"/>
    </w:lvl>
  </w:abstractNum>
  <w:abstractNum w:abstractNumId="101">
    <w:nsid w:val="3F7F5DD9"/>
    <w:multiLevelType w:val="hybridMultilevel"/>
    <w:lvl w:ilvl="0">
      <w:lvlJc w:val="left"/>
      <w:lvlText w:val="(%1)"/>
      <w:numFmt w:val="lowerLetter"/>
      <w:start w:val="2"/>
    </w:lvl>
  </w:abstractNum>
  <w:abstractNum w:abstractNumId="102">
    <w:nsid w:val="2AE05A34"/>
    <w:multiLevelType w:val="hybridMultilevel"/>
    <w:lvl w:ilvl="0">
      <w:lvlJc w:val="left"/>
      <w:lvlText w:val="(%1)"/>
      <w:numFmt w:val="lowerLetter"/>
      <w:start w:val="1"/>
    </w:lvl>
  </w:abstractNum>
  <w:abstractNum w:abstractNumId="103">
    <w:nsid w:val="32794FF7"/>
    <w:multiLevelType w:val="hybridMultilevel"/>
    <w:lvl w:ilvl="0">
      <w:lvlJc w:val="left"/>
      <w:lvlText w:val="(%1)"/>
      <w:numFmt w:val="lowerRoman"/>
      <w:start w:val="1"/>
    </w:lvl>
  </w:abstractNum>
  <w:abstractNum w:abstractNumId="104">
    <w:nsid w:val="5454945E"/>
    <w:multiLevelType w:val="hybridMultilevel"/>
    <w:lvl w:ilvl="0">
      <w:lvlJc w:val="left"/>
      <w:lvlText w:val="%1"/>
      <w:numFmt w:val="lowerLetter"/>
      <w:start w:val="1"/>
    </w:lvl>
    <w:lvl w:ilvl="1">
      <w:lvlJc w:val="left"/>
      <w:lvlText w:val="(%2)"/>
      <w:numFmt w:val="lowerLetter"/>
      <w:start w:val="22"/>
    </w:lvl>
  </w:abstractNum>
  <w:abstractNum w:abstractNumId="105">
    <w:nsid w:val="4DEFDFA0"/>
    <w:multiLevelType w:val="hybridMultilevel"/>
    <w:lvl w:ilvl="0">
      <w:lvlJc w:val="left"/>
      <w:lvlText w:val="(%1)"/>
      <w:numFmt w:val="lowerLetter"/>
      <w:start w:val="4"/>
    </w:lvl>
    <w:lvl w:ilvl="1">
      <w:lvlJc w:val="left"/>
      <w:lvlText w:val="%2"/>
      <w:numFmt w:val="lowerLetter"/>
      <w:start w:val="1"/>
    </w:lvl>
  </w:abstractNum>
  <w:abstractNum w:abstractNumId="106">
    <w:nsid w:val="2123D5F2"/>
    <w:multiLevelType w:val="hybridMultilevel"/>
    <w:lvl w:ilvl="0">
      <w:lvlJc w:val="left"/>
      <w:lvlText w:val="(%1)"/>
      <w:numFmt w:val="lowerLetter"/>
      <w:start w:val="6"/>
    </w:lvl>
  </w:abstractNum>
  <w:abstractNum w:abstractNumId="107">
    <w:nsid w:val="135B8110"/>
    <w:multiLevelType w:val="hybridMultilevel"/>
    <w:lvl w:ilvl="0">
      <w:lvlJc w:val="left"/>
      <w:lvlText w:val="(%1)"/>
      <w:numFmt w:val="lowerLetter"/>
      <w:start w:val="1"/>
    </w:lvl>
    <w:lvl w:ilvl="1">
      <w:lvlJc w:val="left"/>
      <w:lvlText w:val="(%2)"/>
      <w:numFmt w:val="lowerRoman"/>
      <w:start w:val="1"/>
    </w:lvl>
  </w:abstractNum>
  <w:abstractNum w:abstractNumId="108">
    <w:nsid w:val="94927A8"/>
    <w:multiLevelType w:val="hybridMultilevel"/>
    <w:lvl w:ilvl="0">
      <w:lvlJc w:val="left"/>
      <w:lvlText w:val="(%1)"/>
      <w:numFmt w:val="lowerLetter"/>
      <w:start w:val="2"/>
    </w:lvl>
    <w:lvl w:ilvl="1">
      <w:lvlJc w:val="left"/>
      <w:lvlText w:val="(%2)"/>
      <w:numFmt w:val="lowerRoman"/>
      <w:start w:val="1"/>
    </w:lvl>
  </w:abstractNum>
  <w:abstractNum w:abstractNumId="109">
    <w:nsid w:val="DCDF8F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10">
    <w:nsid w:val="52D7B105"/>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3"/>
    </w:lvl>
  </w:abstractNum>
  <w:abstractNum w:abstractNumId="111">
    <w:nsid w:val="2E8A6394"/>
    <w:multiLevelType w:val="hybridMultilevel"/>
    <w:lvl w:ilvl="0">
      <w:lvlJc w:val="left"/>
      <w:lvlText w:val="(%1)"/>
      <w:numFmt w:val="lowerLetter"/>
      <w:start w:val="4"/>
    </w:lvl>
  </w:abstractNum>
  <w:abstractNum w:abstractNumId="112">
    <w:nsid w:val="24E60401"/>
    <w:multiLevelType w:val="hybridMultilevel"/>
    <w:lvl w:ilvl="0">
      <w:lvlJc w:val="left"/>
      <w:lvlText w:val="(%1)"/>
      <w:numFmt w:val="lowerLetter"/>
      <w:start w:val="1"/>
    </w:lvl>
  </w:abstractNum>
  <w:abstractNum w:abstractNumId="113">
    <w:nsid w:val="2A6AD9BE"/>
    <w:multiLevelType w:val="hybridMultilevel"/>
    <w:lvl w:ilvl="0">
      <w:lvlJc w:val="left"/>
      <w:lvlText w:val="(%1)"/>
      <w:numFmt w:val="lowerLetter"/>
      <w:start w:val="4"/>
    </w:lvl>
  </w:abstractNum>
  <w:abstractNum w:abstractNumId="114">
    <w:nsid w:val="BAAC1B4"/>
    <w:multiLevelType w:val="hybridMultilevel"/>
    <w:lvl w:ilvl="0">
      <w:lvlJc w:val="left"/>
      <w:lvlText w:val="(%1)"/>
      <w:numFmt w:val="lowerLetter"/>
      <w:start w:val="1"/>
    </w:lvl>
  </w:abstractNum>
  <w:abstractNum w:abstractNumId="115">
    <w:nsid w:val="36B2ACBC"/>
    <w:multiLevelType w:val="hybridMultilevel"/>
    <w:lvl w:ilvl="0">
      <w:lvlJc w:val="left"/>
      <w:lvlText w:val="(%1)"/>
      <w:numFmt w:val="lowerLetter"/>
      <w:start w:val="2"/>
    </w:lvl>
  </w:abstractNum>
  <w:abstractNum w:abstractNumId="116">
    <w:nsid w:val="779D8544"/>
    <w:multiLevelType w:val="hybridMultilevel"/>
    <w:lvl w:ilvl="0">
      <w:lvlJc w:val="left"/>
      <w:lvlText w:val="(%1)"/>
      <w:numFmt w:val="lowerLetter"/>
      <w:start w:val="1"/>
    </w:lvl>
  </w:abstractNum>
  <w:abstractNum w:abstractNumId="117">
    <w:nsid w:val="4AB26E78"/>
    <w:multiLevelType w:val="hybridMultilevel"/>
    <w:lvl w:ilvl="0">
      <w:lvlJc w:val="left"/>
      <w:lvlText w:val="%1"/>
      <w:numFmt w:val="lowerLetter"/>
      <w:start w:val="1"/>
    </w:lvl>
    <w:lvl w:ilvl="1">
      <w:lvlJc w:val="left"/>
      <w:lvlText w:val="(%2)"/>
      <w:numFmt w:val="lowerLetter"/>
      <w:start w:val="1"/>
    </w:lvl>
  </w:abstractNum>
  <w:abstractNum w:abstractNumId="118">
    <w:nsid w:val="21FAA2FA"/>
    <w:multiLevelType w:val="hybridMultilevel"/>
    <w:lvl w:ilvl="0">
      <w:lvlJc w:val="left"/>
      <w:lvlText w:val="(%1)"/>
      <w:numFmt w:val="lowerLetter"/>
      <w:start w:val="61"/>
    </w:lvl>
    <w:lvl w:ilvl="1">
      <w:lvlJc w:val="left"/>
      <w:lvlText w:val="%2"/>
      <w:numFmt w:val="lowerLetter"/>
      <w:start w:val="1"/>
    </w:lvl>
  </w:abstractNum>
  <w:abstractNum w:abstractNumId="119">
    <w:nsid w:val="5451CF49"/>
    <w:multiLevelType w:val="hybridMultilevel"/>
    <w:lvl w:ilvl="0">
      <w:lvlJc w:val="left"/>
      <w:lvlText w:val="(%1)"/>
      <w:numFmt w:val="lowerLetter"/>
      <w:start w:val="1"/>
    </w:lvl>
  </w:abstractNum>
  <w:abstractNum w:abstractNumId="120">
    <w:nsid w:val="6181EF69"/>
    <w:multiLevelType w:val="hybridMultilevel"/>
    <w:lvl w:ilvl="0">
      <w:lvlJc w:val="left"/>
      <w:lvlText w:val="(%1)"/>
      <w:numFmt w:val="lowerLetter"/>
      <w:start w:val="1"/>
    </w:lvl>
  </w:abstractNum>
  <w:abstractNum w:abstractNumId="121">
    <w:nsid w:val="3E6400E6"/>
    <w:multiLevelType w:val="hybridMultilevel"/>
    <w:lvl w:ilvl="0">
      <w:lvlJc w:val="left"/>
      <w:lvlText w:val="(%1)"/>
      <w:numFmt w:val="lowerLetter"/>
      <w:start w:val="1"/>
    </w:lvl>
  </w:abstractNum>
  <w:abstractNum w:abstractNumId="122">
    <w:nsid w:val="14217E23"/>
    <w:multiLevelType w:val="hybridMultilevel"/>
    <w:lvl w:ilvl="0">
      <w:lvlJc w:val="left"/>
      <w:lvlText w:val="(%1)"/>
      <w:numFmt w:val="lowerLetter"/>
      <w:start w:val="1"/>
    </w:lvl>
  </w:abstractNum>
  <w:abstractNum w:abstractNumId="123">
    <w:nsid w:val="710757D0"/>
    <w:multiLevelType w:val="hybridMultilevel"/>
    <w:lvl w:ilvl="0">
      <w:lvlJc w:val="left"/>
      <w:lvlText w:val="(%1)"/>
      <w:numFmt w:val="lowerLetter"/>
      <w:start w:val="1"/>
    </w:lvl>
  </w:abstractNum>
  <w:abstractNum w:abstractNumId="124">
    <w:nsid w:val="5015CD1A"/>
    <w:multiLevelType w:val="hybridMultilevel"/>
    <w:lvl w:ilvl="0">
      <w:lvlJc w:val="left"/>
      <w:lvlText w:val="(%1)"/>
      <w:numFmt w:val="lowerLetter"/>
      <w:start w:val="2"/>
    </w:lvl>
  </w:abstractNum>
  <w:abstractNum w:abstractNumId="125">
    <w:nsid w:val="424479DA"/>
    <w:multiLevelType w:val="hybridMultilevel"/>
    <w:lvl w:ilvl="0">
      <w:lvlJc w:val="left"/>
      <w:lvlText w:val="(%1)"/>
      <w:numFmt w:val="lowerLetter"/>
      <w:start w:val="1"/>
    </w:lvl>
  </w:abstractNum>
  <w:abstractNum w:abstractNumId="126">
    <w:nsid w:val="1A9A9E69"/>
    <w:multiLevelType w:val="hybridMultilevel"/>
    <w:lvl w:ilvl="0">
      <w:lvlJc w:val="left"/>
      <w:lvlText w:val="(%1)"/>
      <w:numFmt w:val="lowerLetter"/>
      <w:start w:val="1"/>
    </w:lvl>
  </w:abstractNum>
  <w:abstractNum w:abstractNumId="127">
    <w:nsid w:val="475E256A"/>
    <w:multiLevelType w:val="hybridMultilevel"/>
    <w:lvl w:ilvl="0">
      <w:lvlJc w:val="left"/>
      <w:lvlText w:val="(%1)"/>
      <w:numFmt w:val="lowerLetter"/>
      <w:start w:val="1"/>
    </w:lvl>
  </w:abstractNum>
  <w:abstractNum w:abstractNumId="128">
    <w:nsid w:val="368DB37E"/>
    <w:multiLevelType w:val="hybridMultilevel"/>
    <w:lvl w:ilvl="0">
      <w:lvlJc w:val="left"/>
      <w:lvlText w:val="(%1)"/>
      <w:numFmt w:val="lowerLetter"/>
      <w:start w:val="5"/>
    </w:lvl>
  </w:abstractNum>
  <w:abstractNum w:abstractNumId="129">
    <w:nsid w:val="6A3B714C"/>
    <w:multiLevelType w:val="hybridMultilevel"/>
    <w:lvl w:ilvl="0">
      <w:lvlJc w:val="left"/>
      <w:lvlText w:val="(%1)"/>
      <w:numFmt w:val="lowerLetter"/>
      <w:start w:val="14"/>
    </w:lvl>
    <w:lvl w:ilvl="1">
      <w:lvlJc w:val="left"/>
      <w:lvlText w:val="(%2)"/>
      <w:numFmt w:val="lowerRoman"/>
      <w:start w:val="1"/>
    </w:lvl>
  </w:abstractNum>
  <w:abstractNum w:abstractNumId="130">
    <w:nsid w:val="327B517E"/>
    <w:multiLevelType w:val="hybridMultilevel"/>
    <w:lvl w:ilvl="0">
      <w:lvlJc w:val="left"/>
      <w:lvlText w:val="(%1)"/>
      <w:numFmt w:val="lowerLetter"/>
      <w:start w:val="1"/>
    </w:lvl>
  </w:abstractNum>
  <w:abstractNum w:abstractNumId="131">
    <w:nsid w:val="1F461B51"/>
    <w:multiLevelType w:val="hybridMultilevel"/>
    <w:lvl w:ilvl="0">
      <w:lvlJc w:val="left"/>
      <w:lvlText w:val="%1"/>
      <w:numFmt w:val="lowerLetter"/>
      <w:start w:val="1"/>
    </w:lvl>
    <w:lvl w:ilvl="1">
      <w:lvlJc w:val="left"/>
      <w:lvlText w:val="(%2)"/>
      <w:numFmt w:val="lowerLetter"/>
      <w:start w:val="1"/>
    </w:lvl>
  </w:abstractNum>
  <w:abstractNum w:abstractNumId="132">
    <w:nsid w:val="29BACF25"/>
    <w:multiLevelType w:val="hybridMultilevel"/>
    <w:lvl w:ilvl="0">
      <w:lvlJc w:val="left"/>
      <w:lvlText w:val="(%1)"/>
      <w:numFmt w:val="lowerLetter"/>
      <w:start w:val="61"/>
    </w:lvl>
    <w:lvl w:ilvl="1">
      <w:lvlJc w:val="left"/>
      <w:lvlText w:val="(%2)"/>
      <w:numFmt w:val="lowerLetter"/>
      <w:start w:val="4"/>
    </w:lvl>
  </w:abstractNum>
  <w:abstractNum w:abstractNumId="133">
    <w:nsid w:val="5D5BABB3"/>
    <w:multiLevelType w:val="hybridMultilevel"/>
    <w:lvl w:ilvl="0">
      <w:lvlJc w:val="left"/>
      <w:lvlText w:val="(%1)"/>
      <w:numFmt w:val="lowerLetter"/>
      <w:start w:val="5"/>
    </w:lvl>
  </w:abstractNum>
  <w:abstractNum w:abstractNumId="134">
    <w:nsid w:val="51BF6B48"/>
    <w:multiLevelType w:val="hybridMultilevel"/>
    <w:lvl w:ilvl="0">
      <w:lvlJc w:val="left"/>
      <w:lvlText w:val="(%1)"/>
      <w:numFmt w:val="lowerLetter"/>
      <w:start w:val="6"/>
    </w:lvl>
  </w:abstractNum>
  <w:abstractNum w:abstractNumId="135">
    <w:nsid w:val="7E0F6384"/>
    <w:multiLevelType w:val="hybridMultilevel"/>
    <w:lvl w:ilvl="0">
      <w:lvlJc w:val="left"/>
      <w:lvlText w:val="(%1)"/>
      <w:numFmt w:val="lowerLetter"/>
      <w:start w:val="1"/>
    </w:lvl>
  </w:abstractNum>
  <w:abstractNum w:abstractNumId="136">
    <w:nsid w:val="2B4B8B53"/>
    <w:multiLevelType w:val="hybridMultilevel"/>
    <w:lvl w:ilvl="0">
      <w:lvlJc w:val="left"/>
      <w:lvlText w:val="(%1)"/>
      <w:numFmt w:val="lowerLetter"/>
      <w:start w:val="8"/>
    </w:lvl>
  </w:abstractNum>
  <w:abstractNum w:abstractNumId="137">
    <w:nsid w:val="72E3413A"/>
    <w:multiLevelType w:val="hybridMultilevel"/>
    <w:lvl w:ilvl="0">
      <w:lvlJc w:val="left"/>
      <w:lvlText w:val="(%1)"/>
      <w:numFmt w:val="lowerLetter"/>
      <w:start w:val="1"/>
    </w:lvl>
  </w:abstractNum>
  <w:abstractNum w:abstractNumId="138">
    <w:nsid w:val="116AE494"/>
    <w:multiLevelType w:val="hybridMultilevel"/>
    <w:lvl w:ilvl="0">
      <w:lvlJc w:val="left"/>
      <w:lvlText w:val="(%1)"/>
      <w:numFmt w:val="lowerLetter"/>
      <w:start w:val="1"/>
    </w:lvl>
  </w:abstractNum>
  <w:abstractNum w:abstractNumId="139">
    <w:nsid w:val="3494B2FB"/>
    <w:multiLevelType w:val="hybridMultilevel"/>
    <w:lvl w:ilvl="0">
      <w:lvlJc w:val="left"/>
      <w:lvlText w:val="(%1)"/>
      <w:numFmt w:val="lowerLetter"/>
      <w:start w:val="1"/>
    </w:lvl>
  </w:abstractNum>
  <w:abstractNum w:abstractNumId="140">
    <w:nsid w:val="B13A31"/>
    <w:multiLevelType w:val="hybridMultilevel"/>
    <w:lvl w:ilvl="0">
      <w:lvlJc w:val="left"/>
      <w:lvlText w:val="(%1)"/>
      <w:numFmt w:val="lowerLetter"/>
      <w:start w:val="5"/>
    </w:lvl>
  </w:abstractNum>
  <w:abstractNum w:abstractNumId="141">
    <w:nsid w:val="64429599"/>
    <w:multiLevelType w:val="hybridMultilevel"/>
    <w:lvl w:ilvl="0">
      <w:lvlJc w:val="left"/>
      <w:lvlText w:val="%1"/>
      <w:numFmt w:val="lowerLetter"/>
      <w:start w:val="1"/>
    </w:lvl>
    <w:lvl w:ilvl="1">
      <w:lvlJc w:val="left"/>
      <w:lvlText w:val="(%2)"/>
      <w:numFmt w:val="lowerLetter"/>
      <w:start w:val="1"/>
    </w:lvl>
  </w:abstractNum>
  <w:abstractNum w:abstractNumId="142">
    <w:nsid w:val="631F1690"/>
    <w:multiLevelType w:val="hybridMultilevel"/>
    <w:lvl w:ilvl="0">
      <w:lvlJc w:val="left"/>
      <w:lvlText w:val="(%1)"/>
      <w:numFmt w:val="lowerLetter"/>
      <w:start w:val="19"/>
    </w:lvl>
    <w:lvl w:ilvl="1">
      <w:lvlJc w:val="left"/>
      <w:lvlText w:val="%2"/>
      <w:numFmt w:val="lowerLetter"/>
      <w:start w:val="1"/>
    </w:lvl>
  </w:abstractNum>
  <w:abstractNum w:abstractNumId="143">
    <w:nsid w:val="25973E32"/>
    <w:multiLevelType w:val="hybridMultilevel"/>
    <w:lvl w:ilvl="0">
      <w:lvlJc w:val="left"/>
      <w:lvlText w:val="(%1)"/>
      <w:numFmt w:val="lowerLetter"/>
      <w:start w:val="7"/>
    </w:lvl>
  </w:abstractNum>
  <w:abstractNum w:abstractNumId="144">
    <w:nsid w:val="EAD6F57"/>
    <w:multiLevelType w:val="hybridMultilevel"/>
    <w:lvl w:ilvl="0">
      <w:lvlJc w:val="left"/>
      <w:lvlText w:val="%1"/>
      <w:numFmt w:val="lowerLetter"/>
      <w:start w:val="1"/>
    </w:lvl>
    <w:lvl w:ilvl="1">
      <w:lvlJc w:val="left"/>
      <w:lvlText w:val="(%2)"/>
      <w:numFmt w:val="lowerLetter"/>
      <w:start w:val="14"/>
    </w:lvl>
  </w:abstractNum>
  <w:abstractNum w:abstractNumId="145">
    <w:nsid w:val="6EC9D844"/>
    <w:multiLevelType w:val="hybridMultilevel"/>
    <w:lvl w:ilvl="0">
      <w:lvlJc w:val="left"/>
      <w:lvlText w:val="(%1)"/>
      <w:numFmt w:val="lowerLetter"/>
      <w:start w:val="15"/>
    </w:lvl>
    <w:lvl w:ilvl="1">
      <w:lvlJc w:val="left"/>
      <w:lvlText w:val="(%2)"/>
      <w:numFmt w:val="lowerLetter"/>
      <w:start w:val="16"/>
    </w:lvl>
  </w:abstractNum>
  <w:abstractNum w:abstractNumId="146">
    <w:nsid w:val="5C49EAEE"/>
    <w:multiLevelType w:val="hybridMultilevel"/>
    <w:lvl w:ilvl="0">
      <w:lvlJc w:val="left"/>
      <w:lvlText w:val="%1"/>
      <w:numFmt w:val="lowerLetter"/>
      <w:start w:val="1"/>
    </w:lvl>
    <w:lvl w:ilvl="1">
      <w:lvlJc w:val="left"/>
      <w:lvlText w:val="(%2)"/>
      <w:numFmt w:val="lowerLetter"/>
      <w:start w:val="18"/>
    </w:lvl>
  </w:abstractNum>
  <w:abstractNum w:abstractNumId="147">
    <w:nsid w:val="64AF49B"/>
    <w:multiLevelType w:val="hybridMultilevel"/>
    <w:lvl w:ilvl="0">
      <w:lvlJc w:val="left"/>
      <w:lvlText w:val="(%1)"/>
      <w:numFmt w:val="lowerLetter"/>
      <w:start w:val="61"/>
    </w:lvl>
    <w:lvl w:ilvl="1">
      <w:lvlJc w:val="left"/>
      <w:lvlText w:val="(%2)"/>
      <w:numFmt w:val="lowerLetter"/>
      <w:start w:val="20"/>
    </w:lvl>
  </w:abstractNum>
  <w:abstractNum w:abstractNumId="148">
    <w:nsid w:val="397C46BC"/>
    <w:multiLevelType w:val="hybridMultilevel"/>
    <w:lvl w:ilvl="0">
      <w:lvlJc w:val="left"/>
      <w:lvlText w:val="(%1)"/>
      <w:numFmt w:val="lowerLetter"/>
      <w:start w:val="1"/>
    </w:lvl>
  </w:abstractNum>
  <w:abstractNum w:abstractNumId="149">
    <w:nsid w:val="7E448DE9"/>
    <w:multiLevelType w:val="hybridMultilevel"/>
    <w:lvl w:ilvl="0">
      <w:lvlJc w:val="left"/>
      <w:lvlText w:val="(%1)"/>
      <w:numFmt w:val="lowerLetter"/>
      <w:start w:val="5"/>
    </w:lvl>
  </w:abstractNum>
  <w:abstractNum w:abstractNumId="150">
    <w:nsid w:val="5A9CC3E5"/>
    <w:multiLevelType w:val="hybridMultilevel"/>
    <w:lvl w:ilvl="0">
      <w:lvlJc w:val="left"/>
      <w:lvlText w:val="(%1)"/>
      <w:numFmt w:val="lowerLetter"/>
      <w:start w:val="14"/>
    </w:lvl>
  </w:abstractNum>
  <w:abstractNum w:abstractNumId="151">
    <w:nsid w:val="1AFE3625"/>
    <w:multiLevelType w:val="hybridMultilevel"/>
    <w:lvl w:ilvl="0">
      <w:lvlJc w:val="left"/>
      <w:lvlText w:val="(%1)"/>
      <w:numFmt w:val="lowerLetter"/>
      <w:start w:val="1"/>
    </w:lvl>
  </w:abstractNum>
  <w:abstractNum w:abstractNumId="152">
    <w:nsid w:val="3CA88ECF"/>
    <w:multiLevelType w:val="hybridMultilevel"/>
    <w:lvl w:ilvl="0">
      <w:lvlJc w:val="left"/>
      <w:lvlText w:val="(%1)"/>
      <w:numFmt w:val="lowerLetter"/>
      <w:start w:val="2"/>
    </w:lvl>
  </w:abstractNum>
  <w:abstractNum w:abstractNumId="153">
    <w:nsid w:val="6EBE4208"/>
    <w:multiLevelType w:val="hybridMultilevel"/>
    <w:lvl w:ilvl="0">
      <w:lvlJc w:val="left"/>
      <w:lvlText w:val="(%1)"/>
      <w:numFmt w:val="lowerLetter"/>
      <w:start w:val="1"/>
    </w:lvl>
  </w:abstractNum>
  <w:abstractNum w:abstractNumId="154">
    <w:nsid w:val="C058DF5"/>
    <w:multiLevelType w:val="hybridMultilevel"/>
    <w:lvl w:ilvl="0">
      <w:lvlJc w:val="left"/>
      <w:lvlText w:val="(%1)"/>
      <w:numFmt w:val="lowerLetter"/>
      <w:start w:val="5"/>
    </w:lvl>
  </w:abstractNum>
  <w:abstractNum w:abstractNumId="155">
    <w:nsid w:val="CBE5BE9"/>
    <w:multiLevelType w:val="hybridMultilevel"/>
    <w:lvl w:ilvl="0">
      <w:lvlJc w:val="left"/>
      <w:lvlText w:val="(%1)"/>
      <w:numFmt w:val="lowerLetter"/>
      <w:start w:val="14"/>
    </w:lvl>
  </w:abstractNum>
  <w:abstractNum w:abstractNumId="156">
    <w:nsid w:val="3102BBE2"/>
    <w:multiLevelType w:val="hybridMultilevel"/>
    <w:lvl w:ilvl="0">
      <w:lvlJc w:val="left"/>
      <w:lvlText w:val="(%1)"/>
      <w:numFmt w:val="lowerLetter"/>
      <w:start w:val="17"/>
    </w:lvl>
  </w:abstractNum>
  <w:abstractNum w:abstractNumId="157">
    <w:nsid w:val="26A02C5E"/>
    <w:multiLevelType w:val="hybridMultilevel"/>
    <w:lvl w:ilvl="0">
      <w:lvlJc w:val="left"/>
      <w:lvlText w:val="(%1)"/>
      <w:numFmt w:val="lowerLetter"/>
      <w:start w:val="1"/>
    </w:lvl>
    <w:lvl w:ilvl="1">
      <w:lvlJc w:val="left"/>
      <w:lvlText w:val="(%2)"/>
      <w:numFmt w:val="lowerRoman"/>
      <w:start w:val="1"/>
    </w:lvl>
  </w:abstractNum>
  <w:abstractNum w:abstractNumId="158">
    <w:nsid w:val="541C8153"/>
    <w:multiLevelType w:val="hybridMultilevel"/>
    <w:lvl w:ilvl="0">
      <w:lvlJc w:val="left"/>
      <w:lvlText w:val="%1"/>
      <w:numFmt w:val="upperLetter"/>
      <w:start w:val="1"/>
    </w:lvl>
    <w:lvl w:ilvl="1">
      <w:lvlJc w:val="left"/>
      <w:lvlText w:val="(%2)"/>
      <w:numFmt w:val="lowerRoman"/>
      <w:start w:val="11"/>
    </w:lvl>
  </w:abstractNum>
  <w:abstractNum w:abstractNumId="159">
    <w:nsid w:val="67906F60"/>
    <w:multiLevelType w:val="hybridMultilevel"/>
    <w:lvl w:ilvl="0">
      <w:lvlJc w:val="left"/>
      <w:lvlText w:val="(%1)"/>
      <w:numFmt w:val="upperLetter"/>
      <w:start w:val="2"/>
    </w:lvl>
    <w:lvl w:ilvl="1">
      <w:lvlJc w:val="left"/>
      <w:lvlText w:val="%2"/>
      <w:numFmt w:val="lowerRoman"/>
      <w:start w:val="1"/>
    </w:lvl>
  </w:abstractNum>
  <w:abstractNum w:abstractNumId="160">
    <w:nsid w:val="10DB9DAA"/>
    <w:multiLevelType w:val="hybridMultilevel"/>
    <w:lvl w:ilvl="0">
      <w:lvlJc w:val="left"/>
      <w:lvlText w:val="(%1)"/>
      <w:numFmt w:val="lowerLetter"/>
      <w:start w:val="2"/>
    </w:lvl>
  </w:abstractNum>
  <w:abstractNum w:abstractNumId="161">
    <w:nsid w:val="697D2D2"/>
    <w:multiLevelType w:val="hybridMultilevel"/>
    <w:lvl w:ilvl="0">
      <w:lvlJc w:val="left"/>
      <w:lvlText w:val="(%1)"/>
      <w:numFmt w:val="lowerLetter"/>
      <w:start w:val="1"/>
    </w:lvl>
  </w:abstractNum>
  <w:abstractNum w:abstractNumId="162">
    <w:nsid w:val="6D68AB2"/>
    <w:multiLevelType w:val="hybridMultilevel"/>
    <w:lvl w:ilvl="0">
      <w:lvlJc w:val="left"/>
      <w:lvlText w:val="(%1)"/>
      <w:numFmt w:val="lowerLetter"/>
      <w:start w:val="1"/>
    </w:lvl>
    <w:lvl w:ilvl="1">
      <w:lvlJc w:val="left"/>
      <w:lvlText w:val="(%2)"/>
      <w:numFmt w:val="lowerRoman"/>
      <w:start w:val="1"/>
    </w:lvl>
  </w:abstractNum>
  <w:abstractNum w:abstractNumId="163">
    <w:nsid w:val="3A966CD0"/>
    <w:multiLevelType w:val="hybridMultilevel"/>
    <w:lvl w:ilvl="0">
      <w:lvlJc w:val="left"/>
      <w:lvlText w:val="%1"/>
      <w:numFmt w:val="lowerLetter"/>
      <w:start w:val="1"/>
    </w:lvl>
    <w:lvl w:ilvl="1">
      <w:lvlJc w:val="left"/>
      <w:lvlText w:val="(%2)"/>
      <w:numFmt w:val="lowerRoman"/>
      <w:start w:val="3"/>
    </w:lvl>
  </w:abstractNum>
  <w:abstractNum w:abstractNumId="164">
    <w:nsid w:val="63F37E85"/>
    <w:multiLevelType w:val="hybridMultilevel"/>
    <w:lvl w:ilvl="0">
      <w:lvlJc w:val="left"/>
      <w:lvlText w:val="(%1)"/>
      <w:numFmt w:val="lowerLetter"/>
      <w:start w:val="2"/>
    </w:lvl>
    <w:lvl w:ilvl="1">
      <w:lvlJc w:val="left"/>
      <w:lvlText w:val="(%2)"/>
      <w:numFmt w:val="lowerRoman"/>
      <w:start w:val="1"/>
    </w:lvl>
  </w:abstractNum>
  <w:abstractNum w:abstractNumId="165">
    <w:nsid w:val="5895F5FA"/>
    <w:multiLevelType w:val="hybridMultilevel"/>
    <w:lvl w:ilvl="0">
      <w:lvlJc w:val="left"/>
      <w:lvlText w:val="(%1)"/>
      <w:numFmt w:val="lowerLetter"/>
      <w:start w:val="1"/>
    </w:lvl>
  </w:abstractNum>
  <w:abstractNum w:abstractNumId="166">
    <w:nsid w:val="38A5D054"/>
    <w:multiLevelType w:val="hybridMultilevel"/>
    <w:lvl w:ilvl="0">
      <w:lvlJc w:val="left"/>
      <w:lvlText w:val="(%1)"/>
      <w:numFmt w:val="lowerLetter"/>
      <w:start w:val="1"/>
    </w:lvl>
  </w:abstractNum>
  <w:abstractNum w:abstractNumId="167">
    <w:nsid w:val="F3F09D8"/>
    <w:multiLevelType w:val="hybridMultilevel"/>
    <w:lvl w:ilvl="0">
      <w:lvlJc w:val="left"/>
      <w:lvlText w:val="(%1)"/>
      <w:numFmt w:val="lowerLetter"/>
      <w:start w:val="1"/>
    </w:lvl>
  </w:abstractNum>
  <w:abstractNum w:abstractNumId="168">
    <w:nsid w:val="4B793735"/>
    <w:multiLevelType w:val="hybridMultilevel"/>
    <w:lvl w:ilvl="0">
      <w:lvlJc w:val="left"/>
      <w:lvlText w:val="(%1)"/>
      <w:numFmt w:val="lowerLetter"/>
      <w:start w:val="2"/>
    </w:lvl>
  </w:abstractNum>
  <w:abstractNum w:abstractNumId="169">
    <w:nsid w:val="4A10B4E8"/>
    <w:multiLevelType w:val="hybridMultilevel"/>
    <w:lvl w:ilvl="0">
      <w:lvlJc w:val="left"/>
      <w:lvlText w:val="(%1)"/>
      <w:numFmt w:val="lowerLetter"/>
      <w:start w:val="1"/>
    </w:lvl>
  </w:abstractNum>
  <w:abstractNum w:abstractNumId="170">
    <w:nsid w:val="43D3BCD4"/>
    <w:multiLevelType w:val="hybridMultilevel"/>
    <w:lvl w:ilvl="0">
      <w:lvlJc w:val="left"/>
      <w:lvlText w:val="(%1)"/>
      <w:numFmt w:val="lowerLetter"/>
      <w:start w:val="6"/>
    </w:lvl>
  </w:abstractNum>
  <w:abstractNum w:abstractNumId="171">
    <w:nsid w:val="4C2A7166"/>
    <w:multiLevelType w:val="hybridMultilevel"/>
    <w:lvl w:ilvl="0">
      <w:lvlJc w:val="left"/>
      <w:lvlText w:val="(%1)"/>
      <w:numFmt w:val="lowerLetter"/>
      <w:start w:val="12"/>
    </w:lvl>
  </w:abstractNum>
  <w:abstractNum w:abstractNumId="172">
    <w:nsid w:val="2E534A82"/>
    <w:multiLevelType w:val="hybridMultilevel"/>
    <w:lvl w:ilvl="0">
      <w:lvlJc w:val="left"/>
      <w:lvlText w:val="(%1)"/>
      <w:numFmt w:val="lowerLetter"/>
      <w:start w:val="14"/>
    </w:lvl>
  </w:abstractNum>
  <w:abstractNum w:abstractNumId="173">
    <w:nsid w:val="26F2D364"/>
    <w:multiLevelType w:val="hybridMultilevel"/>
    <w:lvl w:ilvl="0">
      <w:lvlJc w:val="left"/>
      <w:lvlText w:val="(%1)"/>
      <w:numFmt w:val="lowerLetter"/>
      <w:start w:val="1"/>
    </w:lvl>
  </w:abstractNum>
  <w:abstractNum w:abstractNumId="174">
    <w:nsid w:val="71C1AF98"/>
    <w:multiLevelType w:val="hybridMultilevel"/>
    <w:lvl w:ilvl="0">
      <w:lvlJc w:val="left"/>
      <w:lvlText w:val="(%1)"/>
      <w:numFmt w:val="lowerLetter"/>
      <w:start w:val="1"/>
    </w:lvl>
    <w:lvl w:ilvl="1">
      <w:lvlJc w:val="left"/>
      <w:lvlText w:val="(%2)"/>
      <w:numFmt w:val="lowerRoman"/>
      <w:start w:val="1"/>
    </w:lvl>
  </w:abstractNum>
  <w:abstractNum w:abstractNumId="175">
    <w:nsid w:val="3D00B9D9"/>
    <w:multiLevelType w:val="hybridMultilevel"/>
    <w:lvl w:ilvl="0">
      <w:lvlJc w:val="left"/>
      <w:lvlText w:val="(%1)"/>
      <w:numFmt w:val="upperLetter"/>
      <w:start w:val="3"/>
    </w:lvl>
  </w:abstractNum>
  <w:abstractNum w:abstractNumId="176">
    <w:nsid w:val="15BCABA8"/>
    <w:multiLevelType w:val="hybridMultilevel"/>
    <w:lvl w:ilvl="0">
      <w:lvlJc w:val="left"/>
      <w:lvlText w:val="(%1)"/>
      <w:numFmt w:val="lowerLetter"/>
      <w:start w:val="2"/>
    </w:lvl>
  </w:abstractNum>
  <w:abstractNum w:abstractNumId="177">
    <w:nsid w:val="4E0B9A8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78">
    <w:nsid w:val="434BAE75"/>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9"/>
    </w:lvl>
  </w:abstractNum>
  <w:abstractNum w:abstractNumId="179">
    <w:nsid w:val="4F38F265"/>
    <w:multiLevelType w:val="hybridMultilevel"/>
    <w:lvl w:ilvl="0">
      <w:lvlJc w:val="left"/>
      <w:lvlText w:val="(%1)"/>
      <w:numFmt w:val="lowerRoman"/>
      <w:start w:val="2"/>
    </w:lvl>
  </w:abstractNum>
  <w:abstractNum w:abstractNumId="180">
    <w:nsid w:val="4C502870"/>
    <w:multiLevelType w:val="hybridMultilevel"/>
    <w:lvl w:ilvl="0">
      <w:lvlJc w:val="left"/>
      <w:lvlText w:val="(%1)"/>
      <w:numFmt w:val="lowerLetter"/>
      <w:start w:val="3"/>
    </w:lvl>
  </w:abstractNum>
  <w:abstractNum w:abstractNumId="181">
    <w:nsid w:val="1DE8725A"/>
    <w:multiLevelType w:val="hybridMultilevel"/>
    <w:lvl w:ilvl="0">
      <w:lvlJc w:val="left"/>
      <w:lvlText w:val="%1"/>
      <w:numFmt w:val="lowerLetter"/>
      <w:start w:val="1"/>
    </w:lvl>
    <w:lvl w:ilvl="1">
      <w:lvlJc w:val="left"/>
      <w:lvlText w:val="(%2)"/>
      <w:numFmt w:val="lowerLetter"/>
      <w:start w:val="35"/>
    </w:lvl>
  </w:abstractNum>
  <w:abstractNum w:abstractNumId="182">
    <w:nsid w:val="6A37288A"/>
    <w:multiLevelType w:val="hybridMultilevel"/>
    <w:lvl w:ilvl="0">
      <w:lvlJc w:val="left"/>
      <w:lvlText w:val="(%1)"/>
      <w:numFmt w:val="lowerLetter"/>
      <w:start w:val="5"/>
    </w:lvl>
    <w:lvl w:ilvl="1">
      <w:lvlJc w:val="left"/>
      <w:lvlText w:val="%2"/>
      <w:numFmt w:val="lowerLetter"/>
      <w:start w:val="1"/>
    </w:lvl>
  </w:abstractNum>
  <w:abstractNum w:abstractNumId="183">
    <w:nsid w:val="8F8B73F"/>
    <w:multiLevelType w:val="hybridMultilevel"/>
    <w:lvl w:ilvl="0">
      <w:lvlJc w:val="left"/>
      <w:lvlText w:val="(%1)"/>
      <w:numFmt w:val="lowerLetter"/>
      <w:start w:val="1"/>
    </w:lvl>
    <w:lvl w:ilvl="1">
      <w:lvlJc w:val="left"/>
      <w:lvlText w:val="(%2)"/>
      <w:numFmt w:val="lowerLetter"/>
      <w:start w:val="9"/>
    </w:lvl>
  </w:abstractNum>
  <w:abstractNum w:abstractNumId="184">
    <w:nsid w:val="CA6B462"/>
    <w:multiLevelType w:val="hybridMultilevel"/>
    <w:lvl w:ilvl="0">
      <w:lvlJc w:val="left"/>
      <w:lvlText w:val="(%1)"/>
      <w:numFmt w:val="lowerLetter"/>
      <w:start w:val="2"/>
    </w:lvl>
    <w:lvl w:ilvl="1">
      <w:lvlJc w:val="left"/>
      <w:lvlText w:val="(%2)"/>
      <w:numFmt w:val="lowerRoman"/>
      <w:start w:val="1"/>
    </w:lvl>
  </w:abstractNum>
  <w:abstractNum w:abstractNumId="185">
    <w:nsid w:val="763CB680"/>
    <w:multiLevelType w:val="hybridMultilevel"/>
    <w:lvl w:ilvl="0">
      <w:lvlJc w:val="left"/>
      <w:lvlText w:val="(%1)"/>
      <w:numFmt w:val="lowerLetter"/>
      <w:start w:val="1"/>
    </w:lvl>
  </w:abstractNum>
  <w:abstractNum w:abstractNumId="186">
    <w:nsid w:val="15B71329"/>
    <w:multiLevelType w:val="hybridMultilevel"/>
    <w:lvl w:ilvl="0">
      <w:lvlJc w:val="left"/>
      <w:lvlText w:val="(%1)"/>
      <w:numFmt w:val="lowerLetter"/>
      <w:start w:val="3"/>
    </w:lvl>
  </w:abstractNum>
  <w:abstractNum w:abstractNumId="187">
    <w:nsid w:val="3DA97044"/>
    <w:multiLevelType w:val="hybridMultilevel"/>
    <w:lvl w:ilvl="0">
      <w:lvlJc w:val="left"/>
      <w:lvlText w:val="(%1)"/>
      <w:numFmt w:val="lowerLetter"/>
      <w:start w:val="5"/>
    </w:lvl>
  </w:abstractNum>
  <w:abstractNum w:abstractNumId="188">
    <w:nsid w:val="1CDCE2DE"/>
    <w:multiLevelType w:val="hybridMultilevel"/>
    <w:lvl w:ilvl="0">
      <w:lvlJc w:val="left"/>
      <w:lvlText w:val="(%1)"/>
      <w:numFmt w:val="lowerLetter"/>
      <w:start w:val="1"/>
    </w:lvl>
    <w:lvl w:ilvl="1">
      <w:lvlJc w:val="left"/>
      <w:lvlText w:val="(%2)"/>
      <w:numFmt w:val="lowerLetter"/>
      <w:start w:val="9"/>
    </w:lvl>
  </w:abstractNum>
  <w:abstractNum w:abstractNumId="189">
    <w:nsid w:val="69D3947C"/>
    <w:multiLevelType w:val="hybridMultilevel"/>
    <w:lvl w:ilvl="0">
      <w:lvlJc w:val="left"/>
      <w:lvlText w:val="(%1)"/>
      <w:numFmt w:val="lowerRoman"/>
      <w:start w:val="2"/>
    </w:lvl>
  </w:abstractNum>
  <w:abstractNum w:abstractNumId="190">
    <w:nsid w:val="2539DFA5"/>
    <w:multiLevelType w:val="hybridMultilevel"/>
    <w:lvl w:ilvl="0">
      <w:lvlJc w:val="left"/>
      <w:lvlText w:val="(%1)"/>
      <w:numFmt w:val="lowerLetter"/>
      <w:start w:val="2"/>
    </w:lvl>
  </w:abstractNum>
  <w:abstractNum w:abstractNumId="191">
    <w:nsid w:val="2DB88089"/>
    <w:multiLevelType w:val="hybridMultilevel"/>
    <w:lvl w:ilvl="0">
      <w:lvlJc w:val="left"/>
      <w:lvlText w:val="(%1)"/>
      <w:numFmt w:val="lowerLetter"/>
      <w:start w:val="4"/>
    </w:lvl>
  </w:abstractNum>
  <w:abstractNum w:abstractNumId="192">
    <w:nsid w:val="706B674E"/>
    <w:multiLevelType w:val="hybridMultilevel"/>
    <w:lvl w:ilvl="0">
      <w:lvlJc w:val="left"/>
      <w:lvlText w:val="(%1)"/>
      <w:numFmt w:val="lowerLetter"/>
      <w:start w:val="1"/>
    </w:lvl>
  </w:abstractNum>
  <w:abstractNum w:abstractNumId="193">
    <w:nsid w:val="2C106A57"/>
    <w:multiLevelType w:val="hybridMultilevel"/>
    <w:lvl w:ilvl="0">
      <w:lvlJc w:val="left"/>
      <w:lvlText w:val="(%1)"/>
      <w:numFmt w:val="upperLetter"/>
      <w:start w:val="2"/>
    </w:lvl>
  </w:abstractNum>
  <w:abstractNum w:abstractNumId="194">
    <w:nsid w:val="684EED59"/>
    <w:multiLevelType w:val="hybridMultilevel"/>
    <w:lvl w:ilvl="0">
      <w:lvlJc w:val="left"/>
      <w:lvlText w:val="(%1)"/>
      <w:numFmt w:val="lowerRoman"/>
      <w:start w:val="2"/>
    </w:lvl>
  </w:abstractNum>
  <w:abstractNum w:abstractNumId="195">
    <w:nsid w:val="545EE5D3"/>
    <w:multiLevelType w:val="hybridMultilevel"/>
    <w:lvl w:ilvl="0">
      <w:lvlJc w:val="left"/>
      <w:lvlText w:val="(%1)"/>
      <w:numFmt w:val="upperLetter"/>
      <w:start w:val="2"/>
    </w:lvl>
  </w:abstractNum>
  <w:abstractNum w:abstractNumId="196">
    <w:nsid w:val="4A66051"/>
    <w:multiLevelType w:val="hybridMultilevel"/>
    <w:lvl w:ilvl="0">
      <w:lvlJc w:val="left"/>
      <w:lvlText w:val="(%1)"/>
      <w:numFmt w:val="lowerRoman"/>
      <w:start w:val="3"/>
    </w:lvl>
  </w:abstractNum>
  <w:abstractNum w:abstractNumId="197">
    <w:nsid w:val="20F4BDA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198">
    <w:nsid w:val="639DEFAC"/>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99">
    <w:nsid w:val="501F9786"/>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1"/>
    </w:lvl>
  </w:abstractNum>
  <w:abstractNum w:abstractNumId="200">
    <w:nsid w:val="6B057295"/>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1"/>
    </w:lvl>
  </w:abstractNum>
  <w:abstractNum w:abstractNumId="201">
    <w:nsid w:val="2771AC80"/>
    <w:multiLevelType w:val="hybridMultilevel"/>
    <w:lvl w:ilvl="0">
      <w:lvlJc w:val="left"/>
      <w:lvlText w:val="(%1)"/>
      <w:numFmt w:val="lowerLetter"/>
      <w:start w:val="3"/>
    </w:lvl>
    <w:lvl w:ilvl="1">
      <w:lvlJc w:val="left"/>
      <w:lvlText w:val="(%2)"/>
      <w:numFmt w:val="lowerLetter"/>
      <w:start w:val="4"/>
    </w:lvl>
  </w:abstractNum>
  <w:abstractNum w:abstractNumId="202">
    <w:nsid w:val="1C4A08EC"/>
    <w:multiLevelType w:val="hybridMultilevel"/>
    <w:lvl w:ilvl="0">
      <w:lvlJc w:val="left"/>
      <w:lvlText w:val="(%1)"/>
      <w:numFmt w:val="lowerLetter"/>
      <w:start w:val="1"/>
    </w:lvl>
  </w:abstractNum>
  <w:abstractNum w:abstractNumId="203">
    <w:nsid w:val="1958BD17"/>
    <w:multiLevelType w:val="hybridMultilevel"/>
    <w:lvl w:ilvl="0">
      <w:lvlJc w:val="left"/>
      <w:lvlText w:val="(%1)"/>
      <w:numFmt w:val="lowerLetter"/>
      <w:start w:val="2"/>
    </w:lvl>
  </w:abstractNum>
  <w:abstractNum w:abstractNumId="204">
    <w:nsid w:val="4E647FE4"/>
    <w:multiLevelType w:val="hybridMultilevel"/>
    <w:lvl w:ilvl="0">
      <w:lvlJc w:val="left"/>
      <w:lvlText w:val="(%1)"/>
      <w:numFmt w:val="lowerLetter"/>
      <w:start w:val="1"/>
    </w:lvl>
  </w:abstractNum>
  <w:abstractNum w:abstractNumId="205">
    <w:nsid w:val="E0BB885"/>
    <w:multiLevelType w:val="hybridMultilevel"/>
    <w:lvl w:ilvl="0">
      <w:lvlJc w:val="left"/>
      <w:lvlText w:val="(%1)"/>
      <w:numFmt w:val="lowerLetter"/>
      <w:start w:val="3"/>
    </w:lvl>
  </w:abstractNum>
  <w:abstractNum w:abstractNumId="206">
    <w:nsid w:val="565976F1"/>
    <w:multiLevelType w:val="hybridMultilevel"/>
    <w:lvl w:ilvl="0">
      <w:lvlJc w:val="left"/>
      <w:lvlText w:val="(%1)"/>
      <w:numFmt w:val="lowerLetter"/>
      <w:start w:val="1"/>
    </w:lvl>
    <w:lvl w:ilvl="1">
      <w:lvlJc w:val="left"/>
      <w:lvlText w:val="(%2)"/>
      <w:numFmt w:val="lowerRoman"/>
      <w:start w:val="1"/>
    </w:lvl>
  </w:abstractNum>
  <w:abstractNum w:abstractNumId="207">
    <w:nsid w:val="64212B8C"/>
    <w:multiLevelType w:val="hybridMultilevel"/>
    <w:lvl w:ilvl="0">
      <w:lvlJc w:val="left"/>
      <w:lvlText w:val="(%1)"/>
      <w:numFmt w:val="lowerLetter"/>
      <w:start w:val="1"/>
    </w:lvl>
  </w:abstractNum>
  <w:abstractNum w:abstractNumId="208">
    <w:nsid w:val="5C17530C"/>
    <w:multiLevelType w:val="hybridMultilevel"/>
    <w:lvl w:ilvl="0">
      <w:lvlJc w:val="left"/>
      <w:lvlText w:val="(%1)"/>
      <w:numFmt w:val="lowerLetter"/>
      <w:start w:val="2"/>
    </w:lvl>
  </w:abstractNum>
  <w:abstractNum w:abstractNumId="209">
    <w:nsid w:val="19A52566"/>
    <w:multiLevelType w:val="hybridMultilevel"/>
    <w:lvl w:ilvl="0">
      <w:lvlJc w:val="left"/>
      <w:lvlText w:val="%1"/>
      <w:numFmt w:val="lowerLetter"/>
      <w:start w:val="1"/>
    </w:lvl>
    <w:lvl w:ilvl="1">
      <w:lvlJc w:val="left"/>
      <w:lvlText w:val="(%2)"/>
      <w:numFmt w:val="lowerLetter"/>
      <w:start w:val="1"/>
    </w:lvl>
  </w:abstractNum>
  <w:abstractNum w:abstractNumId="210">
    <w:nsid w:val="335A1DF1"/>
    <w:multiLevelType w:val="hybridMultilevel"/>
    <w:lvl w:ilvl="0">
      <w:lvlJc w:val="left"/>
      <w:lvlText w:val="(%1)"/>
      <w:numFmt w:val="lowerLetter"/>
      <w:start w:val="9"/>
    </w:lvl>
    <w:lvl w:ilvl="1">
      <w:lvlJc w:val="left"/>
      <w:lvlText w:val="(%2)"/>
      <w:numFmt w:val="lowerLetter"/>
      <w:start w:val="2"/>
    </w:lvl>
  </w:abstractNum>
  <w:abstractNum w:abstractNumId="211">
    <w:nsid w:val="28677B7C"/>
    <w:multiLevelType w:val="hybridMultilevel"/>
    <w:lvl w:ilvl="0">
      <w:lvlJc w:val="left"/>
      <w:lvlText w:val="(%1)"/>
      <w:numFmt w:val="lowerLetter"/>
      <w:start w:val="1"/>
    </w:lvl>
  </w:abstractNum>
  <w:abstractNum w:abstractNumId="212">
    <w:nsid w:val="378D97C0"/>
    <w:multiLevelType w:val="hybridMultilevel"/>
    <w:lvl w:ilvl="0">
      <w:lvlJc w:val="left"/>
      <w:lvlText w:val="(%1)"/>
      <w:numFmt w:val="lowerLetter"/>
      <w:start w:val="5"/>
    </w:lvl>
  </w:abstractNum>
  <w:abstractNum w:abstractNumId="213">
    <w:nsid w:val="1D91467C"/>
    <w:multiLevelType w:val="hybridMultilevel"/>
    <w:lvl w:ilvl="0">
      <w:lvlJc w:val="left"/>
      <w:lvlText w:val="%1."/>
      <w:numFmt w:val="decimal"/>
      <w:start w:val="1"/>
    </w:lvl>
    <w:lvl w:ilvl="1">
      <w:lvlJc w:val="left"/>
      <w:lvlText w:val="(%2)"/>
      <w:numFmt w:val="lowerLetter"/>
      <w:start w:val="1"/>
    </w:lvl>
  </w:abstractNum>
  <w:abstractNum w:abstractNumId="214">
    <w:nsid w:val="316032BB"/>
    <w:multiLevelType w:val="hybridMultilevel"/>
    <w:lvl w:ilvl="0">
      <w:lvlJc w:val="left"/>
      <w:lvlText w:val="%1"/>
      <w:numFmt w:val="decimal"/>
      <w:start w:val="1"/>
    </w:lvl>
    <w:lvl w:ilvl="1">
      <w:lvlJc w:val="left"/>
      <w:lvlText w:val="(%2)"/>
      <w:numFmt w:val="lowerLetter"/>
      <w:start w:val="3"/>
    </w:lvl>
  </w:abstractNum>
  <w:abstractNum w:abstractNumId="215">
    <w:nsid w:val="44344C22"/>
    <w:multiLevelType w:val="hybridMultilevel"/>
    <w:lvl w:ilvl="0">
      <w:lvlJc w:val="left"/>
      <w:lvlText w:val="%1."/>
      <w:numFmt w:val="decimal"/>
      <w:start w:val="3"/>
    </w:lvl>
    <w:lvl w:ilvl="1">
      <w:lvlJc w:val="left"/>
      <w:lvlText w:val="(%2)"/>
      <w:numFmt w:val="lowerLetter"/>
      <w:start w:val="1"/>
    </w:lvl>
  </w:abstractNum>
  <w:abstractNum w:abstractNumId="216">
    <w:nsid w:val="13CDFCFC"/>
    <w:multiLevelType w:val="hybridMultilevel"/>
    <w:lvl w:ilvl="0">
      <w:lvlJc w:val="left"/>
      <w:lvlText w:val="%1."/>
      <w:numFmt w:val="decimal"/>
      <w:start w:val="5"/>
    </w:lvl>
    <w:lvl w:ilvl="1">
      <w:lvlJc w:val="left"/>
      <w:lvlText w:val="(%2)"/>
      <w:numFmt w:val="lowerLetter"/>
      <w:start w:val="1"/>
    </w:lvl>
  </w:abstractNum>
  <w:abstractNum w:abstractNumId="217">
    <w:nsid w:val="471745E4"/>
    <w:multiLevelType w:val="hybridMultilevel"/>
    <w:lvl w:ilvl="0">
      <w:lvlJc w:val="left"/>
      <w:lvlText w:val="%1"/>
      <w:numFmt w:val="decimal"/>
      <w:start w:val="1"/>
    </w:lvl>
    <w:lvl w:ilvl="1">
      <w:lvlJc w:val="left"/>
      <w:lvlText w:val="(%2)"/>
      <w:numFmt w:val="lowerLetter"/>
      <w:start w:val="4"/>
    </w:lvl>
  </w:abstractNum>
  <w:abstractNum w:abstractNumId="218">
    <w:nsid w:val="1DDBC66"/>
    <w:multiLevelType w:val="hybridMultilevel"/>
    <w:lvl w:ilvl="0">
      <w:lvlJc w:val="left"/>
      <w:lvlText w:val="%1."/>
      <w:numFmt w:val="decimal"/>
      <w:start w:val="6"/>
    </w:lvl>
    <w:lvl w:ilvl="1">
      <w:lvlJc w:val="left"/>
      <w:lvlText w:val="(%2)"/>
      <w:numFmt w:val="lowerLetter"/>
      <w:start w:val="1"/>
    </w:lvl>
  </w:abstractNum>
  <w:abstractNum w:abstractNumId="219">
    <w:nsid w:val="30AADFDA"/>
    <w:multiLevelType w:val="hybridMultilevel"/>
    <w:lvl w:ilvl="0">
      <w:lvlJc w:val="left"/>
      <w:lvlText w:val="(%1)"/>
      <w:numFmt w:val="lowerLetter"/>
      <w:start w:val="2"/>
    </w:lvl>
  </w:abstractNum>
  <w:abstractNum w:abstractNumId="220">
    <w:nsid w:val="30EADA61"/>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221">
    <w:nsid w:val="27179C0B"/>
    <w:multiLevelType w:val="hybridMultilevel"/>
    <w:lvl w:ilvl="0">
      <w:lvlJc w:val="left"/>
      <w:lvlText w:val="(%1)"/>
      <w:numFmt w:val="lowerRoman"/>
      <w:start w:val="4"/>
    </w:lvl>
  </w:abstractNum>
  <w:abstractNum w:abstractNumId="222">
    <w:nsid w:val="5E636063"/>
    <w:multiLevelType w:val="hybridMultilevel"/>
    <w:lvl w:ilvl="0">
      <w:lvlJc w:val="left"/>
      <w:lvlText w:val="(%1)"/>
      <w:numFmt w:val="lowerLetter"/>
      <w:start w:val="2"/>
    </w:lvl>
  </w:abstractNum>
  <w:abstractNum w:abstractNumId="223">
    <w:nsid w:val="215641AF"/>
    <w:multiLevelType w:val="hybridMultilevel"/>
    <w:lvl w:ilvl="0">
      <w:lvlJc w:val="left"/>
      <w:lvlText w:val="(%1)"/>
      <w:numFmt w:val="lowerLetter"/>
      <w:start w:val="3"/>
    </w:lvl>
  </w:abstractNum>
  <w:abstractNum w:abstractNumId="224">
    <w:nsid w:val="53280662"/>
    <w:multiLevelType w:val="hybridMultilevel"/>
    <w:lvl w:ilvl="0">
      <w:lvlJc w:val="left"/>
      <w:lvlText w:val="(%1)"/>
      <w:numFmt w:val="lowerRoman"/>
      <w:start w:val="1"/>
    </w:lvl>
  </w:abstractNum>
  <w:abstractNum w:abstractNumId="225">
    <w:nsid w:val="46B24DBC"/>
    <w:multiLevelType w:val="hybridMultilevel"/>
    <w:lvl w:ilvl="0">
      <w:lvlJc w:val="left"/>
      <w:lvlText w:val="(%1)"/>
      <w:numFmt w:val="lowerLetter"/>
      <w:start w:val="7"/>
    </w:lvl>
  </w:abstractNum>
  <w:abstractNum w:abstractNumId="226">
    <w:nsid w:val="75B52783"/>
    <w:multiLevelType w:val="hybridMultilevel"/>
    <w:lvl w:ilvl="0">
      <w:lvlJc w:val="left"/>
      <w:lvlText w:val="(%1)"/>
      <w:numFmt w:val="lowerLetter"/>
      <w:start w:val="1"/>
    </w:lvl>
  </w:abstractNum>
  <w:abstractNum w:abstractNumId="227">
    <w:nsid w:val="57CE66B4"/>
    <w:multiLevelType w:val="hybridMultilevel"/>
    <w:lvl w:ilvl="0">
      <w:lvlJc w:val="left"/>
      <w:lvlText w:val="(%1)"/>
      <w:numFmt w:val="lowerLetter"/>
      <w:start w:val="2"/>
    </w:lvl>
  </w:abstractNum>
  <w:abstractNum w:abstractNumId="228">
    <w:nsid w:val="67A70B69"/>
    <w:multiLevelType w:val="hybridMultilevel"/>
    <w:lvl w:ilvl="0">
      <w:lvlJc w:val="left"/>
      <w:lvlText w:val="(%1)"/>
      <w:numFmt w:val="lowerLetter"/>
      <w:start w:val="6"/>
    </w:lvl>
  </w:abstractNum>
  <w:abstractNum w:abstractNumId="229">
    <w:nsid w:val="5953172F"/>
    <w:multiLevelType w:val="hybridMultilevel"/>
    <w:lvl w:ilvl="0">
      <w:lvlJc w:val="left"/>
      <w:lvlText w:val="%1."/>
      <w:numFmt w:val="decimal"/>
      <w:start w:val="1"/>
    </w:lvl>
    <w:lvl w:ilvl="1">
      <w:lvlJc w:val="left"/>
      <w:lvlText w:val="(%2)"/>
      <w:numFmt w:val="lowerLetter"/>
      <w:start w:val="1"/>
    </w:lvl>
  </w:abstractNum>
  <w:abstractNum w:abstractNumId="230">
    <w:nsid w:val="27EDFE3A"/>
    <w:multiLevelType w:val="hybridMultilevel"/>
    <w:lvl w:ilvl="0">
      <w:lvlJc w:val="left"/>
      <w:lvlText w:val="%1."/>
      <w:numFmt w:val="decimal"/>
      <w:start w:val="1"/>
    </w:lvl>
    <w:lvl w:ilvl="1">
      <w:lvlJc w:val="left"/>
      <w:lvlText w:val="(%2)"/>
      <w:numFmt w:val="lowerLetter"/>
      <w:start w:val="1"/>
    </w:lvl>
  </w:abstractNum>
  <w:abstractNum w:abstractNumId="231">
    <w:nsid w:val="52AC7DFF"/>
    <w:multiLevelType w:val="hybridMultilevel"/>
    <w:lvl w:ilvl="0">
      <w:lvlJc w:val="left"/>
      <w:lvlText w:val="(%1)"/>
      <w:numFmt w:val="decimal"/>
      <w:start w:val="1"/>
    </w:lvl>
  </w:abstractNum>
  <w:abstractNum w:abstractNumId="232">
    <w:nsid w:val="C4C3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77" Type="http://schemas.openxmlformats.org/officeDocument/2006/relationships/image" Target="media/image368.png"/><Relationship Id="rId378" Type="http://schemas.openxmlformats.org/officeDocument/2006/relationships/image" Target="media/image369.png"/><Relationship Id="rId379" Type="http://schemas.openxmlformats.org/officeDocument/2006/relationships/image" Target="media/image370.jpeg"/><Relationship Id="rId380" Type="http://schemas.openxmlformats.org/officeDocument/2006/relationships/image" Target="media/image371.png"/><Relationship Id="rId381" Type="http://schemas.openxmlformats.org/officeDocument/2006/relationships/image" Target="media/image372.png"/><Relationship Id="rId382" Type="http://schemas.openxmlformats.org/officeDocument/2006/relationships/image" Target="media/image373.png"/><Relationship Id="rId383" Type="http://schemas.openxmlformats.org/officeDocument/2006/relationships/image" Target="media/image374.png"/><Relationship Id="rId384" Type="http://schemas.openxmlformats.org/officeDocument/2006/relationships/image" Target="media/image375.png"/><Relationship Id="rId385" Type="http://schemas.openxmlformats.org/officeDocument/2006/relationships/image" Target="media/image376.png"/><Relationship Id="rId386" Type="http://schemas.openxmlformats.org/officeDocument/2006/relationships/image" Target="media/image377.png"/><Relationship Id="rId387" Type="http://schemas.openxmlformats.org/officeDocument/2006/relationships/image" Target="media/image378.png"/><Relationship Id="rId388" Type="http://schemas.openxmlformats.org/officeDocument/2006/relationships/image" Target="media/image379.png"/><Relationship Id="rId389" Type="http://schemas.openxmlformats.org/officeDocument/2006/relationships/image" Target="media/image380.png"/><Relationship Id="rId390" Type="http://schemas.openxmlformats.org/officeDocument/2006/relationships/image" Target="media/image381.png"/><Relationship Id="rId391" Type="http://schemas.openxmlformats.org/officeDocument/2006/relationships/image" Target="media/image382.png"/><Relationship Id="rId392" Type="http://schemas.openxmlformats.org/officeDocument/2006/relationships/image" Target="media/image383.png"/><Relationship Id="rId393" Type="http://schemas.openxmlformats.org/officeDocument/2006/relationships/image" Target="media/image384.png"/><Relationship Id="rId394" Type="http://schemas.openxmlformats.org/officeDocument/2006/relationships/image" Target="media/image385.png"/><Relationship Id="rId395"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400"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png"/><Relationship Id="rId419" Type="http://schemas.openxmlformats.org/officeDocument/2006/relationships/image" Target="media/image410.png"/><Relationship Id="rId420"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png"/><Relationship Id="rId423"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431" Type="http://schemas.openxmlformats.org/officeDocument/2006/relationships/image" Target="media/image422.png"/><Relationship Id="rId432" Type="http://schemas.openxmlformats.org/officeDocument/2006/relationships/image" Target="media/image423.png"/><Relationship Id="rId433"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6" Type="http://schemas.openxmlformats.org/officeDocument/2006/relationships/image" Target="media/image427.png"/><Relationship Id="rId437" Type="http://schemas.openxmlformats.org/officeDocument/2006/relationships/image" Target="media/image428.png"/><Relationship Id="rId438" Type="http://schemas.openxmlformats.org/officeDocument/2006/relationships/image" Target="media/image429.png"/><Relationship Id="rId439" Type="http://schemas.openxmlformats.org/officeDocument/2006/relationships/image" Target="media/image430.png"/><Relationship Id="rId440" Type="http://schemas.openxmlformats.org/officeDocument/2006/relationships/image" Target="media/image431.png"/><Relationship Id="rId441"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png"/><Relationship Id="rId445" Type="http://schemas.openxmlformats.org/officeDocument/2006/relationships/image" Target="media/image436.png"/><Relationship Id="rId446" Type="http://schemas.openxmlformats.org/officeDocument/2006/relationships/image" Target="media/image437.png"/><Relationship Id="rId447" Type="http://schemas.openxmlformats.org/officeDocument/2006/relationships/image" Target="media/image438.png"/><Relationship Id="rId448" Type="http://schemas.openxmlformats.org/officeDocument/2006/relationships/image" Target="media/image439.png"/><Relationship Id="rId449" Type="http://schemas.openxmlformats.org/officeDocument/2006/relationships/image" Target="media/image440.png"/><Relationship Id="rId450" Type="http://schemas.openxmlformats.org/officeDocument/2006/relationships/image" Target="media/image441.png"/><Relationship Id="rId451" Type="http://schemas.openxmlformats.org/officeDocument/2006/relationships/image" Target="media/image442.png"/><Relationship Id="rId452" Type="http://schemas.openxmlformats.org/officeDocument/2006/relationships/image" Target="media/image443.png"/><Relationship Id="rId453" Type="http://schemas.openxmlformats.org/officeDocument/2006/relationships/image" Target="media/image444.png"/><Relationship Id="rId454" Type="http://schemas.openxmlformats.org/officeDocument/2006/relationships/image" Target="media/image445.png"/><Relationship Id="rId455" Type="http://schemas.openxmlformats.org/officeDocument/2006/relationships/image" Target="media/image446.png"/><Relationship Id="rId456" Type="http://schemas.openxmlformats.org/officeDocument/2006/relationships/image" Target="media/image447.png"/><Relationship Id="rId457" Type="http://schemas.openxmlformats.org/officeDocument/2006/relationships/image" Target="media/image448.png"/><Relationship Id="rId458" Type="http://schemas.openxmlformats.org/officeDocument/2006/relationships/image" Target="media/image449.png"/><Relationship Id="rId459" Type="http://schemas.openxmlformats.org/officeDocument/2006/relationships/image" Target="media/image450.png"/><Relationship Id="rId460" Type="http://schemas.openxmlformats.org/officeDocument/2006/relationships/image" Target="media/image451.png"/><Relationship Id="rId461" Type="http://schemas.openxmlformats.org/officeDocument/2006/relationships/image" Target="media/image452.png"/><Relationship Id="rId462" Type="http://schemas.openxmlformats.org/officeDocument/2006/relationships/image" Target="media/image453.png"/><Relationship Id="rId463" Type="http://schemas.openxmlformats.org/officeDocument/2006/relationships/image" Target="media/image454.png"/><Relationship Id="rId464" Type="http://schemas.openxmlformats.org/officeDocument/2006/relationships/image" Target="media/image455.png"/><Relationship Id="rId465" Type="http://schemas.openxmlformats.org/officeDocument/2006/relationships/image" Target="media/image456.png"/><Relationship Id="rId466" Type="http://schemas.openxmlformats.org/officeDocument/2006/relationships/image" Target="media/image457.png"/><Relationship Id="rId467" Type="http://schemas.openxmlformats.org/officeDocument/2006/relationships/image" Target="media/image458.png"/><Relationship Id="rId468" Type="http://schemas.openxmlformats.org/officeDocument/2006/relationships/image" Target="media/image459.png"/><Relationship Id="rId469" Type="http://schemas.openxmlformats.org/officeDocument/2006/relationships/image" Target="media/image460.png"/><Relationship Id="rId470" Type="http://schemas.openxmlformats.org/officeDocument/2006/relationships/image" Target="media/image461.png"/><Relationship Id="rId471" Type="http://schemas.openxmlformats.org/officeDocument/2006/relationships/image" Target="media/image462.png"/><Relationship Id="rId472" Type="http://schemas.openxmlformats.org/officeDocument/2006/relationships/image" Target="media/image463.png"/><Relationship Id="rId473" Type="http://schemas.openxmlformats.org/officeDocument/2006/relationships/image" Target="media/image464.png"/><Relationship Id="rId474" Type="http://schemas.openxmlformats.org/officeDocument/2006/relationships/image" Target="media/image465.png"/><Relationship Id="rId475" Type="http://schemas.openxmlformats.org/officeDocument/2006/relationships/image" Target="media/image466.png"/><Relationship Id="rId476" Type="http://schemas.openxmlformats.org/officeDocument/2006/relationships/image" Target="media/image467.png"/><Relationship Id="rId477" Type="http://schemas.openxmlformats.org/officeDocument/2006/relationships/image" Target="media/image468.png"/><Relationship Id="rId478" Type="http://schemas.openxmlformats.org/officeDocument/2006/relationships/image" Target="media/image469.png"/><Relationship Id="rId479" Type="http://schemas.openxmlformats.org/officeDocument/2006/relationships/image" Target="media/image470.png"/><Relationship Id="rId480" Type="http://schemas.openxmlformats.org/officeDocument/2006/relationships/image" Target="media/image471.png"/><Relationship Id="rId481" Type="http://schemas.openxmlformats.org/officeDocument/2006/relationships/image" Target="media/image472.png"/><Relationship Id="rId482" Type="http://schemas.openxmlformats.org/officeDocument/2006/relationships/image" Target="media/image473.png"/><Relationship Id="rId483" Type="http://schemas.openxmlformats.org/officeDocument/2006/relationships/image" Target="media/image474.png"/><Relationship Id="rId484" Type="http://schemas.openxmlformats.org/officeDocument/2006/relationships/image" Target="media/image475.png"/><Relationship Id="rId485" Type="http://schemas.openxmlformats.org/officeDocument/2006/relationships/image" Target="media/image476.png"/><Relationship Id="rId486" Type="http://schemas.openxmlformats.org/officeDocument/2006/relationships/image" Target="media/image477.png"/><Relationship Id="rId487" Type="http://schemas.openxmlformats.org/officeDocument/2006/relationships/image" Target="media/image478.png"/><Relationship Id="rId488" Type="http://schemas.openxmlformats.org/officeDocument/2006/relationships/image" Target="media/image479.png"/><Relationship Id="rId489" Type="http://schemas.openxmlformats.org/officeDocument/2006/relationships/image" Target="media/image480.png"/><Relationship Id="rId490" Type="http://schemas.openxmlformats.org/officeDocument/2006/relationships/image" Target="media/image481.png"/><Relationship Id="rId491" Type="http://schemas.openxmlformats.org/officeDocument/2006/relationships/image" Target="media/image482.png"/><Relationship Id="rId492" Type="http://schemas.openxmlformats.org/officeDocument/2006/relationships/image" Target="media/image483.png"/><Relationship Id="rId493" Type="http://schemas.openxmlformats.org/officeDocument/2006/relationships/image" Target="media/image484.png"/><Relationship Id="rId494" Type="http://schemas.openxmlformats.org/officeDocument/2006/relationships/image" Target="media/image485.png"/><Relationship Id="rId495" Type="http://schemas.openxmlformats.org/officeDocument/2006/relationships/image" Target="media/image486.png"/><Relationship Id="rId496" Type="http://schemas.openxmlformats.org/officeDocument/2006/relationships/image" Target="media/image487.png"/><Relationship Id="rId497" Type="http://schemas.openxmlformats.org/officeDocument/2006/relationships/image" Target="media/image488.png"/><Relationship Id="rId498" Type="http://schemas.openxmlformats.org/officeDocument/2006/relationships/image" Target="media/image489.png"/><Relationship Id="rId499" Type="http://schemas.openxmlformats.org/officeDocument/2006/relationships/image" Target="media/image490.png"/><Relationship Id="rId500" Type="http://schemas.openxmlformats.org/officeDocument/2006/relationships/image" Target="media/image491.png"/><Relationship Id="rId501" Type="http://schemas.openxmlformats.org/officeDocument/2006/relationships/image" Target="media/image492.png"/><Relationship Id="rId502" Type="http://schemas.openxmlformats.org/officeDocument/2006/relationships/image" Target="media/image493.png"/><Relationship Id="rId503" Type="http://schemas.openxmlformats.org/officeDocument/2006/relationships/image" Target="media/image494.png"/><Relationship Id="rId504" Type="http://schemas.openxmlformats.org/officeDocument/2006/relationships/image" Target="media/image495.png"/><Relationship Id="rId505" Type="http://schemas.openxmlformats.org/officeDocument/2006/relationships/image" Target="media/image496.png"/><Relationship Id="rId506" Type="http://schemas.openxmlformats.org/officeDocument/2006/relationships/image" Target="media/image497.png"/><Relationship Id="rId507" Type="http://schemas.openxmlformats.org/officeDocument/2006/relationships/image" Target="media/image498.png"/><Relationship Id="rId508" Type="http://schemas.openxmlformats.org/officeDocument/2006/relationships/image" Target="media/image499.png"/><Relationship Id="rId509" Type="http://schemas.openxmlformats.org/officeDocument/2006/relationships/image" Target="media/image500.png"/><Relationship Id="rId510" Type="http://schemas.openxmlformats.org/officeDocument/2006/relationships/image" Target="media/image501.png"/><Relationship Id="rId511" Type="http://schemas.openxmlformats.org/officeDocument/2006/relationships/image" Target="media/image502.png"/><Relationship Id="rId512" Type="http://schemas.openxmlformats.org/officeDocument/2006/relationships/image" Target="media/image503.png"/><Relationship Id="rId513" Type="http://schemas.openxmlformats.org/officeDocument/2006/relationships/image" Target="media/image504.png"/><Relationship Id="rId514" Type="http://schemas.openxmlformats.org/officeDocument/2006/relationships/image" Target="media/image505.png"/><Relationship Id="rId515" Type="http://schemas.openxmlformats.org/officeDocument/2006/relationships/image" Target="media/image506.png"/><Relationship Id="rId516" Type="http://schemas.openxmlformats.org/officeDocument/2006/relationships/image" Target="media/image507.png"/><Relationship Id="rId517" Type="http://schemas.openxmlformats.org/officeDocument/2006/relationships/image" Target="media/image508.png"/><Relationship Id="rId518" Type="http://schemas.openxmlformats.org/officeDocument/2006/relationships/image" Target="media/image509.png"/><Relationship Id="rId519" Type="http://schemas.openxmlformats.org/officeDocument/2006/relationships/image" Target="media/image510.png"/><Relationship Id="rId520" Type="http://schemas.openxmlformats.org/officeDocument/2006/relationships/image" Target="media/image511.png"/><Relationship Id="rId521" Type="http://schemas.openxmlformats.org/officeDocument/2006/relationships/image" Target="media/image512.png"/><Relationship Id="rId522" Type="http://schemas.openxmlformats.org/officeDocument/2006/relationships/image" Target="media/image513.png"/><Relationship Id="rId523" Type="http://schemas.openxmlformats.org/officeDocument/2006/relationships/image" Target="media/image514.png"/><Relationship Id="rId524" Type="http://schemas.openxmlformats.org/officeDocument/2006/relationships/image" Target="media/image515.png"/><Relationship Id="rId525" Type="http://schemas.openxmlformats.org/officeDocument/2006/relationships/image" Target="media/image516.png"/><Relationship Id="rId526" Type="http://schemas.openxmlformats.org/officeDocument/2006/relationships/image" Target="media/image517.png"/><Relationship Id="rId527" Type="http://schemas.openxmlformats.org/officeDocument/2006/relationships/image" Target="media/image518.png"/><Relationship Id="rId528" Type="http://schemas.openxmlformats.org/officeDocument/2006/relationships/image" Target="media/image519.png"/><Relationship Id="rId529" Type="http://schemas.openxmlformats.org/officeDocument/2006/relationships/image" Target="media/image520.png"/><Relationship Id="rId530" Type="http://schemas.openxmlformats.org/officeDocument/2006/relationships/image" Target="media/image521.png"/><Relationship Id="rId531" Type="http://schemas.openxmlformats.org/officeDocument/2006/relationships/image" Target="media/image522.png"/><Relationship Id="rId532" Type="http://schemas.openxmlformats.org/officeDocument/2006/relationships/image" Target="media/image523.png"/><Relationship Id="rId533" Type="http://schemas.openxmlformats.org/officeDocument/2006/relationships/image" Target="media/image524.png"/><Relationship Id="rId370" Type="http://schemas.openxmlformats.org/officeDocument/2006/relationships/hyperlink" Target="https://www.sec.gov/Archives/edgar/data/1580560/000119312521178711/d109060dex31.htm" TargetMode="External"/><Relationship Id="rId371" Type="http://schemas.openxmlformats.org/officeDocument/2006/relationships/hyperlink" Target="https://www.sec.gov/Archives/edgar/data/1580560/000119312524071282/d783437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2024-05-07T16:56:41Z</dcterms:created>
  <dcterms:modified xsi:type="dcterms:W3CDTF">2024-05-07T16:56:41Z</dcterms:modified>
</cp:coreProperties>
</file>