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6"/>
        <w:gridCol w:w="919"/>
        <w:gridCol w:w="788"/>
        <w:gridCol w:w="610"/>
        <w:gridCol w:w="349"/>
        <w:gridCol w:w="842"/>
        <w:gridCol w:w="447"/>
        <w:gridCol w:w="669"/>
        <w:gridCol w:w="1157"/>
        <w:gridCol w:w="996"/>
        <w:gridCol w:w="11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05/08/2024</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3.95</w:t>
            </w:r>
            <w:r>
              <w:rPr/>
              <w:t xml:space="preserve"> </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625,566</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276,204</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(1)</w:t>
            </w:r>
            <w:r>
              <w:rPr/>
              <w:t xml:space="preserve"> </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01/20/2031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16,875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vest over 4 years of service following January 21, 2021, with 25% vesting upon completion of 1 year of continuous service to the Issuer and the balance vesting in 36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946"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3742</Characters>
  <CharactersWithSpaces>4368</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