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0001859026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283"/>
              <w:jc w:val="left"/>
              <w:rPr/>
            </w:pPr>
            <w:r>
              <w:rPr/>
              <w:t>Name of Issuer</w:t>
            </w:r>
          </w:p>
        </w:tc>
        <w:tc>
          <w:tcPr>
            <w:tcW w:w="4348" w:type="dxa"/>
            <w:tcBorders/>
            <w:vAlign w:val="center"/>
          </w:tcPr>
          <w:p>
            <w:pPr>
              <w:pStyle w:val="TableContents"/>
              <w:bidi w:val="0"/>
              <w:spacing w:before="0" w:after="0"/>
              <w:jc w:val="left"/>
              <w:rPr/>
            </w:pPr>
            <w:r>
              <w:rPr/>
              <w:t>FLYWIRE CORP</w:t>
            </w:r>
          </w:p>
        </w:tc>
      </w:tr>
      <w:tr>
        <w:trPr/>
        <w:tc>
          <w:tcPr>
            <w:tcW w:w="5857" w:type="dxa"/>
            <w:tcBorders/>
            <w:vAlign w:val="center"/>
          </w:tcPr>
          <w:p>
            <w:pPr>
              <w:pStyle w:val="TableContents"/>
              <w:bidi w:val="0"/>
              <w:spacing w:before="0" w:after="283"/>
              <w:jc w:val="left"/>
              <w:rPr/>
            </w:pPr>
            <w:r>
              <w:rPr/>
              <w:t>SEC File Number</w:t>
            </w:r>
          </w:p>
        </w:tc>
        <w:tc>
          <w:tcPr>
            <w:tcW w:w="4348" w:type="dxa"/>
            <w:tcBorders/>
            <w:vAlign w:val="center"/>
          </w:tcPr>
          <w:p>
            <w:pPr>
              <w:pStyle w:val="TableContents"/>
              <w:bidi w:val="0"/>
              <w:spacing w:before="0" w:after="0"/>
              <w:jc w:val="left"/>
              <w:rPr/>
            </w:pPr>
            <w:r>
              <w:rPr/>
              <w:t>001-40430</w:t>
            </w:r>
          </w:p>
        </w:tc>
      </w:tr>
      <w:tr>
        <w:trPr/>
        <w:tc>
          <w:tcPr>
            <w:tcW w:w="5857" w:type="dxa"/>
            <w:tcBorders/>
            <w:vAlign w:val="center"/>
          </w:tcPr>
          <w:p>
            <w:pPr>
              <w:pStyle w:val="TableContents"/>
              <w:bidi w:val="0"/>
              <w:spacing w:before="0" w:after="283"/>
              <w:jc w:val="left"/>
              <w:rPr/>
            </w:pPr>
            <w:r>
              <w:rPr/>
              <w:t>Address of Issuer</w:t>
            </w:r>
          </w:p>
        </w:tc>
        <w:tc>
          <w:tcPr>
            <w:tcW w:w="4348"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5857" w:type="dxa"/>
            <w:tcBorders/>
            <w:vAlign w:val="center"/>
          </w:tcPr>
          <w:p>
            <w:pPr>
              <w:pStyle w:val="TableContents"/>
              <w:bidi w:val="0"/>
              <w:spacing w:before="0" w:after="283"/>
              <w:jc w:val="left"/>
              <w:rPr/>
            </w:pPr>
            <w:r>
              <w:rPr/>
              <w:t>Phone</w:t>
            </w:r>
          </w:p>
        </w:tc>
        <w:tc>
          <w:tcPr>
            <w:tcW w:w="4348" w:type="dxa"/>
            <w:tcBorders/>
            <w:vAlign w:val="center"/>
          </w:tcPr>
          <w:p>
            <w:pPr>
              <w:pStyle w:val="TableContents"/>
              <w:bidi w:val="0"/>
              <w:spacing w:before="0" w:after="0"/>
              <w:jc w:val="left"/>
              <w:rPr/>
            </w:pPr>
            <w:r>
              <w:rPr/>
              <w:t>617-329-4524</w:t>
            </w:r>
          </w:p>
        </w:tc>
      </w:tr>
      <w:tr>
        <w:trPr/>
        <w:tc>
          <w:tcPr>
            <w:tcW w:w="5857" w:type="dxa"/>
            <w:tcBorders/>
            <w:vAlign w:val="center"/>
          </w:tcPr>
          <w:p>
            <w:pPr>
              <w:pStyle w:val="TableContents"/>
              <w:bidi w:val="0"/>
              <w:spacing w:before="0" w:after="283"/>
              <w:jc w:val="left"/>
              <w:rPr/>
            </w:pPr>
            <w:r>
              <w:rPr/>
              <w:t>Name of Person for Whose Account the Securities are To Be Sold</w:t>
            </w:r>
          </w:p>
        </w:tc>
        <w:tc>
          <w:tcPr>
            <w:tcW w:w="4348" w:type="dxa"/>
            <w:tcBorders/>
            <w:vAlign w:val="center"/>
          </w:tcPr>
          <w:p>
            <w:pPr>
              <w:pStyle w:val="TableContents"/>
              <w:bidi w:val="0"/>
              <w:spacing w:before="0" w:after="0"/>
              <w:jc w:val="left"/>
              <w:rPr/>
            </w:pPr>
            <w:r>
              <w:rPr/>
              <w:t xml:space="preserve">BCIP Venture Associates II, L.P.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7" w:type="dxa"/>
            <w:tcBorders/>
            <w:vAlign w:val="center"/>
          </w:tcPr>
          <w:p>
            <w:pPr>
              <w:pStyle w:val="TableContents"/>
              <w:bidi w:val="0"/>
              <w:spacing w:before="0" w:after="283"/>
              <w:jc w:val="left"/>
              <w:rPr/>
            </w:pPr>
            <w:r>
              <w:rPr/>
              <w:t>Relationship to Issuer</w:t>
            </w:r>
          </w:p>
        </w:tc>
        <w:tc>
          <w:tcPr>
            <w:tcW w:w="434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Voting Common Stock</w:t>
            </w:r>
          </w:p>
        </w:tc>
        <w:tc>
          <w:tcPr>
            <w:tcW w:w="1529" w:type="dxa"/>
            <w:tcBorders/>
            <w:vAlign w:val="center"/>
          </w:tcPr>
          <w:p>
            <w:pPr>
              <w:pStyle w:val="TableContents"/>
              <w:bidi w:val="0"/>
              <w:spacing w:before="0" w:after="0"/>
              <w:jc w:val="left"/>
              <w:rPr/>
            </w:pPr>
            <w:r>
              <w:rPr/>
              <w:t>Merrill Lynch</w:t>
              <w:br/>
              <w:t>101 California Street</w:t>
              <w:br/>
              <w:t>13th Floor</w:t>
              <w:br/>
              <w:t>San Francisco   CA   94111</w:t>
            </w:r>
          </w:p>
        </w:tc>
        <w:tc>
          <w:tcPr>
            <w:tcW w:w="1176" w:type="dxa"/>
            <w:tcBorders/>
            <w:vAlign w:val="center"/>
          </w:tcPr>
          <w:p>
            <w:pPr>
              <w:pStyle w:val="TableContents"/>
              <w:bidi w:val="0"/>
              <w:spacing w:before="0" w:after="283"/>
              <w:jc w:val="left"/>
              <w:rPr/>
            </w:pPr>
            <w:r>
              <w:rPr/>
              <w:t>8117</w:t>
            </w:r>
          </w:p>
        </w:tc>
        <w:tc>
          <w:tcPr>
            <w:tcW w:w="1385" w:type="dxa"/>
            <w:tcBorders/>
            <w:vAlign w:val="center"/>
          </w:tcPr>
          <w:p>
            <w:pPr>
              <w:pStyle w:val="TableContents"/>
              <w:bidi w:val="0"/>
              <w:spacing w:before="0" w:after="283"/>
              <w:jc w:val="left"/>
              <w:rPr/>
            </w:pPr>
            <w:r>
              <w:rPr/>
              <w:t>258608</w:t>
            </w:r>
          </w:p>
        </w:tc>
        <w:tc>
          <w:tcPr>
            <w:tcW w:w="1559" w:type="dxa"/>
            <w:tcBorders/>
            <w:vAlign w:val="center"/>
          </w:tcPr>
          <w:p>
            <w:pPr>
              <w:pStyle w:val="TableContents"/>
              <w:bidi w:val="0"/>
              <w:spacing w:before="0" w:after="283"/>
              <w:jc w:val="left"/>
              <w:rPr/>
            </w:pPr>
            <w:r>
              <w:rPr/>
              <w:t>108883194</w:t>
            </w:r>
          </w:p>
        </w:tc>
        <w:tc>
          <w:tcPr>
            <w:tcW w:w="1571" w:type="dxa"/>
            <w:tcBorders/>
            <w:vAlign w:val="center"/>
          </w:tcPr>
          <w:p>
            <w:pPr>
              <w:pStyle w:val="TableContents"/>
              <w:bidi w:val="0"/>
              <w:spacing w:before="0" w:after="283"/>
              <w:jc w:val="left"/>
              <w:rPr/>
            </w:pPr>
            <w:r>
              <w:rPr/>
              <w:t>06/16/2023</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5"/>
        <w:gridCol w:w="1129"/>
        <w:gridCol w:w="1471"/>
        <w:gridCol w:w="1185"/>
        <w:gridCol w:w="528"/>
        <w:gridCol w:w="1129"/>
        <w:gridCol w:w="1181"/>
        <w:gridCol w:w="1070"/>
        <w:gridCol w:w="1387"/>
      </w:tblGrid>
      <w:tr>
        <w:trPr/>
        <w:tc>
          <w:tcPr>
            <w:tcW w:w="1125"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5"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3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5" w:type="dxa"/>
            <w:tcBorders/>
            <w:vAlign w:val="center"/>
          </w:tcPr>
          <w:p>
            <w:pPr>
              <w:pStyle w:val="TableContents"/>
              <w:bidi w:val="0"/>
              <w:spacing w:before="0" w:after="283"/>
              <w:jc w:val="left"/>
              <w:rPr/>
            </w:pPr>
            <w:r>
              <w:rPr/>
              <w:t>Voting Common Stock</w:t>
            </w:r>
          </w:p>
        </w:tc>
        <w:tc>
          <w:tcPr>
            <w:tcW w:w="1129" w:type="dxa"/>
            <w:tcBorders/>
            <w:vAlign w:val="center"/>
          </w:tcPr>
          <w:p>
            <w:pPr>
              <w:pStyle w:val="TableContents"/>
              <w:bidi w:val="0"/>
              <w:spacing w:before="0" w:after="283"/>
              <w:jc w:val="left"/>
              <w:rPr/>
            </w:pPr>
            <w:r>
              <w:rPr/>
              <w:t>05/28/2021</w:t>
            </w:r>
          </w:p>
        </w:tc>
        <w:tc>
          <w:tcPr>
            <w:tcW w:w="1471" w:type="dxa"/>
            <w:tcBorders/>
            <w:vAlign w:val="center"/>
          </w:tcPr>
          <w:p>
            <w:pPr>
              <w:pStyle w:val="TableContents"/>
              <w:bidi w:val="0"/>
              <w:spacing w:before="0" w:after="283"/>
              <w:jc w:val="left"/>
              <w:rPr/>
            </w:pPr>
            <w:r>
              <w:rPr/>
              <w:t>Conversion of preferred stock purchased prior to the IPO into Class A Common Stock, reclassification of the Class A Common Stock into Voting Common Stock</w:t>
            </w:r>
          </w:p>
        </w:tc>
        <w:tc>
          <w:tcPr>
            <w:tcW w:w="1185"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8117</w:t>
            </w:r>
          </w:p>
        </w:tc>
        <w:tc>
          <w:tcPr>
            <w:tcW w:w="1070" w:type="dxa"/>
            <w:tcBorders/>
            <w:vAlign w:val="center"/>
          </w:tcPr>
          <w:p>
            <w:pPr>
              <w:pStyle w:val="TableContents"/>
              <w:bidi w:val="0"/>
              <w:spacing w:before="0" w:after="283"/>
              <w:jc w:val="left"/>
              <w:rPr/>
            </w:pPr>
            <w:r>
              <w:rPr/>
              <w:t>05/28/2021</w:t>
            </w:r>
          </w:p>
        </w:tc>
        <w:tc>
          <w:tcPr>
            <w:tcW w:w="1387" w:type="dxa"/>
            <w:tcBorders/>
            <w:vAlign w:val="center"/>
          </w:tcPr>
          <w:p>
            <w:pPr>
              <w:pStyle w:val="TableContents"/>
              <w:bidi w:val="0"/>
              <w:spacing w:before="0" w:after="283"/>
              <w:jc w:val="left"/>
              <w:rPr/>
            </w:pPr>
            <w:r>
              <w:rPr/>
              <w:t>Conversion of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7"/>
        <w:gridCol w:w="2887"/>
        <w:gridCol w:w="934"/>
        <w:gridCol w:w="1548"/>
        <w:gridCol w:w="1699"/>
      </w:tblGrid>
      <w:tr>
        <w:trPr/>
        <w:tc>
          <w:tcPr>
            <w:tcW w:w="313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137" w:type="dxa"/>
            <w:tcBorders/>
            <w:vAlign w:val="center"/>
          </w:tcPr>
          <w:p>
            <w:pPr>
              <w:pStyle w:val="TableContents"/>
              <w:bidi w:val="0"/>
              <w:spacing w:before="0" w:after="283"/>
              <w:jc w:val="left"/>
              <w:rPr/>
            </w:pPr>
            <w:r>
              <w:rPr/>
              <w:t>Bain Capital Venture Fund 2014, L.P.</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820626</w:t>
            </w:r>
          </w:p>
        </w:tc>
        <w:tc>
          <w:tcPr>
            <w:tcW w:w="1699" w:type="dxa"/>
            <w:tcBorders/>
            <w:vAlign w:val="center"/>
          </w:tcPr>
          <w:p>
            <w:pPr>
              <w:pStyle w:val="TableContents"/>
              <w:bidi w:val="0"/>
              <w:spacing w:before="0" w:after="283"/>
              <w:jc w:val="left"/>
              <w:rPr/>
            </w:pPr>
            <w:r>
              <w:rPr/>
              <w:t>25111155</w:t>
            </w:r>
          </w:p>
        </w:tc>
      </w:tr>
      <w:tr>
        <w:trPr/>
        <w:tc>
          <w:tcPr>
            <w:tcW w:w="3137" w:type="dxa"/>
            <w:tcBorders/>
            <w:vAlign w:val="center"/>
          </w:tcPr>
          <w:p>
            <w:pPr>
              <w:pStyle w:val="TableContents"/>
              <w:bidi w:val="0"/>
              <w:spacing w:before="0" w:after="283"/>
              <w:jc w:val="left"/>
              <w:rPr/>
            </w:pPr>
            <w:r>
              <w:rPr/>
              <w:t>Bain Capital Venture Fund 2014, L.P.</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2338782</w:t>
            </w:r>
          </w:p>
        </w:tc>
        <w:tc>
          <w:tcPr>
            <w:tcW w:w="1699" w:type="dxa"/>
            <w:tcBorders/>
            <w:vAlign w:val="center"/>
          </w:tcPr>
          <w:p>
            <w:pPr>
              <w:pStyle w:val="TableContents"/>
              <w:bidi w:val="0"/>
              <w:spacing w:before="0" w:after="283"/>
              <w:jc w:val="left"/>
              <w:rPr/>
            </w:pPr>
            <w:r>
              <w:rPr/>
              <w:t>69017456</w:t>
            </w:r>
          </w:p>
        </w:tc>
      </w:tr>
      <w:tr>
        <w:trPr/>
        <w:tc>
          <w:tcPr>
            <w:tcW w:w="3137" w:type="dxa"/>
            <w:tcBorders/>
            <w:vAlign w:val="center"/>
          </w:tcPr>
          <w:p>
            <w:pPr>
              <w:pStyle w:val="TableContents"/>
              <w:bidi w:val="0"/>
              <w:spacing w:before="0" w:after="283"/>
              <w:jc w:val="left"/>
              <w:rPr/>
            </w:pPr>
            <w:r>
              <w:rPr/>
              <w:t>Bain Capital Venture Partners 2014,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50051</w:t>
            </w:r>
          </w:p>
        </w:tc>
        <w:tc>
          <w:tcPr>
            <w:tcW w:w="1699" w:type="dxa"/>
            <w:tcBorders/>
            <w:vAlign w:val="center"/>
          </w:tcPr>
          <w:p>
            <w:pPr>
              <w:pStyle w:val="TableContents"/>
              <w:bidi w:val="0"/>
              <w:spacing w:before="0" w:after="283"/>
              <w:jc w:val="left"/>
              <w:rPr/>
            </w:pPr>
            <w:r>
              <w:rPr/>
              <w:t>1492040</w:t>
            </w:r>
          </w:p>
        </w:tc>
      </w:tr>
      <w:tr>
        <w:trPr/>
        <w:tc>
          <w:tcPr>
            <w:tcW w:w="3137" w:type="dxa"/>
            <w:tcBorders/>
            <w:vAlign w:val="center"/>
          </w:tcPr>
          <w:p>
            <w:pPr>
              <w:pStyle w:val="TableContents"/>
              <w:bidi w:val="0"/>
              <w:spacing w:before="0" w:after="283"/>
              <w:jc w:val="left"/>
              <w:rPr/>
            </w:pPr>
            <w:r>
              <w:rPr/>
              <w:t>Bain Capital Venture Fund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54705</w:t>
            </w:r>
          </w:p>
        </w:tc>
        <w:tc>
          <w:tcPr>
            <w:tcW w:w="1699" w:type="dxa"/>
            <w:tcBorders/>
            <w:vAlign w:val="center"/>
          </w:tcPr>
          <w:p>
            <w:pPr>
              <w:pStyle w:val="TableContents"/>
              <w:bidi w:val="0"/>
              <w:spacing w:before="0" w:after="283"/>
              <w:jc w:val="left"/>
              <w:rPr/>
            </w:pPr>
            <w:r>
              <w:rPr/>
              <w:t>1673973</w:t>
            </w:r>
          </w:p>
        </w:tc>
      </w:tr>
      <w:tr>
        <w:trPr/>
        <w:tc>
          <w:tcPr>
            <w:tcW w:w="3137" w:type="dxa"/>
            <w:tcBorders/>
            <w:vAlign w:val="center"/>
          </w:tcPr>
          <w:p>
            <w:pPr>
              <w:pStyle w:val="TableContents"/>
              <w:bidi w:val="0"/>
              <w:spacing w:before="0" w:after="283"/>
              <w:jc w:val="left"/>
              <w:rPr/>
            </w:pPr>
            <w:r>
              <w:rPr/>
              <w:t>Bain Capital Venture Fund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155911</w:t>
            </w:r>
          </w:p>
        </w:tc>
        <w:tc>
          <w:tcPr>
            <w:tcW w:w="1699" w:type="dxa"/>
            <w:tcBorders/>
            <w:vAlign w:val="center"/>
          </w:tcPr>
          <w:p>
            <w:pPr>
              <w:pStyle w:val="TableContents"/>
              <w:bidi w:val="0"/>
              <w:spacing w:before="0" w:after="283"/>
              <w:jc w:val="left"/>
              <w:rPr/>
            </w:pPr>
            <w:r>
              <w:rPr/>
              <w:t>4600933</w:t>
            </w:r>
          </w:p>
        </w:tc>
      </w:tr>
      <w:tr>
        <w:trPr/>
        <w:tc>
          <w:tcPr>
            <w:tcW w:w="3137" w:type="dxa"/>
            <w:tcBorders/>
            <w:vAlign w:val="center"/>
          </w:tcPr>
          <w:p>
            <w:pPr>
              <w:pStyle w:val="TableContents"/>
              <w:bidi w:val="0"/>
              <w:spacing w:before="0" w:after="283"/>
              <w:jc w:val="left"/>
              <w:rPr/>
            </w:pPr>
            <w:r>
              <w:rPr/>
              <w:t>Bain Capital Venture Partners 2016,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219</w:t>
            </w:r>
          </w:p>
        </w:tc>
        <w:tc>
          <w:tcPr>
            <w:tcW w:w="1699" w:type="dxa"/>
            <w:tcBorders/>
            <w:vAlign w:val="center"/>
          </w:tcPr>
          <w:p>
            <w:pPr>
              <w:pStyle w:val="TableContents"/>
              <w:bidi w:val="0"/>
              <w:spacing w:before="0" w:after="283"/>
              <w:jc w:val="left"/>
              <w:rPr/>
            </w:pPr>
            <w:r>
              <w:rPr/>
              <w:t>6528</w:t>
            </w:r>
          </w:p>
        </w:tc>
      </w:tr>
      <w:tr>
        <w:trPr/>
        <w:tc>
          <w:tcPr>
            <w:tcW w:w="3137" w:type="dxa"/>
            <w:tcBorders/>
            <w:vAlign w:val="center"/>
          </w:tcPr>
          <w:p>
            <w:pPr>
              <w:pStyle w:val="TableContents"/>
              <w:bidi w:val="0"/>
              <w:spacing w:before="0" w:after="283"/>
              <w:jc w:val="left"/>
              <w:rPr/>
            </w:pPr>
            <w:r>
              <w:rPr/>
              <w:t>Bain Capital Venture Coinvestment Fund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25611</w:t>
            </w:r>
          </w:p>
        </w:tc>
        <w:tc>
          <w:tcPr>
            <w:tcW w:w="1699" w:type="dxa"/>
            <w:tcBorders/>
            <w:vAlign w:val="center"/>
          </w:tcPr>
          <w:p>
            <w:pPr>
              <w:pStyle w:val="TableContents"/>
              <w:bidi w:val="0"/>
              <w:spacing w:before="0" w:after="283"/>
              <w:jc w:val="left"/>
              <w:rPr/>
            </w:pPr>
            <w:r>
              <w:rPr/>
              <w:t>783696</w:t>
            </w:r>
          </w:p>
        </w:tc>
      </w:tr>
      <w:tr>
        <w:trPr/>
        <w:tc>
          <w:tcPr>
            <w:tcW w:w="3137" w:type="dxa"/>
            <w:tcBorders/>
            <w:vAlign w:val="center"/>
          </w:tcPr>
          <w:p>
            <w:pPr>
              <w:pStyle w:val="TableContents"/>
              <w:bidi w:val="0"/>
              <w:spacing w:before="0" w:after="283"/>
              <w:jc w:val="left"/>
              <w:rPr/>
            </w:pPr>
            <w:r>
              <w:rPr/>
              <w:t>Bain Capital Venture Coinvestment Fund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72991</w:t>
            </w:r>
          </w:p>
        </w:tc>
        <w:tc>
          <w:tcPr>
            <w:tcW w:w="1699" w:type="dxa"/>
            <w:tcBorders/>
            <w:vAlign w:val="center"/>
          </w:tcPr>
          <w:p>
            <w:pPr>
              <w:pStyle w:val="TableContents"/>
              <w:bidi w:val="0"/>
              <w:spacing w:before="0" w:after="283"/>
              <w:jc w:val="left"/>
              <w:rPr/>
            </w:pPr>
            <w:r>
              <w:rPr/>
              <w:t>2153964</w:t>
            </w:r>
          </w:p>
        </w:tc>
      </w:tr>
      <w:tr>
        <w:trPr/>
        <w:tc>
          <w:tcPr>
            <w:tcW w:w="3137" w:type="dxa"/>
            <w:tcBorders/>
            <w:vAlign w:val="center"/>
          </w:tcPr>
          <w:p>
            <w:pPr>
              <w:pStyle w:val="TableContents"/>
              <w:bidi w:val="0"/>
              <w:spacing w:before="0" w:after="283"/>
              <w:jc w:val="left"/>
              <w:rPr/>
            </w:pPr>
            <w:r>
              <w:rPr/>
              <w:t>BCV 2019-MD Coinvestment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1024</w:t>
            </w:r>
          </w:p>
        </w:tc>
        <w:tc>
          <w:tcPr>
            <w:tcW w:w="1699" w:type="dxa"/>
            <w:tcBorders/>
            <w:vAlign w:val="center"/>
          </w:tcPr>
          <w:p>
            <w:pPr>
              <w:pStyle w:val="TableContents"/>
              <w:bidi w:val="0"/>
              <w:spacing w:before="0" w:after="283"/>
              <w:jc w:val="left"/>
              <w:rPr/>
            </w:pPr>
            <w:r>
              <w:rPr/>
              <w:t>31334</w:t>
            </w:r>
          </w:p>
        </w:tc>
      </w:tr>
      <w:tr>
        <w:trPr/>
        <w:tc>
          <w:tcPr>
            <w:tcW w:w="3137" w:type="dxa"/>
            <w:tcBorders/>
            <w:vAlign w:val="center"/>
          </w:tcPr>
          <w:p>
            <w:pPr>
              <w:pStyle w:val="TableContents"/>
              <w:bidi w:val="0"/>
              <w:spacing w:before="0" w:after="283"/>
              <w:jc w:val="left"/>
              <w:rPr/>
            </w:pPr>
            <w:r>
              <w:rPr/>
              <w:t>BCV 2019-MD Coinvestment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2920</w:t>
            </w:r>
          </w:p>
        </w:tc>
        <w:tc>
          <w:tcPr>
            <w:tcW w:w="1699" w:type="dxa"/>
            <w:tcBorders/>
            <w:vAlign w:val="center"/>
          </w:tcPr>
          <w:p>
            <w:pPr>
              <w:pStyle w:val="TableContents"/>
              <w:bidi w:val="0"/>
              <w:spacing w:before="0" w:after="283"/>
              <w:jc w:val="left"/>
              <w:rPr/>
            </w:pPr>
            <w:r>
              <w:rPr/>
              <w:t>86169</w:t>
            </w:r>
          </w:p>
        </w:tc>
      </w:tr>
      <w:tr>
        <w:trPr/>
        <w:tc>
          <w:tcPr>
            <w:tcW w:w="3137" w:type="dxa"/>
            <w:tcBorders/>
            <w:vAlign w:val="center"/>
          </w:tcPr>
          <w:p>
            <w:pPr>
              <w:pStyle w:val="TableContents"/>
              <w:bidi w:val="0"/>
              <w:spacing w:before="0" w:after="283"/>
              <w:jc w:val="left"/>
              <w:rPr/>
            </w:pPr>
            <w:r>
              <w:rPr/>
              <w:t>Bain Capital Venture Coinvestment II Partners,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106</w:t>
            </w:r>
          </w:p>
        </w:tc>
        <w:tc>
          <w:tcPr>
            <w:tcW w:w="1699" w:type="dxa"/>
            <w:tcBorders/>
            <w:vAlign w:val="center"/>
          </w:tcPr>
          <w:p>
            <w:pPr>
              <w:pStyle w:val="TableContents"/>
              <w:bidi w:val="0"/>
              <w:spacing w:before="0" w:after="283"/>
              <w:jc w:val="left"/>
              <w:rPr/>
            </w:pPr>
            <w:r>
              <w:rPr/>
              <w:t>3160</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83662</w:t>
            </w:r>
          </w:p>
        </w:tc>
        <w:tc>
          <w:tcPr>
            <w:tcW w:w="1699" w:type="dxa"/>
            <w:tcBorders/>
            <w:vAlign w:val="center"/>
          </w:tcPr>
          <w:p>
            <w:pPr>
              <w:pStyle w:val="TableContents"/>
              <w:bidi w:val="0"/>
              <w:spacing w:before="0" w:after="283"/>
              <w:jc w:val="left"/>
              <w:rPr/>
            </w:pPr>
            <w:r>
              <w:rPr/>
              <w:t>2560057</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238436</w:t>
            </w:r>
          </w:p>
        </w:tc>
        <w:tc>
          <w:tcPr>
            <w:tcW w:w="1699" w:type="dxa"/>
            <w:tcBorders/>
            <w:vAlign w:val="center"/>
          </w:tcPr>
          <w:p>
            <w:pPr>
              <w:pStyle w:val="TableContents"/>
              <w:bidi w:val="0"/>
              <w:spacing w:before="0" w:after="283"/>
              <w:jc w:val="left"/>
              <w:rPr/>
            </w:pPr>
            <w:r>
              <w:rPr/>
              <w:t>7036246</w:t>
            </w:r>
          </w:p>
        </w:tc>
      </w:tr>
      <w:tr>
        <w:trPr/>
        <w:tc>
          <w:tcPr>
            <w:tcW w:w="3137" w:type="dxa"/>
            <w:tcBorders/>
            <w:vAlign w:val="center"/>
          </w:tcPr>
          <w:p>
            <w:pPr>
              <w:pStyle w:val="TableContents"/>
              <w:bidi w:val="0"/>
              <w:spacing w:before="0" w:after="283"/>
              <w:jc w:val="left"/>
              <w:rPr/>
            </w:pPr>
            <w:r>
              <w:rPr/>
              <w:t>BCIP Venture Associates</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101095</w:t>
            </w:r>
          </w:p>
        </w:tc>
        <w:tc>
          <w:tcPr>
            <w:tcW w:w="1699" w:type="dxa"/>
            <w:tcBorders/>
            <w:vAlign w:val="center"/>
          </w:tcPr>
          <w:p>
            <w:pPr>
              <w:pStyle w:val="TableContents"/>
              <w:bidi w:val="0"/>
              <w:spacing w:before="0" w:after="283"/>
              <w:jc w:val="left"/>
              <w:rPr/>
            </w:pPr>
            <w:r>
              <w:rPr/>
              <w:t>3013642</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5629</w:t>
            </w:r>
          </w:p>
        </w:tc>
        <w:tc>
          <w:tcPr>
            <w:tcW w:w="1699" w:type="dxa"/>
            <w:tcBorders/>
            <w:vAlign w:val="center"/>
          </w:tcPr>
          <w:p>
            <w:pPr>
              <w:pStyle w:val="TableContents"/>
              <w:bidi w:val="0"/>
              <w:spacing w:before="0" w:after="283"/>
              <w:jc w:val="left"/>
              <w:rPr/>
            </w:pPr>
            <w:r>
              <w:rPr/>
              <w:t>172247</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16041</w:t>
            </w:r>
          </w:p>
        </w:tc>
        <w:tc>
          <w:tcPr>
            <w:tcW w:w="1699" w:type="dxa"/>
            <w:tcBorders/>
            <w:vAlign w:val="center"/>
          </w:tcPr>
          <w:p>
            <w:pPr>
              <w:pStyle w:val="TableContents"/>
              <w:bidi w:val="0"/>
              <w:spacing w:before="0" w:after="283"/>
              <w:jc w:val="left"/>
              <w:rPr/>
            </w:pPr>
            <w:r>
              <w:rPr/>
              <w:t>473369</w:t>
            </w:r>
          </w:p>
        </w:tc>
      </w:tr>
      <w:tr>
        <w:trPr/>
        <w:tc>
          <w:tcPr>
            <w:tcW w:w="3137" w:type="dxa"/>
            <w:tcBorders/>
            <w:vAlign w:val="center"/>
          </w:tcPr>
          <w:p>
            <w:pPr>
              <w:pStyle w:val="TableContents"/>
              <w:bidi w:val="0"/>
              <w:spacing w:before="0" w:after="283"/>
              <w:jc w:val="left"/>
              <w:rPr/>
            </w:pPr>
            <w:r>
              <w:rPr/>
              <w:t>BCIP Venture Associates-B</w:t>
              <w:br/>
              <w:t>John Hancock Tower</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8621</w:t>
            </w:r>
          </w:p>
        </w:tc>
        <w:tc>
          <w:tcPr>
            <w:tcW w:w="1699" w:type="dxa"/>
            <w:tcBorders/>
            <w:vAlign w:val="center"/>
          </w:tcPr>
          <w:p>
            <w:pPr>
              <w:pStyle w:val="TableContents"/>
              <w:bidi w:val="0"/>
              <w:spacing w:before="0" w:after="283"/>
              <w:jc w:val="left"/>
              <w:rPr/>
            </w:pPr>
            <w:r>
              <w:rPr/>
              <w:t>256992</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23172</w:t>
            </w:r>
          </w:p>
        </w:tc>
        <w:tc>
          <w:tcPr>
            <w:tcW w:w="1699" w:type="dxa"/>
            <w:tcBorders/>
            <w:vAlign w:val="center"/>
          </w:tcPr>
          <w:p>
            <w:pPr>
              <w:pStyle w:val="TableContents"/>
              <w:bidi w:val="0"/>
              <w:spacing w:before="0" w:after="283"/>
              <w:jc w:val="left"/>
              <w:rPr/>
            </w:pPr>
            <w:r>
              <w:rPr/>
              <w:t>683805</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8554</w:t>
            </w:r>
          </w:p>
        </w:tc>
        <w:tc>
          <w:tcPr>
            <w:tcW w:w="1699" w:type="dxa"/>
            <w:tcBorders/>
            <w:vAlign w:val="center"/>
          </w:tcPr>
          <w:p>
            <w:pPr>
              <w:pStyle w:val="TableContents"/>
              <w:bidi w:val="0"/>
              <w:spacing w:before="0" w:after="283"/>
              <w:jc w:val="left"/>
              <w:rPr/>
            </w:pPr>
            <w:r>
              <w:rPr/>
              <w:t>254995</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613</w:t>
            </w:r>
          </w:p>
        </w:tc>
        <w:tc>
          <w:tcPr>
            <w:tcW w:w="1699" w:type="dxa"/>
            <w:tcBorders/>
            <w:vAlign w:val="center"/>
          </w:tcPr>
          <w:p>
            <w:pPr>
              <w:pStyle w:val="TableContents"/>
              <w:bidi w:val="0"/>
              <w:spacing w:before="0" w:after="283"/>
              <w:jc w:val="left"/>
              <w:rPr/>
            </w:pPr>
            <w:r>
              <w:rPr/>
              <w:t>18757</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05/11/2023</w:t>
            </w:r>
          </w:p>
        </w:tc>
        <w:tc>
          <w:tcPr>
            <w:tcW w:w="1548" w:type="dxa"/>
            <w:tcBorders/>
            <w:vAlign w:val="center"/>
          </w:tcPr>
          <w:p>
            <w:pPr>
              <w:pStyle w:val="TableContents"/>
              <w:bidi w:val="0"/>
              <w:spacing w:before="0" w:after="283"/>
              <w:jc w:val="left"/>
              <w:rPr/>
            </w:pPr>
            <w:r>
              <w:rPr/>
              <w:t>1747</w:t>
            </w:r>
          </w:p>
        </w:tc>
        <w:tc>
          <w:tcPr>
            <w:tcW w:w="1699" w:type="dxa"/>
            <w:tcBorders/>
            <w:vAlign w:val="center"/>
          </w:tcPr>
          <w:p>
            <w:pPr>
              <w:pStyle w:val="TableContents"/>
              <w:bidi w:val="0"/>
              <w:spacing w:before="0" w:after="283"/>
              <w:jc w:val="left"/>
              <w:rPr/>
            </w:pPr>
            <w:r>
              <w:rPr/>
              <w:t>51553</w:t>
            </w:r>
          </w:p>
        </w:tc>
      </w:tr>
      <w:tr>
        <w:trPr/>
        <w:tc>
          <w:tcPr>
            <w:tcW w:w="3137" w:type="dxa"/>
            <w:tcBorders/>
            <w:vAlign w:val="center"/>
          </w:tcPr>
          <w:p>
            <w:pPr>
              <w:pStyle w:val="TableContents"/>
              <w:bidi w:val="0"/>
              <w:spacing w:before="0" w:after="283"/>
              <w:jc w:val="left"/>
              <w:rPr/>
            </w:pPr>
            <w:r>
              <w:rPr/>
              <w:t>BCIP Venture Associates II-B,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05/26/2023</w:t>
            </w:r>
          </w:p>
        </w:tc>
        <w:tc>
          <w:tcPr>
            <w:tcW w:w="1548" w:type="dxa"/>
            <w:tcBorders/>
            <w:vAlign w:val="center"/>
          </w:tcPr>
          <w:p>
            <w:pPr>
              <w:pStyle w:val="TableContents"/>
              <w:bidi w:val="0"/>
              <w:spacing w:before="0" w:after="283"/>
              <w:jc w:val="left"/>
              <w:rPr/>
            </w:pPr>
            <w:r>
              <w:rPr/>
              <w:t>1070</w:t>
            </w:r>
          </w:p>
        </w:tc>
        <w:tc>
          <w:tcPr>
            <w:tcW w:w="1699" w:type="dxa"/>
            <w:tcBorders/>
            <w:vAlign w:val="center"/>
          </w:tcPr>
          <w:p>
            <w:pPr>
              <w:pStyle w:val="TableContents"/>
              <w:bidi w:val="0"/>
              <w:spacing w:before="0" w:after="283"/>
              <w:jc w:val="left"/>
              <w:rPr/>
            </w:pPr>
            <w:r>
              <w:rPr/>
              <w:t>31897</w:t>
            </w:r>
          </w:p>
        </w:tc>
      </w:tr>
      <w:tr>
        <w:trPr/>
        <w:tc>
          <w:tcPr>
            <w:tcW w:w="3137" w:type="dxa"/>
            <w:tcBorders/>
            <w:vAlign w:val="center"/>
          </w:tcPr>
          <w:p>
            <w:pPr>
              <w:pStyle w:val="TableContents"/>
              <w:bidi w:val="0"/>
              <w:spacing w:before="0" w:after="283"/>
              <w:jc w:val="left"/>
              <w:rPr/>
            </w:pPr>
            <w:r>
              <w:rPr/>
              <w:t>BCIP Venture Associates II, L.P.</w:t>
              <w:br/>
              <w:t>200 Clarendon Street</w:t>
              <w:br/>
              <w:t>Boston   MA   02116</w:t>
            </w:r>
          </w:p>
        </w:tc>
        <w:tc>
          <w:tcPr>
            <w:tcW w:w="2887" w:type="dxa"/>
            <w:tcBorders/>
            <w:vAlign w:val="center"/>
          </w:tcPr>
          <w:p>
            <w:pPr>
              <w:pStyle w:val="TableContents"/>
              <w:bidi w:val="0"/>
              <w:spacing w:before="0" w:after="283"/>
              <w:jc w:val="left"/>
              <w:rPr/>
            </w:pPr>
            <w:r>
              <w:rPr/>
              <w:t>Voting Common Stock</w:t>
            </w:r>
          </w:p>
        </w:tc>
        <w:tc>
          <w:tcPr>
            <w:tcW w:w="934" w:type="dxa"/>
            <w:tcBorders/>
            <w:vAlign w:val="center"/>
          </w:tcPr>
          <w:p>
            <w:pPr>
              <w:pStyle w:val="TableContents"/>
              <w:bidi w:val="0"/>
              <w:spacing w:before="0" w:after="283"/>
              <w:jc w:val="left"/>
              <w:rPr/>
            </w:pPr>
            <w:r>
              <w:rPr/>
              <w:t>05/18/2023</w:t>
            </w:r>
          </w:p>
        </w:tc>
        <w:tc>
          <w:tcPr>
            <w:tcW w:w="1548" w:type="dxa"/>
            <w:tcBorders/>
            <w:vAlign w:val="center"/>
          </w:tcPr>
          <w:p>
            <w:pPr>
              <w:pStyle w:val="TableContents"/>
              <w:bidi w:val="0"/>
              <w:spacing w:before="0" w:after="283"/>
              <w:jc w:val="left"/>
              <w:rPr/>
            </w:pPr>
            <w:r>
              <w:rPr/>
              <w:t>8130</w:t>
            </w:r>
          </w:p>
        </w:tc>
        <w:tc>
          <w:tcPr>
            <w:tcW w:w="1699" w:type="dxa"/>
            <w:tcBorders/>
            <w:vAlign w:val="center"/>
          </w:tcPr>
          <w:p>
            <w:pPr>
              <w:pStyle w:val="TableContents"/>
              <w:bidi w:val="0"/>
              <w:spacing w:before="0" w:after="283"/>
              <w:jc w:val="left"/>
              <w:rPr/>
            </w:pPr>
            <w:r>
              <w:rPr/>
              <w:t>248778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Remarks</w:t>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Date of Notice</w:t>
            </w:r>
          </w:p>
        </w:tc>
        <w:tc>
          <w:tcPr>
            <w:tcW w:w="8023" w:type="dxa"/>
            <w:tcBorders/>
            <w:vAlign w:val="center"/>
          </w:tcPr>
          <w:p>
            <w:pPr>
              <w:pStyle w:val="TableContents"/>
              <w:bidi w:val="0"/>
              <w:spacing w:before="0" w:after="0"/>
              <w:jc w:val="left"/>
              <w:rPr/>
            </w:pPr>
            <w:r>
              <w:rPr/>
              <w:t>06/16/2023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2" w:type="dxa"/>
            <w:tcBorders/>
            <w:vAlign w:val="center"/>
          </w:tcPr>
          <w:p>
            <w:pPr>
              <w:pStyle w:val="TableContents"/>
              <w:bidi w:val="0"/>
              <w:spacing w:before="0" w:after="283"/>
              <w:jc w:val="left"/>
              <w:rPr/>
            </w:pPr>
            <w:r>
              <w:rPr/>
              <w:t>Signature</w:t>
            </w:r>
          </w:p>
        </w:tc>
        <w:tc>
          <w:tcPr>
            <w:tcW w:w="8023" w:type="dxa"/>
            <w:tcBorders/>
            <w:vAlign w:val="center"/>
          </w:tcPr>
          <w:p>
            <w:pPr>
              <w:pStyle w:val="TableContents"/>
              <w:bidi w:val="0"/>
              <w:spacing w:before="0" w:after="0"/>
              <w:jc w:val="left"/>
              <w:rPr/>
            </w:pPr>
            <w:r>
              <w:rPr/>
              <w:t>/s/ Cara McCauley Lorion, as Authorized Signatory of Boylston Coinvestors,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5561</Characters>
  <CharactersWithSpaces>6521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