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360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001-40430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FLYWIRE CORPORATION</w:t>
      </w:r>
    </w:p>
    <w:p>
      <w:pPr>
        <w:spacing w:after="0" w:line="4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tcPr>
          <w:p>
            <w:pPr>
              <w:jc w:val="right"/>
              <w:ind w:right="230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379"/>
        </w:trPr>
        <w:tc>
          <w:tcPr>
            <w:tcW w:w="4500" w:type="dxa"/>
            <w:vAlign w:val="bottom"/>
            <w:gridSpan w:val="3"/>
          </w:tcPr>
          <w:p>
            <w:pPr>
              <w:jc w:val="center"/>
              <w:ind w:left="106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Boston, MA</w:t>
            </w: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right"/>
              <w:ind w:right="250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6"/>
        </w:trPr>
        <w:tc>
          <w:tcPr>
            <w:tcW w:w="4500" w:type="dxa"/>
            <w:vAlign w:val="bottom"/>
            <w:gridSpan w:val="3"/>
          </w:tcPr>
          <w:p>
            <w:pPr>
              <w:jc w:val="center"/>
              <w:ind w:left="106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jc w:val="center"/>
              <w:ind w:right="212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91"/>
        </w:trPr>
        <w:tc>
          <w:tcPr>
            <w:tcW w:w="1124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820" w:type="dxa"/>
            <w:vAlign w:val="bottom"/>
            <w:gridSpan w:val="7"/>
          </w:tcPr>
          <w:p>
            <w:pPr>
              <w:jc w:val="center"/>
              <w:ind w:left="330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33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ind w:right="14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8"/>
        </w:trPr>
        <w:tc>
          <w:tcPr>
            <w:tcW w:w="3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50"/>
        </w:trPr>
        <w:tc>
          <w:tcPr>
            <w:tcW w:w="45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jc w:val="center"/>
              <w:ind w:right="1100"/>
              <w:spacing w:after="0"/>
              <w:rPr>
                <w:sz w:val="20"/>
                <w:szCs w:val="20"/>
                <w:color w:val="auto"/>
              </w:rPr>
            </w:pPr>
            <w:r>
              <w:rPr>
                <w:rFonts w:ascii="Arial" w:cs="Arial" w:eastAsia="Arial" w:hAnsi="Arial"/>
                <w:sz w:val="16"/>
                <w:szCs w:val="16"/>
                <w:b w:val="1"/>
                <w:bCs w:val="1"/>
                <w:color w:val="auto"/>
              </w:rPr>
              <w:t>FLYW</w:t>
            </w: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3"/>
        </w:trPr>
        <w:tc>
          <w:tcPr>
            <w:tcW w:w="45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2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40" w:firstLine="50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80" w:firstLine="509"/>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7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7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34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70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7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4" w:lineRule="exact"/>
        <w:rPr>
          <w:sz w:val="24"/>
          <w:szCs w:val="24"/>
          <w:color w:val="auto"/>
        </w:rPr>
      </w:pPr>
    </w:p>
    <w:p>
      <w:pPr>
        <w:ind w:right="14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tabs>
          <w:tab w:leader="none" w:pos="93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80" w:firstLine="509"/>
        <w:spacing w:after="0" w:line="286" w:lineRule="auto"/>
        <w:rPr>
          <w:sz w:val="20"/>
          <w:szCs w:val="20"/>
          <w:color w:val="auto"/>
        </w:rPr>
      </w:pPr>
      <w:r>
        <w:rPr>
          <w:rFonts w:ascii="Arial" w:cs="Arial" w:eastAsia="Arial" w:hAnsi="Arial"/>
          <w:sz w:val="16"/>
          <w:szCs w:val="16"/>
          <w:color w:val="auto"/>
        </w:rPr>
        <w:t>As of April 30, 2026, the registrant had 121,544,560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60" w:type="dxa"/>
            <w:vAlign w:val="bottom"/>
            <w:gridSpan w:val="15"/>
          </w:tcPr>
          <w:p>
            <w:pPr>
              <w:ind w:left="2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gridSpan w:val="37"/>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320" w:type="dxa"/>
            <w:vAlign w:val="bottom"/>
            <w:gridSpan w:val="3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b w:val="1"/>
                <w:bCs w:val="1"/>
                <w:color w:val="0000FF"/>
              </w:rPr>
              <w:t>PART I.</w:t>
            </w:r>
          </w:p>
        </w:tc>
        <w:tc>
          <w:tcPr>
            <w:tcW w:w="42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FINANCIAL INFORMATION</w:t>
            </w:r>
          </w:p>
        </w:tc>
        <w:tc>
          <w:tcPr>
            <w:tcW w:w="50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640" w:type="dxa"/>
            <w:vAlign w:val="bottom"/>
            <w:gridSpan w:val="3"/>
          </w:tcPr>
          <w:p>
            <w:pPr>
              <w:spacing w:after="0" w:line="182" w:lineRule="exact"/>
              <w:rPr>
                <w:sz w:val="20"/>
                <w:szCs w:val="20"/>
                <w:color w:val="auto"/>
              </w:rPr>
            </w:pPr>
            <w:r>
              <w:rPr>
                <w:rFonts w:ascii="Arial" w:cs="Arial" w:eastAsia="Arial" w:hAnsi="Arial"/>
                <w:sz w:val="18"/>
                <w:szCs w:val="18"/>
                <w:color w:val="0000FF"/>
              </w:rPr>
              <w:t>Item 1.</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320" w:type="dxa"/>
            <w:vAlign w:val="bottom"/>
            <w:gridSpan w:val="37"/>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7"/>
              </w:rPr>
              <w:t>Condensed Consolidated Balance</w:t>
            </w:r>
          </w:p>
        </w:tc>
        <w:tc>
          <w:tcPr>
            <w:tcW w:w="40" w:type="dxa"/>
            <w:vAlign w:val="bottom"/>
          </w:tcPr>
          <w:p>
            <w:pPr>
              <w:spacing w:after="0"/>
              <w:rPr>
                <w:sz w:val="15"/>
                <w:szCs w:val="15"/>
                <w:color w:val="auto"/>
              </w:rPr>
            </w:pPr>
          </w:p>
        </w:tc>
        <w:tc>
          <w:tcPr>
            <w:tcW w:w="6600" w:type="dxa"/>
            <w:vAlign w:val="bottom"/>
            <w:gridSpan w:val="23"/>
          </w:tcPr>
          <w:p>
            <w:pPr>
              <w:jc w:val="center"/>
              <w:ind w:right="5920"/>
              <w:spacing w:after="0" w:line="182" w:lineRule="exact"/>
              <w:rPr>
                <w:sz w:val="20"/>
                <w:szCs w:val="20"/>
                <w:color w:val="auto"/>
              </w:rPr>
            </w:pPr>
            <w:r>
              <w:rPr>
                <w:rFonts w:ascii="Arial" w:cs="Arial" w:eastAsia="Arial" w:hAnsi="Arial"/>
                <w:sz w:val="18"/>
                <w:szCs w:val="18"/>
                <w:color w:val="0000FF"/>
                <w:w w:val="99"/>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80" w:type="dxa"/>
            <w:vAlign w:val="bottom"/>
            <w:gridSpan w:val="18"/>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960" w:type="dxa"/>
            <w:vAlign w:val="bottom"/>
            <w:tcBorders>
              <w:top w:val="single" w:sz="8" w:color="0000FF"/>
            </w:tcBorders>
            <w:gridSpan w:val="35"/>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4"/>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8"/>
          </w:tcPr>
          <w:p>
            <w:pPr>
              <w:spacing w:after="0"/>
              <w:rPr>
                <w:sz w:val="15"/>
                <w:szCs w:val="15"/>
                <w:color w:val="auto"/>
              </w:rPr>
            </w:pPr>
          </w:p>
        </w:tc>
        <w:tc>
          <w:tcPr>
            <w:tcW w:w="156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80" w:type="dxa"/>
            <w:vAlign w:val="bottom"/>
            <w:tcBorders>
              <w:bottom w:val="single" w:sz="8" w:color="0000FF"/>
            </w:tcBorders>
            <w:gridSpan w:val="28"/>
          </w:tcPr>
          <w:p>
            <w:pPr>
              <w:spacing w:after="0" w:line="182" w:lineRule="exact"/>
              <w:rPr>
                <w:sz w:val="20"/>
                <w:szCs w:val="20"/>
                <w:color w:val="auto"/>
              </w:rPr>
            </w:pPr>
            <w:r>
              <w:rPr>
                <w:rFonts w:ascii="Arial" w:cs="Arial" w:eastAsia="Arial" w:hAnsi="Arial"/>
                <w:sz w:val="18"/>
                <w:szCs w:val="18"/>
                <w:color w:val="0000FF"/>
                <w:w w:val="99"/>
              </w:rPr>
              <w:t>Notes to Condensed Consolidated Financial Statements</w:t>
            </w:r>
          </w:p>
        </w:tc>
        <w:tc>
          <w:tcPr>
            <w:tcW w:w="20" w:type="dxa"/>
            <w:vAlign w:val="bottom"/>
            <w:tcBorders>
              <w:bottom w:val="single" w:sz="8" w:color="0000EE"/>
            </w:tcBorders>
          </w:tcPr>
          <w:p>
            <w:pPr>
              <w:spacing w:after="0"/>
              <w:rPr>
                <w:sz w:val="15"/>
                <w:szCs w:val="15"/>
                <w:color w:val="auto"/>
              </w:rPr>
            </w:pPr>
          </w:p>
        </w:tc>
        <w:tc>
          <w:tcPr>
            <w:tcW w:w="48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1.</w:t>
            </w:r>
          </w:p>
        </w:tc>
        <w:tc>
          <w:tcPr>
            <w:tcW w:w="8300" w:type="dxa"/>
            <w:vAlign w:val="bottom"/>
            <w:gridSpan w:val="33"/>
          </w:tcPr>
          <w:p>
            <w:pPr>
              <w:ind w:left="40"/>
              <w:spacing w:after="0" w:line="182" w:lineRule="exact"/>
              <w:rPr>
                <w:sz w:val="20"/>
                <w:szCs w:val="20"/>
                <w:color w:val="auto"/>
              </w:rPr>
            </w:pPr>
            <w:r>
              <w:rPr>
                <w:rFonts w:ascii="Arial" w:cs="Arial" w:eastAsia="Arial" w:hAnsi="Arial"/>
                <w:sz w:val="18"/>
                <w:szCs w:val="18"/>
                <w:color w:val="0000FF"/>
              </w:rPr>
              <w:t>Business Overview and Summary of Significant Accounting Policies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40" w:type="dxa"/>
            <w:vAlign w:val="bottom"/>
            <w:gridSpan w:val="2"/>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2.</w:t>
            </w:r>
          </w:p>
        </w:tc>
        <w:tc>
          <w:tcPr>
            <w:tcW w:w="5420" w:type="dxa"/>
            <w:vAlign w:val="bottom"/>
            <w:gridSpan w:val="30"/>
          </w:tcPr>
          <w:p>
            <w:pPr>
              <w:ind w:left="40"/>
              <w:spacing w:after="0" w:line="182" w:lineRule="exact"/>
              <w:rPr>
                <w:sz w:val="20"/>
                <w:szCs w:val="20"/>
                <w:color w:val="auto"/>
              </w:rPr>
            </w:pPr>
            <w:r>
              <w:rPr>
                <w:rFonts w:ascii="Arial" w:cs="Arial" w:eastAsia="Arial" w:hAnsi="Arial"/>
                <w:sz w:val="18"/>
                <w:szCs w:val="18"/>
                <w:color w:val="0000FF"/>
              </w:rPr>
              <w:t>Revenue and Recognition</w:t>
            </w:r>
          </w:p>
        </w:tc>
        <w:tc>
          <w:tcPr>
            <w:tcW w:w="640" w:type="dxa"/>
            <w:vAlign w:val="bottom"/>
            <w:gridSpan w:val="2"/>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3.</w:t>
            </w:r>
          </w:p>
        </w:tc>
        <w:tc>
          <w:tcPr>
            <w:tcW w:w="2120" w:type="dxa"/>
            <w:vAlign w:val="bottom"/>
            <w:gridSpan w:val="14"/>
          </w:tcPr>
          <w:p>
            <w:pPr>
              <w:ind w:left="40"/>
              <w:spacing w:after="0" w:line="182" w:lineRule="exact"/>
              <w:rPr>
                <w:sz w:val="20"/>
                <w:szCs w:val="20"/>
                <w:color w:val="auto"/>
              </w:rPr>
            </w:pPr>
            <w:r>
              <w:rPr>
                <w:rFonts w:ascii="Arial" w:cs="Arial" w:eastAsia="Arial" w:hAnsi="Arial"/>
                <w:sz w:val="18"/>
                <w:szCs w:val="18"/>
                <w:color w:val="0000FF"/>
              </w:rPr>
              <w:t>Segment Information</w:t>
            </w:r>
          </w:p>
        </w:tc>
        <w:tc>
          <w:tcPr>
            <w:tcW w:w="2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4.</w:t>
            </w:r>
          </w:p>
        </w:tc>
        <w:tc>
          <w:tcPr>
            <w:tcW w:w="1700" w:type="dxa"/>
            <w:vAlign w:val="bottom"/>
            <w:gridSpan w:val="10"/>
          </w:tcPr>
          <w:p>
            <w:pPr>
              <w:ind w:left="40"/>
              <w:spacing w:after="0" w:line="182" w:lineRule="exact"/>
              <w:rPr>
                <w:sz w:val="20"/>
                <w:szCs w:val="20"/>
                <w:color w:val="auto"/>
              </w:rPr>
            </w:pPr>
            <w:r>
              <w:rPr>
                <w:rFonts w:ascii="Arial" w:cs="Arial" w:eastAsia="Arial" w:hAnsi="Arial"/>
                <w:sz w:val="18"/>
                <w:szCs w:val="18"/>
                <w:color w:val="0000FF"/>
              </w:rPr>
              <w:t>Investments</w:t>
            </w:r>
          </w:p>
        </w:tc>
        <w:tc>
          <w:tcPr>
            <w:tcW w:w="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7300" w:type="dxa"/>
            <w:vAlign w:val="bottom"/>
            <w:gridSpan w:val="29"/>
            <w:vMerge w:val="restart"/>
          </w:tcPr>
          <w:p>
            <w:pPr>
              <w:jc w:val="center"/>
              <w:ind w:right="6200"/>
              <w:spacing w:after="0" w:line="202" w:lineRule="exact"/>
              <w:rPr>
                <w:sz w:val="20"/>
                <w:szCs w:val="20"/>
                <w:color w:val="auto"/>
              </w:rPr>
            </w:pPr>
            <w:r>
              <w:rPr>
                <w:rFonts w:ascii="Arial" w:cs="Arial" w:eastAsia="Arial" w:hAnsi="Arial"/>
                <w:sz w:val="18"/>
                <w:szCs w:val="18"/>
                <w:color w:val="0000FF"/>
                <w:w w:val="92"/>
              </w:rPr>
              <w:t>Measurements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5.</w:t>
            </w:r>
          </w:p>
        </w:tc>
        <w:tc>
          <w:tcPr>
            <w:tcW w:w="1000" w:type="dxa"/>
            <w:vAlign w:val="bottom"/>
            <w:gridSpan w:val="4"/>
          </w:tcPr>
          <w:p>
            <w:pPr>
              <w:ind w:left="40"/>
              <w:spacing w:after="0" w:line="182" w:lineRule="exact"/>
              <w:rPr>
                <w:sz w:val="20"/>
                <w:szCs w:val="20"/>
                <w:color w:val="auto"/>
              </w:rPr>
            </w:pPr>
            <w:r>
              <w:rPr>
                <w:rFonts w:ascii="Arial" w:cs="Arial" w:eastAsia="Arial" w:hAnsi="Arial"/>
                <w:sz w:val="18"/>
                <w:szCs w:val="18"/>
                <w:color w:val="0000FF"/>
              </w:rPr>
              <w:t>Fair Value</w:t>
            </w:r>
          </w:p>
        </w:tc>
        <w:tc>
          <w:tcPr>
            <w:tcW w:w="7300" w:type="dxa"/>
            <w:vAlign w:val="bottom"/>
            <w:gridSpan w:val="2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6.</w:t>
            </w:r>
          </w:p>
        </w:tc>
        <w:tc>
          <w:tcPr>
            <w:tcW w:w="2100" w:type="dxa"/>
            <w:vAlign w:val="bottom"/>
            <w:gridSpan w:val="13"/>
          </w:tcPr>
          <w:p>
            <w:pPr>
              <w:ind w:left="40"/>
              <w:spacing w:after="0" w:line="182" w:lineRule="exact"/>
              <w:rPr>
                <w:sz w:val="20"/>
                <w:szCs w:val="20"/>
                <w:color w:val="auto"/>
              </w:rPr>
            </w:pPr>
            <w:r>
              <w:rPr>
                <w:rFonts w:ascii="Arial" w:cs="Arial" w:eastAsia="Arial" w:hAnsi="Arial"/>
                <w:sz w:val="18"/>
                <w:szCs w:val="18"/>
                <w:color w:val="0000FF"/>
              </w:rPr>
              <w:t>Derivative Instruments</w:t>
            </w:r>
          </w:p>
        </w:tc>
        <w:tc>
          <w:tcPr>
            <w:tcW w:w="22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420" w:type="dxa"/>
            <w:vAlign w:val="bottom"/>
            <w:gridSpan w:val="22"/>
            <w:vMerge w:val="restart"/>
          </w:tcPr>
          <w:p>
            <w:pPr>
              <w:ind w:left="60"/>
              <w:spacing w:after="0" w:line="202" w:lineRule="exact"/>
              <w:rPr>
                <w:sz w:val="20"/>
                <w:szCs w:val="20"/>
                <w:color w:val="auto"/>
              </w:rPr>
            </w:pPr>
            <w:r>
              <w:rPr>
                <w:rFonts w:ascii="Arial" w:cs="Arial" w:eastAsia="Arial" w:hAnsi="Arial"/>
                <w:sz w:val="18"/>
                <w:szCs w:val="18"/>
                <w:color w:val="0000FF"/>
              </w:rPr>
              <w:t>Other Current Liabilities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7.</w:t>
            </w:r>
          </w:p>
        </w:tc>
        <w:tc>
          <w:tcPr>
            <w:tcW w:w="1880" w:type="dxa"/>
            <w:vAlign w:val="bottom"/>
            <w:gridSpan w:val="11"/>
          </w:tcPr>
          <w:p>
            <w:pPr>
              <w:ind w:left="40"/>
              <w:spacing w:after="0" w:line="182" w:lineRule="exact"/>
              <w:rPr>
                <w:sz w:val="20"/>
                <w:szCs w:val="20"/>
                <w:color w:val="auto"/>
              </w:rPr>
            </w:pPr>
            <w:r>
              <w:rPr>
                <w:rFonts w:ascii="Arial" w:cs="Arial" w:eastAsia="Arial" w:hAnsi="Arial"/>
                <w:sz w:val="18"/>
                <w:szCs w:val="18"/>
                <w:color w:val="0000FF"/>
                <w:w w:val="97"/>
              </w:rPr>
              <w:t>Accrued Expenses and</w:t>
            </w:r>
          </w:p>
        </w:tc>
        <w:tc>
          <w:tcPr>
            <w:tcW w:w="6420" w:type="dxa"/>
            <w:vAlign w:val="bottom"/>
            <w:gridSpan w:val="2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8.</w:t>
            </w:r>
          </w:p>
        </w:tc>
        <w:tc>
          <w:tcPr>
            <w:tcW w:w="3820" w:type="dxa"/>
            <w:vAlign w:val="bottom"/>
            <w:gridSpan w:val="27"/>
          </w:tcPr>
          <w:p>
            <w:pPr>
              <w:ind w:left="40"/>
              <w:spacing w:after="0" w:line="182" w:lineRule="exact"/>
              <w:rPr>
                <w:sz w:val="20"/>
                <w:szCs w:val="20"/>
                <w:color w:val="auto"/>
              </w:rPr>
            </w:pPr>
            <w:r>
              <w:rPr>
                <w:rFonts w:ascii="Arial" w:cs="Arial" w:eastAsia="Arial" w:hAnsi="Arial"/>
                <w:sz w:val="18"/>
                <w:szCs w:val="18"/>
                <w:color w:val="0000FF"/>
              </w:rPr>
              <w:t>Property and Equipment, net</w:t>
            </w:r>
          </w:p>
        </w:tc>
        <w:tc>
          <w:tcPr>
            <w:tcW w:w="20" w:type="dxa"/>
            <w:vAlign w:val="bottom"/>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4"/>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Note 9.</w:t>
            </w:r>
          </w:p>
        </w:tc>
        <w:tc>
          <w:tcPr>
            <w:tcW w:w="2320" w:type="dxa"/>
            <w:vAlign w:val="bottom"/>
            <w:gridSpan w:val="15"/>
          </w:tcPr>
          <w:p>
            <w:pPr>
              <w:ind w:left="40"/>
              <w:spacing w:after="0" w:line="182" w:lineRule="exact"/>
              <w:rPr>
                <w:sz w:val="20"/>
                <w:szCs w:val="20"/>
                <w:color w:val="auto"/>
              </w:rPr>
            </w:pPr>
            <w:r>
              <w:rPr>
                <w:rFonts w:ascii="Arial" w:cs="Arial" w:eastAsia="Arial" w:hAnsi="Arial"/>
                <w:sz w:val="18"/>
                <w:szCs w:val="18"/>
                <w:color w:val="0000FF"/>
              </w:rPr>
              <w:t>Restructuring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180" w:type="dxa"/>
            <w:vAlign w:val="bottom"/>
            <w:gridSpan w:val="28"/>
            <w:vMerge w:val="restart"/>
          </w:tcPr>
          <w:p>
            <w:pPr>
              <w:jc w:val="center"/>
              <w:ind w:right="6280"/>
              <w:spacing w:after="0" w:line="202" w:lineRule="exact"/>
              <w:rPr>
                <w:sz w:val="20"/>
                <w:szCs w:val="20"/>
                <w:color w:val="auto"/>
              </w:rPr>
            </w:pPr>
            <w:r>
              <w:rPr>
                <w:rFonts w:ascii="Arial" w:cs="Arial" w:eastAsia="Arial" w:hAnsi="Arial"/>
                <w:sz w:val="18"/>
                <w:szCs w:val="18"/>
                <w:color w:val="0000FF"/>
                <w:w w:val="81"/>
              </w:rPr>
              <w:t>Combinations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182"/>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8"/>
          </w:tcPr>
          <w:p>
            <w:pPr>
              <w:spacing w:after="0" w:line="182" w:lineRule="exact"/>
              <w:rPr>
                <w:sz w:val="20"/>
                <w:szCs w:val="20"/>
                <w:color w:val="auto"/>
              </w:rPr>
            </w:pPr>
            <w:r>
              <w:rPr>
                <w:rFonts w:ascii="Arial" w:cs="Arial" w:eastAsia="Arial" w:hAnsi="Arial"/>
                <w:sz w:val="18"/>
                <w:szCs w:val="18"/>
                <w:color w:val="0000FF"/>
              </w:rPr>
              <w:t>Note 10. Business</w:t>
            </w:r>
          </w:p>
        </w:tc>
        <w:tc>
          <w:tcPr>
            <w:tcW w:w="7180" w:type="dxa"/>
            <w:vAlign w:val="bottom"/>
            <w:gridSpan w:val="2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80" w:type="dxa"/>
            <w:vAlign w:val="bottom"/>
            <w:gridSpan w:val="21"/>
            <w:vMerge w:val="restart"/>
          </w:tcPr>
          <w:p>
            <w:pPr>
              <w:spacing w:after="0" w:line="202" w:lineRule="exact"/>
              <w:rPr>
                <w:sz w:val="20"/>
                <w:szCs w:val="20"/>
                <w:color w:val="auto"/>
              </w:rPr>
            </w:pPr>
            <w:r>
              <w:rPr>
                <w:rFonts w:ascii="Arial" w:cs="Arial" w:eastAsia="Arial" w:hAnsi="Arial"/>
                <w:sz w:val="18"/>
                <w:szCs w:val="18"/>
                <w:color w:val="0000FF"/>
              </w:rPr>
              <w:t>Intangible Assets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gridSpan w:val="15"/>
          </w:tcPr>
          <w:p>
            <w:pPr>
              <w:spacing w:after="0" w:line="182" w:lineRule="exact"/>
              <w:rPr>
                <w:sz w:val="20"/>
                <w:szCs w:val="20"/>
                <w:color w:val="auto"/>
              </w:rPr>
            </w:pPr>
            <w:r>
              <w:rPr>
                <w:rFonts w:ascii="Arial" w:cs="Arial" w:eastAsia="Arial" w:hAnsi="Arial"/>
                <w:sz w:val="18"/>
                <w:szCs w:val="18"/>
                <w:color w:val="0000FF"/>
              </w:rPr>
              <w:t>Note 11. Goodwill and Acquired</w:t>
            </w:r>
          </w:p>
        </w:tc>
        <w:tc>
          <w:tcPr>
            <w:tcW w:w="6280" w:type="dxa"/>
            <w:vAlign w:val="bottom"/>
            <w:gridSpan w:val="2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00" w:type="dxa"/>
            <w:vAlign w:val="bottom"/>
            <w:gridSpan w:val="26"/>
          </w:tcPr>
          <w:p>
            <w:pPr>
              <w:spacing w:after="0" w:line="182" w:lineRule="exact"/>
              <w:rPr>
                <w:sz w:val="20"/>
                <w:szCs w:val="20"/>
                <w:color w:val="auto"/>
              </w:rPr>
            </w:pPr>
            <w:r>
              <w:rPr>
                <w:rFonts w:ascii="Arial" w:cs="Arial" w:eastAsia="Arial" w:hAnsi="Arial"/>
                <w:sz w:val="18"/>
                <w:szCs w:val="18"/>
                <w:color w:val="0000FF"/>
              </w:rPr>
              <w:t>Note 12. Debt</w:t>
            </w:r>
          </w:p>
        </w:tc>
        <w:tc>
          <w:tcPr>
            <w:tcW w:w="340" w:type="dxa"/>
            <w:vAlign w:val="bottom"/>
            <w:gridSpan w:val="3"/>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sz w:val="20"/>
                <w:szCs w:val="20"/>
                <w:color w:val="auto"/>
              </w:rPr>
            </w:pPr>
            <w:r>
              <w:rPr>
                <w:rFonts w:ascii="Arial" w:cs="Arial" w:eastAsia="Arial" w:hAnsi="Arial"/>
                <w:sz w:val="18"/>
                <w:szCs w:val="18"/>
                <w:color w:val="0000FF"/>
              </w:rPr>
              <w:t>Note 13. Stockholders’ Equity</w:t>
            </w:r>
          </w:p>
        </w:tc>
        <w:tc>
          <w:tcPr>
            <w:tcW w:w="6420" w:type="dxa"/>
            <w:vAlign w:val="bottom"/>
            <w:gridSpan w:val="2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40" w:type="dxa"/>
            <w:vAlign w:val="bottom"/>
            <w:gridSpan w:val="36"/>
          </w:tcPr>
          <w:p>
            <w:pPr>
              <w:spacing w:after="0" w:line="182" w:lineRule="exact"/>
              <w:rPr>
                <w:sz w:val="20"/>
                <w:szCs w:val="20"/>
                <w:color w:val="auto"/>
              </w:rPr>
            </w:pPr>
            <w:r>
              <w:rPr>
                <w:rFonts w:ascii="Arial" w:cs="Arial" w:eastAsia="Arial" w:hAnsi="Arial"/>
                <w:sz w:val="18"/>
                <w:szCs w:val="18"/>
                <w:color w:val="0000FF"/>
              </w:rPr>
              <w:t>Note 14. Stock-Based Compensation</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8"/>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gridSpan w:val="7"/>
            <w:vMerge w:val="restart"/>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220" w:type="dxa"/>
            <w:vAlign w:val="bottom"/>
            <w:gridSpan w:val="4"/>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20" w:type="dxa"/>
            <w:vAlign w:val="bottom"/>
            <w:gridSpan w:val="19"/>
          </w:tcPr>
          <w:p>
            <w:pPr>
              <w:spacing w:after="0" w:line="182" w:lineRule="exact"/>
              <w:rPr>
                <w:sz w:val="20"/>
                <w:szCs w:val="20"/>
                <w:color w:val="auto"/>
              </w:rPr>
            </w:pPr>
            <w:r>
              <w:rPr>
                <w:rFonts w:ascii="Arial" w:cs="Arial" w:eastAsia="Arial" w:hAnsi="Arial"/>
                <w:sz w:val="18"/>
                <w:szCs w:val="18"/>
                <w:color w:val="0000FF"/>
                <w:w w:val="94"/>
              </w:rPr>
              <w:t>Note 15. Net Income (Loss) per Share</w:t>
            </w:r>
          </w:p>
        </w:tc>
        <w:tc>
          <w:tcPr>
            <w:tcW w:w="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20" w:type="dxa"/>
            <w:vAlign w:val="bottom"/>
            <w:gridSpan w:val="7"/>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Note 16. Income Taxes</w:t>
            </w:r>
          </w:p>
        </w:tc>
        <w:tc>
          <w:tcPr>
            <w:tcW w:w="340" w:type="dxa"/>
            <w:vAlign w:val="bottom"/>
          </w:tcPr>
          <w:p>
            <w:pPr>
              <w:spacing w:after="0"/>
              <w:rPr>
                <w:sz w:val="15"/>
                <w:szCs w:val="15"/>
                <w:color w:val="auto"/>
              </w:rPr>
            </w:pPr>
          </w:p>
        </w:tc>
        <w:tc>
          <w:tcPr>
            <w:tcW w:w="920" w:type="dxa"/>
            <w:vAlign w:val="bottom"/>
            <w:gridSpan w:val="7"/>
          </w:tcPr>
          <w:p>
            <w:pPr>
              <w:spacing w:after="0"/>
              <w:rPr>
                <w:sz w:val="15"/>
                <w:szCs w:val="15"/>
                <w:color w:val="auto"/>
              </w:rPr>
            </w:pPr>
          </w:p>
        </w:tc>
        <w:tc>
          <w:tcPr>
            <w:tcW w:w="140" w:type="dxa"/>
            <w:vAlign w:val="bottom"/>
            <w:gridSpan w:val="2"/>
          </w:tcPr>
          <w:p>
            <w:pPr>
              <w:spacing w:after="0"/>
              <w:rPr>
                <w:sz w:val="15"/>
                <w:szCs w:val="15"/>
                <w:color w:val="auto"/>
              </w:rPr>
            </w:pPr>
          </w:p>
        </w:tc>
        <w:tc>
          <w:tcPr>
            <w:tcW w:w="2220" w:type="dxa"/>
            <w:vAlign w:val="bottom"/>
            <w:gridSpan w:val="4"/>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7"/>
              </w:rPr>
              <w:t>Note 17. Commitments</w:t>
            </w:r>
          </w:p>
        </w:tc>
        <w:tc>
          <w:tcPr>
            <w:tcW w:w="7020" w:type="dxa"/>
            <w:vAlign w:val="bottom"/>
            <w:gridSpan w:val="26"/>
          </w:tcPr>
          <w:p>
            <w:pPr>
              <w:jc w:val="center"/>
              <w:ind w:right="5500"/>
              <w:spacing w:after="0" w:line="182" w:lineRule="exact"/>
              <w:rPr>
                <w:sz w:val="20"/>
                <w:szCs w:val="20"/>
                <w:color w:val="auto"/>
              </w:rPr>
            </w:pPr>
            <w:r>
              <w:rPr>
                <w:rFonts w:ascii="Arial" w:cs="Arial" w:eastAsia="Arial" w:hAnsi="Arial"/>
                <w:sz w:val="18"/>
                <w:szCs w:val="18"/>
                <w:color w:val="0000FF"/>
                <w:w w:val="99"/>
              </w:rPr>
              <w:t>and Contingencies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140" w:type="dxa"/>
            <w:vAlign w:val="bottom"/>
            <w:gridSpan w:val="7"/>
            <w:vMerge w:val="restart"/>
          </w:tcPr>
          <w:p>
            <w:pPr>
              <w:spacing w:after="0" w:line="202" w:lineRule="exact"/>
              <w:rPr>
                <w:sz w:val="20"/>
                <w:szCs w:val="20"/>
                <w:color w:val="auto"/>
              </w:rPr>
            </w:pPr>
            <w:r>
              <w:rPr>
                <w:rFonts w:ascii="Arial" w:cs="Arial" w:eastAsia="Arial" w:hAnsi="Arial"/>
                <w:sz w:val="18"/>
                <w:szCs w:val="18"/>
                <w:color w:val="0000FF"/>
              </w:rPr>
              <w:t>Item 2.</w:t>
            </w:r>
          </w:p>
        </w:tc>
        <w:tc>
          <w:tcPr>
            <w:tcW w:w="4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240" w:type="dxa"/>
            <w:vAlign w:val="bottom"/>
            <w:gridSpan w:val="11"/>
            <w:shd w:val="clear" w:color="auto" w:fill="0000FF"/>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140" w:type="dxa"/>
            <w:vAlign w:val="bottom"/>
            <w:gridSpan w:val="7"/>
            <w:vMerge w:val="continue"/>
          </w:tcPr>
          <w:p>
            <w:pPr>
              <w:spacing w:after="0"/>
              <w:rPr>
                <w:sz w:val="15"/>
                <w:szCs w:val="15"/>
                <w:color w:val="auto"/>
              </w:rPr>
            </w:pPr>
          </w:p>
        </w:tc>
        <w:tc>
          <w:tcPr>
            <w:tcW w:w="9320" w:type="dxa"/>
            <w:vAlign w:val="bottom"/>
            <w:gridSpan w:val="37"/>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8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Borders>
              <w:top w:val="single" w:sz="8" w:color="0000FF"/>
              <w:bottom w:val="single" w:sz="8" w:color="0000FF"/>
            </w:tcBorders>
            <w:gridSpan w:val="30"/>
          </w:tcPr>
          <w:p>
            <w:pPr>
              <w:spacing w:after="0" w:line="182"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6"/>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8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gridSpan w:val="22"/>
          </w:tcPr>
          <w:p>
            <w:pPr>
              <w:spacing w:after="0"/>
              <w:rPr>
                <w:sz w:val="15"/>
                <w:szCs w:val="15"/>
                <w:color w:val="auto"/>
              </w:rPr>
            </w:pPr>
          </w:p>
        </w:tc>
        <w:tc>
          <w:tcPr>
            <w:tcW w:w="140" w:type="dxa"/>
            <w:vAlign w:val="bottom"/>
            <w:gridSpan w:val="2"/>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85"/>
        </w:trPr>
        <w:tc>
          <w:tcPr>
            <w:tcW w:w="1140" w:type="dxa"/>
            <w:vAlign w:val="bottom"/>
            <w:gridSpan w:val="7"/>
          </w:tcPr>
          <w:p>
            <w:pPr>
              <w:spacing w:after="0"/>
              <w:rPr>
                <w:sz w:val="20"/>
                <w:szCs w:val="20"/>
                <w:color w:val="auto"/>
              </w:rPr>
            </w:pPr>
            <w:r>
              <w:rPr>
                <w:rFonts w:ascii="Arial" w:cs="Arial" w:eastAsia="Arial" w:hAnsi="Arial"/>
                <w:sz w:val="18"/>
                <w:szCs w:val="18"/>
                <w:color w:val="0000FF"/>
              </w:rPr>
              <w:t>PART II.</w:t>
            </w:r>
          </w:p>
        </w:tc>
        <w:tc>
          <w:tcPr>
            <w:tcW w:w="9320" w:type="dxa"/>
            <w:vAlign w:val="bottom"/>
            <w:gridSpan w:val="3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1.</w:t>
            </w:r>
          </w:p>
        </w:tc>
        <w:tc>
          <w:tcPr>
            <w:tcW w:w="80" w:type="dxa"/>
            <w:vAlign w:val="bottom"/>
            <w:tcBorders>
              <w:top w:val="single" w:sz="8" w:color="0000FF"/>
              <w:bottom w:val="single" w:sz="8" w:color="0000EE"/>
            </w:tcBorders>
          </w:tcPr>
          <w:p>
            <w:pPr>
              <w:spacing w:after="0"/>
              <w:rPr>
                <w:sz w:val="15"/>
                <w:szCs w:val="15"/>
                <w:color w:val="auto"/>
              </w:rPr>
            </w:pPr>
          </w:p>
        </w:tc>
        <w:tc>
          <w:tcPr>
            <w:tcW w:w="60" w:type="dxa"/>
            <w:vAlign w:val="bottom"/>
            <w:tcBorders>
              <w:top w:val="single" w:sz="8" w:color="0000FF"/>
            </w:tcBorders>
            <w:gridSpan w:val="2"/>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Legal Proceedings</w:t>
            </w:r>
          </w:p>
        </w:tc>
        <w:tc>
          <w:tcPr>
            <w:tcW w:w="460" w:type="dxa"/>
            <w:vAlign w:val="bottom"/>
            <w:tcBorders>
              <w:top w:val="single" w:sz="8" w:color="0000FF"/>
            </w:tcBorders>
            <w:gridSpan w:val="2"/>
          </w:tcPr>
          <w:p>
            <w:pPr>
              <w:spacing w:after="0"/>
              <w:rPr>
                <w:sz w:val="15"/>
                <w:szCs w:val="15"/>
                <w:color w:val="auto"/>
              </w:rPr>
            </w:pPr>
          </w:p>
        </w:tc>
        <w:tc>
          <w:tcPr>
            <w:tcW w:w="540" w:type="dxa"/>
            <w:vAlign w:val="bottom"/>
            <w:gridSpan w:val="4"/>
          </w:tcPr>
          <w:p>
            <w:pPr>
              <w:spacing w:after="0"/>
              <w:rPr>
                <w:sz w:val="15"/>
                <w:szCs w:val="15"/>
                <w:color w:val="auto"/>
              </w:rPr>
            </w:pPr>
          </w:p>
        </w:tc>
        <w:tc>
          <w:tcPr>
            <w:tcW w:w="2300" w:type="dxa"/>
            <w:vAlign w:val="bottom"/>
            <w:gridSpan w:val="20"/>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2"/>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Item 1A.</w:t>
            </w:r>
          </w:p>
        </w:tc>
        <w:tc>
          <w:tcPr>
            <w:tcW w:w="1020" w:type="dxa"/>
            <w:vAlign w:val="bottom"/>
            <w:gridSpan w:val="4"/>
          </w:tcPr>
          <w:p>
            <w:pPr>
              <w:spacing w:after="0" w:line="182" w:lineRule="exact"/>
              <w:rPr>
                <w:sz w:val="20"/>
                <w:szCs w:val="20"/>
                <w:color w:val="auto"/>
              </w:rPr>
            </w:pPr>
            <w:r>
              <w:rPr>
                <w:rFonts w:ascii="Arial" w:cs="Arial" w:eastAsia="Arial" w:hAnsi="Arial"/>
                <w:sz w:val="18"/>
                <w:szCs w:val="18"/>
                <w:color w:val="0000FF"/>
                <w:w w:val="99"/>
              </w:rPr>
              <w:t>Risk Factors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2.</w:t>
            </w:r>
          </w:p>
        </w:tc>
        <w:tc>
          <w:tcPr>
            <w:tcW w:w="80" w:type="dxa"/>
            <w:vAlign w:val="bottom"/>
            <w:tcBorders>
              <w:top w:val="single" w:sz="8" w:color="0000FF"/>
              <w:bottom w:val="single" w:sz="8" w:color="0000EE"/>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3860" w:type="dxa"/>
            <w:vAlign w:val="bottom"/>
            <w:tcBorders>
              <w:bottom w:val="single" w:sz="8" w:color="0000FF"/>
            </w:tcBorders>
            <w:gridSpan w:val="29"/>
          </w:tcPr>
          <w:p>
            <w:pPr>
              <w:ind w:left="80"/>
              <w:spacing w:after="0" w:line="182" w:lineRule="exact"/>
              <w:rPr>
                <w:sz w:val="20"/>
                <w:szCs w:val="20"/>
                <w:color w:val="auto"/>
              </w:rPr>
            </w:pPr>
            <w:r>
              <w:rPr>
                <w:rFonts w:ascii="Arial" w:cs="Arial" w:eastAsia="Arial" w:hAnsi="Arial"/>
                <w:sz w:val="18"/>
                <w:szCs w:val="18"/>
                <w:color w:val="0000FF"/>
                <w:w w:val="99"/>
              </w:rPr>
              <w:t>Sales of Equity Securities and Use of Proceeds</w:t>
            </w: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3.</w:t>
            </w:r>
          </w:p>
        </w:tc>
        <w:tc>
          <w:tcPr>
            <w:tcW w:w="80" w:type="dxa"/>
            <w:vAlign w:val="bottom"/>
            <w:tcBorders>
              <w:bottom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Defaults Upon Senior Securities</w:t>
            </w:r>
          </w:p>
        </w:tc>
        <w:tc>
          <w:tcPr>
            <w:tcW w:w="2300" w:type="dxa"/>
            <w:vAlign w:val="bottom"/>
            <w:gridSpan w:val="20"/>
          </w:tcPr>
          <w:p>
            <w:pPr>
              <w:spacing w:after="0"/>
              <w:rPr>
                <w:sz w:val="15"/>
                <w:szCs w:val="15"/>
                <w:color w:val="auto"/>
              </w:rPr>
            </w:pPr>
          </w:p>
        </w:tc>
        <w:tc>
          <w:tcPr>
            <w:tcW w:w="446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60" w:type="dxa"/>
            <w:vAlign w:val="bottom"/>
            <w:tcBorders>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4.</w:t>
            </w:r>
          </w:p>
        </w:tc>
        <w:tc>
          <w:tcPr>
            <w:tcW w:w="80" w:type="dxa"/>
            <w:vAlign w:val="bottom"/>
            <w:tcBorders>
              <w:bottom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Mine Safety Disclosures</w:t>
            </w:r>
          </w:p>
        </w:tc>
        <w:tc>
          <w:tcPr>
            <w:tcW w:w="620" w:type="dxa"/>
            <w:vAlign w:val="bottom"/>
            <w:gridSpan w:val="5"/>
          </w:tcPr>
          <w:p>
            <w:pPr>
              <w:spacing w:after="0"/>
              <w:rPr>
                <w:sz w:val="15"/>
                <w:szCs w:val="15"/>
                <w:color w:val="auto"/>
              </w:rPr>
            </w:pPr>
          </w:p>
        </w:tc>
        <w:tc>
          <w:tcPr>
            <w:tcW w:w="6760" w:type="dxa"/>
            <w:vAlign w:val="bottom"/>
            <w:gridSpan w:val="2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60" w:type="dxa"/>
            <w:vAlign w:val="bottom"/>
            <w:gridSpan w:val="2"/>
          </w:tcPr>
          <w:p>
            <w:pPr>
              <w:spacing w:after="0" w:line="182" w:lineRule="exact"/>
              <w:rPr>
                <w:sz w:val="20"/>
                <w:szCs w:val="20"/>
                <w:color w:val="auto"/>
              </w:rPr>
            </w:pPr>
            <w:r>
              <w:rPr>
                <w:rFonts w:ascii="Arial" w:cs="Arial" w:eastAsia="Arial" w:hAnsi="Arial"/>
                <w:sz w:val="18"/>
                <w:szCs w:val="18"/>
                <w:color w:val="0000FF"/>
                <w:w w:val="98"/>
              </w:rPr>
              <w:t>Item 5.</w:t>
            </w:r>
          </w:p>
        </w:tc>
        <w:tc>
          <w:tcPr>
            <w:tcW w:w="8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3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8"/>
              </w:rPr>
              <w:t>Item 6</w:t>
            </w:r>
            <w:r>
              <w:rPr>
                <w:rFonts w:ascii="Arial" w:cs="Arial" w:eastAsia="Arial" w:hAnsi="Arial"/>
                <w:sz w:val="18"/>
                <w:szCs w:val="18"/>
                <w:color w:val="000000"/>
                <w:w w:val="98"/>
              </w:rPr>
              <w:t>.</w:t>
            </w:r>
          </w:p>
        </w:tc>
        <w:tc>
          <w:tcPr>
            <w:tcW w:w="80" w:type="dxa"/>
            <w:vAlign w:val="bottom"/>
            <w:tcBorders>
              <w:top w:val="single" w:sz="8" w:color="0000EE"/>
            </w:tcBorders>
          </w:tcPr>
          <w:p>
            <w:pPr>
              <w:spacing w:after="0"/>
              <w:rPr>
                <w:sz w:val="15"/>
                <w:szCs w:val="15"/>
                <w:color w:val="auto"/>
              </w:rPr>
            </w:pPr>
          </w:p>
        </w:tc>
        <w:tc>
          <w:tcPr>
            <w:tcW w:w="2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3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183"/>
        </w:trPr>
        <w:tc>
          <w:tcPr>
            <w:tcW w:w="1140" w:type="dxa"/>
            <w:vAlign w:val="bottom"/>
            <w:gridSpan w:val="7"/>
          </w:tcPr>
          <w:p>
            <w:pPr>
              <w:spacing w:after="0" w:line="182" w:lineRule="exact"/>
              <w:rPr>
                <w:sz w:val="20"/>
                <w:szCs w:val="20"/>
                <w:color w:val="auto"/>
              </w:rPr>
            </w:pPr>
            <w:r>
              <w:rPr>
                <w:rFonts w:ascii="Arial" w:cs="Arial" w:eastAsia="Arial" w:hAnsi="Arial"/>
                <w:sz w:val="18"/>
                <w:szCs w:val="18"/>
                <w:color w:val="0000FF"/>
              </w:rPr>
              <w:t>Signatures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8"/>
        </w:trPr>
        <w:tc>
          <w:tcPr>
            <w:tcW w:w="5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40" w:lineRule="exact"/>
        <w:rPr>
          <w:sz w:val="20"/>
          <w:szCs w:val="20"/>
          <w:color w:val="auto"/>
        </w:rPr>
      </w:pPr>
    </w:p>
    <w:p>
      <w:pPr>
        <w:ind w:left="460" w:right="60" w:hanging="302"/>
        <w:spacing w:after="0" w:line="252" w:lineRule="auto"/>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plan and our ability to effectively manage our growth;</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cross-border expansion plans and ability to expand internationally;</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economic, foreign currency exchange rate, inflation, tariffs and international trade conflict, banking,</w:t>
      </w:r>
    </w:p>
    <w:p>
      <w:pPr>
        <w:spacing w:after="0" w:line="12" w:lineRule="exact"/>
        <w:rPr>
          <w:rFonts w:ascii="Times New Roman" w:cs="Times New Roman" w:eastAsia="Times New Roman" w:hAnsi="Times New Roman"/>
          <w:sz w:val="18"/>
          <w:szCs w:val="18"/>
          <w:color w:val="auto"/>
        </w:rPr>
      </w:pPr>
    </w:p>
    <w:p>
      <w:pPr>
        <w:ind w:left="460" w:right="60"/>
        <w:spacing w:after="0" w:line="250" w:lineRule="auto"/>
        <w:rPr>
          <w:rFonts w:ascii="Times New Roman" w:cs="Times New Roman" w:eastAsia="Times New Roman" w:hAnsi="Times New Roman"/>
          <w:sz w:val="18"/>
          <w:szCs w:val="18"/>
          <w:color w:val="auto"/>
        </w:rPr>
      </w:pPr>
      <w:r>
        <w:rPr>
          <w:rFonts w:ascii="Arial" w:cs="Arial" w:eastAsia="Arial" w:hAnsi="Arial"/>
          <w:sz w:val="18"/>
          <w:szCs w:val="18"/>
          <w:color w:val="auto"/>
        </w:rPr>
        <w:t>legal, immigration and visa, social and health risks and public health measures that may affect cross-border commerce, education and travel, our business or the global economy;</w:t>
      </w:r>
    </w:p>
    <w:p>
      <w:pPr>
        <w:spacing w:after="0" w:line="63"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beliefs and objectives for future operations;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enhance and protect our brand;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grow the payment volume that we process;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further attract, retain, and expand our client base;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develop new solutions and services and bring them to market in a timely and cost-effective manner;</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6" w:lineRule="exact"/>
        <w:rPr>
          <w:rFonts w:ascii="Times New Roman" w:cs="Times New Roman" w:eastAsia="Times New Roman" w:hAnsi="Times New Roman"/>
          <w:sz w:val="18"/>
          <w:szCs w:val="18"/>
          <w:color w:val="auto"/>
        </w:rPr>
      </w:pPr>
    </w:p>
    <w:p>
      <w:pPr>
        <w:jc w:val="both"/>
        <w:ind w:left="460" w:hanging="302"/>
        <w:spacing w:after="0" w:line="252" w:lineRule="auto"/>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recent and future acquisitions or investments in complementary companies, products, services, or technologies, including the expected benefits and synergies of the acquisition of Sertifi LLC (Sertifi), including the potential benefits of Sertifi’s platform, financial results and margins;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new client verticals and sub-verticals, including our relatively new business-to-business (B2B) sector;</w:t>
      </w:r>
    </w:p>
    <w:p>
      <w:pPr>
        <w:spacing w:after="0" w:line="116" w:lineRule="exact"/>
        <w:rPr>
          <w:rFonts w:ascii="Times New Roman" w:cs="Times New Roman" w:eastAsia="Times New Roman" w:hAnsi="Times New Roman"/>
          <w:sz w:val="18"/>
          <w:szCs w:val="18"/>
          <w:color w:val="auto"/>
        </w:rPr>
      </w:pPr>
    </w:p>
    <w:p>
      <w:pPr>
        <w:ind w:left="460" w:right="80" w:hanging="302"/>
        <w:spacing w:after="0" w:line="270" w:lineRule="auto"/>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litigation and legal and regulatory matters;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6" w:lineRule="exact"/>
        <w:rPr>
          <w:rFonts w:ascii="Times New Roman" w:cs="Times New Roman" w:eastAsia="Times New Roman" w:hAnsi="Times New Roman"/>
          <w:sz w:val="18"/>
          <w:szCs w:val="18"/>
          <w:color w:val="auto"/>
        </w:rPr>
      </w:pPr>
    </w:p>
    <w:p>
      <w:pPr>
        <w:ind w:left="460" w:right="240" w:hanging="302"/>
        <w:spacing w:after="0" w:line="252" w:lineRule="auto"/>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economic and industry trends, projected growth, or trend analysis;</w:t>
      </w:r>
    </w:p>
    <w:p>
      <w:pPr>
        <w:spacing w:after="0" w:line="116" w:lineRule="exact"/>
        <w:rPr>
          <w:rFonts w:ascii="Times New Roman" w:cs="Times New Roman" w:eastAsia="Times New Roman" w:hAnsi="Times New Roman"/>
          <w:sz w:val="18"/>
          <w:szCs w:val="18"/>
          <w:color w:val="auto"/>
        </w:rPr>
      </w:pPr>
    </w:p>
    <w:p>
      <w:pPr>
        <w:ind w:left="460" w:right="220" w:hanging="302"/>
        <w:spacing w:after="0" w:line="244" w:lineRule="auto"/>
        <w:tabs>
          <w:tab w:leader="none" w:pos="4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global events and geopolitical conflict, including without limitation the hostilities in Ukraine and involving Israel, Hamas, the U.S. and Iran;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6" w:right="399" w:bottom="1440" w:gutter="0" w:footer="0" w:header="0"/>
        </w:sectPr>
      </w:pPr>
    </w:p>
    <w:bookmarkStart w:id="3" w:name="page4"/>
    <w:bookmarkEnd w:id="3"/>
    <w:p>
      <w:pPr>
        <w:ind w:left="460" w:hanging="302"/>
        <w:spacing w:after="0" w:line="252" w:lineRule="auto"/>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recommended or implemented U.S. policy changes, in particular those that impact higher education, the desire for foreign students to study in the U.S., immigration and visa policy, and changes to regulatory agencies and depth of enforcement of regulations;</w:t>
      </w:r>
    </w:p>
    <w:p>
      <w:pPr>
        <w:spacing w:after="0" w:line="62" w:lineRule="exact"/>
        <w:rPr>
          <w:rFonts w:ascii="Times New Roman" w:cs="Times New Roman" w:eastAsia="Times New Roman" w:hAnsi="Times New Roman"/>
          <w:sz w:val="18"/>
          <w:szCs w:val="18"/>
          <w:color w:val="auto"/>
        </w:rPr>
      </w:pPr>
    </w:p>
    <w:p>
      <w:pPr>
        <w:ind w:left="460" w:right="200" w:hanging="302"/>
        <w:spacing w:after="0" w:line="270" w:lineRule="auto"/>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adapt to changes in U.S. federal income or other tax laws or the interpretation of tax laws, including without limitation the Inflation Reduction Act of 2022 and The One Big Beautiful Bill Act of 2025;</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qualified employees;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protect, and enhance our intellectual property;</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security and availability of our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expenses associated with being a public company;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future market price of our common stock.</w:t>
      </w:r>
    </w:p>
    <w:p>
      <w:pPr>
        <w:spacing w:after="0" w:line="18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5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2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99"/>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20" w:type="dxa"/>
            <w:vAlign w:val="bottom"/>
          </w:tcPr>
          <w:p>
            <w:pPr>
              <w:spacing w:after="0"/>
              <w:rPr>
                <w:sz w:val="15"/>
                <w:szCs w:val="15"/>
                <w:color w:val="auto"/>
              </w:rPr>
            </w:pPr>
          </w:p>
        </w:tc>
        <w:tc>
          <w:tcPr>
            <w:tcW w:w="62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Current assets: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311,893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330,303</w:t>
            </w:r>
          </w:p>
        </w:tc>
      </w:tr>
      <w:tr>
        <w:trPr>
          <w:trHeight w:val="189"/>
        </w:trPr>
        <w:tc>
          <w:tcPr>
            <w:tcW w:w="2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24,692</w:t>
            </w: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receivable, net of allowance of $895 and $834, respectively</w:t>
            </w: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34,776</w:t>
            </w:r>
          </w:p>
        </w:tc>
      </w:tr>
      <w:tr>
        <w:trPr>
          <w:trHeight w:val="189"/>
        </w:trPr>
        <w:tc>
          <w:tcPr>
            <w:tcW w:w="2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Unbilled receivables, net of allowance of $32 and $45, respectively</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14,874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20,522</w:t>
            </w: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Funds receivable from payment partners</w:t>
            </w: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92,942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155,455</w:t>
            </w:r>
          </w:p>
        </w:tc>
      </w:tr>
      <w:tr>
        <w:trPr>
          <w:trHeight w:val="189"/>
        </w:trPr>
        <w:tc>
          <w:tcPr>
            <w:tcW w:w="2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36,540</w:t>
            </w:r>
          </w:p>
        </w:tc>
      </w:tr>
      <w:tr>
        <w:trPr>
          <w:trHeight w:val="183"/>
        </w:trPr>
        <w:tc>
          <w:tcPr>
            <w:tcW w:w="20" w:type="dxa"/>
            <w:vAlign w:val="bottom"/>
          </w:tcPr>
          <w:p>
            <w:pPr>
              <w:spacing w:after="0"/>
              <w:rPr>
                <w:sz w:val="15"/>
                <w:szCs w:val="15"/>
                <w:color w:val="auto"/>
              </w:rPr>
            </w:pPr>
          </w:p>
        </w:tc>
        <w:tc>
          <w:tcPr>
            <w:tcW w:w="6220" w:type="dxa"/>
            <w:vAlign w:val="bottom"/>
            <w:shd w:val="clear" w:color="auto" w:fill="CFF0FC"/>
          </w:tcPr>
          <w:p>
            <w:pPr>
              <w:ind w:left="260"/>
              <w:spacing w:after="0" w:line="183" w:lineRule="exact"/>
              <w:rPr>
                <w:sz w:val="20"/>
                <w:szCs w:val="20"/>
                <w:color w:val="auto"/>
              </w:rPr>
            </w:pPr>
            <w:r>
              <w:rPr>
                <w:rFonts w:ascii="Arial" w:cs="Arial" w:eastAsia="Arial" w:hAnsi="Arial"/>
                <w:sz w:val="16"/>
                <w:szCs w:val="16"/>
                <w:color w:val="auto"/>
              </w:rPr>
              <w:t>Total current assets</w:t>
            </w: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512,349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602,288</w:t>
            </w: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24,333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22,125</w:t>
            </w: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183,152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189,050</w:t>
            </w: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Goodwill</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406,766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406,507</w:t>
            </w:r>
          </w:p>
        </w:tc>
      </w:tr>
      <w:tr>
        <w:trPr>
          <w:trHeight w:val="189"/>
        </w:trPr>
        <w:tc>
          <w:tcPr>
            <w:tcW w:w="20" w:type="dxa"/>
            <w:vAlign w:val="bottom"/>
          </w:tcPr>
          <w:p>
            <w:pPr>
              <w:spacing w:after="0"/>
              <w:rPr>
                <w:sz w:val="16"/>
                <w:szCs w:val="16"/>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1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35,779</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33,343</w:t>
            </w:r>
          </w:p>
        </w:tc>
      </w:tr>
      <w:tr>
        <w:trPr>
          <w:trHeight w:val="183"/>
        </w:trPr>
        <w:tc>
          <w:tcPr>
            <w:tcW w:w="20" w:type="dxa"/>
            <w:vAlign w:val="bottom"/>
          </w:tcPr>
          <w:p>
            <w:pPr>
              <w:spacing w:after="0"/>
              <w:rPr>
                <w:sz w:val="15"/>
                <w:szCs w:val="15"/>
                <w:color w:val="auto"/>
              </w:rPr>
            </w:pPr>
          </w:p>
        </w:tc>
        <w:tc>
          <w:tcPr>
            <w:tcW w:w="622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3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1,162,379</w:t>
            </w:r>
          </w:p>
        </w:tc>
        <w:tc>
          <w:tcPr>
            <w:tcW w:w="2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60" w:type="dxa"/>
            <w:vAlign w:val="bottom"/>
          </w:tcPr>
          <w:p>
            <w:pPr>
              <w:jc w:val="right"/>
              <w:spacing w:after="0" w:line="183" w:lineRule="exact"/>
              <w:rPr>
                <w:sz w:val="20"/>
                <w:szCs w:val="20"/>
                <w:color w:val="auto"/>
              </w:rPr>
            </w:pPr>
            <w:r>
              <w:rPr>
                <w:rFonts w:ascii="Arial" w:cs="Arial" w:eastAsia="Arial" w:hAnsi="Arial"/>
                <w:sz w:val="16"/>
                <w:szCs w:val="16"/>
                <w:color w:val="auto"/>
              </w:rPr>
              <w:t>1,253,313</w:t>
            </w: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2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Current liabilities: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16,047</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15,298</w:t>
            </w:r>
          </w:p>
        </w:tc>
      </w:tr>
      <w:tr>
        <w:trPr>
          <w:trHeight w:val="189"/>
        </w:trPr>
        <w:tc>
          <w:tcPr>
            <w:tcW w:w="2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Funds payable to clients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201,379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310,799</w:t>
            </w:r>
          </w:p>
        </w:tc>
      </w:tr>
      <w:tr>
        <w:trPr>
          <w:trHeight w:val="189"/>
        </w:trPr>
        <w:tc>
          <w:tcPr>
            <w:tcW w:w="20" w:type="dxa"/>
            <w:vAlign w:val="bottom"/>
          </w:tcPr>
          <w:p>
            <w:pPr>
              <w:spacing w:after="0"/>
              <w:rPr>
                <w:sz w:val="16"/>
                <w:szCs w:val="16"/>
                <w:color w:val="auto"/>
              </w:rPr>
            </w:pPr>
          </w:p>
        </w:tc>
        <w:tc>
          <w:tcPr>
            <w:tcW w:w="62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53,432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55,715</w:t>
            </w:r>
          </w:p>
        </w:tc>
      </w:tr>
      <w:tr>
        <w:trPr>
          <w:trHeight w:val="189"/>
        </w:trPr>
        <w:tc>
          <w:tcPr>
            <w:tcW w:w="20" w:type="dxa"/>
            <w:vAlign w:val="bottom"/>
          </w:tcPr>
          <w:p>
            <w:pPr>
              <w:spacing w:after="0"/>
              <w:rPr>
                <w:sz w:val="16"/>
                <w:szCs w:val="16"/>
                <w:color w:val="auto"/>
              </w:rPr>
            </w:pPr>
          </w:p>
        </w:tc>
        <w:tc>
          <w:tcPr>
            <w:tcW w:w="62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19,951</w:t>
            </w:r>
          </w:p>
        </w:tc>
      </w:tr>
      <w:tr>
        <w:trPr>
          <w:trHeight w:val="183"/>
        </w:trPr>
        <w:tc>
          <w:tcPr>
            <w:tcW w:w="20" w:type="dxa"/>
            <w:vAlign w:val="bottom"/>
          </w:tcPr>
          <w:p>
            <w:pPr>
              <w:spacing w:after="0"/>
              <w:rPr>
                <w:sz w:val="15"/>
                <w:szCs w:val="15"/>
                <w:color w:val="auto"/>
              </w:rPr>
            </w:pPr>
          </w:p>
        </w:tc>
        <w:tc>
          <w:tcPr>
            <w:tcW w:w="6220" w:type="dxa"/>
            <w:vAlign w:val="bottom"/>
            <w:shd w:val="clear" w:color="auto" w:fill="CFF0FC"/>
          </w:tcPr>
          <w:p>
            <w:pPr>
              <w:ind w:left="260"/>
              <w:spacing w:after="0" w:line="183" w:lineRule="exact"/>
              <w:rPr>
                <w:sz w:val="20"/>
                <w:szCs w:val="20"/>
                <w:color w:val="auto"/>
              </w:rPr>
            </w:pPr>
            <w:r>
              <w:rPr>
                <w:rFonts w:ascii="Arial" w:cs="Arial" w:eastAsia="Arial" w:hAnsi="Arial"/>
                <w:sz w:val="16"/>
                <w:szCs w:val="16"/>
                <w:color w:val="auto"/>
              </w:rPr>
              <w:t>Total current liabilities</w:t>
            </w: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293,527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401,763</w:t>
            </w:r>
          </w:p>
        </w:tc>
      </w:tr>
      <w:tr>
        <w:trPr>
          <w:trHeight w:val="189"/>
        </w:trPr>
        <w:tc>
          <w:tcPr>
            <w:tcW w:w="20" w:type="dxa"/>
            <w:vAlign w:val="bottom"/>
          </w:tcPr>
          <w:p>
            <w:pPr>
              <w:spacing w:after="0"/>
              <w:rPr>
                <w:sz w:val="16"/>
                <w:szCs w:val="16"/>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12,900</w:t>
            </w:r>
          </w:p>
        </w:tc>
      </w:tr>
      <w:tr>
        <w:trPr>
          <w:trHeight w:val="189"/>
        </w:trPr>
        <w:tc>
          <w:tcPr>
            <w:tcW w:w="20" w:type="dxa"/>
            <w:vAlign w:val="bottom"/>
          </w:tcPr>
          <w:p>
            <w:pPr>
              <w:spacing w:after="0"/>
              <w:rPr>
                <w:sz w:val="16"/>
                <w:szCs w:val="16"/>
                <w:color w:val="auto"/>
              </w:rPr>
            </w:pPr>
          </w:p>
        </w:tc>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1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3,244</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3,479</w:t>
            </w:r>
          </w:p>
        </w:tc>
      </w:tr>
      <w:tr>
        <w:trPr>
          <w:trHeight w:val="198"/>
        </w:trPr>
        <w:tc>
          <w:tcPr>
            <w:tcW w:w="20" w:type="dxa"/>
            <w:vAlign w:val="bottom"/>
          </w:tcPr>
          <w:p>
            <w:pPr>
              <w:spacing w:after="0"/>
              <w:rPr>
                <w:sz w:val="17"/>
                <w:szCs w:val="17"/>
                <w:color w:val="auto"/>
              </w:rPr>
            </w:pPr>
          </w:p>
        </w:tc>
        <w:tc>
          <w:tcPr>
            <w:tcW w:w="62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310,151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418,142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-1380490</wp:posOffset>
            </wp:positionV>
            <wp:extent cx="6986270" cy="1500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6270" cy="150050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p>
      <w:pPr>
        <w:ind w:left="120"/>
        <w:spacing w:after="0"/>
        <w:rPr>
          <w:sz w:val="20"/>
          <w:szCs w:val="20"/>
          <w:color w:val="auto"/>
        </w:rPr>
      </w:pPr>
      <w:r>
        <w:rPr>
          <w:rFonts w:ascii="Arial" w:cs="Arial" w:eastAsia="Arial" w:hAnsi="Arial"/>
          <w:sz w:val="16"/>
          <w:szCs w:val="16"/>
          <w:color w:val="auto"/>
        </w:rPr>
        <w:t>Commitments and contingencies (Note 17)</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1905</wp:posOffset>
            </wp:positionV>
            <wp:extent cx="698627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240030"/>
                    </a:xfrm>
                    <a:prstGeom prst="rect">
                      <a:avLst/>
                    </a:prstGeom>
                    <a:noFill/>
                  </pic:spPr>
                </pic:pic>
              </a:graphicData>
            </a:graphic>
          </wp:anchor>
        </w:drawing>
      </w:r>
    </w:p>
    <w:p>
      <w:pPr>
        <w:ind w:left="260" w:right="440"/>
        <w:spacing w:after="0" w:line="246" w:lineRule="auto"/>
        <w:rPr>
          <w:sz w:val="20"/>
          <w:szCs w:val="20"/>
          <w:color w:val="auto"/>
        </w:rPr>
      </w:pPr>
      <w:r>
        <w:rPr>
          <w:rFonts w:ascii="Arial" w:cs="Arial" w:eastAsia="Arial" w:hAnsi="Arial"/>
          <w:sz w:val="16"/>
          <w:szCs w:val="16"/>
          <w:color w:val="auto"/>
        </w:rPr>
        <w:t>Preferred stock, $0.0001 par value; 10,000,000 shares authorized, none issued and outstanding as of March 31, 2026 and December 31, 2025</w:t>
      </w:r>
    </w:p>
    <w:p>
      <w:pPr>
        <w:spacing w:after="0" w:line="1" w:lineRule="exact"/>
        <w:rPr>
          <w:sz w:val="20"/>
          <w:szCs w:val="20"/>
          <w:color w:val="auto"/>
        </w:rPr>
      </w:pPr>
    </w:p>
    <w:p>
      <w:pPr>
        <w:ind w:left="260" w:right="480"/>
        <w:spacing w:after="0" w:line="246" w:lineRule="auto"/>
        <w:rPr>
          <w:sz w:val="20"/>
          <w:szCs w:val="20"/>
          <w:color w:val="auto"/>
        </w:rPr>
      </w:pPr>
      <w:r>
        <w:rPr>
          <w:rFonts w:ascii="Arial" w:cs="Arial" w:eastAsia="Arial" w:hAnsi="Arial"/>
          <w:sz w:val="16"/>
          <w:szCs w:val="16"/>
          <w:color w:val="auto"/>
        </w:rPr>
        <w:t>Voting common stock, $0.0001 par value; 2,000,000,000 shares authorized, 132,560,689 shares issued and 121,451,032 shares outstanding as of March 31, 2026; 130,335,519 shares issued and 120,086,090 shares outstanding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0</wp:posOffset>
            </wp:positionV>
            <wp:extent cx="698627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240030"/>
                    </a:xfrm>
                    <a:prstGeom prst="rect">
                      <a:avLst/>
                    </a:prstGeom>
                    <a:noFill/>
                  </pic:spPr>
                </pic:pic>
              </a:graphicData>
            </a:graphic>
          </wp:anchor>
        </w:drawing>
      </w:r>
    </w:p>
    <w:p>
      <w:pPr>
        <w:ind w:left="260" w:right="700"/>
        <w:spacing w:after="0" w:line="246" w:lineRule="auto"/>
        <w:rPr>
          <w:sz w:val="20"/>
          <w:szCs w:val="20"/>
          <w:color w:val="auto"/>
        </w:rPr>
      </w:pPr>
      <w:r>
        <w:rPr>
          <w:rFonts w:ascii="Arial" w:cs="Arial" w:eastAsia="Arial" w:hAnsi="Arial"/>
          <w:sz w:val="16"/>
          <w:szCs w:val="16"/>
          <w:color w:val="auto"/>
        </w:rPr>
        <w:t>Non-voting common stock, $0.0001 par value; 10,000,000 shares authorized, 1,873,320 shares issued and outstanding as of March 31, 2026 and December 31, 2025, respectively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Treasury voting common stock, at cost; 11,109,657 and 10,249,429 shares as of March 31, 2026</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1905</wp:posOffset>
            </wp:positionV>
            <wp:extent cx="698627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1200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Additional paid-in capital</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3"/>
        </w:trPr>
        <w:tc>
          <w:tcPr>
            <w:tcW w:w="1300" w:type="dxa"/>
            <w:vAlign w:val="bottom"/>
          </w:tcPr>
          <w:p>
            <w:pPr>
              <w:jc w:val="right"/>
              <w:ind w:right="499"/>
              <w:spacing w:after="0"/>
              <w:rPr>
                <w:sz w:val="20"/>
                <w:szCs w:val="20"/>
                <w:color w:val="auto"/>
              </w:rPr>
            </w:pPr>
            <w:r>
              <w:rPr>
                <w:rFonts w:ascii="Arial" w:cs="Arial" w:eastAsia="Arial" w:hAnsi="Arial"/>
                <w:sz w:val="16"/>
                <w:szCs w:val="16"/>
                <w:color w:val="auto"/>
              </w:rPr>
              <w:t>13</w:t>
            </w:r>
          </w:p>
        </w:tc>
        <w:tc>
          <w:tcPr>
            <w:tcW w:w="13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473"/>
        </w:trPr>
        <w:tc>
          <w:tcPr>
            <w:tcW w:w="13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300" w:type="dxa"/>
            <w:vAlign w:val="bottom"/>
          </w:tcPr>
          <w:p>
            <w:pPr>
              <w:jc w:val="right"/>
              <w:ind w:right="499"/>
              <w:spacing w:after="0"/>
              <w:rPr>
                <w:sz w:val="20"/>
                <w:szCs w:val="20"/>
                <w:color w:val="auto"/>
              </w:rPr>
            </w:pPr>
            <w:r>
              <w:rPr>
                <w:rFonts w:ascii="Arial" w:cs="Arial" w:eastAsia="Arial" w:hAnsi="Arial"/>
                <w:sz w:val="16"/>
                <w:szCs w:val="16"/>
                <w:color w:val="auto"/>
              </w:rPr>
              <w:t>(128,125)</w:t>
            </w:r>
          </w:p>
        </w:tc>
        <w:tc>
          <w:tcPr>
            <w:tcW w:w="1300" w:type="dxa"/>
            <w:vAlign w:val="bottom"/>
          </w:tcPr>
          <w:p>
            <w:pPr>
              <w:jc w:val="right"/>
              <w:spacing w:after="0"/>
              <w:rPr>
                <w:sz w:val="20"/>
                <w:szCs w:val="20"/>
                <w:color w:val="auto"/>
              </w:rPr>
            </w:pPr>
            <w:r>
              <w:rPr>
                <w:rFonts w:ascii="Arial" w:cs="Arial" w:eastAsia="Arial" w:hAnsi="Arial"/>
                <w:sz w:val="16"/>
                <w:szCs w:val="16"/>
                <w:color w:val="auto"/>
              </w:rPr>
              <w:t>(118,636)</w:t>
            </w:r>
          </w:p>
        </w:tc>
      </w:tr>
      <w:tr>
        <w:trPr>
          <w:trHeight w:val="258"/>
        </w:trPr>
        <w:tc>
          <w:tcPr>
            <w:tcW w:w="1300" w:type="dxa"/>
            <w:vAlign w:val="bottom"/>
          </w:tcPr>
          <w:p>
            <w:pPr>
              <w:jc w:val="right"/>
              <w:ind w:right="499"/>
              <w:spacing w:after="0"/>
              <w:rPr>
                <w:sz w:val="20"/>
                <w:szCs w:val="20"/>
                <w:color w:val="auto"/>
              </w:rPr>
            </w:pPr>
            <w:r>
              <w:rPr>
                <w:rFonts w:ascii="Arial" w:cs="Arial" w:eastAsia="Arial" w:hAnsi="Arial"/>
                <w:sz w:val="16"/>
                <w:szCs w:val="16"/>
                <w:color w:val="auto"/>
                <w:w w:val="98"/>
              </w:rPr>
              <w:t>1,123,642</w:t>
            </w:r>
          </w:p>
        </w:tc>
        <w:tc>
          <w:tcPr>
            <w:tcW w:w="1300" w:type="dxa"/>
            <w:vAlign w:val="bottom"/>
          </w:tcPr>
          <w:p>
            <w:pPr>
              <w:jc w:val="right"/>
              <w:spacing w:after="0"/>
              <w:rPr>
                <w:sz w:val="20"/>
                <w:szCs w:val="20"/>
                <w:color w:val="auto"/>
              </w:rPr>
            </w:pPr>
            <w:r>
              <w:rPr>
                <w:rFonts w:ascii="Arial" w:cs="Arial" w:eastAsia="Arial" w:hAnsi="Arial"/>
                <w:sz w:val="16"/>
                <w:szCs w:val="16"/>
                <w:color w:val="auto"/>
              </w:rPr>
              <w:t>1,108,679</w:t>
            </w:r>
          </w:p>
        </w:tc>
      </w:tr>
      <w:tr>
        <w:trPr>
          <w:trHeight w:val="201"/>
        </w:trPr>
        <w:tc>
          <w:tcPr>
            <w:tcW w:w="1300" w:type="dxa"/>
            <w:vAlign w:val="bottom"/>
          </w:tcPr>
          <w:p>
            <w:pPr>
              <w:jc w:val="right"/>
              <w:ind w:right="499"/>
              <w:spacing w:after="0"/>
              <w:rPr>
                <w:sz w:val="20"/>
                <w:szCs w:val="20"/>
                <w:color w:val="auto"/>
              </w:rPr>
            </w:pPr>
            <w:r>
              <w:rPr>
                <w:rFonts w:ascii="Arial" w:cs="Arial" w:eastAsia="Arial" w:hAnsi="Arial"/>
                <w:sz w:val="16"/>
                <w:szCs w:val="16"/>
                <w:color w:val="auto"/>
              </w:rPr>
              <w:t>1,553</w:t>
            </w:r>
          </w:p>
        </w:tc>
        <w:tc>
          <w:tcPr>
            <w:tcW w:w="1300" w:type="dxa"/>
            <w:vAlign w:val="bottom"/>
          </w:tcPr>
          <w:p>
            <w:pPr>
              <w:jc w:val="right"/>
              <w:spacing w:after="0"/>
              <w:rPr>
                <w:sz w:val="20"/>
                <w:szCs w:val="20"/>
                <w:color w:val="auto"/>
              </w:rPr>
            </w:pPr>
            <w:r>
              <w:rPr>
                <w:rFonts w:ascii="Arial" w:cs="Arial" w:eastAsia="Arial" w:hAnsi="Arial"/>
                <w:sz w:val="16"/>
                <w:szCs w:val="16"/>
                <w:color w:val="auto"/>
              </w:rPr>
              <w:t>2,488</w:t>
            </w:r>
          </w:p>
        </w:tc>
      </w:tr>
    </w:tbl>
    <w:p>
      <w:pPr>
        <w:spacing w:after="0" w:line="7" w:lineRule="exact"/>
        <w:rPr>
          <w:sz w:val="20"/>
          <w:szCs w:val="20"/>
          <w:color w:val="auto"/>
        </w:rPr>
      </w:pPr>
    </w:p>
    <w:p>
      <w:pPr>
        <w:sectPr>
          <w:pgSz w:w="11900" w:h="16838" w:orient="portrait"/>
          <w:cols w:equalWidth="0" w:num="2">
            <w:col w:w="7800" w:space="720"/>
            <w:col w:w="2620"/>
          </w:cols>
          <w:pgMar w:left="320" w:top="1201"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Accumulated deficit</w:t>
            </w:r>
          </w:p>
        </w:tc>
        <w:tc>
          <w:tcPr>
            <w:tcW w:w="21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(144,855)</w:t>
            </w:r>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(157,373)</w:t>
            </w:r>
          </w:p>
        </w:tc>
      </w:tr>
      <w:tr>
        <w:trPr>
          <w:trHeight w:val="183"/>
        </w:trPr>
        <w:tc>
          <w:tcPr>
            <w:tcW w:w="20" w:type="dxa"/>
            <w:vAlign w:val="bottom"/>
          </w:tcPr>
          <w:p>
            <w:pPr>
              <w:spacing w:after="0"/>
              <w:rPr>
                <w:sz w:val="15"/>
                <w:szCs w:val="15"/>
                <w:color w:val="auto"/>
              </w:rPr>
            </w:pPr>
          </w:p>
        </w:tc>
        <w:tc>
          <w:tcPr>
            <w:tcW w:w="5220" w:type="dxa"/>
            <w:vAlign w:val="bottom"/>
          </w:tcPr>
          <w:p>
            <w:pPr>
              <w:spacing w:after="0" w:line="183" w:lineRule="exact"/>
              <w:rPr>
                <w:sz w:val="20"/>
                <w:szCs w:val="20"/>
                <w:color w:val="auto"/>
              </w:rPr>
            </w:pPr>
            <w:r>
              <w:rPr>
                <w:rFonts w:ascii="Arial" w:cs="Arial" w:eastAsia="Arial" w:hAnsi="Arial"/>
                <w:sz w:val="16"/>
                <w:szCs w:val="16"/>
                <w:b w:val="1"/>
                <w:bCs w:val="1"/>
                <w:color w:val="auto"/>
              </w:rPr>
              <w:t>Total stockholders’ equity</w:t>
            </w:r>
          </w:p>
        </w:tc>
        <w:tc>
          <w:tcPr>
            <w:tcW w:w="2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852,228</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835,171</w:t>
            </w:r>
          </w:p>
        </w:tc>
      </w:tr>
      <w:tr>
        <w:trPr>
          <w:trHeight w:val="203"/>
        </w:trPr>
        <w:tc>
          <w:tcPr>
            <w:tcW w:w="20" w:type="dxa"/>
            <w:vAlign w:val="bottom"/>
          </w:tcPr>
          <w:p>
            <w:pPr>
              <w:spacing w:after="0"/>
              <w:rPr>
                <w:sz w:val="17"/>
                <w:szCs w:val="17"/>
                <w:color w:val="auto"/>
              </w:rPr>
            </w:pPr>
          </w:p>
        </w:tc>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2700" w:type="dxa"/>
            <w:vAlign w:val="bottom"/>
            <w:gridSpan w:val="2"/>
            <w:shd w:val="clear" w:color="auto" w:fill="CFF0FC"/>
          </w:tcPr>
          <w:p>
            <w:pPr>
              <w:jc w:val="right"/>
              <w:ind w:right="46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1,162,379</w:t>
            </w:r>
          </w:p>
        </w:tc>
        <w:tc>
          <w:tcPr>
            <w:tcW w:w="660" w:type="dxa"/>
            <w:vAlign w:val="bottom"/>
            <w:gridSpan w:val="2"/>
            <w:shd w:val="clear" w:color="auto" w:fill="CFF0FC"/>
          </w:tcPr>
          <w:p>
            <w:pPr>
              <w:jc w:val="right"/>
              <w:ind w:right="4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1,253,313</w:t>
            </w: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6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Revenue</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188,112</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133,452</w:t>
            </w: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Costs and operating expenses: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Payment processing services costs</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77,452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50,563</w:t>
            </w:r>
          </w:p>
        </w:tc>
      </w:tr>
      <w:tr>
        <w:trPr>
          <w:trHeight w:val="189"/>
        </w:trPr>
        <w:tc>
          <w:tcPr>
            <w:tcW w:w="6660" w:type="dxa"/>
            <w:vAlign w:val="bottom"/>
          </w:tcPr>
          <w:p>
            <w:pPr>
              <w:ind w:left="160"/>
              <w:spacing w:after="0"/>
              <w:rPr>
                <w:sz w:val="20"/>
                <w:szCs w:val="20"/>
                <w:color w:val="auto"/>
              </w:rPr>
            </w:pPr>
            <w:r>
              <w:rPr>
                <w:rFonts w:ascii="Arial" w:cs="Arial" w:eastAsia="Arial" w:hAnsi="Arial"/>
                <w:sz w:val="16"/>
                <w:szCs w:val="16"/>
                <w:color w:val="auto"/>
              </w:rPr>
              <w:t>Technology and development</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16,911</w:t>
            </w:r>
          </w:p>
        </w:tc>
      </w:tr>
      <w:tr>
        <w:trPr>
          <w:trHeight w:val="18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Selling and marketing</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36,569</w:t>
            </w:r>
          </w:p>
        </w:tc>
      </w:tr>
      <w:tr>
        <w:trPr>
          <w:trHeight w:val="189"/>
        </w:trPr>
        <w:tc>
          <w:tcPr>
            <w:tcW w:w="666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39,953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33,058</w:t>
            </w:r>
          </w:p>
        </w:tc>
      </w:tr>
      <w:tr>
        <w:trPr>
          <w:trHeight w:val="189"/>
        </w:trPr>
        <w:tc>
          <w:tcPr>
            <w:tcW w:w="6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Restructuring</w:t>
            </w:r>
          </w:p>
        </w:tc>
        <w:tc>
          <w:tcPr>
            <w:tcW w:w="13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7,339</w:t>
            </w:r>
          </w:p>
        </w:tc>
      </w:tr>
      <w:tr>
        <w:trPr>
          <w:trHeight w:val="183"/>
        </w:trPr>
        <w:tc>
          <w:tcPr>
            <w:tcW w:w="6660" w:type="dxa"/>
            <w:vAlign w:val="bottom"/>
          </w:tcPr>
          <w:p>
            <w:pPr>
              <w:ind w:left="300"/>
              <w:spacing w:after="0" w:line="183" w:lineRule="exact"/>
              <w:rPr>
                <w:sz w:val="20"/>
                <w:szCs w:val="20"/>
                <w:color w:val="auto"/>
              </w:rPr>
            </w:pPr>
            <w:r>
              <w:rPr>
                <w:rFonts w:ascii="Arial" w:cs="Arial" w:eastAsia="Arial" w:hAnsi="Arial"/>
                <w:sz w:val="16"/>
                <w:szCs w:val="16"/>
                <w:color w:val="auto"/>
              </w:rPr>
              <w:t>Total costs and operating expenses</w:t>
            </w: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177,330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144,440</w:t>
            </w:r>
          </w:p>
        </w:tc>
      </w:tr>
      <w:tr>
        <w:trPr>
          <w:trHeight w:val="22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Income (loss) from operations</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10,782</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(10,988)</w:t>
            </w:r>
          </w:p>
        </w:tc>
      </w:tr>
      <w:tr>
        <w:trPr>
          <w:trHeight w:val="170"/>
        </w:trPr>
        <w:tc>
          <w:tcPr>
            <w:tcW w:w="666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Other income (expense):</w:t>
            </w:r>
          </w:p>
        </w:tc>
        <w:tc>
          <w:tcPr>
            <w:tcW w:w="13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18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Interest expense</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r>
      <w:tr>
        <w:trPr>
          <w:trHeight w:val="189"/>
        </w:trPr>
        <w:tc>
          <w:tcPr>
            <w:tcW w:w="666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189"/>
        </w:trPr>
        <w:tc>
          <w:tcPr>
            <w:tcW w:w="66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Gain from remeasurement of foreign currency</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3,294</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w:t>
            </w:r>
          </w:p>
        </w:tc>
      </w:tr>
      <w:tr>
        <w:trPr>
          <w:trHeight w:val="189"/>
        </w:trPr>
        <w:tc>
          <w:tcPr>
            <w:tcW w:w="6660" w:type="dxa"/>
            <w:vAlign w:val="bottom"/>
          </w:tcPr>
          <w:p>
            <w:pPr>
              <w:ind w:left="160"/>
              <w:spacing w:after="0"/>
              <w:rPr>
                <w:sz w:val="20"/>
                <w:szCs w:val="20"/>
                <w:color w:val="auto"/>
              </w:rPr>
            </w:pPr>
            <w:r>
              <w:rPr>
                <w:rFonts w:ascii="Arial" w:cs="Arial" w:eastAsia="Arial" w:hAnsi="Arial"/>
                <w:sz w:val="16"/>
                <w:szCs w:val="16"/>
                <w:color w:val="auto"/>
              </w:rPr>
              <w:t>Gain on available-for-sale debt securities</w:t>
            </w:r>
          </w:p>
        </w:tc>
        <w:tc>
          <w:tcPr>
            <w:tcW w:w="1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183"/>
        </w:trPr>
        <w:tc>
          <w:tcPr>
            <w:tcW w:w="6660" w:type="dxa"/>
            <w:vAlign w:val="bottom"/>
            <w:tcBorders>
              <w:bottom w:val="single" w:sz="8" w:color="CFF0FC"/>
            </w:tcBorders>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other income (expense), net</w:t>
            </w:r>
          </w:p>
        </w:tc>
        <w:tc>
          <w:tcPr>
            <w:tcW w:w="13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3,906</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5,944</w:t>
            </w: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6"/>
                <w:szCs w:val="16"/>
                <w:color w:val="auto"/>
              </w:rPr>
              <w:t>Income (loss) before income taxes</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14,688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(5,044)</w:t>
            </w: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(benefit from) income taxes</w:t>
            </w:r>
          </w:p>
        </w:tc>
        <w:tc>
          <w:tcPr>
            <w:tcW w:w="13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w:t>
            </w: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 (loss)</w:t>
            </w:r>
          </w:p>
        </w:tc>
        <w:tc>
          <w:tcPr>
            <w:tcW w:w="16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12,518</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(4,160)</w:t>
            </w:r>
          </w:p>
        </w:tc>
      </w:tr>
      <w:tr>
        <w:trPr>
          <w:trHeight w:val="20"/>
        </w:trPr>
        <w:tc>
          <w:tcPr>
            <w:tcW w:w="6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666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Other comprehensive income:</w:t>
            </w: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189"/>
        </w:trPr>
        <w:tc>
          <w:tcPr>
            <w:tcW w:w="66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189"/>
        </w:trPr>
        <w:tc>
          <w:tcPr>
            <w:tcW w:w="66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Unrealized losses on available-for-sale debt securities, net of taxes</w:t>
            </w:r>
          </w:p>
        </w:tc>
        <w:tc>
          <w:tcPr>
            <w:tcW w:w="13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r>
      <w:tr>
        <w:trPr>
          <w:trHeight w:val="183"/>
        </w:trPr>
        <w:tc>
          <w:tcPr>
            <w:tcW w:w="6660" w:type="dxa"/>
            <w:vAlign w:val="bottom"/>
          </w:tcPr>
          <w:p>
            <w:pPr>
              <w:ind w:left="300"/>
              <w:spacing w:after="0" w:line="183" w:lineRule="exact"/>
              <w:rPr>
                <w:sz w:val="20"/>
                <w:szCs w:val="20"/>
                <w:color w:val="auto"/>
              </w:rPr>
            </w:pPr>
            <w:r>
              <w:rPr>
                <w:rFonts w:ascii="Arial" w:cs="Arial" w:eastAsia="Arial" w:hAnsi="Arial"/>
                <w:sz w:val="16"/>
                <w:szCs w:val="16"/>
                <w:color w:val="auto"/>
              </w:rPr>
              <w:t>Total other comprehensive (loss) income</w:t>
            </w: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(935)</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2,548</w:t>
            </w:r>
          </w:p>
        </w:tc>
      </w:tr>
      <w:tr>
        <w:trPr>
          <w:trHeight w:val="22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 (loss)</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11,583</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(1,612)</w:t>
            </w:r>
          </w:p>
        </w:tc>
      </w:tr>
      <w:tr>
        <w:trPr>
          <w:trHeight w:val="170"/>
        </w:trPr>
        <w:tc>
          <w:tcPr>
            <w:tcW w:w="666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attributable to common stockholders – basic and diluted</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12,518</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(4,160)</w:t>
            </w: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Net income (loss) per share attributable to common stockholders – basic</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0.10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 attributable to common stockholders – diluted</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r>
      <w:tr>
        <w:trPr>
          <w:trHeight w:val="189"/>
        </w:trPr>
        <w:tc>
          <w:tcPr>
            <w:tcW w:w="6660" w:type="dxa"/>
            <w:vAlign w:val="bottom"/>
          </w:tcPr>
          <w:p>
            <w:pPr>
              <w:spacing w:after="0"/>
              <w:rPr>
                <w:sz w:val="20"/>
                <w:szCs w:val="20"/>
                <w:color w:val="auto"/>
              </w:rPr>
            </w:pPr>
            <w:r>
              <w:rPr>
                <w:rFonts w:ascii="Arial" w:cs="Arial" w:eastAsia="Arial" w:hAnsi="Arial"/>
                <w:sz w:val="16"/>
                <w:szCs w:val="16"/>
                <w:color w:val="auto"/>
              </w:rPr>
              <w:t>Weighted average common shares outstanding – basic</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122,175,684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123,235,263</w:t>
            </w: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 diluted</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127,945,858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123,235,263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-2776855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-2519680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-2502535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-1765300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-1516380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-1002665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-744855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-727710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FLYWIRE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jc w:val="center"/>
        <w:spacing w:after="0"/>
        <w:rPr>
          <w:sz w:val="20"/>
          <w:szCs w:val="20"/>
          <w:color w:val="auto"/>
        </w:rPr>
      </w:pPr>
      <w:r>
        <w:rPr>
          <w:rFonts w:ascii="Arial" w:cs="Arial" w:eastAsia="Arial" w:hAnsi="Arial"/>
          <w:sz w:val="17"/>
          <w:szCs w:val="17"/>
          <w:color w:val="auto"/>
        </w:rPr>
        <w:t>(Unaudited) (Amounts in thousands, except share amounts)</w:t>
      </w:r>
    </w:p>
    <w:p>
      <w:pPr>
        <w:spacing w:after="0" w:line="179"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6350</wp:posOffset>
            </wp:positionV>
            <wp:extent cx="56832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5" w:lineRule="exact"/>
        <w:rPr>
          <w:sz w:val="20"/>
          <w:szCs w:val="20"/>
          <w:color w:val="auto"/>
        </w:rPr>
      </w:pPr>
    </w:p>
    <w:p>
      <w:pPr>
        <w:jc w:val="right"/>
        <w:ind w:right="1920"/>
        <w:spacing w:after="0"/>
        <w:rPr>
          <w:sz w:val="20"/>
          <w:szCs w:val="20"/>
          <w:color w:val="auto"/>
        </w:rPr>
      </w:pPr>
      <w:r>
        <w:rPr>
          <w:rFonts w:ascii="Arial" w:cs="Arial" w:eastAsia="Arial" w:hAnsi="Arial"/>
          <w:sz w:val="13"/>
          <w:szCs w:val="13"/>
          <w:b w:val="1"/>
          <w:bCs w:val="1"/>
          <w:color w:val="auto"/>
        </w:rPr>
        <w:t>Accumulated</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21" w:lineRule="auto"/>
        <w:rPr>
          <w:sz w:val="20"/>
          <w:szCs w:val="20"/>
          <w:color w:val="auto"/>
        </w:rPr>
      </w:pPr>
      <w:r>
        <w:rPr>
          <w:rFonts w:ascii="Arial" w:cs="Arial" w:eastAsia="Arial" w:hAnsi="Arial"/>
          <w:sz w:val="13"/>
          <w:szCs w:val="13"/>
          <w:b w:val="1"/>
          <w:bCs w:val="1"/>
          <w:color w:val="auto"/>
        </w:rPr>
        <w:t xml:space="preserve">Balances at December 31, 2025 </w:t>
      </w:r>
      <w:r>
        <w:rPr>
          <w:rFonts w:ascii="Arial" w:cs="Arial" w:eastAsia="Arial" w:hAnsi="Arial"/>
          <w:sz w:val="13"/>
          <w:szCs w:val="13"/>
          <w:color w:val="auto"/>
        </w:rPr>
        <w:t>Issuance of common stock upon exercise of stock options, net of tax withheld</w:t>
      </w:r>
    </w:p>
    <w:p>
      <w:pPr>
        <w:spacing w:after="0" w:line="1" w:lineRule="exact"/>
        <w:rPr>
          <w:sz w:val="20"/>
          <w:szCs w:val="20"/>
          <w:color w:val="auto"/>
        </w:rPr>
      </w:pPr>
    </w:p>
    <w:p>
      <w:pPr>
        <w:ind w:right="60"/>
        <w:spacing w:after="0" w:line="216" w:lineRule="auto"/>
        <w:rPr>
          <w:sz w:val="20"/>
          <w:szCs w:val="20"/>
          <w:color w:val="auto"/>
        </w:rPr>
      </w:pPr>
      <w:r>
        <w:rPr>
          <w:rFonts w:ascii="Arial" w:cs="Arial" w:eastAsia="Arial" w:hAnsi="Arial"/>
          <w:sz w:val="13"/>
          <w:szCs w:val="13"/>
          <w:color w:val="auto"/>
        </w:rPr>
        <w:t>Issuance of common stock upon settlement of restricted stock units, net of tax withheld</w:t>
      </w:r>
    </w:p>
    <w:p>
      <w:pPr>
        <w:spacing w:after="0" w:line="1" w:lineRule="exact"/>
        <w:rPr>
          <w:sz w:val="20"/>
          <w:szCs w:val="20"/>
          <w:color w:val="auto"/>
        </w:rPr>
      </w:pPr>
    </w:p>
    <w:p>
      <w:pPr>
        <w:ind w:right="80"/>
        <w:spacing w:after="0" w:line="216" w:lineRule="auto"/>
        <w:rPr>
          <w:sz w:val="20"/>
          <w:szCs w:val="20"/>
          <w:color w:val="auto"/>
        </w:rPr>
      </w:pPr>
      <w:r>
        <w:rPr>
          <w:rFonts w:ascii="Arial" w:cs="Arial" w:eastAsia="Arial" w:hAnsi="Arial"/>
          <w:sz w:val="13"/>
          <w:szCs w:val="13"/>
          <w:color w:val="auto"/>
        </w:rPr>
        <w:t>Common stock repurchases, including related costs</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3"/>
          <w:szCs w:val="13"/>
          <w:color w:val="auto"/>
        </w:rPr>
        <w:t>Issuance of treasury stock under equity incentive plans</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3"/>
          <w:szCs w:val="13"/>
          <w:color w:val="auto"/>
        </w:rPr>
        <w:t>Foreign currency translation adjustment Unrealized losses on available-for-sale debt securities, net of taxes Stock-based compensation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gridSpan w:val="4"/>
          </w:tcPr>
          <w:p>
            <w:pPr>
              <w:jc w:val="right"/>
              <w:ind w:right="77"/>
              <w:spacing w:after="0"/>
              <w:rPr>
                <w:sz w:val="20"/>
                <w:szCs w:val="20"/>
                <w:color w:val="auto"/>
              </w:rPr>
            </w:pPr>
            <w:r>
              <w:rPr>
                <w:rFonts w:ascii="Arial" w:cs="Arial" w:eastAsia="Arial" w:hAnsi="Arial"/>
                <w:sz w:val="13"/>
                <w:szCs w:val="13"/>
                <w:b w:val="1"/>
                <w:bCs w:val="1"/>
                <w:color w:val="auto"/>
              </w:rPr>
              <w:t>Voting Common Stock</w:t>
            </w:r>
          </w:p>
        </w:tc>
        <w:tc>
          <w:tcPr>
            <w:tcW w:w="120" w:type="dxa"/>
            <w:vAlign w:val="bottom"/>
          </w:tcPr>
          <w:p>
            <w:pPr>
              <w:spacing w:after="0"/>
              <w:rPr>
                <w:sz w:val="13"/>
                <w:szCs w:val="13"/>
                <w:color w:val="auto"/>
              </w:rPr>
            </w:pPr>
          </w:p>
        </w:tc>
        <w:tc>
          <w:tcPr>
            <w:tcW w:w="152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97"/>
              </w:rPr>
              <w:t>Non-Voting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right"/>
              <w:ind w:right="297"/>
              <w:spacing w:after="0"/>
              <w:rPr>
                <w:sz w:val="20"/>
                <w:szCs w:val="20"/>
                <w:color w:val="auto"/>
              </w:rPr>
            </w:pPr>
            <w:r>
              <w:rPr>
                <w:rFonts w:ascii="Arial" w:cs="Arial" w:eastAsia="Arial" w:hAnsi="Arial"/>
                <w:sz w:val="13"/>
                <w:szCs w:val="13"/>
                <w:b w:val="1"/>
                <w:bCs w:val="1"/>
                <w:color w:val="auto"/>
              </w:rPr>
              <w:t>Treasury Voting</w:t>
            </w:r>
          </w:p>
        </w:tc>
        <w:tc>
          <w:tcPr>
            <w:tcW w:w="12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137"/>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62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1520" w:type="dxa"/>
            <w:vAlign w:val="bottom"/>
            <w:gridSpan w:val="3"/>
            <w:vMerge w:val="restart"/>
          </w:tcPr>
          <w:p>
            <w:pPr>
              <w:jc w:val="center"/>
              <w:ind w:left="57"/>
              <w:spacing w:after="0"/>
              <w:rPr>
                <w:sz w:val="20"/>
                <w:szCs w:val="20"/>
                <w:color w:val="auto"/>
              </w:rPr>
            </w:pPr>
            <w:r>
              <w:rPr>
                <w:rFonts w:ascii="Arial" w:cs="Arial" w:eastAsia="Arial" w:hAnsi="Arial"/>
                <w:sz w:val="13"/>
                <w:szCs w:val="13"/>
                <w:b w:val="1"/>
                <w:bCs w:val="1"/>
                <w:color w:val="auto"/>
                <w:w w:val="96"/>
              </w:rPr>
              <w:t>Common Stock</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Comprehensiv</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Accumulate</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04"/>
        </w:trPr>
        <w:tc>
          <w:tcPr>
            <w:tcW w:w="16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restart"/>
          </w:tcPr>
          <w:p>
            <w:pPr>
              <w:jc w:val="center"/>
              <w:ind w:right="137"/>
              <w:spacing w:after="0" w:line="139" w:lineRule="exact"/>
              <w:rPr>
                <w:sz w:val="20"/>
                <w:szCs w:val="20"/>
                <w:color w:val="auto"/>
              </w:rPr>
            </w:pPr>
            <w:r>
              <w:rPr>
                <w:rFonts w:ascii="Arial" w:cs="Arial" w:eastAsia="Arial" w:hAnsi="Arial"/>
                <w:sz w:val="13"/>
                <w:szCs w:val="13"/>
                <w:b w:val="1"/>
                <w:bCs w:val="1"/>
                <w:color w:val="auto"/>
                <w:w w:val="82"/>
              </w:rPr>
              <w:t>e</w:t>
            </w:r>
          </w:p>
        </w:tc>
        <w:tc>
          <w:tcPr>
            <w:tcW w:w="100" w:type="dxa"/>
            <w:vAlign w:val="bottom"/>
          </w:tcPr>
          <w:p>
            <w:pPr>
              <w:spacing w:after="0"/>
              <w:rPr>
                <w:sz w:val="9"/>
                <w:szCs w:val="9"/>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w w:val="74"/>
              </w:rPr>
              <w:t>d</w:t>
            </w:r>
          </w:p>
        </w:tc>
        <w:tc>
          <w:tcPr>
            <w:tcW w:w="100" w:type="dxa"/>
            <w:vAlign w:val="bottom"/>
          </w:tcPr>
          <w:p>
            <w:pPr>
              <w:spacing w:after="0"/>
              <w:rPr>
                <w:sz w:val="9"/>
                <w:szCs w:val="9"/>
                <w:color w:val="auto"/>
              </w:rPr>
            </w:pPr>
          </w:p>
        </w:tc>
        <w:tc>
          <w:tcPr>
            <w:tcW w:w="84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5"/>
        </w:trPr>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9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9"/>
        </w:trPr>
        <w:tc>
          <w:tcPr>
            <w:tcW w:w="760" w:type="dxa"/>
            <w:vAlign w:val="bottom"/>
          </w:tcPr>
          <w:p>
            <w:pPr>
              <w:jc w:val="right"/>
              <w:spacing w:after="0"/>
              <w:rPr>
                <w:sz w:val="20"/>
                <w:szCs w:val="20"/>
                <w:color w:val="auto"/>
              </w:rPr>
            </w:pPr>
            <w:r>
              <w:rPr>
                <w:rFonts w:ascii="Arial" w:cs="Arial" w:eastAsia="Arial" w:hAnsi="Arial"/>
                <w:sz w:val="13"/>
                <w:szCs w:val="13"/>
                <w:color w:val="auto"/>
                <w:w w:val="99"/>
              </w:rPr>
              <w:t>130,335,519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1,873,320</w:t>
            </w:r>
          </w:p>
        </w:tc>
        <w:tc>
          <w:tcPr>
            <w:tcW w:w="100" w:type="dxa"/>
            <w:vAlign w:val="bottom"/>
          </w:tcPr>
          <w:p>
            <w:pPr>
              <w:spacing w:after="0"/>
              <w:rPr>
                <w:sz w:val="13"/>
                <w:szCs w:val="13"/>
                <w:color w:val="auto"/>
              </w:rPr>
            </w:pPr>
          </w:p>
        </w:tc>
        <w:tc>
          <w:tcPr>
            <w:tcW w:w="620" w:type="dxa"/>
            <w:vAlign w:val="bottom"/>
          </w:tcPr>
          <w:p>
            <w:pPr>
              <w:jc w:val="right"/>
              <w:ind w:right="477"/>
              <w:spacing w:after="0"/>
              <w:rPr>
                <w:sz w:val="20"/>
                <w:szCs w:val="20"/>
                <w:color w:val="auto"/>
              </w:rPr>
            </w:pPr>
            <w:r>
              <w:rPr>
                <w:rFonts w:ascii="Arial" w:cs="Arial" w:eastAsia="Arial" w:hAnsi="Arial"/>
                <w:sz w:val="13"/>
                <w:szCs w:val="13"/>
                <w:color w:val="auto"/>
                <w:w w:val="82"/>
              </w:rPr>
              <w:t>$</w:t>
            </w: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(10,249,429)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(118,636)</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  1,108,679</w:t>
            </w:r>
          </w:p>
        </w:tc>
        <w:tc>
          <w:tcPr>
            <w:tcW w:w="1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2,488</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   (157,373)</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w w:val="93"/>
              </w:rPr>
              <w:t>$835,171</w:t>
            </w:r>
          </w:p>
        </w:tc>
        <w:tc>
          <w:tcPr>
            <w:tcW w:w="0" w:type="dxa"/>
            <w:vAlign w:val="bottom"/>
          </w:tcPr>
          <w:p>
            <w:pPr>
              <w:spacing w:after="0"/>
              <w:rPr>
                <w:sz w:val="1"/>
                <w:szCs w:val="1"/>
                <w:color w:val="auto"/>
              </w:rPr>
            </w:pPr>
          </w:p>
        </w:tc>
      </w:tr>
      <w:tr>
        <w:trPr>
          <w:trHeight w:val="252"/>
        </w:trPr>
        <w:tc>
          <w:tcPr>
            <w:tcW w:w="760" w:type="dxa"/>
            <w:vAlign w:val="bottom"/>
          </w:tcPr>
          <w:p>
            <w:pPr>
              <w:jc w:val="right"/>
              <w:spacing w:after="0"/>
              <w:rPr>
                <w:sz w:val="20"/>
                <w:szCs w:val="20"/>
                <w:color w:val="auto"/>
              </w:rPr>
            </w:pPr>
            <w:r>
              <w:rPr>
                <w:rFonts w:ascii="Arial" w:cs="Arial" w:eastAsia="Arial" w:hAnsi="Arial"/>
                <w:sz w:val="13"/>
                <w:szCs w:val="13"/>
                <w:color w:val="auto"/>
              </w:rPr>
              <w:t>401,226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405"/>
        </w:trPr>
        <w:tc>
          <w:tcPr>
            <w:tcW w:w="760" w:type="dxa"/>
            <w:vAlign w:val="bottom"/>
          </w:tcPr>
          <w:p>
            <w:pPr>
              <w:jc w:val="right"/>
              <w:spacing w:after="0"/>
              <w:rPr>
                <w:sz w:val="20"/>
                <w:szCs w:val="20"/>
                <w:color w:val="auto"/>
              </w:rPr>
            </w:pPr>
            <w:r>
              <w:rPr>
                <w:rFonts w:ascii="Arial" w:cs="Arial" w:eastAsia="Arial" w:hAnsi="Arial"/>
                <w:sz w:val="13"/>
                <w:szCs w:val="13"/>
                <w:color w:val="auto"/>
              </w:rPr>
              <w:t>1,823,944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(3,460)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(3,460)</w:t>
            </w:r>
          </w:p>
        </w:tc>
        <w:tc>
          <w:tcPr>
            <w:tcW w:w="0" w:type="dxa"/>
            <w:vAlign w:val="bottom"/>
          </w:tcPr>
          <w:p>
            <w:pPr>
              <w:spacing w:after="0"/>
              <w:rPr>
                <w:sz w:val="1"/>
                <w:szCs w:val="1"/>
                <w:color w:val="auto"/>
              </w:rPr>
            </w:pPr>
          </w:p>
        </w:tc>
      </w:tr>
      <w:tr>
        <w:trPr>
          <w:trHeight w:val="338"/>
        </w:trPr>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(907,029)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(10,031)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(10,031)</w:t>
            </w:r>
          </w:p>
        </w:tc>
        <w:tc>
          <w:tcPr>
            <w:tcW w:w="0" w:type="dxa"/>
            <w:vAlign w:val="bottom"/>
          </w:tcPr>
          <w:p>
            <w:pPr>
              <w:spacing w:after="0"/>
              <w:rPr>
                <w:sz w:val="1"/>
                <w:szCs w:val="1"/>
                <w:color w:val="auto"/>
              </w:rPr>
            </w:pPr>
          </w:p>
        </w:tc>
      </w:tr>
      <w:tr>
        <w:trPr>
          <w:trHeight w:val="270"/>
        </w:trPr>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46,801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(542)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(901)</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4"/>
        </w:trPr>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18,034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-1281430</wp:posOffset>
            </wp:positionV>
            <wp:extent cx="713232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-938530</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-509905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-252730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20" w:space="60"/>
            <w:col w:w="8960"/>
          </w:cols>
          <w:pgMar w:left="320" w:top="1427"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28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income</w:t>
            </w:r>
          </w:p>
        </w:tc>
        <w:tc>
          <w:tcPr>
            <w:tcW w:w="76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ind w:left="280"/>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12,518</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12,518</w:t>
            </w:r>
          </w:p>
        </w:tc>
      </w:tr>
      <w:tr>
        <w:trPr>
          <w:trHeight w:val="128"/>
        </w:trPr>
        <w:tc>
          <w:tcPr>
            <w:tcW w:w="228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March 31, 2026</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w w:val="99"/>
              </w:rPr>
              <w:t>132,560,689</w:t>
            </w:r>
          </w:p>
        </w:tc>
        <w:tc>
          <w:tcPr>
            <w:tcW w:w="44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9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1,873,320</w:t>
            </w:r>
          </w:p>
        </w:tc>
        <w:tc>
          <w:tcPr>
            <w:tcW w:w="460" w:type="dxa"/>
            <w:vAlign w:val="bottom"/>
            <w:gridSpan w:val="2"/>
          </w:tcPr>
          <w:p>
            <w:pPr>
              <w:jc w:val="right"/>
              <w:ind w:right="280"/>
              <w:spacing w:after="0" w:line="129" w:lineRule="exact"/>
              <w:rPr>
                <w:sz w:val="20"/>
                <w:szCs w:val="20"/>
                <w:color w:val="auto"/>
              </w:rPr>
            </w:pPr>
            <w:r>
              <w:rPr>
                <w:rFonts w:ascii="Arial" w:cs="Arial" w:eastAsia="Arial" w:hAnsi="Arial"/>
                <w:sz w:val="13"/>
                <w:szCs w:val="13"/>
                <w:color w:val="auto"/>
              </w:rPr>
              <w:t>$</w:t>
            </w:r>
          </w:p>
        </w:tc>
        <w:tc>
          <w:tcPr>
            <w:tcW w:w="420" w:type="dxa"/>
            <w:vAlign w:val="bottom"/>
          </w:tcPr>
          <w:p>
            <w:pPr>
              <w:ind w:left="280"/>
              <w:spacing w:after="0" w:line="129" w:lineRule="exact"/>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(11,109,657)</w:t>
            </w:r>
          </w:p>
        </w:tc>
        <w:tc>
          <w:tcPr>
            <w:tcW w:w="2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(128,125)</w:t>
            </w:r>
          </w:p>
        </w:tc>
        <w:tc>
          <w:tcPr>
            <w:tcW w:w="2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1,123,642</w:t>
            </w:r>
          </w:p>
        </w:tc>
        <w:tc>
          <w:tcPr>
            <w:tcW w:w="42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1,553</w:t>
            </w:r>
          </w:p>
        </w:tc>
        <w:tc>
          <w:tcPr>
            <w:tcW w:w="2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(144,855)</w:t>
            </w:r>
          </w:p>
        </w:tc>
        <w:tc>
          <w:tcPr>
            <w:tcW w:w="32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852,228</w:t>
            </w:r>
          </w:p>
        </w:tc>
      </w:tr>
      <w:tr>
        <w:trPr>
          <w:trHeight w:val="20"/>
        </w:trPr>
        <w:tc>
          <w:tcPr>
            <w:tcW w:w="2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-119380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-119380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-119380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-119380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-119380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-119380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-119380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6350</wp:posOffset>
            </wp:positionV>
            <wp:extent cx="56832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5"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auto"/>
        </w:rPr>
        <w:t>Accumulated</w:t>
      </w:r>
    </w:p>
    <w:p>
      <w:pPr>
        <w:sectPr>
          <w:pgSz w:w="11900" w:h="16838" w:orient="portrait"/>
          <w:cols w:equalWidth="0" w:num="1">
            <w:col w:w="11240"/>
          </w:cols>
          <w:pgMar w:left="320" w:top="14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21" w:lineRule="auto"/>
        <w:rPr>
          <w:sz w:val="20"/>
          <w:szCs w:val="20"/>
          <w:color w:val="auto"/>
        </w:rPr>
      </w:pPr>
      <w:r>
        <w:rPr>
          <w:rFonts w:ascii="Arial" w:cs="Arial" w:eastAsia="Arial" w:hAnsi="Arial"/>
          <w:sz w:val="13"/>
          <w:szCs w:val="13"/>
          <w:b w:val="1"/>
          <w:bCs w:val="1"/>
          <w:color w:val="auto"/>
        </w:rPr>
        <w:t xml:space="preserve">Balances at December 31, 2024 </w:t>
      </w:r>
      <w:r>
        <w:rPr>
          <w:rFonts w:ascii="Arial" w:cs="Arial" w:eastAsia="Arial" w:hAnsi="Arial"/>
          <w:sz w:val="13"/>
          <w:szCs w:val="13"/>
          <w:color w:val="auto"/>
        </w:rPr>
        <w:t>Issuance of common stock upon exercise of stock options, net of tax withheld</w:t>
      </w:r>
    </w:p>
    <w:p>
      <w:pPr>
        <w:spacing w:after="0" w:line="1" w:lineRule="exact"/>
        <w:rPr>
          <w:sz w:val="20"/>
          <w:szCs w:val="20"/>
          <w:color w:val="auto"/>
        </w:rPr>
      </w:pPr>
    </w:p>
    <w:p>
      <w:pPr>
        <w:ind w:right="60"/>
        <w:spacing w:after="0" w:line="216" w:lineRule="auto"/>
        <w:rPr>
          <w:sz w:val="20"/>
          <w:szCs w:val="20"/>
          <w:color w:val="auto"/>
        </w:rPr>
      </w:pPr>
      <w:r>
        <w:rPr>
          <w:rFonts w:ascii="Arial" w:cs="Arial" w:eastAsia="Arial" w:hAnsi="Arial"/>
          <w:sz w:val="13"/>
          <w:szCs w:val="13"/>
          <w:color w:val="auto"/>
        </w:rPr>
        <w:t>Issuance of common stock upon settlement of restricted stock units, net of tax withheld</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3"/>
          <w:szCs w:val="13"/>
          <w:color w:val="auto"/>
        </w:rPr>
        <w:t>Issuance of common stock for retention bonus</w:t>
      </w:r>
    </w:p>
    <w:p>
      <w:pPr>
        <w:spacing w:after="0" w:line="1" w:lineRule="exact"/>
        <w:rPr>
          <w:sz w:val="20"/>
          <w:szCs w:val="20"/>
          <w:color w:val="auto"/>
        </w:rPr>
      </w:pPr>
    </w:p>
    <w:p>
      <w:pPr>
        <w:ind w:right="80"/>
        <w:spacing w:after="0" w:line="216" w:lineRule="auto"/>
        <w:rPr>
          <w:sz w:val="20"/>
          <w:szCs w:val="20"/>
          <w:color w:val="auto"/>
        </w:rPr>
      </w:pPr>
      <w:r>
        <w:rPr>
          <w:rFonts w:ascii="Arial" w:cs="Arial" w:eastAsia="Arial" w:hAnsi="Arial"/>
          <w:sz w:val="13"/>
          <w:szCs w:val="13"/>
          <w:color w:val="auto"/>
        </w:rPr>
        <w:t>Issuance of common stock under employee stock purchase plan Common stock repurchases, including related costs</w:t>
      </w:r>
    </w:p>
    <w:p>
      <w:pPr>
        <w:spacing w:after="0" w:line="2" w:lineRule="exact"/>
        <w:rPr>
          <w:sz w:val="20"/>
          <w:szCs w:val="20"/>
          <w:color w:val="auto"/>
        </w:rPr>
      </w:pPr>
    </w:p>
    <w:p>
      <w:pPr>
        <w:ind w:right="20"/>
        <w:spacing w:after="0" w:line="216" w:lineRule="auto"/>
        <w:rPr>
          <w:sz w:val="20"/>
          <w:szCs w:val="20"/>
          <w:color w:val="auto"/>
        </w:rPr>
      </w:pPr>
      <w:r>
        <w:rPr>
          <w:rFonts w:ascii="Arial" w:cs="Arial" w:eastAsia="Arial" w:hAnsi="Arial"/>
          <w:sz w:val="13"/>
          <w:szCs w:val="13"/>
          <w:color w:val="auto"/>
        </w:rPr>
        <w:t>Issuance of treasury stock under equity incentive plans</w:t>
      </w:r>
    </w:p>
    <w:p>
      <w:pPr>
        <w:spacing w:after="0" w:line="1" w:lineRule="exact"/>
        <w:rPr>
          <w:sz w:val="20"/>
          <w:szCs w:val="20"/>
          <w:color w:val="auto"/>
        </w:rPr>
      </w:pPr>
    </w:p>
    <w:p>
      <w:pPr>
        <w:spacing w:after="0" w:line="216" w:lineRule="auto"/>
        <w:rPr>
          <w:sz w:val="20"/>
          <w:szCs w:val="20"/>
          <w:color w:val="auto"/>
        </w:rPr>
      </w:pPr>
      <w:r>
        <w:rPr>
          <w:rFonts w:ascii="Arial" w:cs="Arial" w:eastAsia="Arial" w:hAnsi="Arial"/>
          <w:sz w:val="13"/>
          <w:szCs w:val="13"/>
          <w:color w:val="auto"/>
        </w:rPr>
        <w:t>Foreign currency translation adjustment Unrealized losses on available-for-sale debt securities, net of taxes Stock-based compensation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gridSpan w:val="4"/>
          </w:tcPr>
          <w:p>
            <w:pPr>
              <w:jc w:val="right"/>
              <w:ind w:right="77"/>
              <w:spacing w:after="0"/>
              <w:rPr>
                <w:sz w:val="20"/>
                <w:szCs w:val="20"/>
                <w:color w:val="auto"/>
              </w:rPr>
            </w:pPr>
            <w:r>
              <w:rPr>
                <w:rFonts w:ascii="Arial" w:cs="Arial" w:eastAsia="Arial" w:hAnsi="Arial"/>
                <w:sz w:val="13"/>
                <w:szCs w:val="13"/>
                <w:b w:val="1"/>
                <w:bCs w:val="1"/>
                <w:color w:val="auto"/>
              </w:rPr>
              <w:t>Voting Common Stock</w:t>
            </w:r>
          </w:p>
        </w:tc>
        <w:tc>
          <w:tcPr>
            <w:tcW w:w="100" w:type="dxa"/>
            <w:vAlign w:val="bottom"/>
          </w:tcPr>
          <w:p>
            <w:pPr>
              <w:spacing w:after="0"/>
              <w:rPr>
                <w:sz w:val="13"/>
                <w:szCs w:val="13"/>
                <w:color w:val="auto"/>
              </w:rPr>
            </w:pPr>
          </w:p>
        </w:tc>
        <w:tc>
          <w:tcPr>
            <w:tcW w:w="1540" w:type="dxa"/>
            <w:vAlign w:val="bottom"/>
            <w:gridSpan w:val="3"/>
          </w:tcPr>
          <w:p>
            <w:pPr>
              <w:jc w:val="center"/>
              <w:ind w:left="77"/>
              <w:spacing w:after="0"/>
              <w:rPr>
                <w:sz w:val="20"/>
                <w:szCs w:val="20"/>
                <w:color w:val="auto"/>
              </w:rPr>
            </w:pPr>
            <w:r>
              <w:rPr>
                <w:rFonts w:ascii="Arial" w:cs="Arial" w:eastAsia="Arial" w:hAnsi="Arial"/>
                <w:sz w:val="13"/>
                <w:szCs w:val="13"/>
                <w:b w:val="1"/>
                <w:bCs w:val="1"/>
                <w:color w:val="auto"/>
                <w:w w:val="97"/>
              </w:rPr>
              <w:t>Non-Voting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Treasury Voting</w:t>
            </w:r>
          </w:p>
        </w:tc>
        <w:tc>
          <w:tcPr>
            <w:tcW w:w="10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11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620" w:type="dxa"/>
            <w:vAlign w:val="bottom"/>
            <w:gridSpan w:val="4"/>
            <w:vMerge w:val="restart"/>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1540" w:type="dxa"/>
            <w:vAlign w:val="bottom"/>
            <w:gridSpan w:val="3"/>
            <w:vMerge w:val="restart"/>
          </w:tcPr>
          <w:p>
            <w:pPr>
              <w:jc w:val="center"/>
              <w:ind w:left="77"/>
              <w:spacing w:after="0"/>
              <w:rPr>
                <w:sz w:val="20"/>
                <w:szCs w:val="20"/>
                <w:color w:val="auto"/>
              </w:rPr>
            </w:pPr>
            <w:r>
              <w:rPr>
                <w:rFonts w:ascii="Arial" w:cs="Arial" w:eastAsia="Arial" w:hAnsi="Arial"/>
                <w:sz w:val="13"/>
                <w:szCs w:val="13"/>
                <w:b w:val="1"/>
                <w:bCs w:val="1"/>
                <w:color w:val="auto"/>
                <w:w w:val="96"/>
              </w:rPr>
              <w:t>Common Stock</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1"/>
                <w:szCs w:val="11"/>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Comprehensiv</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Accumulate</w:t>
            </w:r>
          </w:p>
        </w:tc>
        <w:tc>
          <w:tcPr>
            <w:tcW w:w="1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04"/>
        </w:trPr>
        <w:tc>
          <w:tcPr>
            <w:tcW w:w="1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restart"/>
          </w:tcPr>
          <w:p>
            <w:pPr>
              <w:jc w:val="center"/>
              <w:ind w:right="117"/>
              <w:spacing w:after="0" w:line="139" w:lineRule="exact"/>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9"/>
                <w:szCs w:val="9"/>
                <w:color w:val="auto"/>
              </w:rPr>
            </w:pPr>
          </w:p>
        </w:tc>
        <w:tc>
          <w:tcPr>
            <w:tcW w:w="800" w:type="dxa"/>
            <w:vAlign w:val="bottom"/>
            <w:vMerge w:val="restart"/>
          </w:tcPr>
          <w:p>
            <w:pPr>
              <w:jc w:val="center"/>
              <w:spacing w:after="0" w:line="139" w:lineRule="exact"/>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9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95"/>
              </w:rPr>
              <w:t>Income (Loss)</w:t>
            </w:r>
          </w:p>
        </w:tc>
        <w:tc>
          <w:tcPr>
            <w:tcW w:w="10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9"/>
        </w:trPr>
        <w:tc>
          <w:tcPr>
            <w:tcW w:w="740" w:type="dxa"/>
            <w:vAlign w:val="bottom"/>
          </w:tcPr>
          <w:p>
            <w:pPr>
              <w:jc w:val="right"/>
              <w:spacing w:after="0"/>
              <w:rPr>
                <w:sz w:val="20"/>
                <w:szCs w:val="20"/>
                <w:color w:val="auto"/>
              </w:rPr>
            </w:pPr>
            <w:r>
              <w:rPr>
                <w:rFonts w:ascii="Arial" w:cs="Arial" w:eastAsia="Arial" w:hAnsi="Arial"/>
                <w:sz w:val="13"/>
                <w:szCs w:val="13"/>
                <w:color w:val="auto"/>
                <w:w w:val="96"/>
              </w:rPr>
              <w:t>126,853,852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1,873,320</w:t>
            </w:r>
          </w:p>
        </w:tc>
        <w:tc>
          <w:tcPr>
            <w:tcW w:w="100" w:type="dxa"/>
            <w:vAlign w:val="bottom"/>
          </w:tcPr>
          <w:p>
            <w:pPr>
              <w:spacing w:after="0"/>
              <w:rPr>
                <w:sz w:val="13"/>
                <w:szCs w:val="13"/>
                <w:color w:val="auto"/>
              </w:rPr>
            </w:pPr>
          </w:p>
        </w:tc>
        <w:tc>
          <w:tcPr>
            <w:tcW w:w="640" w:type="dxa"/>
            <w:vAlign w:val="bottom"/>
          </w:tcPr>
          <w:p>
            <w:pPr>
              <w:jc w:val="right"/>
              <w:ind w:right="497"/>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(4,670,974)</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(46,268)</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  1,033,958</w:t>
            </w:r>
          </w:p>
        </w:tc>
        <w:tc>
          <w:tcPr>
            <w:tcW w:w="120" w:type="dxa"/>
            <w:vAlign w:val="bottom"/>
          </w:tcPr>
          <w:p>
            <w:pPr>
              <w:spacing w:after="0"/>
              <w:rPr>
                <w:sz w:val="13"/>
                <w:szCs w:val="13"/>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(2,066)</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   (170,870)</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w w:val="93"/>
              </w:rPr>
              <w:t>$814,767</w:t>
            </w:r>
          </w:p>
        </w:tc>
        <w:tc>
          <w:tcPr>
            <w:tcW w:w="0" w:type="dxa"/>
            <w:vAlign w:val="bottom"/>
          </w:tcPr>
          <w:p>
            <w:pPr>
              <w:spacing w:after="0"/>
              <w:rPr>
                <w:sz w:val="1"/>
                <w:szCs w:val="1"/>
                <w:color w:val="auto"/>
              </w:rPr>
            </w:pPr>
          </w:p>
        </w:tc>
      </w:tr>
      <w:tr>
        <w:trPr>
          <w:trHeight w:val="252"/>
        </w:trPr>
        <w:tc>
          <w:tcPr>
            <w:tcW w:w="740" w:type="dxa"/>
            <w:vAlign w:val="bottom"/>
          </w:tcPr>
          <w:p>
            <w:pPr>
              <w:jc w:val="right"/>
              <w:spacing w:after="0"/>
              <w:rPr>
                <w:sz w:val="20"/>
                <w:szCs w:val="20"/>
                <w:color w:val="auto"/>
              </w:rPr>
            </w:pPr>
            <w:r>
              <w:rPr>
                <w:rFonts w:ascii="Arial" w:cs="Arial" w:eastAsia="Arial" w:hAnsi="Arial"/>
                <w:sz w:val="13"/>
                <w:szCs w:val="13"/>
                <w:color w:val="auto"/>
              </w:rPr>
              <w:t>526,388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1,377</w:t>
            </w:r>
          </w:p>
        </w:tc>
        <w:tc>
          <w:tcPr>
            <w:tcW w:w="0" w:type="dxa"/>
            <w:vAlign w:val="bottom"/>
          </w:tcPr>
          <w:p>
            <w:pPr>
              <w:spacing w:after="0"/>
              <w:rPr>
                <w:sz w:val="1"/>
                <w:szCs w:val="1"/>
                <w:color w:val="auto"/>
              </w:rPr>
            </w:pPr>
          </w:p>
        </w:tc>
      </w:tr>
      <w:tr>
        <w:trPr>
          <w:trHeight w:val="405"/>
        </w:trPr>
        <w:tc>
          <w:tcPr>
            <w:tcW w:w="740" w:type="dxa"/>
            <w:vAlign w:val="bottom"/>
          </w:tcPr>
          <w:p>
            <w:pPr>
              <w:jc w:val="right"/>
              <w:spacing w:after="0"/>
              <w:rPr>
                <w:sz w:val="20"/>
                <w:szCs w:val="20"/>
                <w:color w:val="auto"/>
              </w:rPr>
            </w:pPr>
            <w:r>
              <w:rPr>
                <w:rFonts w:ascii="Arial" w:cs="Arial" w:eastAsia="Arial" w:hAnsi="Arial"/>
                <w:sz w:val="13"/>
                <w:szCs w:val="13"/>
                <w:color w:val="auto"/>
              </w:rPr>
              <w:t>908,046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(1,676)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338"/>
        </w:trPr>
        <w:tc>
          <w:tcPr>
            <w:tcW w:w="740" w:type="dxa"/>
            <w:vAlign w:val="bottom"/>
          </w:tcPr>
          <w:p>
            <w:pPr>
              <w:jc w:val="right"/>
              <w:spacing w:after="0"/>
              <w:rPr>
                <w:sz w:val="20"/>
                <w:szCs w:val="20"/>
                <w:color w:val="auto"/>
              </w:rPr>
            </w:pPr>
            <w:r>
              <w:rPr>
                <w:rFonts w:ascii="Arial" w:cs="Arial" w:eastAsia="Arial" w:hAnsi="Arial"/>
                <w:sz w:val="13"/>
                <w:szCs w:val="13"/>
                <w:color w:val="auto"/>
              </w:rPr>
              <w:t>41,998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88,798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(3,562,643)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(48,411)</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(48,411)</w:t>
            </w:r>
          </w:p>
        </w:tc>
        <w:tc>
          <w:tcPr>
            <w:tcW w:w="0" w:type="dxa"/>
            <w:vAlign w:val="bottom"/>
          </w:tcPr>
          <w:p>
            <w:pPr>
              <w:spacing w:after="0"/>
              <w:rPr>
                <w:sz w:val="1"/>
                <w:szCs w:val="1"/>
                <w:color w:val="auto"/>
              </w:rPr>
            </w:pPr>
          </w:p>
        </w:tc>
      </w:tr>
      <w:tr>
        <w:trPr>
          <w:trHeight w:val="270"/>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19,182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2,677</w:t>
            </w:r>
          </w:p>
        </w:tc>
        <w:tc>
          <w:tcPr>
            <w:tcW w:w="0" w:type="dxa"/>
            <w:vAlign w:val="bottom"/>
          </w:tcPr>
          <w:p>
            <w:pPr>
              <w:spacing w:after="0"/>
              <w:rPr>
                <w:sz w:val="1"/>
                <w:szCs w:val="1"/>
                <w:color w:val="auto"/>
              </w:rPr>
            </w:pPr>
          </w:p>
        </w:tc>
      </w:tr>
      <w:tr>
        <w:trPr>
          <w:trHeight w:val="203"/>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84"/>
        </w:trPr>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18,578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18,578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-1624330</wp:posOffset>
            </wp:positionV>
            <wp:extent cx="7132320" cy="857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-1281430</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-852805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-509905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-252730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220" w:space="60"/>
            <w:col w:w="8960"/>
          </w:cols>
          <w:pgMar w:left="320" w:top="1427" w:right="3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280" w:type="dxa"/>
            <w:vAlign w:val="bottom"/>
            <w:tcBorders>
              <w:bottom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Net loss</w:t>
            </w:r>
          </w:p>
        </w:tc>
        <w:tc>
          <w:tcPr>
            <w:tcW w:w="7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ind w:left="280"/>
              <w:spacing w:after="0" w:line="141" w:lineRule="exact"/>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(4,160)</w:t>
            </w:r>
          </w:p>
        </w:tc>
        <w:tc>
          <w:tcPr>
            <w:tcW w:w="10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(4,160)</w:t>
            </w:r>
          </w:p>
        </w:tc>
      </w:tr>
      <w:tr>
        <w:trPr>
          <w:trHeight w:val="129"/>
        </w:trPr>
        <w:tc>
          <w:tcPr>
            <w:tcW w:w="228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at March 31, 2025</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w w:val="96"/>
              </w:rPr>
              <w:t>128,419,082</w:t>
            </w:r>
          </w:p>
        </w:tc>
        <w:tc>
          <w:tcPr>
            <w:tcW w:w="440" w:type="dxa"/>
            <w:vAlign w:val="bottom"/>
            <w:gridSpan w:val="2"/>
          </w:tcPr>
          <w:p>
            <w:pPr>
              <w:jc w:val="right"/>
              <w:ind w:right="260"/>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13</w:t>
            </w: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1,873,320</w:t>
            </w:r>
          </w:p>
        </w:tc>
        <w:tc>
          <w:tcPr>
            <w:tcW w:w="460" w:type="dxa"/>
            <w:vAlign w:val="bottom"/>
            <w:gridSpan w:val="2"/>
          </w:tcPr>
          <w:p>
            <w:pPr>
              <w:jc w:val="right"/>
              <w:ind w:right="280"/>
              <w:spacing w:after="0" w:line="129" w:lineRule="exact"/>
              <w:rPr>
                <w:sz w:val="20"/>
                <w:szCs w:val="20"/>
                <w:color w:val="auto"/>
              </w:rPr>
            </w:pPr>
            <w:r>
              <w:rPr>
                <w:rFonts w:ascii="Arial" w:cs="Arial" w:eastAsia="Arial" w:hAnsi="Arial"/>
                <w:sz w:val="13"/>
                <w:szCs w:val="13"/>
                <w:color w:val="auto"/>
              </w:rPr>
              <w:t>$</w:t>
            </w:r>
          </w:p>
        </w:tc>
        <w:tc>
          <w:tcPr>
            <w:tcW w:w="420" w:type="dxa"/>
            <w:vAlign w:val="bottom"/>
          </w:tcPr>
          <w:p>
            <w:pPr>
              <w:ind w:left="280"/>
              <w:spacing w:after="0" w:line="129" w:lineRule="exact"/>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(8,214,435)</w:t>
            </w:r>
          </w:p>
        </w:tc>
        <w:tc>
          <w:tcPr>
            <w:tcW w:w="3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(94,489)</w:t>
            </w:r>
          </w:p>
        </w:tc>
        <w:tc>
          <w:tcPr>
            <w:tcW w:w="24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1,053,289</w:t>
            </w:r>
          </w:p>
        </w:tc>
        <w:tc>
          <w:tcPr>
            <w:tcW w:w="480" w:type="dxa"/>
            <w:vAlign w:val="bottom"/>
            <w:gridSpan w:val="2"/>
          </w:tcPr>
          <w:p>
            <w:pPr>
              <w:jc w:val="right"/>
              <w:ind w:right="300"/>
              <w:spacing w:after="0" w:line="129"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482</w:t>
            </w:r>
          </w:p>
        </w:tc>
        <w:tc>
          <w:tcPr>
            <w:tcW w:w="26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(175,030)</w:t>
            </w:r>
          </w:p>
        </w:tc>
        <w:tc>
          <w:tcPr>
            <w:tcW w:w="34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3"/>
                <w:szCs w:val="13"/>
                <w:color w:val="auto"/>
              </w:rPr>
              <w:t>784,265</w:t>
            </w:r>
          </w:p>
        </w:tc>
      </w:tr>
      <w:tr>
        <w:trPr>
          <w:trHeight w:val="20"/>
        </w:trPr>
        <w:tc>
          <w:tcPr>
            <w:tcW w:w="2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-119380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-119380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-119380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-119380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-119380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-119380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-119380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-119380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spacing w:after="0"/>
        <w:rPr>
          <w:sz w:val="20"/>
          <w:szCs w:val="20"/>
          <w:color w:val="auto"/>
        </w:rPr>
      </w:pPr>
      <w:r>
        <w:rPr>
          <w:rFonts w:ascii="Arial" w:cs="Arial" w:eastAsia="Arial" w:hAnsi="Arial"/>
          <w:sz w:val="18"/>
          <w:szCs w:val="18"/>
          <w:color w:val="auto"/>
        </w:rPr>
        <w:t>(Unaudited)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8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12,518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Unrealized gain on foreign exchange rates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8,016</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17,537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18,218</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Amortization of deferred contract costs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Deferred tax provision</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Change in provision for uncollectible accounts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Non-cash interest income</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189"/>
        </w:trPr>
        <w:tc>
          <w:tcPr>
            <w:tcW w:w="80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r>
      <w:tr>
        <w:trPr>
          <w:trHeight w:val="189"/>
        </w:trPr>
        <w:tc>
          <w:tcPr>
            <w:tcW w:w="802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acquisitions: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Unbilled receivables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4,221</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Funds receivable from payment partners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63,663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26,452</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Prepaid expenses, other current assets and other assets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(8,577)</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Funds payable to clients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(109,600)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(108,992)</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(5,135)</w:t>
            </w:r>
          </w:p>
        </w:tc>
      </w:tr>
      <w:tr>
        <w:trPr>
          <w:trHeight w:val="189"/>
        </w:trPr>
        <w:tc>
          <w:tcPr>
            <w:tcW w:w="80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liabilities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r>
      <w:tr>
        <w:trPr>
          <w:trHeight w:val="189"/>
        </w:trPr>
        <w:tc>
          <w:tcPr>
            <w:tcW w:w="8020" w:type="dxa"/>
            <w:vAlign w:val="bottom"/>
          </w:tcPr>
          <w:p>
            <w:pPr>
              <w:ind w:left="30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183"/>
        </w:trPr>
        <w:tc>
          <w:tcPr>
            <w:tcW w:w="8020" w:type="dxa"/>
            <w:vAlign w:val="bottom"/>
            <w:tcBorders>
              <w:bottom w:val="single" w:sz="8" w:color="CFF0FC"/>
            </w:tcBorders>
            <w:shd w:val="clear" w:color="auto" w:fill="CFF0FC"/>
          </w:tcPr>
          <w:p>
            <w:pPr>
              <w:ind w:left="160"/>
              <w:spacing w:after="0" w:line="183" w:lineRule="exact"/>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(15,848)</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(80,794)</w:t>
            </w: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(319,835)</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(14,795)</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the maturity and sale of short-term and long-term investments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98,712</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Capitalization of internally developed software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18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w:t>
            </w:r>
          </w:p>
        </w:tc>
      </w:tr>
      <w:tr>
        <w:trPr>
          <w:trHeight w:val="183"/>
        </w:trPr>
        <w:tc>
          <w:tcPr>
            <w:tcW w:w="8020" w:type="dxa"/>
            <w:vAlign w:val="bottom"/>
          </w:tcPr>
          <w:p>
            <w:pPr>
              <w:ind w:left="160"/>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7,708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(237,415)</w:t>
            </w:r>
          </w:p>
        </w:tc>
      </w:tr>
      <w:tr>
        <w:trPr>
          <w:trHeight w:val="183"/>
        </w:trPr>
        <w:tc>
          <w:tcPr>
            <w:tcW w:w="80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Proceeds from issuance of revolving credit facility</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125,000</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Payment of revolving credit facility</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Payments of tax withholdings for net settled equity awards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Common stock repurchased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(49,304)</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Proceeds from the issuance of stock under Employee Stock Purchase Plan</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1,242</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931</w:t>
            </w: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1,377</w:t>
            </w:r>
          </w:p>
        </w:tc>
      </w:tr>
      <w:tr>
        <w:trPr>
          <w:trHeight w:val="183"/>
        </w:trPr>
        <w:tc>
          <w:tcPr>
            <w:tcW w:w="8020" w:type="dxa"/>
            <w:vAlign w:val="bottom"/>
          </w:tcPr>
          <w:p>
            <w:pPr>
              <w:ind w:left="16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(12,560)</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11,639</w:t>
            </w:r>
          </w:p>
        </w:tc>
      </w:tr>
      <w:tr>
        <w:trPr>
          <w:trHeight w:val="183"/>
        </w:trPr>
        <w:tc>
          <w:tcPr>
            <w:tcW w:w="80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2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2,290</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1,835</w:t>
            </w: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(18,410)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(304,735)</w:t>
            </w:r>
          </w:p>
        </w:tc>
      </w:tr>
      <w:tr>
        <w:trPr>
          <w:trHeight w:val="18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330,303</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495,242</w:t>
            </w:r>
          </w:p>
        </w:tc>
      </w:tr>
      <w:tr>
        <w:trPr>
          <w:trHeight w:val="183"/>
        </w:trPr>
        <w:tc>
          <w:tcPr>
            <w:tcW w:w="8020" w:type="dxa"/>
            <w:vAlign w:val="bottom"/>
          </w:tcPr>
          <w:p>
            <w:pPr>
              <w:spacing w:after="0" w:line="183" w:lineRule="exact"/>
              <w:rPr>
                <w:sz w:val="20"/>
                <w:szCs w:val="20"/>
                <w:color w:val="auto"/>
              </w:rPr>
            </w:pPr>
            <w:r>
              <w:rPr>
                <w:rFonts w:ascii="Arial" w:cs="Arial" w:eastAsia="Arial" w:hAnsi="Arial"/>
                <w:sz w:val="16"/>
                <w:szCs w:val="16"/>
                <w:color w:val="auto"/>
              </w:rPr>
              <w:t>Cash and cash equivalents, end of period</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311,893</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190,507</w:t>
            </w:r>
          </w:p>
        </w:tc>
      </w:tr>
      <w:tr>
        <w:trPr>
          <w:trHeight w:val="20"/>
        </w:trPr>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80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Supplemental disclosures of cash flow and noncash information</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Purchase of property and equipment in accounts payable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89"/>
        </w:trPr>
        <w:tc>
          <w:tcPr>
            <w:tcW w:w="8020" w:type="dxa"/>
            <w:vAlign w:val="bottom"/>
            <w:shd w:val="clear" w:color="auto" w:fill="CFF0FC"/>
          </w:tcPr>
          <w:p>
            <w:pPr>
              <w:spacing w:after="0"/>
              <w:rPr>
                <w:sz w:val="20"/>
                <w:szCs w:val="20"/>
                <w:color w:val="auto"/>
              </w:rPr>
            </w:pPr>
            <w:r>
              <w:rPr>
                <w:rFonts w:ascii="Arial" w:cs="Arial" w:eastAsia="Arial" w:hAnsi="Arial"/>
                <w:sz w:val="16"/>
                <w:szCs w:val="16"/>
                <w:color w:val="auto"/>
              </w:rPr>
              <w:t>Accrued excise tax related to common stock repurchased</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r>
      <w:tr>
        <w:trPr>
          <w:trHeight w:val="215"/>
        </w:trPr>
        <w:tc>
          <w:tcPr>
            <w:tcW w:w="8020" w:type="dxa"/>
            <w:vAlign w:val="bottom"/>
          </w:tcPr>
          <w:p>
            <w:pPr>
              <w:spacing w:after="0"/>
              <w:rPr>
                <w:sz w:val="20"/>
                <w:szCs w:val="20"/>
                <w:color w:val="auto"/>
              </w:rPr>
            </w:pPr>
            <w:r>
              <w:rPr>
                <w:rFonts w:ascii="Arial" w:cs="Arial" w:eastAsia="Arial" w:hAnsi="Arial"/>
                <w:sz w:val="16"/>
                <w:szCs w:val="16"/>
                <w:color w:val="auto"/>
              </w:rPr>
              <w:t>Capitalized stock-based compensation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-2861945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-2132965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-1168400</wp:posOffset>
            </wp:positionV>
            <wp:extent cx="939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-898525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-650240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presence in 16 countries across 5 continents.</w:t>
      </w:r>
    </w:p>
    <w:p>
      <w:pPr>
        <w:spacing w:after="0" w:line="142"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income, changes in stockholders’ equity, and its cash flows for the periods presented.</w:t>
      </w:r>
    </w:p>
    <w:p>
      <w:pPr>
        <w:spacing w:after="0" w:line="138"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results of operations for the three months ended March 31, 2026, are not necessarily indicative of results to be expected for the year ended December 31, 2026, any other interim periods or any future year or period. The accompanying consolidated balance sheet as of December 31, 2025, was derived from the Company’s audited consolidated financial statements for the year ended December 31, 2025. 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36"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2025.</w:t>
      </w:r>
    </w:p>
    <w:p>
      <w:pPr>
        <w:spacing w:after="0" w:line="11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 xml:space="preserve">The Company has a single operating and reportable segment. See </w:t>
      </w:r>
      <w:r>
        <w:rPr>
          <w:rFonts w:ascii="Arial" w:cs="Arial" w:eastAsia="Arial" w:hAnsi="Arial"/>
          <w:sz w:val="18"/>
          <w:szCs w:val="18"/>
          <w:i w:val="1"/>
          <w:iCs w:val="1"/>
          <w:color w:val="auto"/>
        </w:rPr>
        <w:t>Note 3 - Segment Information</w:t>
      </w:r>
      <w:r>
        <w:rPr>
          <w:rFonts w:ascii="Arial" w:cs="Arial" w:eastAsia="Arial" w:hAnsi="Arial"/>
          <w:sz w:val="18"/>
          <w:szCs w:val="18"/>
          <w:color w:val="auto"/>
        </w:rPr>
        <w:t xml:space="preserve"> for additional details regarding the Company's significant segment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3" w:lineRule="exact"/>
        <w:rPr>
          <w:sz w:val="20"/>
          <w:szCs w:val="20"/>
          <w:color w:val="auto"/>
        </w:rPr>
      </w:pPr>
    </w:p>
    <w:p>
      <w:pPr>
        <w:ind w:right="300" w:firstLine="509"/>
        <w:spacing w:after="0" w:line="245"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of assets and liabilities, the valuation of acquired</w:t>
      </w:r>
    </w:p>
    <w:p>
      <w:pPr>
        <w:ind w:right="240"/>
        <w:spacing w:after="0" w:line="250" w:lineRule="auto"/>
        <w:rPr>
          <w:sz w:val="20"/>
          <w:szCs w:val="20"/>
          <w:color w:val="auto"/>
        </w:rPr>
      </w:pPr>
      <w:r>
        <w:rPr>
          <w:rFonts w:ascii="Arial" w:cs="Arial" w:eastAsia="Arial" w:hAnsi="Arial"/>
          <w:sz w:val="18"/>
          <w:szCs w:val="18"/>
          <w:color w:val="auto"/>
        </w:rPr>
        <w:t>intangible assets and other long-lived assets and their useful lives, and the reported amounts of revenues and expenses in the condensed consolidated financial statements and the accompanying notes. Actual results may differ from those estimates or assumptions.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6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cash equivalents, investments in available-for-sale debt securities, accounts receivable, unbilled receivables, and funds receivable from payment partners.</w:t>
      </w:r>
    </w:p>
    <w:p>
      <w:pPr>
        <w:spacing w:after="0" w:line="127"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The Company's cash equivalents include money market funds, which are AAA-rated and comprised of liquid, high quality debt securities issued by the U.S. government. The Company's cash and cash equivalents deposited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spacing w:after="0" w:line="242" w:lineRule="auto"/>
        <w:rPr>
          <w:sz w:val="20"/>
          <w:szCs w:val="20"/>
          <w:color w:val="auto"/>
        </w:rPr>
      </w:pPr>
      <w:r>
        <w:rPr>
          <w:rFonts w:ascii="Arial" w:cs="Arial" w:eastAsia="Arial" w:hAnsi="Arial"/>
          <w:sz w:val="18"/>
          <w:szCs w:val="18"/>
          <w:color w:val="auto"/>
        </w:rPr>
        <w:t>with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The Company's access to its cash and cash equivalents and client funds could be significantly impacted in volatile markets given its concentration in government money market funds.</w:t>
      </w:r>
    </w:p>
    <w:p>
      <w:pPr>
        <w:spacing w:after="0" w:line="152"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To manage credit risk associated with investments in available-for-sale debt securities, the Company monitors credit ratings of the issuers of the securities and diversifies its investments by limiting its holding in any one security or issuer.</w:t>
      </w:r>
    </w:p>
    <w:p>
      <w:pPr>
        <w:spacing w:after="0" w:line="11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To reflect the estimated realizable value of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information in determining its estimated loss rates, such as external forecasts, macroeconomic trends, or other factors that are associated with the credit quality of the Company’s customer base. The Company did not experience any material credit losses for the three months ended March 31, 2026 and 2025.</w:t>
      </w:r>
    </w:p>
    <w:p>
      <w:pPr>
        <w:spacing w:after="0" w:line="136"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There were no clients that represented 10% or more of the accounts receivable balance as of March 31, 2026 or December 31, 2025.</w:t>
      </w:r>
    </w:p>
    <w:p>
      <w:pPr>
        <w:spacing w:after="0" w:line="127"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Funds receivable from payment partners consists primarily of cash held by the Company’s global payment processing partners that have not yet been remitted to the Company. The following table shows payment partners that represent 10% or more of funds receivable from payment partners: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March 31, 2026</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9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Partner A</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47%</w:t>
            </w:r>
          </w:p>
        </w:tc>
      </w:tr>
      <w:tr>
        <w:trPr>
          <w:trHeight w:val="189"/>
        </w:trPr>
        <w:tc>
          <w:tcPr>
            <w:tcW w:w="9020" w:type="dxa"/>
            <w:vAlign w:val="bottom"/>
            <w:gridSpan w:val="2"/>
          </w:tcPr>
          <w:p>
            <w:pPr>
              <w:spacing w:after="0"/>
              <w:rPr>
                <w:sz w:val="20"/>
                <w:szCs w:val="20"/>
                <w:color w:val="auto"/>
              </w:rPr>
            </w:pPr>
            <w:r>
              <w:rPr>
                <w:rFonts w:ascii="Arial" w:cs="Arial" w:eastAsia="Arial" w:hAnsi="Arial"/>
                <w:sz w:val="16"/>
                <w:szCs w:val="16"/>
                <w:color w:val="auto"/>
              </w:rPr>
              <w:t>Partner B</w:t>
            </w:r>
          </w:p>
        </w:tc>
        <w:tc>
          <w:tcPr>
            <w:tcW w:w="340" w:type="dxa"/>
            <w:vAlign w:val="bottom"/>
          </w:tcPr>
          <w:p>
            <w:pPr>
              <w:jc w:val="right"/>
              <w:spacing w:after="0"/>
              <w:rPr>
                <w:sz w:val="20"/>
                <w:szCs w:val="20"/>
                <w:color w:val="auto"/>
              </w:rPr>
            </w:pPr>
            <w:r>
              <w:rPr>
                <w:rFonts w:ascii="Arial" w:cs="Arial" w:eastAsia="Arial" w:hAnsi="Arial"/>
                <w:sz w:val="16"/>
                <w:szCs w:val="16"/>
                <w:color w:val="auto"/>
                <w:w w:val="99"/>
              </w:rPr>
              <w:t>51%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9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Partner C</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53"/>
        </w:trPr>
        <w:tc>
          <w:tcPr>
            <w:tcW w:w="7540" w:type="dxa"/>
            <w:vAlign w:val="bottom"/>
          </w:tcPr>
          <w:p>
            <w:pPr>
              <w:spacing w:after="0" w:line="153" w:lineRule="exact"/>
              <w:rPr>
                <w:sz w:val="20"/>
                <w:szCs w:val="20"/>
                <w:color w:val="auto"/>
              </w:rPr>
            </w:pPr>
            <w:r>
              <w:rPr>
                <w:rFonts w:ascii="Arial" w:cs="Arial" w:eastAsia="Arial" w:hAnsi="Arial"/>
                <w:sz w:val="14"/>
                <w:szCs w:val="14"/>
                <w:color w:val="auto"/>
              </w:rPr>
              <w:t>______________________</w:t>
            </w:r>
          </w:p>
        </w:tc>
        <w:tc>
          <w:tcPr>
            <w:tcW w:w="1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190"/>
        </w:trPr>
        <w:tc>
          <w:tcPr>
            <w:tcW w:w="9020" w:type="dxa"/>
            <w:vAlign w:val="bottom"/>
            <w:gridSpan w:val="2"/>
          </w:tcPr>
          <w:p>
            <w:pPr>
              <w:spacing w:after="0"/>
              <w:rPr>
                <w:sz w:val="20"/>
                <w:szCs w:val="20"/>
                <w:color w:val="auto"/>
              </w:rPr>
            </w:pPr>
            <w:r>
              <w:rPr>
                <w:rFonts w:ascii="Arial" w:cs="Arial" w:eastAsia="Arial" w:hAnsi="Arial"/>
                <w:sz w:val="14"/>
                <w:szCs w:val="14"/>
                <w:color w:val="auto"/>
              </w:rPr>
              <w:t>* Less than 10% of total balance.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138" w:lineRule="exact"/>
        <w:rPr>
          <w:sz w:val="20"/>
          <w:szCs w:val="20"/>
          <w:color w:val="auto"/>
        </w:rPr>
      </w:pPr>
    </w:p>
    <w:p>
      <w:pPr>
        <w:ind w:right="1820" w:firstLine="509"/>
        <w:spacing w:after="0" w:line="446" w:lineRule="auto"/>
        <w:rPr>
          <w:sz w:val="20"/>
          <w:szCs w:val="20"/>
          <w:color w:val="auto"/>
        </w:rPr>
      </w:pPr>
      <w:r>
        <w:rPr>
          <w:rFonts w:ascii="Arial" w:cs="Arial" w:eastAsia="Arial" w:hAnsi="Arial"/>
          <w:sz w:val="18"/>
          <w:szCs w:val="18"/>
          <w:color w:val="auto"/>
        </w:rPr>
        <w:t xml:space="preserve">During the three months ended March 31, 2026 and 2025, no client accounted for 10% or more of total revenue. </w:t>
      </w:r>
      <w:r>
        <w:rPr>
          <w:rFonts w:ascii="Arial" w:cs="Arial" w:eastAsia="Arial" w:hAnsi="Arial"/>
          <w:sz w:val="18"/>
          <w:szCs w:val="18"/>
          <w:b w:val="1"/>
          <w:bCs w:val="1"/>
          <w:i w:val="1"/>
          <w:iCs w:val="1"/>
          <w:color w:val="auto"/>
        </w:rPr>
        <w:t>Summary of Significant Accounting Policies</w:t>
      </w:r>
    </w:p>
    <w:p>
      <w:pPr>
        <w:ind w:right="240" w:firstLine="509"/>
        <w:spacing w:after="0" w:line="25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Note 1 - Business Overview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notes to the audited consolidated financial statements in the Company’s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3"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income (loss). Advertising expenses were $1.7 million and $1.8 million for the three months ended March 31, 2026 and 2025,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Revisions to Previously Issued Financial Statements</w:t>
      </w:r>
    </w:p>
    <w:p>
      <w:pPr>
        <w:spacing w:after="0" w:line="169"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As previously identified during the preparation of the Company's condensed consolidated financial statements for the nine months ended September 30, 2025, the Company determined there were classification errors in its historical Consolidated Statements of Cash Flows. Accordingly, the accompanying Condensed Consolidated Statement of Cash Flows for the three months ended March 31, 2025, presented herein for comparative purposes, has been revised from the amounts originally reported.</w:t>
      </w:r>
    </w:p>
    <w:p>
      <w:pPr>
        <w:spacing w:after="0" w:line="14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Specifically, the Company’s historical classification of the effects of exchange rate changes on the Company’s foreign denominated cash and cash equivalent balances was misclassified between the effects of exchange rate changes on cash and cash equivalents and cash flows from operating activities in its Condensed Consolidated Statement of Cash Flows for the three months ended March 31, 2025. Additionally, the Company corrected for immaterial classification errors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between cash flows from operating activities and cash flows from investing activities for the three months ending March 31, 2025.</w:t>
      </w:r>
    </w:p>
    <w:p>
      <w:pPr>
        <w:spacing w:after="0" w:line="18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assessed the effect of these errors on prior periods under the guidance of Securities and Exchange Commission (“SEC”) Staff Accounting Bulletin No. 99, “Materiality,” codified in ASC 250, Accounting Changes and Error Corrections (“ASC 250”). Based on its assessment, the Company determined the errors were not material to any previously issued financial statements. The correction has no impact on the Company's previously reported consolidated net income (loss), financial position, net change in cash, cash equivalents, and restricted cash, or total cash, cash equivalents, and restricted cash as previously reported on the Company's Consolidated Statements of Cash Flows for the applicable periods.</w:t>
      </w:r>
    </w:p>
    <w:p>
      <w:pPr>
        <w:spacing w:after="0" w:line="138"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following table shows the impact of the revision on the Condensed Consolidated Statement of Cash Flows for the three months ended March 31, 2025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gridSpan w:val="7"/>
          </w:tcPr>
          <w:p>
            <w:pPr>
              <w:jc w:val="right"/>
              <w:ind w:right="979"/>
              <w:spacing w:after="0"/>
              <w:rPr>
                <w:sz w:val="20"/>
                <w:szCs w:val="20"/>
                <w:color w:val="auto"/>
              </w:rPr>
            </w:pPr>
            <w:r>
              <w:rPr>
                <w:rFonts w:ascii="Arial" w:cs="Arial" w:eastAsia="Arial" w:hAnsi="Arial"/>
                <w:sz w:val="16"/>
                <w:szCs w:val="16"/>
                <w:b w:val="1"/>
                <w:bCs w:val="1"/>
                <w:color w:val="auto"/>
              </w:rPr>
              <w:t>Three Months Ended March 31, 2025</w:t>
            </w:r>
          </w:p>
        </w:tc>
      </w:tr>
      <w:tr>
        <w:trPr>
          <w:trHeight w:val="168"/>
        </w:trPr>
        <w:tc>
          <w:tcPr>
            <w:tcW w:w="5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159"/>
              <w:spacing w:after="0" w:line="16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3"/>
        </w:trPr>
        <w:tc>
          <w:tcPr>
            <w:tcW w:w="5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 Revised</w:t>
            </w: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Unrealized gain on remeasurement of foreign currency</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(4,712)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189"/>
        </w:trPr>
        <w:tc>
          <w:tcPr>
            <w:tcW w:w="5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accretion of discounts and amortization of premiums on investments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r>
      <w:tr>
        <w:trPr>
          <w:trHeight w:val="189"/>
        </w:trPr>
        <w:tc>
          <w:tcPr>
            <w:tcW w:w="58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 net of acquisition:</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Unbilled receivables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4,221</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receivable from payment partners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25,873</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26,452</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Prepaid expenses, other current assets and other assets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(8,577)</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Funds payable to clients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(111,175)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(108,992)</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Accounts payable, accrued expenses and other current liabilities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(5,135)</w:t>
            </w:r>
          </w:p>
        </w:tc>
      </w:tr>
      <w:tr>
        <w:trPr>
          <w:trHeight w:val="189"/>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liabilities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w:t>
            </w:r>
          </w:p>
        </w:tc>
      </w:tr>
      <w:tr>
        <w:trPr>
          <w:trHeight w:val="189"/>
        </w:trPr>
        <w:tc>
          <w:tcPr>
            <w:tcW w:w="58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182"/>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used in operating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(78,890)</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(1,904)</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(80,794)</w:t>
            </w:r>
          </w:p>
        </w:tc>
      </w:tr>
      <w:tr>
        <w:trPr>
          <w:trHeight w:val="183"/>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Purchase of short-term and long-term investments</w:t>
            </w: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(14,795)</w:t>
            </w:r>
          </w:p>
        </w:tc>
      </w:tr>
      <w:tr>
        <w:trPr>
          <w:trHeight w:val="183"/>
        </w:trPr>
        <w:tc>
          <w:tcPr>
            <w:tcW w:w="582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6"/>
                <w:szCs w:val="16"/>
                <w:color w:val="auto"/>
              </w:rPr>
              <w:t>Net cash used in investing activities</w:t>
            </w:r>
          </w:p>
        </w:tc>
        <w:tc>
          <w:tcPr>
            <w:tcW w:w="5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(237,872)</w:t>
            </w: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457</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(237,415)</w:t>
            </w:r>
          </w:p>
        </w:tc>
      </w:tr>
      <w:tr>
        <w:trPr>
          <w:trHeight w:val="182"/>
        </w:trPr>
        <w:tc>
          <w:tcPr>
            <w:tcW w:w="5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Effect of exchange rates changes on cash and cash equivalents</w:t>
            </w:r>
          </w:p>
        </w:tc>
        <w:tc>
          <w:tcPr>
            <w:tcW w:w="6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388</w:t>
            </w:r>
          </w:p>
        </w:tc>
        <w:tc>
          <w:tcPr>
            <w:tcW w:w="30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1,447</w:t>
            </w:r>
          </w:p>
        </w:tc>
        <w:tc>
          <w:tcPr>
            <w:tcW w:w="3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1,835</w:t>
            </w:r>
          </w:p>
        </w:tc>
      </w:tr>
      <w:tr>
        <w:trPr>
          <w:trHeight w:val="20"/>
        </w:trPr>
        <w:tc>
          <w:tcPr>
            <w:tcW w:w="58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-762635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-762635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-264795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Effective January 1, 2026, the Company adopted ASU 2025-05,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for Accounts Receivable and Contract Assets. </w:t>
      </w:r>
      <w:r>
        <w:rPr>
          <w:rFonts w:ascii="Arial" w:cs="Arial" w:eastAsia="Arial" w:hAnsi="Arial"/>
          <w:sz w:val="18"/>
          <w:szCs w:val="18"/>
          <w:color w:val="auto"/>
        </w:rPr>
        <w:t>ASU 2025-05 provides a practical expedient and an accounting policy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estimation of expected credit losses for current accounts receivable and current contract assets that arise from transactions accounted for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Upon adoption, the Company elected the practical expedient that allows entities to assume that current conditions as of the balance sheet date do not change for the remaining life of the asset. The standard was applied on a prospective basis. The Company's adoption of 2025-05 did not have a material impact on its condensed consolidated financial statements and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10" w:lineRule="exact"/>
        <w:rPr>
          <w:sz w:val="20"/>
          <w:szCs w:val="20"/>
          <w:color w:val="auto"/>
        </w:rPr>
      </w:pPr>
    </w:p>
    <w:p>
      <w:pPr>
        <w:ind w:right="300" w:firstLine="509"/>
        <w:spacing w:after="0" w:line="287" w:lineRule="auto"/>
        <w:rPr>
          <w:sz w:val="20"/>
          <w:szCs w:val="20"/>
          <w:color w:val="auto"/>
        </w:rPr>
      </w:pPr>
      <w:r>
        <w:rPr>
          <w:rFonts w:ascii="Arial" w:cs="Arial" w:eastAsia="Arial" w:hAnsi="Arial"/>
          <w:sz w:val="18"/>
          <w:szCs w:val="18"/>
          <w:color w:val="auto"/>
        </w:rPr>
        <w:t>The following Accounting Standards Updates (ASUs) were issued by the Financial Accounting Standards Board (FASB) but not yet adopted by Flywire as of March 31, 2026:</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 - Reporting Comprehensive Income - 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of Income Statement Expenses: </w:t>
      </w:r>
      <w:r>
        <w:rPr>
          <w:rFonts w:ascii="Arial" w:cs="Arial" w:eastAsia="Arial" w:hAnsi="Arial"/>
          <w:sz w:val="18"/>
          <w:szCs w:val="18"/>
          <w:color w:val="auto"/>
        </w:rPr>
        <w:t>ASU 2024-03 is intended to improve the disclosures of expenses by providing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about the types of expenses in commonly presented expense captions. The ASU requires entities to disclose the amounts of purchases of inventory, employee compensation, depreciation and intangible asset amortization included in each relevant expense caption; as well as a qualitative description of the amounts remaining in relevant expense captions that are not separately disaggregated quantitatively. The amendment also requires disclosure of the total amount of selling expense and, in annual reporting periods, an entity’s definition of selling expenses. ASU 2025-01, </w:t>
      </w:r>
      <w:r>
        <w:rPr>
          <w:rFonts w:ascii="Arial" w:cs="Arial" w:eastAsia="Arial" w:hAnsi="Arial"/>
          <w:sz w:val="18"/>
          <w:szCs w:val="18"/>
          <w:i w:val="1"/>
          <w:iCs w:val="1"/>
          <w:color w:val="auto"/>
        </w:rPr>
        <w:t>Income Statement - Reporting Comprehensive Income - Expense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1" w:name="page12"/>
    <w:bookmarkEnd w:id="11"/>
    <w:p>
      <w:pPr>
        <w:ind w:right="240"/>
        <w:spacing w:after="0" w:line="275" w:lineRule="auto"/>
        <w:rPr>
          <w:sz w:val="20"/>
          <w:szCs w:val="20"/>
          <w:color w:val="auto"/>
        </w:rPr>
      </w:pPr>
      <w:r>
        <w:rPr>
          <w:rFonts w:ascii="Arial" w:cs="Arial" w:eastAsia="Arial" w:hAnsi="Arial"/>
          <w:sz w:val="17"/>
          <w:szCs w:val="17"/>
          <w:i w:val="1"/>
          <w:iCs w:val="1"/>
          <w:color w:val="auto"/>
        </w:rPr>
        <w:t xml:space="preserve">Disaggregation Disclosures (Subtopic 220-40): Clarifying the Effective Date, </w:t>
      </w:r>
      <w:r>
        <w:rPr>
          <w:rFonts w:ascii="Arial" w:cs="Arial" w:eastAsia="Arial" w:hAnsi="Arial"/>
          <w:sz w:val="17"/>
          <w:szCs w:val="17"/>
          <w:color w:val="auto"/>
        </w:rPr>
        <w:t>clarifies the amendments in ASU 2024-03 are effective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the annual period beginning on January 1, 2027, and interim reporting periods within annual reporting periods beginning January 1, 2028. The Company is currently evaluating the impact of this standard on its consolidated financial statements and disclosures.</w:t>
      </w:r>
    </w:p>
    <w:p>
      <w:pPr>
        <w:spacing w:after="0" w:line="12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 xml:space="preserve">ASU 2025-06, </w:t>
      </w:r>
      <w:r>
        <w:rPr>
          <w:rFonts w:ascii="Arial" w:cs="Arial" w:eastAsia="Arial" w:hAnsi="Arial"/>
          <w:sz w:val="18"/>
          <w:szCs w:val="18"/>
          <w:i w:val="1"/>
          <w:iCs w:val="1"/>
          <w:color w:val="auto"/>
        </w:rPr>
        <w:t>Intangibles - Goodwill and Other - Internal-Use Software (Subtopic 350-40): Targeted Improvements to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 -Use Software</w:t>
      </w:r>
      <w:r>
        <w:rPr>
          <w:rFonts w:ascii="Arial" w:cs="Arial" w:eastAsia="Arial" w:hAnsi="Arial"/>
          <w:sz w:val="18"/>
          <w:szCs w:val="18"/>
          <w:color w:val="auto"/>
        </w:rPr>
        <w:t>: ASU 2025-06 amends certain aspects of the accounting for and disclosure of software costs. Rather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identifying stages, ASC 350-40-25-12 clarifies the following must be met to begin capitalizing software costs: (i) Management, with the relevant authority, implicitly or explicitly authorizes and commits to funding a computer software project; and (ii) it is probable that the project will be completed and the software will be used to perform the function intended (probable-to-complete recognition threshold). ASU 2025-06 is effective for the Company for the annual period beginning on January 1, 2028, and interim reporting periods within those annual reporting periods beginning on January 1, 2028. ASU 2025 -06 should be applied on a prospective basis with early adoption permitted. The Company is currently evaluating the impact of this standard on its consolidated financial statements and disclosures.</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71"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09"/>
        </w:trPr>
        <w:tc>
          <w:tcPr>
            <w:tcW w:w="7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Primary geographical markets</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7840" w:type="dxa"/>
            <w:vAlign w:val="bottom"/>
          </w:tcPr>
          <w:p>
            <w:pPr>
              <w:ind w:left="160"/>
              <w:spacing w:after="0"/>
              <w:rPr>
                <w:sz w:val="20"/>
                <w:szCs w:val="20"/>
                <w:color w:val="auto"/>
              </w:rPr>
            </w:pPr>
            <w:r>
              <w:rPr>
                <w:rFonts w:ascii="Arial" w:cs="Arial" w:eastAsia="Arial" w:hAnsi="Arial"/>
                <w:sz w:val="16"/>
                <w:szCs w:val="16"/>
                <w:color w:val="auto"/>
              </w:rPr>
              <w:t>Americas</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93,913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63,382</w:t>
            </w:r>
          </w:p>
        </w:tc>
      </w:tr>
      <w:tr>
        <w:trPr>
          <w:trHeight w:val="217"/>
        </w:trPr>
        <w:tc>
          <w:tcPr>
            <w:tcW w:w="78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EMEA</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64,243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47,448</w:t>
            </w:r>
          </w:p>
        </w:tc>
      </w:tr>
      <w:tr>
        <w:trPr>
          <w:trHeight w:val="203"/>
        </w:trPr>
        <w:tc>
          <w:tcPr>
            <w:tcW w:w="7840" w:type="dxa"/>
            <w:vAlign w:val="bottom"/>
          </w:tcPr>
          <w:p>
            <w:pPr>
              <w:ind w:left="160"/>
              <w:spacing w:after="0"/>
              <w:rPr>
                <w:sz w:val="20"/>
                <w:szCs w:val="20"/>
                <w:color w:val="auto"/>
              </w:rPr>
            </w:pPr>
            <w:r>
              <w:rPr>
                <w:rFonts w:ascii="Arial" w:cs="Arial" w:eastAsia="Arial" w:hAnsi="Arial"/>
                <w:sz w:val="16"/>
                <w:szCs w:val="16"/>
                <w:color w:val="auto"/>
              </w:rPr>
              <w:t>APAC</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22,622</w:t>
            </w:r>
          </w:p>
        </w:tc>
      </w:tr>
      <w:tr>
        <w:trPr>
          <w:trHeight w:val="223"/>
        </w:trPr>
        <w:tc>
          <w:tcPr>
            <w:tcW w:w="78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188,112</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133,452</w:t>
            </w:r>
          </w:p>
        </w:tc>
      </w:tr>
      <w:tr>
        <w:trPr>
          <w:trHeight w:val="197"/>
        </w:trPr>
        <w:tc>
          <w:tcPr>
            <w:tcW w:w="784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Major solutions</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78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Transactions</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155,205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108,490</w:t>
            </w:r>
          </w:p>
        </w:tc>
      </w:tr>
      <w:tr>
        <w:trPr>
          <w:trHeight w:val="203"/>
        </w:trPr>
        <w:tc>
          <w:tcPr>
            <w:tcW w:w="7840" w:type="dxa"/>
            <w:vAlign w:val="bottom"/>
          </w:tcPr>
          <w:p>
            <w:pPr>
              <w:ind w:left="160"/>
              <w:spacing w:after="0"/>
              <w:rPr>
                <w:sz w:val="20"/>
                <w:szCs w:val="20"/>
                <w:color w:val="auto"/>
              </w:rPr>
            </w:pPr>
            <w:r>
              <w:rPr>
                <w:rFonts w:ascii="Arial" w:cs="Arial" w:eastAsia="Arial" w:hAnsi="Arial"/>
                <w:sz w:val="16"/>
                <w:szCs w:val="16"/>
                <w:color w:val="auto"/>
              </w:rPr>
              <w:t>Platform and other revenues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24,962</w:t>
            </w:r>
          </w:p>
        </w:tc>
      </w:tr>
      <w:tr>
        <w:trPr>
          <w:trHeight w:val="203"/>
        </w:trPr>
        <w:tc>
          <w:tcPr>
            <w:tcW w:w="78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188,112</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133,452</w:t>
            </w:r>
          </w:p>
        </w:tc>
      </w:tr>
      <w:tr>
        <w:trPr>
          <w:trHeight w:val="20"/>
        </w:trPr>
        <w:tc>
          <w:tcPr>
            <w:tcW w:w="7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-582295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-565150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For the three months ended March 31, 2026 and 2025, the Company recognized $10.1 million and $3.2 million in revenue from amounts that were included in deferred revenue as of December 31, 2025 and 2024,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3"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 has performance obligations associated with certain clients' contracts for future services that have not yet been recognized as revenue. As of March 31, 2026, the aggregate amount of transaction price allocated to performance obligations that are unsatisfied or partially unsatisfied, including deferred revenue, was approximately $17.3 million. Of the total remaining performance obligations, the Company expects to recognize approximately 48.9% within the next year, 24.7% after one year through year two and 26.4% over the next three to five years thereafter. Actual amounts and timing of revenue recognized may differ due to subsequent contract modifications, renewals and/or terminations.</w:t>
      </w:r>
    </w:p>
    <w:p>
      <w:pPr>
        <w:spacing w:after="0" w:line="13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Segment Information</w:t>
      </w:r>
    </w:p>
    <w:p>
      <w:pPr>
        <w:spacing w:after="0" w:line="171"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Company has a single operating and reportable segment. Operating segments are defined as components of an enterprise for which separate financial information is regularly evaluated by the Company’s chief operating decision maker (CODM). The Company’s CODM is its Chief Executive Officer, who reviews financial information presented on a consolidated basis for purposes of making operating decisions, assessing financial performance and allocating resources. The Company's CODM evaluates company-wide performance, including allocation of resources and assessing profitability, based on multiple performance measures, including, but not limited to net income (loss).</w:t>
      </w:r>
    </w:p>
    <w:p>
      <w:pPr>
        <w:spacing w:after="0" w:line="15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following table presents the Company's significant segment expenses and other segment items for the three months ended March 31, 2026 and 2025. The CODM does not regularly review segment asset information, which is total assets, for the purpose of assessing performance and making resource allocation decisions; therefore, such information is not presented. In the prior year, the Company presented revenue less ancillary services. During the year ended December 31, 2025, the Company updated the presentation from revenue less ancillary services to revenue. In order 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conform with the current year presentation, the table below has been updated for the three months ended March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209"/>
        </w:trPr>
        <w:tc>
          <w:tcPr>
            <w:tcW w:w="79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188,112</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133,452</w:t>
            </w:r>
          </w:p>
        </w:tc>
      </w:tr>
      <w:tr>
        <w:trPr>
          <w:trHeight w:val="215"/>
        </w:trPr>
        <w:tc>
          <w:tcPr>
            <w:tcW w:w="7980" w:type="dxa"/>
            <w:vAlign w:val="bottom"/>
            <w:gridSpan w:val="2"/>
          </w:tcPr>
          <w:p>
            <w:pPr>
              <w:ind w:left="16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79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Payment processing services costs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73,388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46,142</w:t>
            </w:r>
          </w:p>
        </w:tc>
      </w:tr>
      <w:tr>
        <w:trPr>
          <w:trHeight w:val="216"/>
        </w:trPr>
        <w:tc>
          <w:tcPr>
            <w:tcW w:w="798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Personnel expense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41,229</w:t>
            </w:r>
          </w:p>
        </w:tc>
      </w:tr>
      <w:tr>
        <w:trPr>
          <w:trHeight w:val="216"/>
        </w:trPr>
        <w:tc>
          <w:tcPr>
            <w:tcW w:w="7980" w:type="dxa"/>
            <w:vAlign w:val="bottom"/>
            <w:gridSpan w:val="2"/>
            <w:shd w:val="clear" w:color="auto" w:fill="CFF0FC"/>
          </w:tcPr>
          <w:p>
            <w:pPr>
              <w:ind w:left="220"/>
              <w:spacing w:after="0" w:line="216" w:lineRule="exact"/>
              <w:rPr>
                <w:sz w:val="20"/>
                <w:szCs w:val="20"/>
                <w:color w:val="auto"/>
              </w:rPr>
            </w:pPr>
            <w:r>
              <w:rPr>
                <w:rFonts w:ascii="Arial" w:cs="Arial" w:eastAsia="Arial" w:hAnsi="Arial"/>
                <w:sz w:val="16"/>
                <w:szCs w:val="16"/>
                <w:color w:val="auto"/>
              </w:rPr>
              <w:t xml:space="preserve">Other segment items </w:t>
            </w:r>
            <w:r>
              <w:rPr>
                <w:rFonts w:ascii="Arial" w:cs="Arial" w:eastAsia="Arial" w:hAnsi="Arial"/>
                <w:sz w:val="21"/>
                <w:szCs w:val="21"/>
                <w:color w:val="auto"/>
                <w:vertAlign w:val="superscript"/>
              </w:rPr>
              <w:t>(b)</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27,929</w:t>
            </w:r>
          </w:p>
        </w:tc>
      </w:tr>
      <w:tr>
        <w:trPr>
          <w:trHeight w:val="215"/>
        </w:trPr>
        <w:tc>
          <w:tcPr>
            <w:tcW w:w="798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5,878</w:t>
            </w:r>
          </w:p>
        </w:tc>
      </w:tr>
      <w:tr>
        <w:trPr>
          <w:trHeight w:val="217"/>
        </w:trPr>
        <w:tc>
          <w:tcPr>
            <w:tcW w:w="7980" w:type="dxa"/>
            <w:vAlign w:val="bottom"/>
            <w:gridSpan w:val="2"/>
            <w:shd w:val="clear" w:color="auto" w:fill="CFF0FC"/>
          </w:tcPr>
          <w:p>
            <w:pPr>
              <w:ind w:left="220"/>
              <w:spacing w:after="0" w:line="21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(c)</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17,769</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15,923</w:t>
            </w:r>
          </w:p>
        </w:tc>
      </w:tr>
      <w:tr>
        <w:trPr>
          <w:trHeight w:val="215"/>
        </w:trPr>
        <w:tc>
          <w:tcPr>
            <w:tcW w:w="7980" w:type="dxa"/>
            <w:vAlign w:val="bottom"/>
            <w:gridSpan w:val="2"/>
          </w:tcPr>
          <w:p>
            <w:pPr>
              <w:ind w:left="220"/>
              <w:spacing w:after="0"/>
              <w:rPr>
                <w:sz w:val="20"/>
                <w:szCs w:val="20"/>
                <w:color w:val="auto"/>
              </w:rPr>
            </w:pPr>
            <w:r>
              <w:rPr>
                <w:rFonts w:ascii="Arial" w:cs="Arial" w:eastAsia="Arial" w:hAnsi="Arial"/>
                <w:sz w:val="16"/>
                <w:szCs w:val="16"/>
                <w:color w:val="auto"/>
              </w:rPr>
              <w:t>Restructuring</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7,339</w:t>
            </w:r>
          </w:p>
        </w:tc>
      </w:tr>
      <w:tr>
        <w:trPr>
          <w:trHeight w:val="217"/>
        </w:trPr>
        <w:tc>
          <w:tcPr>
            <w:tcW w:w="79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r>
      <w:tr>
        <w:trPr>
          <w:trHeight w:val="215"/>
        </w:trPr>
        <w:tc>
          <w:tcPr>
            <w:tcW w:w="7980" w:type="dxa"/>
            <w:vAlign w:val="bottom"/>
            <w:gridSpan w:val="2"/>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(2,934)</w:t>
            </w:r>
          </w:p>
        </w:tc>
      </w:tr>
      <w:tr>
        <w:trPr>
          <w:trHeight w:val="217"/>
        </w:trPr>
        <w:tc>
          <w:tcPr>
            <w:tcW w:w="79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Gain from remeasurement of foreign currency</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(3,294)</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(3,576)</w:t>
            </w:r>
          </w:p>
        </w:tc>
      </w:tr>
      <w:tr>
        <w:trPr>
          <w:trHeight w:val="215"/>
        </w:trPr>
        <w:tc>
          <w:tcPr>
            <w:tcW w:w="7980" w:type="dxa"/>
            <w:vAlign w:val="bottom"/>
            <w:gridSpan w:val="2"/>
          </w:tcPr>
          <w:p>
            <w:pPr>
              <w:ind w:left="220"/>
              <w:spacing w:after="0"/>
              <w:rPr>
                <w:sz w:val="20"/>
                <w:szCs w:val="20"/>
                <w:color w:val="auto"/>
              </w:rPr>
            </w:pPr>
            <w:r>
              <w:rPr>
                <w:rFonts w:ascii="Arial" w:cs="Arial" w:eastAsia="Arial" w:hAnsi="Arial"/>
                <w:sz w:val="16"/>
                <w:szCs w:val="16"/>
                <w:color w:val="auto"/>
              </w:rPr>
              <w:t>Gain on available-for-sale debt securities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03"/>
        </w:trPr>
        <w:tc>
          <w:tcPr>
            <w:tcW w:w="798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w:t>
            </w:r>
          </w:p>
        </w:tc>
      </w:tr>
      <w:tr>
        <w:trPr>
          <w:trHeight w:val="183"/>
        </w:trPr>
        <w:tc>
          <w:tcPr>
            <w:tcW w:w="79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Segment income (loss)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12,518</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(4,160)</w:t>
            </w: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____________________________</w:t>
      </w:r>
    </w:p>
    <w:p>
      <w:pPr>
        <w:spacing w:after="0" w:line="42" w:lineRule="exact"/>
        <w:rPr>
          <w:sz w:val="20"/>
          <w:szCs w:val="20"/>
          <w:color w:val="auto"/>
        </w:rPr>
      </w:pPr>
    </w:p>
    <w:p>
      <w:pPr>
        <w:ind w:right="380" w:firstLine="8"/>
        <w:spacing w:after="0"/>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Personnel expense includes employees' and contractors' compensation in technology and development, selling and marketing, and general and administrative operating expenses.</w:t>
      </w:r>
    </w:p>
    <w:p>
      <w:pPr>
        <w:spacing w:after="0" w:line="207" w:lineRule="exact"/>
        <w:rPr>
          <w:rFonts w:ascii="Arial" w:cs="Arial" w:eastAsia="Arial" w:hAnsi="Arial"/>
          <w:sz w:val="16"/>
          <w:szCs w:val="16"/>
          <w:color w:val="1F1F1F"/>
          <w:vertAlign w:val="superscript"/>
        </w:rPr>
      </w:pPr>
    </w:p>
    <w:p>
      <w:pPr>
        <w:ind w:right="560" w:firstLine="8"/>
        <w:spacing w:after="0" w:line="278" w:lineRule="auto"/>
        <w:tabs>
          <w:tab w:leader="none" w:pos="144"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Other segment items in segment income include the following expenses: professional fees, marketing, travel, facilities, software, ancillary services, acquisition-related transaction costs, and other general and administrative costs.</w:t>
      </w:r>
    </w:p>
    <w:p>
      <w:pPr>
        <w:spacing w:after="0" w:line="18" w:lineRule="exact"/>
        <w:rPr>
          <w:rFonts w:ascii="Arial" w:cs="Arial" w:eastAsia="Arial" w:hAnsi="Arial"/>
          <w:sz w:val="16"/>
          <w:szCs w:val="16"/>
          <w:color w:val="1F1F1F"/>
          <w:vertAlign w:val="superscript"/>
        </w:rPr>
      </w:pPr>
    </w:p>
    <w:p>
      <w:pPr>
        <w:ind w:left="140" w:hanging="132"/>
        <w:spacing w:after="0"/>
        <w:tabs>
          <w:tab w:leader="none" w:pos="140" w:val="left"/>
        </w:tabs>
        <w:numPr>
          <w:ilvl w:val="0"/>
          <w:numId w:val="5"/>
        </w:numPr>
        <w:rPr>
          <w:rFonts w:ascii="Arial" w:cs="Arial" w:eastAsia="Arial" w:hAnsi="Arial"/>
          <w:sz w:val="16"/>
          <w:szCs w:val="16"/>
          <w:color w:val="1F1F1F"/>
          <w:vertAlign w:val="superscript"/>
        </w:rPr>
      </w:pPr>
      <w:r>
        <w:rPr>
          <w:rFonts w:ascii="Arial" w:cs="Arial" w:eastAsia="Arial" w:hAnsi="Arial"/>
          <w:sz w:val="12"/>
          <w:szCs w:val="12"/>
          <w:color w:val="1F1F1F"/>
        </w:rPr>
        <w:t>Stock-based compensation expense includes employer payroll taxes and excludes stock-based compensation relating to restructuring.</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1F1F1F"/>
        </w:rPr>
        <w:t xml:space="preserve">See </w:t>
      </w:r>
      <w:r>
        <w:rPr>
          <w:rFonts w:ascii="Arial" w:cs="Arial" w:eastAsia="Arial" w:hAnsi="Arial"/>
          <w:sz w:val="18"/>
          <w:szCs w:val="18"/>
          <w:i w:val="1"/>
          <w:iCs w:val="1"/>
          <w:color w:val="1F1F1F"/>
        </w:rPr>
        <w:t>Note 2 - Revenue and Recognition</w:t>
      </w:r>
      <w:r>
        <w:rPr>
          <w:rFonts w:ascii="Arial" w:cs="Arial" w:eastAsia="Arial" w:hAnsi="Arial"/>
          <w:sz w:val="18"/>
          <w:szCs w:val="18"/>
          <w:color w:val="1F1F1F"/>
        </w:rPr>
        <w:t xml:space="preserve"> for information regarding the Company's revenue by geographic area.</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Investments</w:t>
      </w:r>
    </w:p>
    <w:p>
      <w:pPr>
        <w:spacing w:after="0" w:line="18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investments as of March 31, 2026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March 31, 2026</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Amortized</w:t>
            </w:r>
          </w:p>
        </w:tc>
        <w:tc>
          <w:tcPr>
            <w:tcW w:w="2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Gross Unrealized</w:t>
            </w:r>
          </w:p>
        </w:tc>
        <w:tc>
          <w:tcPr>
            <w:tcW w:w="240" w:type="dxa"/>
            <w:vAlign w:val="bottom"/>
          </w:tcPr>
          <w:p>
            <w:pPr>
              <w:spacing w:after="0"/>
              <w:rPr>
                <w:sz w:val="14"/>
                <w:szCs w:val="14"/>
                <w:color w:val="auto"/>
              </w:rPr>
            </w:pPr>
          </w:p>
        </w:tc>
        <w:tc>
          <w:tcPr>
            <w:tcW w:w="1160" w:type="dxa"/>
            <w:vAlign w:val="bottom"/>
          </w:tcPr>
          <w:p>
            <w:pPr>
              <w:jc w:val="center"/>
              <w:ind w:left="39"/>
              <w:spacing w:after="0" w:line="168" w:lineRule="exact"/>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4"/>
                <w:szCs w:val="14"/>
                <w:color w:val="auto"/>
              </w:rPr>
            </w:pPr>
          </w:p>
        </w:tc>
        <w:tc>
          <w:tcPr>
            <w:tcW w:w="154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Accrued Interest</w:t>
            </w:r>
          </w:p>
        </w:tc>
        <w:tc>
          <w:tcPr>
            <w:tcW w:w="220" w:type="dxa"/>
            <w:vAlign w:val="bottom"/>
          </w:tcPr>
          <w:p>
            <w:pPr>
              <w:spacing w:after="0"/>
              <w:rPr>
                <w:sz w:val="14"/>
                <w:szCs w:val="14"/>
                <w:color w:val="auto"/>
              </w:rPr>
            </w:pPr>
          </w:p>
        </w:tc>
        <w:tc>
          <w:tcPr>
            <w:tcW w:w="13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Aggregate Fair</w:t>
            </w: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vMerge w:val="restart"/>
          </w:tcPr>
          <w:p>
            <w:pPr>
              <w:jc w:val="center"/>
              <w:ind w:left="19"/>
              <w:spacing w:after="0"/>
              <w:rPr>
                <w:sz w:val="20"/>
                <w:szCs w:val="20"/>
                <w:color w:val="auto"/>
              </w:rPr>
            </w:pPr>
            <w:r>
              <w:rPr>
                <w:rFonts w:ascii="Arial" w:cs="Arial" w:eastAsia="Arial" w:hAnsi="Arial"/>
                <w:sz w:val="16"/>
                <w:szCs w:val="16"/>
                <w:b w:val="1"/>
                <w:bCs w:val="1"/>
                <w:color w:val="auto"/>
              </w:rPr>
              <w:t>Unrealized</w:t>
            </w:r>
          </w:p>
        </w:tc>
        <w:tc>
          <w:tcPr>
            <w:tcW w:w="18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Gains</w:t>
            </w:r>
          </w:p>
        </w:tc>
        <w:tc>
          <w:tcPr>
            <w:tcW w:w="2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Receivable</w:t>
            </w: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620" w:type="dxa"/>
            <w:vAlign w:val="bottom"/>
            <w:vMerge w:val="restart"/>
          </w:tcPr>
          <w:p>
            <w:pPr>
              <w:spacing w:after="0"/>
              <w:rPr>
                <w:sz w:val="20"/>
                <w:szCs w:val="20"/>
                <w:color w:val="auto"/>
              </w:rPr>
            </w:pPr>
            <w:r>
              <w:rPr>
                <w:rFonts w:ascii="Arial" w:cs="Arial" w:eastAsia="Arial" w:hAnsi="Arial"/>
                <w:sz w:val="16"/>
                <w:szCs w:val="16"/>
                <w:b w:val="1"/>
                <w:bCs w:val="1"/>
                <w:color w:val="auto"/>
              </w:rPr>
              <w:t>Short-term investments</w:t>
            </w:r>
          </w:p>
        </w:tc>
        <w:tc>
          <w:tcPr>
            <w:tcW w:w="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 w:type="dxa"/>
            <w:vAlign w:val="bottom"/>
            <w:gridSpan w:val="3"/>
            <w:vMerge w:val="restart"/>
          </w:tcPr>
          <w:p>
            <w:pPr>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(a) </w:t>
            </w:r>
            <w:r>
              <w:rPr>
                <w:rFonts w:ascii="Arial" w:cs="Arial" w:eastAsia="Arial" w:hAnsi="Arial"/>
                <w:sz w:val="32"/>
                <w:szCs w:val="32"/>
                <w:color w:val="auto"/>
                <w:vertAlign w:val="subscript"/>
              </w:rPr>
              <w:t>$</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Pr>
          <w:p>
            <w:pPr>
              <w:ind w:left="80"/>
              <w:spacing w:after="0"/>
              <w:rPr>
                <w:sz w:val="20"/>
                <w:szCs w:val="20"/>
                <w:color w:val="auto"/>
              </w:rPr>
            </w:pPr>
            <w:r>
              <w:rPr>
                <w:rFonts w:ascii="Arial" w:cs="Arial" w:eastAsia="Arial" w:hAnsi="Arial"/>
                <w:sz w:val="16"/>
                <w:szCs w:val="16"/>
                <w:color w:val="auto"/>
              </w:rPr>
              <w:t>Corporate bonds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2,136</w:t>
            </w:r>
          </w:p>
        </w:tc>
        <w:tc>
          <w:tcPr>
            <w:tcW w:w="5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560" w:type="dxa"/>
            <w:vAlign w:val="bottom"/>
            <w:gridSpan w:val="3"/>
            <w:vMerge w:val="continue"/>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189"/>
        </w:trPr>
        <w:tc>
          <w:tcPr>
            <w:tcW w:w="3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U.S. Government obligations</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10,979</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11,043</w:t>
            </w:r>
          </w:p>
        </w:tc>
        <w:tc>
          <w:tcPr>
            <w:tcW w:w="0" w:type="dxa"/>
            <w:vAlign w:val="bottom"/>
          </w:tcPr>
          <w:p>
            <w:pPr>
              <w:spacing w:after="0"/>
              <w:rPr>
                <w:sz w:val="1"/>
                <w:szCs w:val="1"/>
                <w:color w:val="auto"/>
              </w:rPr>
            </w:pPr>
          </w:p>
        </w:tc>
      </w:tr>
      <w:tr>
        <w:trPr>
          <w:trHeight w:val="183"/>
        </w:trPr>
        <w:tc>
          <w:tcPr>
            <w:tcW w:w="362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2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13,115</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w:t>
            </w:r>
          </w:p>
        </w:tc>
        <w:tc>
          <w:tcPr>
            <w:tcW w:w="240" w:type="dxa"/>
            <w:vAlign w:val="bottom"/>
          </w:tcPr>
          <w:p>
            <w:pPr>
              <w:spacing w:after="0"/>
              <w:rPr>
                <w:sz w:val="15"/>
                <w:szCs w:val="15"/>
                <w:color w:val="auto"/>
              </w:rPr>
            </w:pPr>
          </w:p>
        </w:tc>
        <w:tc>
          <w:tcPr>
            <w:tcW w:w="1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13,190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4"/>
          <w:szCs w:val="14"/>
          <w:color w:val="auto"/>
        </w:rPr>
        <w:t>______________________</w:t>
      </w:r>
    </w:p>
    <w:p>
      <w:pPr>
        <w:ind w:left="160" w:hanging="152"/>
        <w:spacing w:after="0" w:line="232"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Less than $1.</w:t>
      </w:r>
    </w:p>
    <w:p>
      <w:pPr>
        <w:spacing w:after="0" w:line="138"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following table summarizes the estimated fair value of available-for-sale debt securities included within short-term as of December 31, 2025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68"/>
        </w:trPr>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line="168" w:lineRule="exact"/>
              <w:rPr>
                <w:sz w:val="20"/>
                <w:szCs w:val="20"/>
                <w:color w:val="auto"/>
              </w:rPr>
            </w:pPr>
            <w:r>
              <w:rPr>
                <w:rFonts w:ascii="Arial" w:cs="Arial" w:eastAsia="Arial" w:hAnsi="Arial"/>
                <w:sz w:val="16"/>
                <w:szCs w:val="16"/>
                <w:b w:val="1"/>
                <w:bCs w:val="1"/>
                <w:color w:val="auto"/>
              </w:rPr>
              <w:t>Gross Amortized</w:t>
            </w:r>
          </w:p>
        </w:tc>
        <w:tc>
          <w:tcPr>
            <w:tcW w:w="1560" w:type="dxa"/>
            <w:vAlign w:val="bottom"/>
            <w:gridSpan w:val="3"/>
          </w:tcPr>
          <w:p>
            <w:pPr>
              <w:jc w:val="right"/>
              <w:spacing w:after="0" w:line="168" w:lineRule="exact"/>
              <w:rPr>
                <w:sz w:val="20"/>
                <w:szCs w:val="20"/>
                <w:color w:val="auto"/>
              </w:rPr>
            </w:pPr>
            <w:r>
              <w:rPr>
                <w:rFonts w:ascii="Arial" w:cs="Arial" w:eastAsia="Arial" w:hAnsi="Arial"/>
                <w:sz w:val="16"/>
                <w:szCs w:val="16"/>
                <w:b w:val="1"/>
                <w:bCs w:val="1"/>
                <w:color w:val="auto"/>
              </w:rPr>
              <w:t>Gross Unrealized</w:t>
            </w:r>
          </w:p>
        </w:tc>
        <w:tc>
          <w:tcPr>
            <w:tcW w:w="220" w:type="dxa"/>
            <w:vAlign w:val="bottom"/>
          </w:tcPr>
          <w:p>
            <w:pPr>
              <w:spacing w:after="0"/>
              <w:rPr>
                <w:sz w:val="14"/>
                <w:szCs w:val="14"/>
                <w:color w:val="auto"/>
              </w:rPr>
            </w:pPr>
          </w:p>
        </w:tc>
        <w:tc>
          <w:tcPr>
            <w:tcW w:w="1460" w:type="dxa"/>
            <w:vAlign w:val="bottom"/>
            <w:gridSpan w:val="2"/>
          </w:tcPr>
          <w:p>
            <w:pPr>
              <w:jc w:val="right"/>
              <w:ind w:right="19"/>
              <w:spacing w:after="0" w:line="168" w:lineRule="exact"/>
              <w:rPr>
                <w:sz w:val="20"/>
                <w:szCs w:val="20"/>
                <w:color w:val="auto"/>
              </w:rPr>
            </w:pPr>
            <w:r>
              <w:rPr>
                <w:rFonts w:ascii="Arial" w:cs="Arial" w:eastAsia="Arial" w:hAnsi="Arial"/>
                <w:sz w:val="16"/>
                <w:szCs w:val="16"/>
                <w:b w:val="1"/>
                <w:bCs w:val="1"/>
                <w:color w:val="auto"/>
              </w:rPr>
              <w:t>Gross Unrealized</w:t>
            </w:r>
          </w:p>
        </w:tc>
        <w:tc>
          <w:tcPr>
            <w:tcW w:w="22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w w:val="99"/>
              </w:rPr>
              <w:t>Accrued Interest</w:t>
            </w:r>
          </w:p>
        </w:tc>
        <w:tc>
          <w:tcPr>
            <w:tcW w:w="220" w:type="dxa"/>
            <w:vAlign w:val="bottom"/>
          </w:tcPr>
          <w:p>
            <w:pPr>
              <w:spacing w:after="0"/>
              <w:rPr>
                <w:sz w:val="14"/>
                <w:szCs w:val="14"/>
                <w:color w:val="auto"/>
              </w:rPr>
            </w:pPr>
          </w:p>
        </w:tc>
        <w:tc>
          <w:tcPr>
            <w:tcW w:w="1360" w:type="dxa"/>
            <w:vAlign w:val="bottom"/>
            <w:gridSpan w:val="2"/>
          </w:tcPr>
          <w:p>
            <w:pPr>
              <w:jc w:val="right"/>
              <w:ind w:right="59"/>
              <w:spacing w:after="0" w:line="168" w:lineRule="exact"/>
              <w:rPr>
                <w:sz w:val="20"/>
                <w:szCs w:val="20"/>
                <w:color w:val="auto"/>
              </w:rPr>
            </w:pPr>
            <w:r>
              <w:rPr>
                <w:rFonts w:ascii="Arial" w:cs="Arial" w:eastAsia="Arial" w:hAnsi="Arial"/>
                <w:sz w:val="16"/>
                <w:szCs w:val="16"/>
                <w:b w:val="1"/>
                <w:bCs w:val="1"/>
                <w:color w:val="auto"/>
              </w:rPr>
              <w:t>Aggregate Fair</w:t>
            </w:r>
          </w:p>
        </w:tc>
      </w:tr>
      <w:tr>
        <w:trPr>
          <w:trHeight w:val="203"/>
        </w:trPr>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Gains</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Receivable</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Value</w:t>
            </w:r>
          </w:p>
        </w:tc>
      </w:tr>
      <w:tr>
        <w:trPr>
          <w:trHeight w:val="183"/>
        </w:trPr>
        <w:tc>
          <w:tcPr>
            <w:tcW w:w="3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Short-term investments</w:t>
            </w: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480" w:type="dxa"/>
            <w:vAlign w:val="bottom"/>
          </w:tcPr>
          <w:p>
            <w:pPr>
              <w:ind w:left="80"/>
              <w:spacing w:after="0"/>
              <w:rPr>
                <w:sz w:val="20"/>
                <w:szCs w:val="20"/>
                <w:color w:val="auto"/>
              </w:rPr>
            </w:pPr>
            <w:r>
              <w:rPr>
                <w:rFonts w:ascii="Arial" w:cs="Arial" w:eastAsia="Arial" w:hAnsi="Arial"/>
                <w:sz w:val="16"/>
                <w:szCs w:val="16"/>
                <w:color w:val="auto"/>
              </w:rPr>
              <w:t>Corporate bonds</w:t>
            </w: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4,808</w:t>
            </w:r>
          </w:p>
        </w:tc>
        <w:tc>
          <w:tcPr>
            <w:tcW w:w="4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4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37</w:t>
            </w:r>
          </w:p>
        </w:tc>
        <w:tc>
          <w:tcPr>
            <w:tcW w:w="50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4,850</w:t>
            </w:r>
          </w:p>
        </w:tc>
      </w:tr>
      <w:tr>
        <w:trPr>
          <w:trHeight w:val="189"/>
        </w:trPr>
        <w:tc>
          <w:tcPr>
            <w:tcW w:w="3480" w:type="dxa"/>
            <w:vAlign w:val="bottom"/>
            <w:shd w:val="clear" w:color="auto" w:fill="CFF0FC"/>
          </w:tcPr>
          <w:p>
            <w:pPr>
              <w:ind w:left="80"/>
              <w:spacing w:after="0"/>
              <w:rPr>
                <w:sz w:val="20"/>
                <w:szCs w:val="20"/>
                <w:color w:val="auto"/>
              </w:rPr>
            </w:pPr>
            <w:r>
              <w:rPr>
                <w:rFonts w:ascii="Arial" w:cs="Arial" w:eastAsia="Arial" w:hAnsi="Arial"/>
                <w:sz w:val="16"/>
                <w:szCs w:val="16"/>
                <w:color w:val="auto"/>
              </w:rPr>
              <w:t>U.S. Government obligations</w:t>
            </w: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19,573</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2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19,842</w:t>
            </w:r>
          </w:p>
        </w:tc>
      </w:tr>
      <w:tr>
        <w:trPr>
          <w:trHeight w:val="183"/>
        </w:trPr>
        <w:tc>
          <w:tcPr>
            <w:tcW w:w="348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24,381</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255</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24,692</w:t>
            </w: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80"/>
        <w:spacing w:after="0" w:line="475" w:lineRule="auto"/>
        <w:rPr>
          <w:sz w:val="20"/>
          <w:szCs w:val="20"/>
          <w:color w:val="auto"/>
        </w:rPr>
      </w:pPr>
      <w:r>
        <w:rPr>
          <w:rFonts w:ascii="Arial" w:cs="Arial" w:eastAsia="Arial" w:hAnsi="Arial"/>
          <w:sz w:val="18"/>
          <w:szCs w:val="18"/>
          <w:color w:val="auto"/>
        </w:rPr>
        <w:t>As of March 31, 2026 and December 31, 2025, all of the Company's available-for-sale debt securities are due within one year.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3" w:name="page14"/>
    <w:bookmarkEnd w:id="13"/>
    <w:p>
      <w:pPr>
        <w:ind w:right="20" w:firstLine="509"/>
        <w:spacing w:after="0" w:line="247" w:lineRule="auto"/>
        <w:rPr>
          <w:sz w:val="20"/>
          <w:szCs w:val="20"/>
          <w:color w:val="auto"/>
        </w:rPr>
      </w:pPr>
      <w:r>
        <w:rPr>
          <w:rFonts w:ascii="Arial" w:cs="Arial" w:eastAsia="Arial" w:hAnsi="Arial"/>
          <w:sz w:val="18"/>
          <w:szCs w:val="18"/>
          <w:color w:val="auto"/>
        </w:rPr>
        <w:t>As of March 31, 2026, one out of six 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aggregated based on the duration that individual securities have been in a continuous unrealized loss position, as of March 31, 2026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6"/>
          </w:tcPr>
          <w:p>
            <w:pPr>
              <w:jc w:val="right"/>
              <w:ind w:right="824"/>
              <w:spacing w:after="0" w:line="183" w:lineRule="exact"/>
              <w:rPr>
                <w:sz w:val="20"/>
                <w:szCs w:val="20"/>
                <w:color w:val="auto"/>
              </w:rPr>
            </w:pPr>
            <w:r>
              <w:rPr>
                <w:rFonts w:ascii="Arial" w:cs="Arial" w:eastAsia="Arial" w:hAnsi="Arial"/>
                <w:sz w:val="16"/>
                <w:szCs w:val="16"/>
                <w:b w:val="1"/>
                <w:bCs w:val="1"/>
                <w:color w:val="auto"/>
              </w:rPr>
              <w:t>Less than 12 Months</w:t>
            </w:r>
          </w:p>
        </w:tc>
        <w:tc>
          <w:tcPr>
            <w:tcW w:w="2220" w:type="dxa"/>
            <w:vAlign w:val="bottom"/>
            <w:gridSpan w:val="3"/>
          </w:tcPr>
          <w:p>
            <w:pPr>
              <w:jc w:val="center"/>
              <w:spacing w:after="0" w:line="183" w:lineRule="exact"/>
              <w:rPr>
                <w:sz w:val="20"/>
                <w:szCs w:val="20"/>
                <w:color w:val="auto"/>
              </w:rPr>
            </w:pPr>
            <w:r>
              <w:rPr>
                <w:rFonts w:ascii="Arial" w:cs="Arial" w:eastAsia="Arial" w:hAnsi="Arial"/>
                <w:sz w:val="16"/>
                <w:szCs w:val="16"/>
                <w:b w:val="1"/>
                <w:bCs w:val="1"/>
                <w:color w:val="auto"/>
              </w:rPr>
              <w:t>12 Months or Longer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rPr>
              <w:t>Total</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24"/>
              <w:spacing w:after="0" w:line="168" w:lineRule="exact"/>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left="59"/>
              <w:spacing w:after="0" w:line="168" w:lineRule="exact"/>
              <w:rPr>
                <w:sz w:val="20"/>
                <w:szCs w:val="20"/>
                <w:color w:val="auto"/>
              </w:rPr>
            </w:pPr>
            <w:r>
              <w:rPr>
                <w:rFonts w:ascii="Arial" w:cs="Arial" w:eastAsia="Arial" w:hAnsi="Arial"/>
                <w:sz w:val="16"/>
                <w:szCs w:val="16"/>
                <w:b w:val="1"/>
                <w:bCs w:val="1"/>
                <w:color w:val="auto"/>
                <w:w w:val="99"/>
              </w:rPr>
              <w:t>Gross</w:t>
            </w: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44"/>
              <w:spacing w:after="0" w:line="168" w:lineRule="exact"/>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484"/>
              <w:spacing w:after="0"/>
              <w:rPr>
                <w:sz w:val="20"/>
                <w:szCs w:val="20"/>
                <w:color w:val="auto"/>
              </w:rPr>
            </w:pPr>
            <w:r>
              <w:rPr>
                <w:rFonts w:ascii="Arial" w:cs="Arial" w:eastAsia="Arial" w:hAnsi="Arial"/>
                <w:sz w:val="16"/>
                <w:szCs w:val="16"/>
                <w:b w:val="1"/>
                <w:bCs w:val="1"/>
                <w:color w:val="auto"/>
                <w:w w:val="98"/>
              </w:rPr>
              <w:t>Unrealized</w:t>
            </w: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040" w:type="dxa"/>
            <w:vAlign w:val="bottom"/>
          </w:tcPr>
          <w:p>
            <w:pPr>
              <w:jc w:val="center"/>
              <w:ind w:left="59"/>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Unrealized</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Arial" w:cs="Arial" w:eastAsia="Arial" w:hAnsi="Arial"/>
                <w:sz w:val="16"/>
                <w:szCs w:val="16"/>
                <w:b w:val="1"/>
                <w:bCs w:val="1"/>
                <w:color w:val="auto"/>
              </w:rPr>
              <w:t>Short-term investments</w:t>
            </w: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97"/>
              </w:rPr>
              <w:t>Losses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vMerge w:val="restart"/>
          </w:tcPr>
          <w:p>
            <w:pPr>
              <w:ind w:left="940"/>
              <w:spacing w:after="0"/>
              <w:rPr>
                <w:sz w:val="20"/>
                <w:szCs w:val="20"/>
                <w:color w:val="auto"/>
              </w:rPr>
            </w:pPr>
            <w:r>
              <w:rPr>
                <w:rFonts w:ascii="Arial" w:cs="Arial" w:eastAsia="Arial" w:hAnsi="Arial"/>
                <w:sz w:val="32"/>
                <w:szCs w:val="32"/>
                <w:color w:val="auto"/>
                <w:w w:val="98"/>
                <w:vertAlign w:val="subscript"/>
              </w:rPr>
              <w:t>—</w:t>
            </w:r>
            <w:r>
              <w:rPr>
                <w:rFonts w:ascii="Arial" w:cs="Arial" w:eastAsia="Arial" w:hAnsi="Arial"/>
                <w:sz w:val="11"/>
                <w:szCs w:val="11"/>
                <w:color w:val="auto"/>
                <w:w w:val="98"/>
              </w:rPr>
              <w:t xml:space="preserve"> (a) </w:t>
            </w:r>
            <w:r>
              <w:rPr>
                <w:rFonts w:ascii="Arial" w:cs="Arial" w:eastAsia="Arial" w:hAnsi="Arial"/>
                <w:sz w:val="32"/>
                <w:szCs w:val="32"/>
                <w:color w:val="auto"/>
                <w:w w:val="98"/>
                <w:vertAlign w:val="subscript"/>
              </w:rPr>
              <w: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restart"/>
          </w:tcPr>
          <w:p>
            <w:pPr>
              <w:ind w:left="90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(a)</w:t>
            </w:r>
          </w:p>
        </w:tc>
        <w:tc>
          <w:tcPr>
            <w:tcW w:w="0" w:type="dxa"/>
            <w:vAlign w:val="bottom"/>
          </w:tcPr>
          <w:p>
            <w:pPr>
              <w:spacing w:after="0"/>
              <w:rPr>
                <w:sz w:val="1"/>
                <w:szCs w:val="1"/>
                <w:color w:val="auto"/>
              </w:rPr>
            </w:pPr>
          </w:p>
        </w:tc>
      </w:tr>
      <w:tr>
        <w:trPr>
          <w:trHeight w:val="189"/>
        </w:trPr>
        <w:tc>
          <w:tcPr>
            <w:tcW w:w="2580" w:type="dxa"/>
            <w:vAlign w:val="bottom"/>
          </w:tcPr>
          <w:p>
            <w:pPr>
              <w:ind w:left="60"/>
              <w:spacing w:after="0"/>
              <w:rPr>
                <w:sz w:val="20"/>
                <w:szCs w:val="20"/>
                <w:color w:val="auto"/>
              </w:rPr>
            </w:pPr>
            <w:r>
              <w:rPr>
                <w:rFonts w:ascii="Arial" w:cs="Arial" w:eastAsia="Arial" w:hAnsi="Arial"/>
                <w:sz w:val="16"/>
                <w:szCs w:val="16"/>
                <w:color w:val="auto"/>
              </w:rPr>
              <w:t>Corporate bonds</w:t>
            </w:r>
          </w:p>
        </w:tc>
        <w:tc>
          <w:tcPr>
            <w:tcW w:w="5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vMerge w:val="continue"/>
          </w:tcPr>
          <w:p>
            <w:pPr>
              <w:spacing w:after="0"/>
              <w:rPr>
                <w:sz w:val="16"/>
                <w:szCs w:val="16"/>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200" w:type="dxa"/>
            <w:vAlign w:val="bottom"/>
          </w:tcPr>
          <w:p>
            <w:pPr>
              <w:ind w:left="20"/>
              <w:spacing w:after="0"/>
              <w:rPr>
                <w:sz w:val="20"/>
                <w:szCs w:val="20"/>
                <w:color w:val="auto"/>
              </w:rPr>
            </w:pPr>
            <w:r>
              <w:rPr>
                <w:rFonts w:ascii="Arial" w:cs="Arial" w:eastAsia="Arial" w:hAnsi="Arial"/>
                <w:sz w:val="16"/>
                <w:szCs w:val="16"/>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FF0FC"/>
          </w:tcPr>
          <w:p>
            <w:pPr>
              <w:ind w:left="94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ind w:left="900"/>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FF0FC"/>
          </w:tcPr>
          <w:p>
            <w:pPr>
              <w:ind w:left="900"/>
              <w:spacing w:after="0" w:line="183" w:lineRule="exact"/>
              <w:rPr>
                <w:sz w:val="20"/>
                <w:szCs w:val="20"/>
                <w:color w:val="auto"/>
              </w:rPr>
            </w:pPr>
            <w:r>
              <w:rPr>
                <w:rFonts w:ascii="Arial" w:cs="Arial" w:eastAsia="Arial" w:hAnsi="Arial"/>
                <w:sz w:val="16"/>
                <w:szCs w:val="16"/>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-153670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-24765</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-7620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-153670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-153670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-153670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-153670</wp:posOffset>
            </wp:positionV>
            <wp:extent cx="145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4"/>
          <w:szCs w:val="14"/>
          <w:color w:val="auto"/>
        </w:rPr>
        <w:t>______________________</w:t>
      </w:r>
    </w:p>
    <w:p>
      <w:pPr>
        <w:ind w:left="160" w:hanging="152"/>
        <w:spacing w:after="0" w:line="232"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Less than $1.</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2025, none of the investments in available-for-sale debt securities were in an unrealized loss position.</w:t>
      </w:r>
    </w:p>
    <w:p>
      <w:pPr>
        <w:spacing w:after="0" w:line="17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Unrealized losses have not been recognized into income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impairments.</w:t>
      </w:r>
    </w:p>
    <w:p>
      <w:pPr>
        <w:spacing w:after="0" w:line="147"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For the three months ended March 31, 2026 and 2025, the Company received proceeds of $11.3 million and $98.7 million from the maturity and sale of short-term and long-term investments, respectively. Realized gains and losses on investments are calculated on the basis of specific identification. During the three months ended March 31, 2026, there were no realized gains or losses on the sale of the available-for-sale debt securities. During the three months ended March 31, 2025, realized gains were $0.2 million and realized losses were less than $0.1 million on the sale of available-for-sale debt securities.</w:t>
      </w:r>
    </w:p>
    <w:p>
      <w:pPr>
        <w:spacing w:after="0" w:line="1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Fair Value Measurements</w:t>
      </w:r>
    </w:p>
    <w:p>
      <w:pPr>
        <w:spacing w:after="0" w:line="171"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8"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2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Company’s cash equivalents are carried at fair value (Level 1) as determined according to the fair value hierarchy described above. The money market funds, which are AAA-rated, are comprised of liquid, high-quality debt securities issued by the U.S. government. Shares in money market funds are purchased and redeemed at the net asset value (NAV) at the time of the purchase or sale, which may be purchased or redeemed on demand, as may be required by the Company, which represents Level 1 fair value. The Company's investments in available-for-sale debt securities and the foreign exchange contracts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and liabilities. The Company’s contingent consideration is carried at fair value, determined using Level 3 inputs in the fair value hierarchy.</w:t>
      </w:r>
    </w:p>
    <w:p>
      <w:pPr>
        <w:spacing w:after="0" w:line="185"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March 31, 2026 and December 31, 2025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rPr>
              <w:t>Measured at Fair Value as of March 31, 2026</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83"/>
        </w:trPr>
        <w:tc>
          <w:tcPr>
            <w:tcW w:w="462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Level 1</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439"/>
              <w:spacing w:after="0" w:line="183" w:lineRule="exact"/>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line="183" w:lineRule="exact"/>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ind w:right="49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Financial Assets:</w:t>
            </w:r>
          </w:p>
        </w:tc>
        <w:tc>
          <w:tcPr>
            <w:tcW w:w="10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Cash equivalents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08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77,509</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77,509</w:t>
            </w:r>
          </w:p>
        </w:tc>
      </w:tr>
      <w:tr>
        <w:trPr>
          <w:trHeight w:val="189"/>
        </w:trPr>
        <w:tc>
          <w:tcPr>
            <w:tcW w:w="4620" w:type="dxa"/>
            <w:vAlign w:val="bottom"/>
          </w:tcPr>
          <w:p>
            <w:pPr>
              <w:spacing w:after="0"/>
              <w:rPr>
                <w:sz w:val="20"/>
                <w:szCs w:val="20"/>
                <w:color w:val="auto"/>
              </w:rPr>
            </w:pPr>
            <w:r>
              <w:rPr>
                <w:rFonts w:ascii="Arial" w:cs="Arial" w:eastAsia="Arial" w:hAnsi="Arial"/>
                <w:sz w:val="16"/>
                <w:szCs w:val="16"/>
                <w:b w:val="1"/>
                <w:bCs w:val="1"/>
                <w:color w:val="auto"/>
              </w:rPr>
              <w:t>Short-term investments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bonds</w:t>
            </w:r>
          </w:p>
        </w:tc>
        <w:tc>
          <w:tcPr>
            <w:tcW w:w="10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2,147</w:t>
            </w: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U.S. Government obligations</w:t>
            </w: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11,043</w:t>
            </w:r>
          </w:p>
        </w:tc>
      </w:tr>
      <w:tr>
        <w:trPr>
          <w:trHeight w:val="183"/>
        </w:trPr>
        <w:tc>
          <w:tcPr>
            <w:tcW w:w="4620" w:type="dxa"/>
            <w:vAlign w:val="bottom"/>
            <w:tcBorders>
              <w:top w:val="single" w:sz="8" w:color="CFF0FC"/>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1080" w:type="dxa"/>
            <w:vAlign w:val="bottom"/>
            <w:tcBorders>
              <w:top w:val="single" w:sz="8" w:color="auto"/>
              <w:bottom w:val="single" w:sz="8" w:color="auto"/>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13,190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13,190</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1080" w:type="dxa"/>
            <w:vAlign w:val="bottom"/>
          </w:tcPr>
          <w:p>
            <w:pPr>
              <w:jc w:val="right"/>
              <w:ind w:right="89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w w:val="98"/>
              </w:rPr>
              <w:t>77,509</w:t>
            </w:r>
          </w:p>
        </w:tc>
        <w:tc>
          <w:tcPr>
            <w:tcW w:w="4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13,190</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90,699</w:t>
            </w: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6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Financial Liabilities:</w:t>
            </w:r>
          </w:p>
        </w:tc>
        <w:tc>
          <w:tcPr>
            <w:tcW w:w="10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r>
      <w:tr>
        <w:trPr>
          <w:trHeight w:val="189"/>
        </w:trPr>
        <w:tc>
          <w:tcPr>
            <w:tcW w:w="4620" w:type="dxa"/>
            <w:vAlign w:val="bottom"/>
          </w:tcPr>
          <w:p>
            <w:pPr>
              <w:ind w:left="100"/>
              <w:spacing w:after="0"/>
              <w:rPr>
                <w:sz w:val="20"/>
                <w:szCs w:val="20"/>
                <w:color w:val="auto"/>
              </w:rPr>
            </w:pPr>
            <w:r>
              <w:rPr>
                <w:rFonts w:ascii="Arial" w:cs="Arial" w:eastAsia="Arial" w:hAnsi="Arial"/>
                <w:sz w:val="16"/>
                <w:szCs w:val="16"/>
                <w:color w:val="auto"/>
              </w:rPr>
              <w:t>Foreign exchange contracts</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1,400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189"/>
        </w:trPr>
        <w:tc>
          <w:tcPr>
            <w:tcW w:w="4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Contingent consideration</w:t>
            </w:r>
          </w:p>
        </w:tc>
        <w:tc>
          <w:tcPr>
            <w:tcW w:w="108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3,283</w:t>
            </w:r>
          </w:p>
        </w:tc>
        <w:tc>
          <w:tcPr>
            <w:tcW w:w="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3,283</w:t>
            </w: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1080" w:type="dxa"/>
            <w:vAlign w:val="bottom"/>
          </w:tcPr>
          <w:p>
            <w:pPr>
              <w:jc w:val="right"/>
              <w:ind w:right="89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1,400</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3,283</w:t>
            </w:r>
          </w:p>
        </w:tc>
        <w:tc>
          <w:tcPr>
            <w:tcW w:w="80" w:type="dxa"/>
            <w:vAlign w:val="bottom"/>
          </w:tcPr>
          <w:p>
            <w:pPr>
              <w:spacing w:after="0"/>
              <w:rPr>
                <w:sz w:val="15"/>
                <w:szCs w:val="15"/>
                <w:color w:val="auto"/>
              </w:rPr>
            </w:pPr>
          </w:p>
        </w:tc>
        <w:tc>
          <w:tcPr>
            <w:tcW w:w="3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4,683</w:t>
            </w:r>
          </w:p>
        </w:tc>
      </w:tr>
      <w:tr>
        <w:trPr>
          <w:trHeight w:val="20"/>
        </w:trPr>
        <w:tc>
          <w:tcPr>
            <w:tcW w:w="4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-808990</wp:posOffset>
            </wp:positionV>
            <wp:extent cx="102870" cy="162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-808990</wp:posOffset>
            </wp:positionV>
            <wp:extent cx="9398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-808990</wp:posOffset>
            </wp:positionV>
            <wp:extent cx="9398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-153670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-153670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6"/>
                <w:szCs w:val="16"/>
                <w:b w:val="1"/>
                <w:bCs w:val="1"/>
                <w:color w:val="auto"/>
              </w:rPr>
              <w:t>Measured at Fair Value as of December 31, 2025</w:t>
            </w:r>
          </w:p>
        </w:tc>
        <w:tc>
          <w:tcPr>
            <w:tcW w:w="1240" w:type="dxa"/>
            <w:vAlign w:val="bottom"/>
            <w:tcBorders>
              <w:bottom w:val="single" w:sz="8" w:color="auto"/>
            </w:tcBorders>
          </w:tcPr>
          <w:p>
            <w:pPr>
              <w:spacing w:after="0"/>
              <w:rPr>
                <w:sz w:val="17"/>
                <w:szCs w:val="17"/>
                <w:color w:val="auto"/>
              </w:rPr>
            </w:pPr>
          </w:p>
        </w:tc>
      </w:tr>
      <w:tr>
        <w:trPr>
          <w:trHeight w:val="183"/>
        </w:trPr>
        <w:tc>
          <w:tcPr>
            <w:tcW w:w="4580" w:type="dxa"/>
            <w:vAlign w:val="bottom"/>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Level 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Level 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Financial Assets:</w:t>
            </w: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4580" w:type="dxa"/>
            <w:vAlign w:val="bottom"/>
          </w:tcPr>
          <w:p>
            <w:pPr>
              <w:spacing w:after="0"/>
              <w:rPr>
                <w:sz w:val="20"/>
                <w:szCs w:val="20"/>
                <w:color w:val="auto"/>
              </w:rPr>
            </w:pPr>
            <w:r>
              <w:rPr>
                <w:rFonts w:ascii="Arial" w:cs="Arial" w:eastAsia="Arial" w:hAnsi="Arial"/>
                <w:sz w:val="16"/>
                <w:szCs w:val="16"/>
                <w:color w:val="auto"/>
              </w:rPr>
              <w:t>Cash equivalents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4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34,857</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34,857</w:t>
            </w:r>
          </w:p>
        </w:tc>
      </w:tr>
      <w:tr>
        <w:trPr>
          <w:trHeight w:val="189"/>
        </w:trPr>
        <w:tc>
          <w:tcPr>
            <w:tcW w:w="4580" w:type="dxa"/>
            <w:vAlign w:val="bottom"/>
          </w:tcPr>
          <w:p>
            <w:pPr>
              <w:ind w:left="100"/>
              <w:spacing w:after="0"/>
              <w:rPr>
                <w:sz w:val="20"/>
                <w:szCs w:val="20"/>
                <w:color w:val="auto"/>
              </w:rPr>
            </w:pPr>
            <w:r>
              <w:rPr>
                <w:rFonts w:ascii="Arial" w:cs="Arial" w:eastAsia="Arial" w:hAnsi="Arial"/>
                <w:sz w:val="16"/>
                <w:szCs w:val="16"/>
                <w:color w:val="auto"/>
              </w:rPr>
              <w:t>Foreign exchange contracts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189"/>
        </w:trPr>
        <w:tc>
          <w:tcPr>
            <w:tcW w:w="4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Short-term investments</w:t>
            </w:r>
          </w:p>
        </w:tc>
        <w:tc>
          <w:tcPr>
            <w:tcW w:w="10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458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4,850</w:t>
            </w:r>
          </w:p>
        </w:tc>
      </w:tr>
      <w:tr>
        <w:trPr>
          <w:trHeight w:val="189"/>
        </w:trPr>
        <w:tc>
          <w:tcPr>
            <w:tcW w:w="4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Government obligations</w:t>
            </w:r>
          </w:p>
        </w:tc>
        <w:tc>
          <w:tcPr>
            <w:tcW w:w="106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19,842</w:t>
            </w:r>
          </w:p>
        </w:tc>
        <w:tc>
          <w:tcPr>
            <w:tcW w:w="1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19,842</w:t>
            </w:r>
          </w:p>
        </w:tc>
      </w:tr>
      <w:tr>
        <w:trPr>
          <w:trHeight w:val="183"/>
        </w:trPr>
        <w:tc>
          <w:tcPr>
            <w:tcW w:w="4580" w:type="dxa"/>
            <w:vAlign w:val="bottom"/>
          </w:tcPr>
          <w:p>
            <w:pPr>
              <w:spacing w:after="0" w:line="183" w:lineRule="exact"/>
              <w:rPr>
                <w:sz w:val="20"/>
                <w:szCs w:val="20"/>
                <w:color w:val="auto"/>
              </w:rPr>
            </w:pPr>
            <w:r>
              <w:rPr>
                <w:rFonts w:ascii="Arial" w:cs="Arial" w:eastAsia="Arial" w:hAnsi="Arial"/>
                <w:sz w:val="16"/>
                <w:szCs w:val="16"/>
                <w:b w:val="1"/>
                <w:bCs w:val="1"/>
                <w:color w:val="auto"/>
              </w:rPr>
              <w:t>Total short-term investments</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24,692</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24,692</w:t>
            </w:r>
          </w:p>
        </w:tc>
      </w:tr>
      <w:tr>
        <w:trPr>
          <w:trHeight w:val="22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34,857</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25,034</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59,891</w:t>
            </w:r>
          </w:p>
        </w:tc>
      </w:tr>
      <w:tr>
        <w:trPr>
          <w:trHeight w:val="169"/>
        </w:trPr>
        <w:tc>
          <w:tcPr>
            <w:tcW w:w="458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Financial Liabilities:</w:t>
            </w:r>
          </w:p>
        </w:tc>
        <w:tc>
          <w:tcPr>
            <w:tcW w:w="10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89"/>
        </w:trPr>
        <w:tc>
          <w:tcPr>
            <w:tcW w:w="4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Foreign exchange contracts</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r>
      <w:tr>
        <w:trPr>
          <w:trHeight w:val="189"/>
        </w:trPr>
        <w:tc>
          <w:tcPr>
            <w:tcW w:w="4580" w:type="dxa"/>
            <w:vAlign w:val="bottom"/>
          </w:tcPr>
          <w:p>
            <w:pPr>
              <w:ind w:left="100"/>
              <w:spacing w:after="0"/>
              <w:rPr>
                <w:sz w:val="20"/>
                <w:szCs w:val="20"/>
                <w:color w:val="auto"/>
              </w:rPr>
            </w:pPr>
            <w:r>
              <w:rPr>
                <w:rFonts w:ascii="Arial" w:cs="Arial" w:eastAsia="Arial" w:hAnsi="Arial"/>
                <w:sz w:val="16"/>
                <w:szCs w:val="16"/>
                <w:color w:val="auto"/>
              </w:rPr>
              <w:t>Contingent consideration</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w:t>
            </w:r>
          </w:p>
        </w:tc>
      </w:tr>
      <w:tr>
        <w:trPr>
          <w:trHeight w:val="202"/>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1060" w:type="dxa"/>
            <w:vAlign w:val="bottom"/>
            <w:shd w:val="clear" w:color="auto" w:fill="CFF0FC"/>
          </w:tcPr>
          <w:p>
            <w:pPr>
              <w:jc w:val="right"/>
              <w:ind w:right="90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2,046</w:t>
            </w:r>
          </w:p>
        </w:tc>
        <w:tc>
          <w:tcPr>
            <w:tcW w:w="4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2,471</w:t>
            </w: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-808990</wp:posOffset>
            </wp:positionV>
            <wp:extent cx="10287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-808990</wp:posOffset>
            </wp:positionV>
            <wp:extent cx="10287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-808990</wp:posOffset>
            </wp:positionV>
            <wp:extent cx="9398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-539115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-522605</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-539115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-522605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-539115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-522605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During the three months ended March 31, 2026, and the year ended December 31, 2025, there were no transfers between Level 1, Level 2, or Level 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 LLC (Sertifi)</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fair value of the contingent consideration related to the gross profit milestone from the Company’s acquisition of Sertifi in February 2025 was determined using an option pricing model and the fair value of the contingent consideration related to the technology and security integration milestones was determined using a scenario-based method. Refer to Note 10 - Business Combinations for additional details on the Sertifi acquisition. The following table presents the unobservable inputs incorporated into the fair value of the contingent consideration liability as of March 31, 2026.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Pr>
          <w:p>
            <w:pPr>
              <w:spacing w:after="0"/>
              <w:rPr>
                <w:sz w:val="17"/>
                <w:szCs w:val="17"/>
                <w:color w:val="auto"/>
              </w:rPr>
            </w:pPr>
          </w:p>
        </w:tc>
        <w:tc>
          <w:tcPr>
            <w:tcW w:w="19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2025</w:t>
            </w:r>
          </w:p>
        </w:tc>
      </w:tr>
      <w:tr>
        <w:trPr>
          <w:trHeight w:val="182"/>
        </w:trPr>
        <w:tc>
          <w:tcPr>
            <w:tcW w:w="7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Discount rate</w:t>
            </w:r>
          </w:p>
        </w:tc>
        <w:tc>
          <w:tcPr>
            <w:tcW w:w="1920" w:type="dxa"/>
            <w:vAlign w:val="bottom"/>
            <w:shd w:val="clear" w:color="auto" w:fill="CFF0FC"/>
          </w:tcPr>
          <w:p>
            <w:pPr>
              <w:jc w:val="right"/>
              <w:ind w:right="699"/>
              <w:spacing w:after="0" w:line="183" w:lineRule="exact"/>
              <w:rPr>
                <w:sz w:val="20"/>
                <w:szCs w:val="20"/>
                <w:color w:val="auto"/>
              </w:rPr>
            </w:pPr>
            <w:r>
              <w:rPr>
                <w:rFonts w:ascii="Arial" w:cs="Arial" w:eastAsia="Arial" w:hAnsi="Arial"/>
                <w:sz w:val="16"/>
                <w:szCs w:val="16"/>
                <w:color w:val="auto"/>
              </w:rPr>
              <w:t>6.6%</w:t>
            </w:r>
          </w:p>
        </w:tc>
        <w:tc>
          <w:tcPr>
            <w:tcW w:w="2040" w:type="dxa"/>
            <w:vAlign w:val="bottom"/>
            <w:gridSpan w:val="2"/>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rPr>
              <w:t>6.6%</w:t>
            </w:r>
          </w:p>
        </w:tc>
      </w:tr>
      <w:tr>
        <w:trPr>
          <w:trHeight w:val="194"/>
        </w:trPr>
        <w:tc>
          <w:tcPr>
            <w:tcW w:w="7280" w:type="dxa"/>
            <w:vAlign w:val="bottom"/>
          </w:tcPr>
          <w:p>
            <w:pPr>
              <w:spacing w:after="0" w:line="194" w:lineRule="exact"/>
              <w:rPr>
                <w:sz w:val="20"/>
                <w:szCs w:val="20"/>
                <w:color w:val="auto"/>
              </w:rPr>
            </w:pPr>
            <w:r>
              <w:rPr>
                <w:rFonts w:ascii="Arial" w:cs="Arial" w:eastAsia="Arial" w:hAnsi="Arial"/>
                <w:sz w:val="16"/>
                <w:szCs w:val="16"/>
                <w:color w:val="auto"/>
              </w:rPr>
              <w:t xml:space="preserve">Probability of successful achievement </w:t>
            </w:r>
            <w:r>
              <w:rPr>
                <w:rFonts w:ascii="Arial" w:cs="Arial" w:eastAsia="Arial" w:hAnsi="Arial"/>
                <w:sz w:val="21"/>
                <w:szCs w:val="21"/>
                <w:color w:val="auto"/>
                <w:vertAlign w:val="superscript"/>
              </w:rPr>
              <w:t>(a)</w:t>
            </w:r>
          </w:p>
        </w:tc>
        <w:tc>
          <w:tcPr>
            <w:tcW w:w="1920" w:type="dxa"/>
            <w:vAlign w:val="bottom"/>
          </w:tcPr>
          <w:p>
            <w:pPr>
              <w:jc w:val="right"/>
              <w:ind w:right="399"/>
              <w:spacing w:after="0"/>
              <w:rPr>
                <w:sz w:val="20"/>
                <w:szCs w:val="20"/>
                <w:color w:val="auto"/>
              </w:rPr>
            </w:pPr>
            <w:r>
              <w:rPr>
                <w:rFonts w:ascii="Arial" w:cs="Arial" w:eastAsia="Arial" w:hAnsi="Arial"/>
                <w:sz w:val="16"/>
                <w:szCs w:val="16"/>
                <w:color w:val="auto"/>
              </w:rPr>
              <w:t>33%  -  37%</w:t>
            </w:r>
          </w:p>
        </w:tc>
        <w:tc>
          <w:tcPr>
            <w:tcW w:w="2040" w:type="dxa"/>
            <w:vAlign w:val="bottom"/>
            <w:gridSpan w:val="2"/>
          </w:tcPr>
          <w:p>
            <w:pPr>
              <w:jc w:val="center"/>
              <w:spacing w:after="0"/>
              <w:rPr>
                <w:sz w:val="20"/>
                <w:szCs w:val="20"/>
                <w:color w:val="auto"/>
              </w:rPr>
            </w:pPr>
            <w:r>
              <w:rPr>
                <w:rFonts w:ascii="Arial" w:cs="Arial" w:eastAsia="Arial" w:hAnsi="Arial"/>
                <w:sz w:val="16"/>
                <w:szCs w:val="16"/>
                <w:color w:val="auto"/>
              </w:rPr>
              <w:t>15%  -  37%</w:t>
            </w:r>
          </w:p>
        </w:tc>
      </w:tr>
    </w:tbl>
    <w:p>
      <w:pPr>
        <w:spacing w:after="0"/>
        <w:rPr>
          <w:sz w:val="20"/>
          <w:szCs w:val="20"/>
          <w:color w:val="auto"/>
        </w:rPr>
      </w:pPr>
      <w:r>
        <w:rPr>
          <w:rFonts w:ascii="Arial" w:cs="Arial" w:eastAsia="Arial" w:hAnsi="Arial"/>
          <w:sz w:val="14"/>
          <w:szCs w:val="14"/>
          <w:color w:val="auto"/>
        </w:rPr>
        <w:t>_____________________________</w:t>
      </w:r>
    </w:p>
    <w:p>
      <w:pPr>
        <w:spacing w:after="0" w:line="55" w:lineRule="exact"/>
        <w:rPr>
          <w:sz w:val="20"/>
          <w:szCs w:val="20"/>
          <w:color w:val="auto"/>
        </w:rPr>
      </w:pPr>
    </w:p>
    <w:p>
      <w:pPr>
        <w:ind w:right="380" w:firstLine="8"/>
        <w:spacing w:after="0" w:line="229" w:lineRule="auto"/>
        <w:tabs>
          <w:tab w:leader="none" w:pos="157"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Probability of successful achievement was set at different targets based on the Company’s estimates on achieving them. The weighted average probability of successful achievement was 34.0% as of March 31, 2026.</w:t>
      </w:r>
    </w:p>
    <w:p>
      <w:pPr>
        <w:spacing w:after="0" w:line="13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Increases or decreases in the discount rate would result in a lower or higher fair value measurement, respectively. Increases or decreases in any of the probabilities of success in which the gross profit and technology and security milestones are expected to be achieved would result in higher or lower fair value measurement, respectively.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5" w:name="page16"/>
    <w:bookmarkEnd w:id="15"/>
    <w:p>
      <w:pPr>
        <w:ind w:right="100" w:firstLine="509"/>
        <w:spacing w:after="0" w:line="244"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income. At March 31, 2026 and December 31, 2025, $3.3 million and $2.0 million, respectively, of contingent consideration was reflected in the Company's balance sheet in accrued expenses and other current liabilities. The following table summarizes the changes in the carrying value of the contingent consideration for the periods presented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83"/>
        </w:trPr>
        <w:tc>
          <w:tcPr>
            <w:tcW w:w="54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5"/>
                <w:szCs w:val="15"/>
                <w:color w:val="auto"/>
              </w:rPr>
            </w:pPr>
          </w:p>
        </w:tc>
      </w:tr>
      <w:tr>
        <w:trPr>
          <w:trHeight w:val="18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Beginning balance</w:t>
            </w:r>
          </w:p>
        </w:tc>
        <w:tc>
          <w:tcPr>
            <w:tcW w:w="3620" w:type="dxa"/>
            <w:vAlign w:val="bottom"/>
            <w:gridSpan w:val="2"/>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2,046</w:t>
            </w:r>
          </w:p>
        </w:tc>
        <w:tc>
          <w:tcPr>
            <w:tcW w:w="124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5,094</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Additions</w:t>
            </w:r>
          </w:p>
        </w:tc>
        <w:tc>
          <w:tcPr>
            <w:tcW w:w="2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2,924</w:t>
            </w:r>
          </w:p>
        </w:tc>
      </w:tr>
      <w:tr>
        <w:trPr>
          <w:trHeight w:val="18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w:t>
            </w:r>
          </w:p>
        </w:tc>
        <w:tc>
          <w:tcPr>
            <w:tcW w:w="25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r>
      <w:tr>
        <w:trPr>
          <w:trHeight w:val="189"/>
        </w:trPr>
        <w:tc>
          <w:tcPr>
            <w:tcW w:w="540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25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5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Ending balance</w:t>
            </w:r>
          </w:p>
        </w:tc>
        <w:tc>
          <w:tcPr>
            <w:tcW w:w="3620" w:type="dxa"/>
            <w:vAlign w:val="bottom"/>
            <w:gridSpan w:val="2"/>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3,283</w:t>
            </w:r>
          </w:p>
        </w:tc>
        <w:tc>
          <w:tcPr>
            <w:tcW w:w="1240" w:type="dxa"/>
            <w:vAlign w:val="bottom"/>
            <w:gridSpan w:val="2"/>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8,192</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5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 Instruments</w:t>
      </w:r>
    </w:p>
    <w:p>
      <w:pPr>
        <w:spacing w:after="0" w:line="17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 part of the Company’s foreign currency risk management program, the Company uses derivative instruments to mitigate the volatility related to fluctuations in foreign exchange rates. The Company entered into foreign currency forward contracts used to mitigate the currency exchange risk associated with clients and their customers' payments and intercompany loans. The Company's foreign currency forward contracts are not designated as hedging instruments.</w:t>
      </w:r>
    </w:p>
    <w:p>
      <w:pPr>
        <w:spacing w:after="0" w:line="147"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The notional amounts are generally not exchanged, but are used only as the underlying basis on which the value of foreign exchange payments under these contracts is determined. The notional amounts are not recorded on the condensed consolidated balance sheets and are not, when viewed in isolation, a meaningful measure of the risk profile of the derivative instruments.</w:t>
      </w:r>
    </w:p>
    <w:p>
      <w:pPr>
        <w:spacing w:after="0" w:line="128" w:lineRule="exact"/>
        <w:rPr>
          <w:sz w:val="20"/>
          <w:szCs w:val="20"/>
          <w:color w:val="auto"/>
        </w:rPr>
      </w:pPr>
    </w:p>
    <w:p>
      <w:pPr>
        <w:jc w:val="both"/>
        <w:ind w:right="500" w:firstLine="509"/>
        <w:spacing w:after="0" w:line="247" w:lineRule="auto"/>
        <w:rPr>
          <w:sz w:val="20"/>
          <w:szCs w:val="20"/>
          <w:color w:val="auto"/>
        </w:rPr>
      </w:pPr>
      <w:r>
        <w:rPr>
          <w:rFonts w:ascii="Arial" w:cs="Arial" w:eastAsia="Arial" w:hAnsi="Arial"/>
          <w:sz w:val="18"/>
          <w:szCs w:val="18"/>
          <w:color w:val="auto"/>
        </w:rPr>
        <w:t>As of March 31, 2026 and December 31, 2025, the Company had 12,664 and 18,355 open foreign exchange contracts related to clients and their customers' payments, respectively. As of March 31, 2026 and December 31, 2025, the Company had foreign currency forward contracts related to clients and their customers' payments outstanding with notional amounts of $40.4 million and $66.5 million, respectively.</w:t>
      </w:r>
    </w:p>
    <w:p>
      <w:pPr>
        <w:spacing w:after="0" w:line="133" w:lineRule="exact"/>
        <w:rPr>
          <w:sz w:val="20"/>
          <w:szCs w:val="20"/>
          <w:color w:val="auto"/>
        </w:rPr>
      </w:pPr>
    </w:p>
    <w:p>
      <w:pPr>
        <w:ind w:right="300" w:firstLine="559"/>
        <w:spacing w:after="0" w:line="253" w:lineRule="auto"/>
        <w:rPr>
          <w:sz w:val="20"/>
          <w:szCs w:val="20"/>
          <w:color w:val="auto"/>
        </w:rPr>
      </w:pPr>
      <w:r>
        <w:rPr>
          <w:rFonts w:ascii="Arial" w:cs="Arial" w:eastAsia="Arial" w:hAnsi="Arial"/>
          <w:sz w:val="18"/>
          <w:szCs w:val="18"/>
          <w:color w:val="auto"/>
        </w:rPr>
        <w:t>As of March 31, 2026 and December 31, 2025, the Company had one and two open foreign exchange contracts related to intercompany loans, respectively. As of March 31, 2026 and December 31, 2025, the Company had foreign exchange contracts related to intercompany loans outstanding with notional amounts of $30.7 million and $83.7 million, respectively.</w:t>
      </w:r>
    </w:p>
    <w:p>
      <w:pPr>
        <w:spacing w:after="0" w:line="142"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The Company recorded a liability of $1.4 million related to outstanding foreign exchange contracts as of March 31, 2026, respectively. The Company recorded an asset $0.3 million and a liability of $0.4 million related to outstanding foreign exchange contracts as of December 31, 2025, respectively. Assets and liabilities associated with outstanding foreign exchange contracts are recorded within prepaid expenses and other current assets and accrued expenses and other current liabilities, respectively, on the Company's balance sheet.</w:t>
      </w:r>
    </w:p>
    <w:p>
      <w:pPr>
        <w:spacing w:after="0" w:line="136"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The Company recorded a net unrealized loss of $0.9 million on the intercompany loan derivatives during the three months ended March 31, 2026, and there were no gains or losses on the intercompany loan derivatives during the three months ended March 31, 2025. The Company recognized losses on derivatives related to clients and their customers' payments of $0.4 million during the three months ended March 31, 2026, and gains of less than $0.1 million during the three months ended March 31, 2025.</w:t>
      </w:r>
    </w:p>
    <w:p>
      <w:pPr>
        <w:spacing w:after="0" w:line="133"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Gains and losses on the intercompany loans derivatives are included as a component of other income (expense) in the condensed consolidated statements of operations and comprehensive income (loss). Gains and losses on the derivatives related to clients and their customers' payments are included as a component of general and administrative expense within the condensed consolidated statements of operations and comprehensive income (loss) due to the nature of the transactions.</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6" w:name="page17"/>
    <w:bookmarkEnd w:id="16"/>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7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and related taxes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17,578</w:t>
            </w:r>
          </w:p>
        </w:tc>
        <w:tc>
          <w:tcPr>
            <w:tcW w:w="2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21,728</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Accrued income and other non-employee related taxes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10,227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8,558</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Accrued vendor liabilities</w:t>
            </w: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5,269</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5,168</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Sales tax payable</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2,116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2,132</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contingent consideration</w:t>
            </w: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Accrued professional services</w:t>
            </w: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1,895</w:t>
            </w:r>
          </w:p>
        </w:tc>
      </w:tr>
      <w:tr>
        <w:trPr>
          <w:trHeight w:val="18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w:t>
            </w:r>
          </w:p>
        </w:tc>
      </w:tr>
      <w:tr>
        <w:trPr>
          <w:trHeight w:val="189"/>
        </w:trPr>
        <w:tc>
          <w:tcPr>
            <w:tcW w:w="7540" w:type="dxa"/>
            <w:vAlign w:val="bottom"/>
          </w:tcPr>
          <w:p>
            <w:pPr>
              <w:spacing w:after="0"/>
              <w:rPr>
                <w:sz w:val="20"/>
                <w:szCs w:val="20"/>
                <w:color w:val="auto"/>
              </w:rPr>
            </w:pPr>
            <w:r>
              <w:rPr>
                <w:rFonts w:ascii="Arial" w:cs="Arial" w:eastAsia="Arial" w:hAnsi="Arial"/>
                <w:sz w:val="16"/>
                <w:szCs w:val="16"/>
                <w:color w:val="auto"/>
              </w:rPr>
              <w:t>Other accrued expenses and current liabilities</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11,707</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12,842</w:t>
            </w:r>
          </w:p>
        </w:tc>
      </w:tr>
      <w:tr>
        <w:trPr>
          <w:trHeight w:val="203"/>
        </w:trPr>
        <w:tc>
          <w:tcPr>
            <w:tcW w:w="75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Accrued expenses and other current liabilities</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53,432</w:t>
            </w:r>
          </w:p>
        </w:tc>
        <w:tc>
          <w:tcPr>
            <w:tcW w:w="2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55,715</w:t>
            </w: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Property and Equipment,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March 31, 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7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Internal-use software</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34,857</w:t>
            </w:r>
          </w:p>
        </w:tc>
        <w:tc>
          <w:tcPr>
            <w:tcW w:w="2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31,074</w:t>
            </w:r>
          </w:p>
        </w:tc>
      </w:tr>
      <w:tr>
        <w:trPr>
          <w:trHeight w:val="189"/>
        </w:trPr>
        <w:tc>
          <w:tcPr>
            <w:tcW w:w="764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4,708</w:t>
            </w:r>
          </w:p>
        </w:tc>
      </w:tr>
      <w:tr>
        <w:trPr>
          <w:trHeight w:val="189"/>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Leasehold improvements</w:t>
            </w:r>
          </w:p>
        </w:tc>
        <w:tc>
          <w:tcPr>
            <w:tcW w:w="20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4,305</w:t>
            </w:r>
          </w:p>
        </w:tc>
      </w:tr>
      <w:tr>
        <w:trPr>
          <w:trHeight w:val="189"/>
        </w:trPr>
        <w:tc>
          <w:tcPr>
            <w:tcW w:w="7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Furniture and fixtures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r>
      <w:tr>
        <w:trPr>
          <w:trHeight w:val="183"/>
        </w:trPr>
        <w:tc>
          <w:tcPr>
            <w:tcW w:w="7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property and equipment</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44,221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40,875</w:t>
            </w:r>
          </w:p>
        </w:tc>
      </w:tr>
      <w:tr>
        <w:trPr>
          <w:trHeight w:val="189"/>
        </w:trPr>
        <w:tc>
          <w:tcPr>
            <w:tcW w:w="7640" w:type="dxa"/>
            <w:vAlign w:val="bottom"/>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(18,750)</w:t>
            </w:r>
          </w:p>
        </w:tc>
      </w:tr>
      <w:tr>
        <w:trPr>
          <w:trHeight w:val="203"/>
        </w:trPr>
        <w:tc>
          <w:tcPr>
            <w:tcW w:w="76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24,333</w:t>
            </w:r>
          </w:p>
        </w:tc>
        <w:tc>
          <w:tcPr>
            <w:tcW w:w="2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22,125</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-402590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Depreciation of property and equipment and amortization of internal-use software for the three months ended March 31, 2026 and 2025 was $1.8 million and $1.5 million, respectively.</w:t>
      </w:r>
    </w:p>
    <w:p>
      <w:pPr>
        <w:spacing w:after="0" w:line="127" w:lineRule="exact"/>
        <w:rPr>
          <w:sz w:val="20"/>
          <w:szCs w:val="20"/>
          <w:color w:val="auto"/>
        </w:rPr>
      </w:pPr>
    </w:p>
    <w:p>
      <w:pPr>
        <w:ind w:right="200" w:firstLine="509"/>
        <w:spacing w:after="0" w:line="301" w:lineRule="auto"/>
        <w:rPr>
          <w:sz w:val="20"/>
          <w:szCs w:val="20"/>
          <w:color w:val="auto"/>
        </w:rPr>
      </w:pPr>
      <w:r>
        <w:rPr>
          <w:rFonts w:ascii="Arial" w:cs="Arial" w:eastAsia="Arial" w:hAnsi="Arial"/>
          <w:sz w:val="17"/>
          <w:szCs w:val="17"/>
          <w:color w:val="auto"/>
        </w:rPr>
        <w:t>The Company capitalized $3.4 million and $1.2 million in costs related to internal-use software during the three months ended March 31, 2026 and 2025. Software developed for internal use is amortized on a straight-line basis over its estimated useful life of five years.</w:t>
      </w:r>
    </w:p>
    <w:p>
      <w:pPr>
        <w:spacing w:after="0" w:line="90"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As of March 31, 2026 and December 31, 2025, the carrying value of internal-use software was $22.4 million and $20.2 million, respectively. Amortization expense related to internal-use software for the three months ended March 31, 2026 and 2025 was $1.5 million and $1.1 million, respectively.</w:t>
      </w:r>
    </w:p>
    <w:p>
      <w:pPr>
        <w:spacing w:after="0" w:line="12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Restructuring</w:t>
      </w:r>
    </w:p>
    <w:p>
      <w:pPr>
        <w:spacing w:after="0" w:line="18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February 2025, the Company announced a restructuring plan designed to improve operational efficiencies, reduce operating costs, and better align the Company’s workforce with current business needs, top strategic priorities, and key growth opportunities (collectively, the Restructuring Plan). In connection with the Restructuring Plan, the Company incurred restructuring and restructuring-related charges of $8.7 million during the year ended December 31, 2025, recorded within restructuring expenses on the condensed consolidated statements of operations and comprehensive income, primarily consisting of cash expenditures for severance payments and related expenses of $6.3 million for the year ended December 31, 2025, as well as non-cash expenditures related to acceleration of vesting of share-based awards of $2.4 million for the year ended December 31, 2025. As of March 31, 2026, the accrued restructuring liability has been settled in full. As of December 31, 2025, the accrued restructuring liability was less than $0.1 million, which was included within accrued expenses and other current liabilities in the consolidated balance sheets.</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Business Combinations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Sertifi</w:t>
      </w:r>
    </w:p>
    <w:p>
      <w:pPr>
        <w:spacing w:after="0" w:line="18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On February 24, 2025, Flywire acquired all of the issued and outstanding membership interests of Sertifi LLC (Sertifi) for upfront cash consideration of $330.0 million, subject to certain post-closing adjustments set forth in the Purchase and Sale Agreement (the Agreement), and contingent consideration of up to $10.0 million upon the completion or satisfaction of certain technical and commercial milestones by Sertifi. Sertifi is a vertical software and payments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7" w:name="page18"/>
    <w:bookmarkEnd w:id="17"/>
    <w:p>
      <w:pPr>
        <w:ind w:right="880"/>
        <w:spacing w:after="0" w:line="271" w:lineRule="auto"/>
        <w:rPr>
          <w:sz w:val="20"/>
          <w:szCs w:val="20"/>
          <w:color w:val="auto"/>
        </w:rPr>
      </w:pPr>
      <w:r>
        <w:rPr>
          <w:rFonts w:ascii="Arial" w:cs="Arial" w:eastAsia="Arial" w:hAnsi="Arial"/>
          <w:sz w:val="18"/>
          <w:szCs w:val="18"/>
          <w:color w:val="auto"/>
        </w:rPr>
        <w:t>platform digitizing hospitality-specific workflows and associated payments. The acquisition of Sertifi was intended to accelerate the Company’s travel business and expand Flywire’s offerings to support over 20,000 hotel locations globally.</w:t>
      </w:r>
    </w:p>
    <w:p>
      <w:pPr>
        <w:spacing w:after="0" w:line="127"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The Company paid the upfront cash consideration through a combination of cash on hand and $125.0 million borrowed from its existing 2024 Revolving Credit Facility.</w:t>
      </w:r>
    </w:p>
    <w:p>
      <w:pPr>
        <w:spacing w:after="0" w:line="113" w:lineRule="exact"/>
        <w:rPr>
          <w:sz w:val="20"/>
          <w:szCs w:val="20"/>
          <w:color w:val="auto"/>
        </w:rPr>
      </w:pPr>
    </w:p>
    <w:p>
      <w:pPr>
        <w:jc w:val="both"/>
        <w:ind w:right="260" w:firstLine="559"/>
        <w:spacing w:after="0" w:line="253" w:lineRule="auto"/>
        <w:rPr>
          <w:sz w:val="20"/>
          <w:szCs w:val="20"/>
          <w:color w:val="auto"/>
        </w:rPr>
      </w:pPr>
      <w:r>
        <w:rPr>
          <w:rFonts w:ascii="Arial" w:cs="Arial" w:eastAsia="Arial" w:hAnsi="Arial"/>
          <w:sz w:val="18"/>
          <w:szCs w:val="18"/>
          <w:color w:val="auto"/>
        </w:rPr>
        <w:t>During the second quarter of 2025, the Company completed its purchase accounting. The Company recorded measurement period adjustments that increased Goodwill by $0.1 million due to changes in acquired intangible assets, contingent consideration, and a working capital adjustment.</w:t>
      </w:r>
    </w:p>
    <w:p>
      <w:pPr>
        <w:spacing w:after="0" w:line="128"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Pursuant to the terms of the Agreement, the Company acquired Sertifi for total purchase consideration of approximately $336.1 million or $328.0 million, net of cash acquired, which consisted of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shd w:val="clear" w:color="auto" w:fill="CFF0FC"/>
          </w:tcPr>
          <w:p>
            <w:pPr>
              <w:spacing w:after="0"/>
              <w:rPr>
                <w:sz w:val="20"/>
                <w:szCs w:val="20"/>
                <w:color w:val="auto"/>
              </w:rPr>
            </w:pPr>
            <w:r>
              <w:rPr>
                <w:rFonts w:ascii="Arial" w:cs="Arial" w:eastAsia="Arial" w:hAnsi="Arial"/>
                <w:sz w:val="16"/>
                <w:szCs w:val="16"/>
                <w:color w:val="auto"/>
              </w:rPr>
              <w:t>Cash consideration, net of cash acquired</w:t>
            </w: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324,921</w:t>
            </w: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Estimated fair value of contingent consideration</w:t>
            </w: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w:t>
            </w:r>
          </w:p>
        </w:tc>
      </w:tr>
      <w:tr>
        <w:trPr>
          <w:trHeight w:val="223"/>
        </w:trPr>
        <w:tc>
          <w:tcPr>
            <w:tcW w:w="95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purchase consideration, net of cash acquired</w:t>
            </w:r>
          </w:p>
        </w:tc>
        <w:tc>
          <w:tcPr>
            <w:tcW w:w="580" w:type="dxa"/>
            <w:vAlign w:val="bottom"/>
            <w:tcBorders>
              <w:bottom w:val="single" w:sz="8" w:color="auto"/>
            </w:tcBorders>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328,028</w:t>
            </w:r>
          </w:p>
        </w:tc>
      </w:tr>
    </w:tbl>
    <w:p>
      <w:pPr>
        <w:spacing w:after="0" w:line="15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During the year ended December 31, 2025, the Company paid $5.1 million for post-closing adjustments. The Agreement provides for contingent consideration of up to $10.0 million, with an estimated fair value of $3.1 million on the date of acquisition, and represents additional payments that Flywire may be required to make in the future which are dependent upon the successful achievement of certain targets related to gross profit as well as milestones related to Sertifi's technology and security integration.</w:t>
      </w:r>
    </w:p>
    <w:p>
      <w:pPr>
        <w:spacing w:after="0" w:line="133" w:lineRule="exact"/>
        <w:rPr>
          <w:sz w:val="20"/>
          <w:szCs w:val="20"/>
          <w:color w:val="auto"/>
        </w:rPr>
      </w:pPr>
    </w:p>
    <w:p>
      <w:pPr>
        <w:jc w:val="both"/>
        <w:ind w:right="560" w:firstLine="509"/>
        <w:spacing w:after="0" w:line="253" w:lineRule="auto"/>
        <w:rPr>
          <w:sz w:val="20"/>
          <w:szCs w:val="20"/>
          <w:color w:val="auto"/>
        </w:rPr>
      </w:pPr>
      <w:r>
        <w:rPr>
          <w:rFonts w:ascii="Arial" w:cs="Arial" w:eastAsia="Arial" w:hAnsi="Arial"/>
          <w:sz w:val="18"/>
          <w:szCs w:val="18"/>
          <w:color w:val="auto"/>
        </w:rPr>
        <w:t>During the year ended December 31, 2025, the Company incurred $2.6 million in transaction costs in connection with the Sertifi acquisition. These transaction costs are included in general and administrative expenses in the condensed consolidated statements of operations and comprehensive income (loss).</w:t>
      </w:r>
    </w:p>
    <w:p>
      <w:pPr>
        <w:spacing w:after="0" w:line="14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The table summarizes the allocation of the purchase consideration to the fair value of the assets acquired and liabilities assumed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3800" w:type="dxa"/>
            <w:vAlign w:val="bottom"/>
            <w:gridSpan w:val="2"/>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8,109</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Accounts receivable</w:t>
            </w:r>
          </w:p>
        </w:tc>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6,418</w:t>
            </w:r>
          </w:p>
        </w:tc>
      </w:tr>
      <w:tr>
        <w:trPr>
          <w:trHeight w:val="18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Prepaid expenses and other current assets</w:t>
            </w:r>
          </w:p>
        </w:tc>
        <w:tc>
          <w:tcPr>
            <w:tcW w:w="3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982</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Other assets</w:t>
            </w:r>
          </w:p>
        </w:tc>
        <w:tc>
          <w:tcPr>
            <w:tcW w:w="3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18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32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251,569</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Identifiable intangible assets</w:t>
            </w:r>
          </w:p>
        </w:tc>
        <w:tc>
          <w:tcPr>
            <w:tcW w:w="3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86,700</w:t>
            </w:r>
          </w:p>
        </w:tc>
      </w:tr>
      <w:tr>
        <w:trPr>
          <w:trHeight w:val="183"/>
        </w:trPr>
        <w:tc>
          <w:tcPr>
            <w:tcW w:w="63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assets acquired</w:t>
            </w:r>
          </w:p>
        </w:tc>
        <w:tc>
          <w:tcPr>
            <w:tcW w:w="32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354,099</w:t>
            </w:r>
          </w:p>
        </w:tc>
      </w:tr>
      <w:tr>
        <w:trPr>
          <w:trHeight w:val="183"/>
        </w:trPr>
        <w:tc>
          <w:tcPr>
            <w:tcW w:w="6320" w:type="dxa"/>
            <w:vAlign w:val="bottom"/>
          </w:tcPr>
          <w:p>
            <w:pPr>
              <w:spacing w:after="0" w:line="183" w:lineRule="exact"/>
              <w:rPr>
                <w:sz w:val="20"/>
                <w:szCs w:val="20"/>
                <w:color w:val="auto"/>
              </w:rPr>
            </w:pPr>
            <w:r>
              <w:rPr>
                <w:rFonts w:ascii="Arial" w:cs="Arial" w:eastAsia="Arial" w:hAnsi="Arial"/>
                <w:sz w:val="16"/>
                <w:szCs w:val="16"/>
                <w:color w:val="auto"/>
              </w:rPr>
              <w:t>Deferred revenue</w:t>
            </w:r>
          </w:p>
        </w:tc>
        <w:tc>
          <w:tcPr>
            <w:tcW w:w="3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14,347</w:t>
            </w:r>
          </w:p>
        </w:tc>
      </w:tr>
      <w:tr>
        <w:trPr>
          <w:trHeight w:val="189"/>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expenses</w:t>
            </w:r>
          </w:p>
        </w:tc>
        <w:tc>
          <w:tcPr>
            <w:tcW w:w="3200" w:type="dxa"/>
            <w:vAlign w:val="bottom"/>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3,615</w:t>
            </w:r>
          </w:p>
        </w:tc>
      </w:tr>
      <w:tr>
        <w:trPr>
          <w:trHeight w:val="183"/>
        </w:trPr>
        <w:tc>
          <w:tcPr>
            <w:tcW w:w="6320" w:type="dxa"/>
            <w:vAlign w:val="bottom"/>
          </w:tcPr>
          <w:p>
            <w:pPr>
              <w:spacing w:after="0" w:line="183" w:lineRule="exact"/>
              <w:rPr>
                <w:sz w:val="20"/>
                <w:szCs w:val="20"/>
                <w:color w:val="auto"/>
              </w:rPr>
            </w:pPr>
            <w:r>
              <w:rPr>
                <w:rFonts w:ascii="Arial" w:cs="Arial" w:eastAsia="Arial" w:hAnsi="Arial"/>
                <w:sz w:val="16"/>
                <w:szCs w:val="16"/>
                <w:b w:val="1"/>
                <w:bCs w:val="1"/>
                <w:color w:val="auto"/>
              </w:rPr>
              <w:t>Total liabilities assumed</w:t>
            </w:r>
          </w:p>
        </w:tc>
        <w:tc>
          <w:tcPr>
            <w:tcW w:w="3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17,962</w:t>
            </w: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assets acquired</w:t>
            </w:r>
          </w:p>
        </w:tc>
        <w:tc>
          <w:tcPr>
            <w:tcW w:w="32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336,137</w:t>
            </w:r>
          </w:p>
        </w:tc>
      </w:tr>
      <w:tr>
        <w:trPr>
          <w:trHeight w:val="189"/>
        </w:trPr>
        <w:tc>
          <w:tcPr>
            <w:tcW w:w="6320" w:type="dxa"/>
            <w:vAlign w:val="bottom"/>
          </w:tcPr>
          <w:p>
            <w:pPr>
              <w:ind w:left="180"/>
              <w:spacing w:after="0"/>
              <w:rPr>
                <w:sz w:val="20"/>
                <w:szCs w:val="20"/>
                <w:color w:val="auto"/>
              </w:rPr>
            </w:pPr>
            <w:r>
              <w:rPr>
                <w:rFonts w:ascii="Arial" w:cs="Arial" w:eastAsia="Arial" w:hAnsi="Arial"/>
                <w:sz w:val="16"/>
                <w:szCs w:val="16"/>
                <w:color w:val="auto"/>
              </w:rPr>
              <w:t>Less: cash acquired</w:t>
            </w:r>
          </w:p>
        </w:tc>
        <w:tc>
          <w:tcPr>
            <w:tcW w:w="3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w:t>
            </w:r>
          </w:p>
        </w:tc>
      </w:tr>
      <w:tr>
        <w:trPr>
          <w:trHeight w:val="223"/>
        </w:trPr>
        <w:tc>
          <w:tcPr>
            <w:tcW w:w="63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assets, less cash acquired</w:t>
            </w:r>
          </w:p>
        </w:tc>
        <w:tc>
          <w:tcPr>
            <w:tcW w:w="32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328,028</w:t>
            </w:r>
          </w:p>
        </w:tc>
      </w:tr>
    </w:tbl>
    <w:p>
      <w:pPr>
        <w:spacing w:after="0" w:line="157"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The goodwill of $251.6 million arising from the acquisition of Sertifi can be attributed to a number of business factors, including an assembled workforce and revenue and cost synergies expected to be realized. Goodwill from this acquisition is deductible for income tax purposes.</w:t>
      </w:r>
    </w:p>
    <w:p>
      <w:pPr>
        <w:spacing w:after="0" w:line="142" w:lineRule="exact"/>
        <w:rPr>
          <w:sz w:val="20"/>
          <w:szCs w:val="20"/>
          <w:color w:val="auto"/>
        </w:rPr>
      </w:pPr>
    </w:p>
    <w:p>
      <w:pPr>
        <w:ind w:right="960" w:firstLine="509"/>
        <w:spacing w:after="0" w:line="271" w:lineRule="auto"/>
        <w:rPr>
          <w:sz w:val="20"/>
          <w:szCs w:val="20"/>
          <w:color w:val="auto"/>
        </w:rPr>
      </w:pPr>
      <w:r>
        <w:rPr>
          <w:rFonts w:ascii="Arial" w:cs="Arial" w:eastAsia="Arial" w:hAnsi="Arial"/>
          <w:sz w:val="18"/>
          <w:szCs w:val="18"/>
          <w:color w:val="auto"/>
        </w:rPr>
        <w:t>The following table reflects the fair values of the identified intangible assets of Sertifi and their respective weighted-average amortization periods.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7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Amortization Periods</w:t>
            </w:r>
          </w:p>
        </w:tc>
      </w:tr>
      <w:tr>
        <w:trPr>
          <w:trHeight w:val="182"/>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(years)</w:t>
            </w:r>
          </w:p>
        </w:tc>
      </w:tr>
      <w:tr>
        <w:trPr>
          <w:trHeight w:val="189"/>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Acquired relationships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53,100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7900" w:type="dxa"/>
            <w:vAlign w:val="bottom"/>
          </w:tcPr>
          <w:p>
            <w:pPr>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14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4,600</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79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86,700</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-153670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8" w:name="page19"/>
    <w:bookmarkEnd w:id="18"/>
    <w:p>
      <w:pPr>
        <w:ind w:right="260" w:firstLine="509"/>
        <w:spacing w:after="0" w:line="247" w:lineRule="auto"/>
        <w:rPr>
          <w:sz w:val="20"/>
          <w:szCs w:val="20"/>
          <w:color w:val="auto"/>
        </w:rPr>
      </w:pPr>
      <w:r>
        <w:rPr>
          <w:rFonts w:ascii="Arial" w:cs="Arial" w:eastAsia="Arial" w:hAnsi="Arial"/>
          <w:sz w:val="18"/>
          <w:szCs w:val="18"/>
          <w:color w:val="auto"/>
        </w:rPr>
        <w:t>The results of Sertifi have been included in the condensed consolidated financial statements since the date of the acquisition. Sertifi contributed $3.0 million in platform revenue and $1.7 million in transactional revenue during the three months ended March 31, 2025. The Company has not disclosed net income or loss since the acquisition date as the business was fully integrated into the consolidated Company's operations and therefore it was impracticable to determine this amount.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71"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months ended March 31, 2025, as if the acquisition had occurred on January 1, 2024.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Sertifi. The unaudited pro forma information reflects the effects of applying the Company’s accounting policies and certain pro forma adjustments to the combined historical financial information of the Company and Sertifi. The pro forma adjustments include:</w:t>
      </w:r>
    </w:p>
    <w:p>
      <w:pPr>
        <w:spacing w:after="0" w:line="71" w:lineRule="exact"/>
        <w:rPr>
          <w:sz w:val="20"/>
          <w:szCs w:val="20"/>
          <w:color w:val="auto"/>
        </w:rPr>
      </w:pPr>
    </w:p>
    <w:p>
      <w:pPr>
        <w:ind w:left="460" w:hanging="302"/>
        <w:spacing w:after="0"/>
        <w:tabs>
          <w:tab w:leader="none" w:pos="4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amortization expense associated with the fair value of identified intangible assets;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employee compensation expense for Sertifi employees;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interest expense for borrowings related to the acquisition;</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 costs;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estimated tax impact of the above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r>
      <w:tr>
        <w:trPr>
          <w:trHeight w:val="217"/>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b w:val="1"/>
                <w:bCs w:val="1"/>
                <w:color w:val="auto"/>
              </w:rPr>
              <w:t>March 31, 2025</w:t>
            </w:r>
          </w:p>
        </w:tc>
      </w:tr>
      <w:tr>
        <w:trPr>
          <w:trHeight w:val="209"/>
        </w:trPr>
        <w:tc>
          <w:tcPr>
            <w:tcW w:w="7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Pro Forma</w:t>
            </w:r>
          </w:p>
        </w:tc>
      </w:tr>
      <w:tr>
        <w:trPr>
          <w:trHeight w:val="210"/>
        </w:trPr>
        <w:tc>
          <w:tcPr>
            <w:tcW w:w="79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133,452</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140,209</w:t>
            </w:r>
          </w:p>
        </w:tc>
      </w:tr>
      <w:tr>
        <w:trPr>
          <w:trHeight w:val="215"/>
        </w:trPr>
        <w:tc>
          <w:tcPr>
            <w:tcW w:w="79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(4,160)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(4,840)</w:t>
            </w:r>
          </w:p>
        </w:tc>
      </w:tr>
    </w:tbl>
    <w:p>
      <w:pPr>
        <w:spacing w:after="0" w:line="2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Goodwill and Acquired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31, 2026</w:t>
            </w:r>
          </w:p>
        </w:tc>
      </w:tr>
      <w:tr>
        <w:trPr>
          <w:trHeight w:val="183"/>
        </w:trPr>
        <w:tc>
          <w:tcPr>
            <w:tcW w:w="6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2025</w:t>
            </w:r>
          </w:p>
        </w:tc>
        <w:tc>
          <w:tcPr>
            <w:tcW w:w="35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406,507</w:t>
            </w:r>
          </w:p>
        </w:tc>
      </w:tr>
      <w:tr>
        <w:trPr>
          <w:trHeight w:val="189"/>
        </w:trPr>
        <w:tc>
          <w:tcPr>
            <w:tcW w:w="6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 currency translation adjustment</w:t>
            </w:r>
          </w:p>
        </w:tc>
        <w:tc>
          <w:tcPr>
            <w:tcW w:w="33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23"/>
        </w:trPr>
        <w:tc>
          <w:tcPr>
            <w:tcW w:w="61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 at March 31, 2026</w:t>
            </w:r>
          </w:p>
        </w:tc>
        <w:tc>
          <w:tcPr>
            <w:tcW w:w="3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406,766</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2026</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Remaining Life</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Acquired Relationships</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176,899</w:t>
            </w:r>
          </w:p>
        </w:tc>
        <w:tc>
          <w:tcPr>
            <w:tcW w:w="2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(35,308)</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141,591</w:t>
            </w:r>
          </w:p>
        </w:tc>
        <w:tc>
          <w:tcPr>
            <w:tcW w:w="17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75,861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(38,829)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37,032</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1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5,137</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4,529</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257,897</w:t>
            </w:r>
          </w:p>
        </w:tc>
        <w:tc>
          <w:tcPr>
            <w:tcW w:w="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(74,745)</w:t>
            </w:r>
          </w:p>
        </w:tc>
        <w:tc>
          <w:tcPr>
            <w:tcW w:w="3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183,152</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-153670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2025</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8"/>
        </w:trPr>
        <w:tc>
          <w:tcPr>
            <w:tcW w:w="4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Remaining Life</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Acquired Relationships</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176,913</w:t>
            </w: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(32,484)</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144,429</w:t>
            </w:r>
          </w:p>
        </w:tc>
        <w:tc>
          <w:tcPr>
            <w:tcW w:w="17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Developed Technology</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75,543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(35,576)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39,967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Trade Name/Trademark</w:t>
            </w:r>
          </w:p>
        </w:tc>
        <w:tc>
          <w:tcPr>
            <w:tcW w:w="1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5,134</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4,654</w:t>
            </w:r>
          </w:p>
        </w:tc>
        <w:tc>
          <w:tcPr>
            <w:tcW w:w="1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257,590</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(68,540)</w:t>
            </w:r>
          </w:p>
        </w:tc>
        <w:tc>
          <w:tcPr>
            <w:tcW w:w="3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189,050</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-153670</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the three months ended March 31, 2026 and 2025 was $6.3 million and $4.1 million, respectively.</w:t>
      </w:r>
    </w:p>
    <w:p>
      <w:pPr>
        <w:spacing w:after="0" w:line="18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As of March 31, 2026, the estimated annual amortization expense of intangible assets for each of the next five years and thereafter is expected to be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7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9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center"/>
              <w:ind w:right="179"/>
              <w:spacing w:after="0"/>
              <w:rPr>
                <w:sz w:val="20"/>
                <w:szCs w:val="20"/>
                <w:color w:val="auto"/>
              </w:rPr>
            </w:pPr>
            <w:r>
              <w:rPr>
                <w:rFonts w:ascii="Arial" w:cs="Arial" w:eastAsia="Arial" w:hAnsi="Arial"/>
                <w:sz w:val="16"/>
                <w:szCs w:val="16"/>
                <w:b w:val="1"/>
                <w:bCs w:val="1"/>
                <w:color w:val="auto"/>
              </w:rPr>
              <w:t>Amortization</w:t>
            </w:r>
          </w:p>
        </w:tc>
      </w:tr>
      <w:tr>
        <w:trPr>
          <w:trHeight w:val="203"/>
        </w:trPr>
        <w:tc>
          <w:tcPr>
            <w:tcW w:w="9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Expense</w:t>
            </w:r>
          </w:p>
        </w:tc>
      </w:tr>
      <w:tr>
        <w:trPr>
          <w:trHeight w:val="183"/>
        </w:trPr>
        <w:tc>
          <w:tcPr>
            <w:tcW w:w="9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Remaining of fiscal year 2026</w:t>
            </w: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16,691</w:t>
            </w: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2027</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20,766</w:t>
            </w:r>
          </w:p>
        </w:tc>
      </w:tr>
      <w:tr>
        <w:trPr>
          <w:trHeight w:val="189"/>
        </w:trPr>
        <w:tc>
          <w:tcPr>
            <w:tcW w:w="95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20,696</w:t>
            </w: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2029</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20,187</w:t>
            </w:r>
          </w:p>
        </w:tc>
      </w:tr>
      <w:tr>
        <w:trPr>
          <w:trHeight w:val="189"/>
        </w:trPr>
        <w:tc>
          <w:tcPr>
            <w:tcW w:w="956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18,234</w:t>
            </w: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2031</w:t>
            </w:r>
          </w:p>
        </w:tc>
        <w:tc>
          <w:tcPr>
            <w:tcW w:w="2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16,799</w:t>
            </w:r>
          </w:p>
        </w:tc>
      </w:tr>
      <w:tr>
        <w:trPr>
          <w:trHeight w:val="189"/>
        </w:trPr>
        <w:tc>
          <w:tcPr>
            <w:tcW w:w="9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69,779</w:t>
            </w:r>
          </w:p>
        </w:tc>
      </w:tr>
      <w:tr>
        <w:trPr>
          <w:trHeight w:val="183"/>
        </w:trPr>
        <w:tc>
          <w:tcPr>
            <w:tcW w:w="956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183,152</w:t>
            </w:r>
          </w:p>
        </w:tc>
      </w:tr>
      <w:tr>
        <w:trPr>
          <w:trHeight w:val="20"/>
        </w:trPr>
        <w:tc>
          <w:tcPr>
            <w:tcW w:w="9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tab/>
        <w:t>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Amended Revolving Credit Facility</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There were no borrowings outstanding under the 2024 Amended Revolving Credit Facility as of March 31, 2026 and December 31, 2025, respectively.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 was in compliance with all covenants associated with the 2024 Amended Revolving Credit Facility as of March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6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On February 23, 2024, the Company entered into an Amended and Restated Credit Agreement for a five-year senior secured revolving credit syndication loan (2024 Revolving Credit Facility) with four banks for a total commitment of $125.0 million. The 2024 Revolving Credit Facility provides for an incremental facility in an amount equal to $50.0 million plus 100% of Consolidated Adjusted EBITDA based on the most recent consolidated financial information. In addition, the 2024 Revolving Credit Facility includes a $10.0 million letter of credit sub-facility and a $5.0 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 and is secured by substantially all of the assets of the borrowers and guarantors thereunder, subject to customary exceptions.</w:t>
      </w:r>
    </w:p>
    <w:p>
      <w:pPr>
        <w:spacing w:after="0" w:line="14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On August 1, 2025, the Company entered into an amendment (the 2025 Revolving Credit Facility Amendment) to the 2024 Revolving Credit Facility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spacing w:after="0" w:line="136"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Interest expense for the three months ended March 31, 2026 and 2025 was $0.3 million and $0.7 million, respectively. Included in interest expense for the three months ended March 31, 2026 and 2025 was $0.1 million and less than $0.1 million of amortization of debt issuance costs.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83"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As of March 31, 2026 and December 31, 2025, the Company had outstanding and unused letters of credit in the amount of approximately $8.0 million and $7.9 million, respectively, for the purpose of protecting third-party service providers against defaults. The letters of credit may be terminated at any time by the Company upon notice.</w:t>
      </w:r>
    </w:p>
    <w:p>
      <w:pPr>
        <w:spacing w:after="0" w:line="1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Stockholders’ Equity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current amended and restated certificate of incorporation, which was filed on May 28, 2021, authorizes the issuance of 10,000,000 shares of undesignated preferred stock with a par value of $0.0001 per share with rights and preferences, including voting rights, designated from time to time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9"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5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6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August 6, 2024, the Company announced a share repurchase program of up to $150.0 million of outstanding voting and non-voting common stock for an indefinite period as part of the Company’s capital deployment strategy (Repurchase Program). On July 30, 2025, the Company's board of directors approved an increase in the aggregate amount of voting and non-voting common stock outstanding that may be repurchased under the Repurchase Program by an additional $150.0 million, bringing the total authorized amount under the Repurchase Program to $300.0 million. On May 5, 2026, the Company announced its intention to initiate an accelerated share repurchase (ASR) program of up to $50.0 million under the Repurchase Program.</w:t>
      </w:r>
    </w:p>
    <w:p>
      <w:pPr>
        <w:spacing w:after="0" w:line="15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p>
    <w:p>
      <w:pPr>
        <w:spacing w:after="0" w:line="143"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During the three months ended March 31, 2026, the Company repurchased 907,029 shares of its common stock for an aggregate amount, including commissions and accrued excise tax, of $10.0 million under the Repurchase Program. The repurchased shares are currently being held as treasury stock on the condensed consolidated balance sheet. As 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21" w:name="page22"/>
    <w:bookmarkEnd w:id="21"/>
    <w:p>
      <w:pPr>
        <w:ind w:right="160"/>
        <w:spacing w:after="0" w:line="271" w:lineRule="auto"/>
        <w:rPr>
          <w:sz w:val="20"/>
          <w:szCs w:val="20"/>
          <w:color w:val="auto"/>
        </w:rPr>
      </w:pPr>
      <w:r>
        <w:rPr>
          <w:rFonts w:ascii="Arial" w:cs="Arial" w:eastAsia="Arial" w:hAnsi="Arial"/>
          <w:sz w:val="18"/>
          <w:szCs w:val="18"/>
          <w:color w:val="auto"/>
        </w:rPr>
        <w:t>March 31, 2026, approximately $171.9 million of the $300 million authorized amount under the Repurchase Program remained available for future repurchases.</w:t>
      </w:r>
    </w:p>
    <w:p>
      <w:pPr>
        <w:spacing w:after="0" w:line="12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All of the Company’s repurchases are subject to a 1% excise tax enacted by the Inflation Reduction Act of 2022 (the IRA). The amount of share repurchases subject to the excise tax are reduced by the fair market value of any shares issued during the taxable year. As of March 31, 2026, the accrued excise tax liability pursuant to the IRA was $0.3 million, all of which related to fiscal year ended December 31, 2025.</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There was no additional liability incurred for activity during the three months ending March 31, 2026. The accrued excise tax liability is included in the cost of treasury stock and accrued expenses and other current liabilities on the Company's condensed consolidated balance sheet.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6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 may issue treasury stock upon the exercise of stock options and vesting of restricted stock units granted under its equity incentive plans. The Company issued 46,801 treasury shares at an average cost of $11.57 per share during the three months ended March 31, 2026. The Company issued 19,182 treasury shares at an average cost of $9.91 per share during the three months ended March 31, 2025. The Company intends to issue treasury shares as long as an adequate number of those shares are available.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69" w:lineRule="exact"/>
        <w:rPr>
          <w:sz w:val="20"/>
          <w:szCs w:val="20"/>
          <w:color w:val="auto"/>
        </w:rPr>
      </w:pPr>
    </w:p>
    <w:p>
      <w:pPr>
        <w:ind w:right="580" w:firstLine="509"/>
        <w:spacing w:after="0" w:line="247" w:lineRule="auto"/>
        <w:rPr>
          <w:sz w:val="20"/>
          <w:szCs w:val="20"/>
          <w:color w:val="auto"/>
        </w:rPr>
      </w:pPr>
      <w:r>
        <w:rPr>
          <w:rFonts w:ascii="Arial" w:cs="Arial" w:eastAsia="Arial" w:hAnsi="Arial"/>
          <w:sz w:val="18"/>
          <w:szCs w:val="18"/>
          <w:color w:val="auto"/>
        </w:rPr>
        <w:t>Comprehensive income (loss) includes all changes in equity during the period and is comprised of net income (loss) and other comprehensive income (loss). Accumulated other comprehensive income (AOCI) reported on the Company's condensed consolidated balance sheets for the period ending March 31, 2026 consists of foreign currency translation adjustment and the unrealized gains and losses, net of applicable taxes, on available-for-sale debt securities.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changes in AOCI for the three months ended March 31, 2026 and 2025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2026</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 2025</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48"/>
              <w:spacing w:after="0"/>
              <w:rPr>
                <w:sz w:val="20"/>
                <w:szCs w:val="20"/>
                <w:color w:val="auto"/>
              </w:rPr>
            </w:pPr>
            <w:r>
              <w:rPr>
                <w:rFonts w:ascii="Arial" w:cs="Arial" w:eastAsia="Arial" w:hAnsi="Arial"/>
                <w:sz w:val="13"/>
                <w:szCs w:val="13"/>
                <w:b w:val="1"/>
                <w:bCs w:val="1"/>
                <w:color w:val="auto"/>
                <w:w w:val="98"/>
              </w:rPr>
              <w:t>Unrealized Gains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68"/>
              <w:spacing w:after="0"/>
              <w:rPr>
                <w:sz w:val="20"/>
                <w:szCs w:val="20"/>
                <w:color w:val="auto"/>
              </w:rPr>
            </w:pPr>
            <w:r>
              <w:rPr>
                <w:rFonts w:ascii="Arial" w:cs="Arial" w:eastAsia="Arial" w:hAnsi="Arial"/>
                <w:sz w:val="13"/>
                <w:szCs w:val="13"/>
                <w:b w:val="1"/>
                <w:bCs w:val="1"/>
                <w:color w:val="auto"/>
                <w:w w:val="96"/>
              </w:rPr>
              <w:t>Foreign</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48"/>
              <w:spacing w:after="0"/>
              <w:rPr>
                <w:sz w:val="20"/>
                <w:szCs w:val="20"/>
                <w:color w:val="auto"/>
              </w:rPr>
            </w:pPr>
            <w:r>
              <w:rPr>
                <w:rFonts w:ascii="Arial" w:cs="Arial" w:eastAsia="Arial" w:hAnsi="Arial"/>
                <w:sz w:val="13"/>
                <w:szCs w:val="13"/>
                <w:b w:val="1"/>
                <w:bCs w:val="1"/>
                <w:color w:val="auto"/>
                <w:w w:val="96"/>
              </w:rPr>
              <w:t>Unrealized Gains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28"/>
              <w:spacing w:after="0"/>
              <w:rPr>
                <w:sz w:val="20"/>
                <w:szCs w:val="20"/>
                <w:color w:val="auto"/>
              </w:rPr>
            </w:pPr>
            <w:r>
              <w:rPr>
                <w:rFonts w:ascii="Arial" w:cs="Arial" w:eastAsia="Arial" w:hAnsi="Arial"/>
                <w:sz w:val="13"/>
                <w:szCs w:val="13"/>
                <w:b w:val="1"/>
                <w:bCs w:val="1"/>
                <w:color w:val="auto"/>
                <w:w w:val="96"/>
              </w:rPr>
              <w:t>Foreign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Arial" w:cs="Arial" w:eastAsia="Arial" w:hAnsi="Arial"/>
                <w:sz w:val="13"/>
                <w:szCs w:val="13"/>
                <w:b w:val="1"/>
                <w:bCs w:val="1"/>
                <w:color w:val="auto"/>
                <w:w w:val="98"/>
              </w:rPr>
              <w:t>(Losses) 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3"/>
                <w:szCs w:val="13"/>
                <w:b w:val="1"/>
                <w:bCs w:val="1"/>
                <w:color w:val="auto"/>
                <w:w w:val="98"/>
              </w:rPr>
              <w:t>Currency</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68"/>
              <w:spacing w:after="0"/>
              <w:rPr>
                <w:sz w:val="20"/>
                <w:szCs w:val="20"/>
                <w:color w:val="auto"/>
              </w:rPr>
            </w:pPr>
            <w:r>
              <w:rPr>
                <w:rFonts w:ascii="Arial" w:cs="Arial" w:eastAsia="Arial" w:hAnsi="Arial"/>
                <w:sz w:val="13"/>
                <w:szCs w:val="13"/>
                <w:b w:val="1"/>
                <w:bCs w:val="1"/>
                <w:color w:val="auto"/>
                <w:w w:val="98"/>
              </w:rPr>
              <w:t>(Losses) 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3"/>
                <w:szCs w:val="13"/>
                <w:b w:val="1"/>
                <w:bCs w:val="1"/>
                <w:color w:val="auto"/>
                <w:w w:val="98"/>
              </w:rPr>
              <w:t>Currency</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48"/>
              <w:spacing w:after="0"/>
              <w:rPr>
                <w:sz w:val="20"/>
                <w:szCs w:val="20"/>
                <w:color w:val="auto"/>
              </w:rPr>
            </w:pPr>
            <w:r>
              <w:rPr>
                <w:rFonts w:ascii="Arial" w:cs="Arial" w:eastAsia="Arial" w:hAnsi="Arial"/>
                <w:sz w:val="13"/>
                <w:szCs w:val="13"/>
                <w:b w:val="1"/>
                <w:bCs w:val="1"/>
                <w:color w:val="auto"/>
                <w:w w:val="98"/>
              </w:rPr>
              <w:t>Available-for-Sale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3"/>
                <w:szCs w:val="13"/>
                <w:b w:val="1"/>
                <w:bCs w:val="1"/>
                <w:color w:val="auto"/>
                <w:w w:val="96"/>
              </w:rPr>
              <w:t>Translation</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3"/>
                <w:szCs w:val="13"/>
                <w:b w:val="1"/>
                <w:bCs w:val="1"/>
                <w:color w:val="auto"/>
                <w:w w:val="96"/>
              </w:rPr>
              <w:t>Available-for-Sale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48"/>
              <w:spacing w:after="0"/>
              <w:rPr>
                <w:sz w:val="20"/>
                <w:szCs w:val="20"/>
                <w:color w:val="auto"/>
              </w:rPr>
            </w:pPr>
            <w:r>
              <w:rPr>
                <w:rFonts w:ascii="Arial" w:cs="Arial" w:eastAsia="Arial" w:hAnsi="Arial"/>
                <w:sz w:val="13"/>
                <w:szCs w:val="13"/>
                <w:b w:val="1"/>
                <w:bCs w:val="1"/>
                <w:color w:val="auto"/>
                <w:w w:val="96"/>
              </w:rPr>
              <w:t>Translation</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5"/>
              </w:rPr>
              <w:t>Debt Securities, net</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95"/>
              </w:rPr>
              <w:t>Adjustment</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97"/>
              </w:rPr>
              <w:t>Debt Securities, net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95"/>
              </w:rPr>
              <w:t>Adjustment</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6"/>
        </w:trPr>
        <w:tc>
          <w:tcPr>
            <w:tcW w:w="2380" w:type="dxa"/>
            <w:vAlign w:val="bottom"/>
            <w:shd w:val="clear" w:color="auto" w:fill="CFF0FC"/>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2,433</w:t>
            </w:r>
          </w:p>
        </w:tc>
        <w:tc>
          <w:tcPr>
            <w:tcW w:w="580" w:type="dxa"/>
            <w:vAlign w:val="bottom"/>
            <w:gridSpan w:val="2"/>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(2,274)</w:t>
            </w: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4"/>
                <w:szCs w:val="14"/>
                <w:color w:val="auto"/>
              </w:rPr>
              <w:t>Other comprehensive (loss) income</w:t>
            </w:r>
          </w:p>
        </w:tc>
        <w:tc>
          <w:tcPr>
            <w:tcW w:w="1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115"/>
        </w:trPr>
        <w:tc>
          <w:tcPr>
            <w:tcW w:w="2380" w:type="dxa"/>
            <w:vAlign w:val="bottom"/>
            <w:vMerge w:val="restart"/>
          </w:tcPr>
          <w:p>
            <w:pPr>
              <w:spacing w:after="0"/>
              <w:rPr>
                <w:sz w:val="20"/>
                <w:szCs w:val="20"/>
                <w:color w:val="auto"/>
              </w:rPr>
            </w:pPr>
            <w:r>
              <w:rPr>
                <w:rFonts w:ascii="Arial" w:cs="Arial" w:eastAsia="Arial" w:hAnsi="Arial"/>
                <w:sz w:val="14"/>
                <w:szCs w:val="14"/>
                <w:color w:val="auto"/>
              </w:rPr>
              <w:t>before reclassifications</w:t>
            </w: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380" w:type="dxa"/>
            <w:vAlign w:val="bottom"/>
            <w:tcBorders>
              <w:bottom w:val="single" w:sz="8" w:color="CFF0FC"/>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Net current period other</w:t>
            </w:r>
          </w:p>
        </w:tc>
        <w:tc>
          <w:tcPr>
            <w:tcW w:w="100" w:type="dxa"/>
            <w:vAlign w:val="bottom"/>
            <w:shd w:val="clear" w:color="auto" w:fill="CFF0FC"/>
          </w:tcPr>
          <w:p>
            <w:pPr>
              <w:spacing w:after="0"/>
              <w:rPr>
                <w:sz w:val="11"/>
                <w:szCs w:val="11"/>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138"/>
        </w:trPr>
        <w:tc>
          <w:tcPr>
            <w:tcW w:w="2380" w:type="dxa"/>
            <w:vAlign w:val="bottom"/>
            <w:tcBorders>
              <w:bottom w:val="single" w:sz="8" w:color="CFF0FC"/>
            </w:tcBorders>
            <w:shd w:val="clear" w:color="auto" w:fill="CFF0FC"/>
          </w:tcPr>
          <w:p>
            <w:pPr>
              <w:spacing w:after="0" w:line="138" w:lineRule="exact"/>
              <w:rPr>
                <w:sz w:val="20"/>
                <w:szCs w:val="20"/>
                <w:color w:val="auto"/>
              </w:rPr>
            </w:pPr>
            <w:r>
              <w:rPr>
                <w:rFonts w:ascii="Arial" w:cs="Arial" w:eastAsia="Arial" w:hAnsi="Arial"/>
                <w:sz w:val="14"/>
                <w:szCs w:val="14"/>
                <w:color w:val="auto"/>
              </w:rPr>
              <w:t>comprehensive (loss) income</w:t>
            </w:r>
          </w:p>
        </w:tc>
        <w:tc>
          <w:tcPr>
            <w:tcW w:w="100" w:type="dxa"/>
            <w:vAlign w:val="bottom"/>
            <w:tcBorders>
              <w:bottom w:val="single" w:sz="8" w:color="CFF0FC"/>
            </w:tcBorders>
            <w:shd w:val="clear" w:color="auto" w:fill="CFF0FC"/>
          </w:tcPr>
          <w:p>
            <w:pPr>
              <w:spacing w:after="0"/>
              <w:rPr>
                <w:sz w:val="11"/>
                <w:szCs w:val="11"/>
                <w:color w:val="auto"/>
              </w:rPr>
            </w:pPr>
          </w:p>
        </w:tc>
        <w:tc>
          <w:tcPr>
            <w:tcW w:w="136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88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1,532</w:t>
            </w:r>
          </w:p>
        </w:tc>
        <w:tc>
          <w:tcPr>
            <w:tcW w:w="120" w:type="dxa"/>
            <w:vAlign w:val="bottom"/>
          </w:tcPr>
          <w:p>
            <w:pPr>
              <w:spacing w:after="0"/>
              <w:rPr>
                <w:sz w:val="15"/>
                <w:szCs w:val="15"/>
                <w:color w:val="auto"/>
              </w:rPr>
            </w:pPr>
          </w:p>
        </w:tc>
        <w:tc>
          <w:tcPr>
            <w:tcW w:w="460" w:type="dxa"/>
            <w:vAlign w:val="bottom"/>
          </w:tcPr>
          <w:p>
            <w:pPr>
              <w:jc w:val="right"/>
              <w:ind w:right="2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1,553</w:t>
            </w:r>
          </w:p>
        </w:tc>
        <w:tc>
          <w:tcPr>
            <w:tcW w:w="10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79</w:t>
            </w:r>
          </w:p>
        </w:tc>
        <w:tc>
          <w:tcPr>
            <w:tcW w:w="3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403</w:t>
            </w:r>
          </w:p>
        </w:tc>
        <w:tc>
          <w:tcPr>
            <w:tcW w:w="560" w:type="dxa"/>
            <w:vAlign w:val="bottom"/>
            <w:gridSpan w:val="2"/>
          </w:tcPr>
          <w:p>
            <w:pPr>
              <w:jc w:val="right"/>
              <w:ind w:right="36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2426970</wp:posOffset>
            </wp:positionH>
            <wp:positionV relativeFrom="paragraph">
              <wp:posOffset>-363220</wp:posOffset>
            </wp:positionV>
            <wp:extent cx="102235" cy="2311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-363220</wp:posOffset>
            </wp:positionV>
            <wp:extent cx="102235" cy="2311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-363220</wp:posOffset>
            </wp:positionV>
            <wp:extent cx="93980" cy="2311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-363220</wp:posOffset>
            </wp:positionV>
            <wp:extent cx="93980" cy="2311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-363220</wp:posOffset>
            </wp:positionV>
            <wp:extent cx="93980" cy="2311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Reserved Shares of Common Stock for Future Issuance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2026, the Company had reserved shares of common stock for future issuance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for issuance under the 2021 Equity Incentive Plan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Available for issuance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for conversion of non-voting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4,732,360</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14,433,168</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17,863,049</w:t>
      </w:r>
    </w:p>
    <w:p>
      <w:pPr>
        <w:spacing w:after="0" w:line="1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6,759,068</w:t>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1,873,320</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45,660,965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12065</wp:posOffset>
            </wp:positionV>
            <wp:extent cx="9772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-455930</wp:posOffset>
            </wp:positionH>
            <wp:positionV relativeFrom="paragraph">
              <wp:posOffset>29210</wp:posOffset>
            </wp:positionV>
            <wp:extent cx="9772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00" w:space="720"/>
            <w:col w:w="820"/>
          </w:cols>
          <w:pgMar w:left="320" w:top="1376" w:right="339" w:bottom="1440" w:gutter="0" w:footer="0" w:header="0"/>
          <w:type w:val="continuous"/>
        </w:sectPr>
      </w:pPr>
    </w:p>
    <w:p>
      <w:pPr>
        <w:spacing w:after="0" w:line="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3"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Stock options granted under the 2021 Plan generally vest based on continued service over four years and expire within ten years from the date of grant. Any options that are cancelled or forfeited before expiration become available for future grants.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months ended March 31, 2026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type w:val="continuous"/>
        </w:sectPr>
      </w:pPr>
    </w:p>
    <w:bookmarkStart w:id="22" w:name="page23"/>
    <w:bookmarkEnd w:id="22"/>
    <w:p>
      <w:pPr>
        <w:ind w:right="2120" w:firstLine="509"/>
        <w:spacing w:after="0" w:line="446" w:lineRule="auto"/>
        <w:rPr>
          <w:sz w:val="20"/>
          <w:szCs w:val="20"/>
          <w:color w:val="auto"/>
        </w:rPr>
      </w:pPr>
      <w:r>
        <w:rPr>
          <w:rFonts w:ascii="Arial" w:cs="Arial" w:eastAsia="Arial" w:hAnsi="Arial"/>
          <w:sz w:val="18"/>
          <w:szCs w:val="18"/>
          <w:color w:val="auto"/>
        </w:rPr>
        <w:t xml:space="preserve">As of March 31, 2026, there was no unrecognized compensation expense related to unvested stock options. </w:t>
      </w:r>
      <w:r>
        <w:rPr>
          <w:rFonts w:ascii="Arial" w:cs="Arial" w:eastAsia="Arial" w:hAnsi="Arial"/>
          <w:sz w:val="18"/>
          <w:szCs w:val="18"/>
          <w:b w:val="1"/>
          <w:bCs w:val="1"/>
          <w:i w:val="1"/>
          <w:iCs w:val="1"/>
          <w:color w:val="auto"/>
        </w:rPr>
        <w:t>Restricted Stock Units</w:t>
      </w:r>
    </w:p>
    <w:p>
      <w:pPr>
        <w:ind w:firstLine="509"/>
        <w:spacing w:after="0" w:line="244" w:lineRule="auto"/>
        <w:rPr>
          <w:sz w:val="20"/>
          <w:szCs w:val="20"/>
          <w:color w:val="auto"/>
        </w:rPr>
      </w:pPr>
      <w:r>
        <w:rPr>
          <w:rFonts w:ascii="Arial" w:cs="Arial" w:eastAsia="Arial" w:hAnsi="Arial"/>
          <w:sz w:val="18"/>
          <w:szCs w:val="18"/>
          <w:color w:val="auto"/>
        </w:rPr>
        <w:t>The Company awarded restricted stock units to employees and certain non-employee board members under the 2021 Plan. During the three months ended March 31, 2026, the Company awarded restricted stock units covering an aggregate of 5.6 million shares of common stock.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36"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As of March 31, 2026, there was $163.4 million of total unrecognized compensation expense related to unvested restricted stock units, which is expected to be recognized over a weighted-average period of 3.04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6,759,068 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the lesser of 15% of their eligible compensation and the IRS limit. Offering periods are generally six months long.</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March 31, 2026, a total of 6,759,068 shares of the Company's common stock were available for future issuance under the ESPP.</w:t>
      </w:r>
    </w:p>
    <w:p>
      <w:pPr>
        <w:spacing w:after="0" w:line="19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fair value of the ESPP offering during the three months ended March 31, 2026, was estimated at the start of the offering period using the Black-Scholes option-pricing model with the following assumptions: (i) expected term of 0.5 years, (ii) expected volatility of 39.92%, (iii) risk-free interest rate of 3.81% and (iv) expected dividend yield of 0%.</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2026, there was $0.2 million of unrecognized compensation expense related to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83" w:lineRule="exact"/>
        <w:rPr>
          <w:sz w:val="20"/>
          <w:szCs w:val="20"/>
          <w:color w:val="auto"/>
        </w:rPr>
      </w:pPr>
    </w:p>
    <w:p>
      <w:pPr>
        <w:ind w:right="520" w:firstLine="509"/>
        <w:spacing w:after="0" w:line="253" w:lineRule="auto"/>
        <w:rPr>
          <w:sz w:val="20"/>
          <w:szCs w:val="20"/>
          <w:color w:val="auto"/>
        </w:rPr>
      </w:pPr>
      <w:r>
        <w:rPr>
          <w:rFonts w:ascii="Arial" w:cs="Arial" w:eastAsia="Arial" w:hAnsi="Arial"/>
          <w:sz w:val="18"/>
          <w:szCs w:val="18"/>
          <w:color w:val="auto"/>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income (loss)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182"/>
        </w:trPr>
        <w:tc>
          <w:tcPr>
            <w:tcW w:w="56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Technology and development</w:t>
            </w:r>
          </w:p>
        </w:tc>
        <w:tc>
          <w:tcPr>
            <w:tcW w:w="3380" w:type="dxa"/>
            <w:vAlign w:val="bottom"/>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3,376</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3,217</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Selling and marketing</w:t>
            </w:r>
          </w:p>
        </w:tc>
        <w:tc>
          <w:tcPr>
            <w:tcW w:w="2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4,560</w:t>
            </w:r>
          </w:p>
        </w:tc>
      </w:tr>
      <w:tr>
        <w:trPr>
          <w:trHeight w:val="189"/>
        </w:trPr>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23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8,226</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Restructuring</w:t>
            </w:r>
          </w:p>
        </w:tc>
        <w:tc>
          <w:tcPr>
            <w:tcW w:w="2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r>
      <w:tr>
        <w:trPr>
          <w:trHeight w:val="203"/>
        </w:trPr>
        <w:tc>
          <w:tcPr>
            <w:tcW w:w="56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stock-based compensation expense</w:t>
            </w:r>
          </w:p>
        </w:tc>
        <w:tc>
          <w:tcPr>
            <w:tcW w:w="3380" w:type="dxa"/>
            <w:vAlign w:val="bottom"/>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17,537</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18,218</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During the three months ended March 31, 2026 and 2025, $0.5 million and $0.4 million, respectively, of stock-based compensation was capitalized to internal-use software, deferred contract costs, and cloud-computing arrangement implementation costs.</w:t>
      </w:r>
    </w:p>
    <w:p>
      <w:pPr>
        <w:spacing w:after="0" w:line="1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Net Income (Loss) per Share</w:t>
      </w:r>
    </w:p>
    <w:p>
      <w:pPr>
        <w:spacing w:after="0" w:line="171"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3" w:name="page24"/>
    <w:bookmarkEnd w:id="23"/>
    <w:p>
      <w:pPr>
        <w:ind w:right="520"/>
        <w:spacing w:after="0" w:line="271" w:lineRule="auto"/>
        <w:rPr>
          <w:sz w:val="20"/>
          <w:szCs w:val="20"/>
          <w:color w:val="auto"/>
        </w:rPr>
      </w:pPr>
      <w:r>
        <w:rPr>
          <w:rFonts w:ascii="Arial" w:cs="Arial" w:eastAsia="Arial" w:hAnsi="Arial"/>
          <w:sz w:val="18"/>
          <w:szCs w:val="18"/>
          <w:color w:val="auto"/>
        </w:rPr>
        <w:t>including all potentially dilutive common shares, if the effect of such shares is dilutive. The dilutive effect of outstanding equity incentive awards is reflected in diluted net income (loss) per share by application of the treasury stock method.</w:t>
      </w:r>
    </w:p>
    <w:p>
      <w:pPr>
        <w:spacing w:after="0" w:line="12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March 31, 2025; accordingly, basic net loss per share attributable to common stockholders was the same as diluted net loss per share attributable to common stockholders.</w:t>
      </w:r>
    </w:p>
    <w:p>
      <w:pPr>
        <w:spacing w:after="0" w:line="13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income (loss) per share attributable to common stockholders are, therefore, the same for both voting and non-voting common stock on both individual and combined basis.</w:t>
      </w:r>
    </w:p>
    <w:p>
      <w:pPr>
        <w:spacing w:after="0" w:line="133"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6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67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Numerator:</w:t>
            </w:r>
          </w:p>
        </w:tc>
        <w:tc>
          <w:tcPr>
            <w:tcW w:w="1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26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12,518</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(4,160)</w:t>
            </w:r>
          </w:p>
        </w:tc>
      </w:tr>
      <w:tr>
        <w:trPr>
          <w:trHeight w:val="223"/>
        </w:trPr>
        <w:tc>
          <w:tcPr>
            <w:tcW w:w="6720" w:type="dxa"/>
            <w:vAlign w:val="bottom"/>
            <w:shd w:val="clear" w:color="auto" w:fill="CFF0FC"/>
          </w:tcPr>
          <w:p>
            <w:pPr>
              <w:ind w:left="160"/>
              <w:spacing w:after="0" w:line="183" w:lineRule="exact"/>
              <w:rPr>
                <w:sz w:val="20"/>
                <w:szCs w:val="20"/>
                <w:color w:val="auto"/>
              </w:rPr>
            </w:pPr>
            <w:r>
              <w:rPr>
                <w:rFonts w:ascii="Arial" w:cs="Arial" w:eastAsia="Arial" w:hAnsi="Arial"/>
                <w:sz w:val="16"/>
                <w:szCs w:val="16"/>
                <w:color w:val="auto"/>
              </w:rPr>
              <w:t>Net income (loss) attributable to common stockholders – basic and diluted</w:t>
            </w:r>
          </w:p>
        </w:tc>
        <w:tc>
          <w:tcPr>
            <w:tcW w:w="152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12,518</w:t>
            </w:r>
          </w:p>
        </w:tc>
        <w:tc>
          <w:tcPr>
            <w:tcW w:w="440" w:type="dxa"/>
            <w:vAlign w:val="bottom"/>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(4,160)</w:t>
            </w:r>
          </w:p>
        </w:tc>
      </w:tr>
      <w:tr>
        <w:trPr>
          <w:trHeight w:val="170"/>
        </w:trPr>
        <w:tc>
          <w:tcPr>
            <w:tcW w:w="672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b w:val="1"/>
                <w:bCs w:val="1"/>
                <w:color w:val="auto"/>
              </w:rPr>
              <w:t>Denominator:</w:t>
            </w:r>
          </w:p>
        </w:tc>
        <w:tc>
          <w:tcPr>
            <w:tcW w:w="126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189"/>
        </w:trPr>
        <w:tc>
          <w:tcPr>
            <w:tcW w:w="67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Weighted average common shares outstanding – basic</w:t>
            </w: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122,175,684</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123,235,263</w:t>
            </w: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Effect of potentially dilutive stock options</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2,752,839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7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Effect of potentially dilutive restricted common stock</w:t>
            </w:r>
          </w:p>
        </w:tc>
        <w:tc>
          <w:tcPr>
            <w:tcW w:w="1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3,017,335</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6720" w:type="dxa"/>
            <w:vAlign w:val="bottom"/>
          </w:tcPr>
          <w:p>
            <w:pPr>
              <w:ind w:left="160"/>
              <w:spacing w:after="0" w:line="183" w:lineRule="exact"/>
              <w:rPr>
                <w:sz w:val="20"/>
                <w:szCs w:val="20"/>
                <w:color w:val="auto"/>
              </w:rPr>
            </w:pPr>
            <w:r>
              <w:rPr>
                <w:rFonts w:ascii="Arial" w:cs="Arial" w:eastAsia="Arial" w:hAnsi="Arial"/>
                <w:sz w:val="16"/>
                <w:szCs w:val="16"/>
                <w:color w:val="auto"/>
              </w:rPr>
              <w:t>Weighted average common shares outstanding – diluted</w:t>
            </w:r>
          </w:p>
        </w:tc>
        <w:tc>
          <w:tcPr>
            <w:tcW w:w="1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127,945,858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123,235,263</w:t>
            </w:r>
          </w:p>
        </w:tc>
      </w:tr>
      <w:tr>
        <w:trPr>
          <w:trHeight w:val="20"/>
        </w:trPr>
        <w:tc>
          <w:tcPr>
            <w:tcW w:w="6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0"/>
        </w:trPr>
        <w:tc>
          <w:tcPr>
            <w:tcW w:w="67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Net income per share:</w:t>
            </w: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6"/>
                <w:szCs w:val="16"/>
                <w:color w:val="auto"/>
              </w:rPr>
              <w:t>Net income (loss) per share attributable to common stockholders – basic</w:t>
            </w:r>
          </w:p>
        </w:tc>
        <w:tc>
          <w:tcPr>
            <w:tcW w:w="15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0.10</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189"/>
        </w:trPr>
        <w:tc>
          <w:tcPr>
            <w:tcW w:w="67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income (loss) per share attributable to common stockholders – diluted</w:t>
            </w:r>
          </w:p>
        </w:tc>
        <w:tc>
          <w:tcPr>
            <w:tcW w:w="15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w:t>
            </w:r>
          </w:p>
        </w:tc>
        <w:tc>
          <w:tcPr>
            <w:tcW w:w="4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-1019810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-1002030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-513715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Outstanding potentially dilutive securities, which were excluded from the diluted net income (loss) per share calculations because they would have been antidilutive were as follows as of the dates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32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980" w:type="dxa"/>
            <w:vAlign w:val="bottom"/>
          </w:tcPr>
          <w:p>
            <w:pPr>
              <w:spacing w:after="0"/>
              <w:rPr>
                <w:sz w:val="15"/>
                <w:szCs w:val="15"/>
                <w:color w:val="auto"/>
              </w:rPr>
            </w:pPr>
          </w:p>
        </w:tc>
        <w:tc>
          <w:tcPr>
            <w:tcW w:w="15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7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Unvested restricted stock units</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2,570,787</w:t>
            </w:r>
          </w:p>
        </w:tc>
        <w:tc>
          <w:tcPr>
            <w:tcW w:w="16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11,930,639</w:t>
            </w:r>
          </w:p>
        </w:tc>
      </w:tr>
      <w:tr>
        <w:trPr>
          <w:trHeight w:val="189"/>
        </w:trPr>
        <w:tc>
          <w:tcPr>
            <w:tcW w:w="7980" w:type="dxa"/>
            <w:vAlign w:val="bottom"/>
          </w:tcPr>
          <w:p>
            <w:pPr>
              <w:spacing w:after="0"/>
              <w:rPr>
                <w:sz w:val="20"/>
                <w:szCs w:val="20"/>
                <w:color w:val="auto"/>
              </w:rPr>
            </w:pPr>
            <w:r>
              <w:rPr>
                <w:rFonts w:ascii="Arial" w:cs="Arial" w:eastAsia="Arial" w:hAnsi="Arial"/>
                <w:sz w:val="16"/>
                <w:szCs w:val="16"/>
                <w:color w:val="auto"/>
              </w:rPr>
              <w:t>Stock options to purchase common stock</w:t>
            </w:r>
          </w:p>
        </w:tc>
        <w:tc>
          <w:tcPr>
            <w:tcW w:w="1580" w:type="dxa"/>
            <w:vAlign w:val="bottom"/>
          </w:tcPr>
          <w:p>
            <w:pPr>
              <w:jc w:val="right"/>
              <w:spacing w:after="0"/>
              <w:rPr>
                <w:sz w:val="20"/>
                <w:szCs w:val="20"/>
                <w:color w:val="auto"/>
              </w:rPr>
            </w:pPr>
            <w:r>
              <w:rPr>
                <w:rFonts w:ascii="Arial" w:cs="Arial" w:eastAsia="Arial" w:hAnsi="Arial"/>
                <w:sz w:val="16"/>
                <w:szCs w:val="16"/>
                <w:color w:val="auto"/>
              </w:rPr>
              <w:t>1,272,904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5,636,581</w:t>
            </w:r>
          </w:p>
        </w:tc>
      </w:tr>
      <w:tr>
        <w:trPr>
          <w:trHeight w:val="189"/>
        </w:trPr>
        <w:tc>
          <w:tcPr>
            <w:tcW w:w="7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Employee stock purchase plan shares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139,917</w:t>
            </w:r>
          </w:p>
        </w:tc>
        <w:tc>
          <w:tcPr>
            <w:tcW w:w="10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101,280</w:t>
            </w:r>
          </w:p>
        </w:tc>
      </w:tr>
      <w:tr>
        <w:trPr>
          <w:trHeight w:val="183"/>
        </w:trPr>
        <w:tc>
          <w:tcPr>
            <w:tcW w:w="7980" w:type="dxa"/>
            <w:vAlign w:val="bottom"/>
          </w:tcPr>
          <w:p>
            <w:pPr>
              <w:spacing w:after="0"/>
              <w:rPr>
                <w:sz w:val="15"/>
                <w:szCs w:val="15"/>
                <w:color w:val="auto"/>
              </w:rPr>
            </w:pPr>
          </w:p>
        </w:tc>
        <w:tc>
          <w:tcPr>
            <w:tcW w:w="1580" w:type="dxa"/>
            <w:vAlign w:val="bottom"/>
          </w:tcPr>
          <w:p>
            <w:pPr>
              <w:jc w:val="right"/>
              <w:spacing w:after="0" w:line="183" w:lineRule="exact"/>
              <w:rPr>
                <w:sz w:val="20"/>
                <w:szCs w:val="20"/>
                <w:color w:val="auto"/>
              </w:rPr>
            </w:pPr>
            <w:r>
              <w:rPr>
                <w:rFonts w:ascii="Arial" w:cs="Arial" w:eastAsia="Arial" w:hAnsi="Arial"/>
                <w:sz w:val="16"/>
                <w:szCs w:val="16"/>
                <w:color w:val="auto"/>
              </w:rPr>
              <w:t>3,983,608</w:t>
            </w:r>
          </w:p>
        </w:tc>
        <w:tc>
          <w:tcPr>
            <w:tcW w:w="16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17,668,500</w:t>
            </w:r>
          </w:p>
        </w:tc>
      </w:tr>
      <w:tr>
        <w:trPr>
          <w:trHeight w:val="20"/>
        </w:trPr>
        <w:tc>
          <w:tcPr>
            <w:tcW w:w="79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Income Taxes</w:t>
      </w:r>
    </w:p>
    <w:p>
      <w:pPr>
        <w:spacing w:after="0" w:line="17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Company recorded an income tax provision of $2.2 million for the three months ended March 31, 2026. The income tax provision for the three months ended March 31, 2026, was primarily attributable to activity in the Company's foreign subsidiaries and U.S. state taxes. The Company recorded an income tax benefit of $0.9 million for the three months ended March 31, 2025. The income tax benefit for the three months ended March 31, 2025, was driven by the Company's pre-tax loss position in the period.</w:t>
      </w:r>
    </w:p>
    <w:p>
      <w:pPr>
        <w:spacing w:after="0" w:line="133" w:lineRule="exact"/>
        <w:rPr>
          <w:sz w:val="20"/>
          <w:szCs w:val="20"/>
          <w:color w:val="auto"/>
        </w:rPr>
      </w:pPr>
    </w:p>
    <w:p>
      <w:pPr>
        <w:jc w:val="both"/>
        <w:ind w:right="380" w:firstLine="509"/>
        <w:spacing w:after="0" w:line="253" w:lineRule="auto"/>
        <w:rPr>
          <w:sz w:val="20"/>
          <w:szCs w:val="20"/>
          <w:color w:val="auto"/>
        </w:rPr>
      </w:pPr>
      <w:r>
        <w:rPr>
          <w:rFonts w:ascii="Arial" w:cs="Arial" w:eastAsia="Arial" w:hAnsi="Arial"/>
          <w:sz w:val="18"/>
          <w:szCs w:val="18"/>
          <w:color w:val="auto"/>
        </w:rPr>
        <w:t>For the three months ended March 31, 2026 and 2025, the Company’s effective tax rate differs from the U.S. federal statutory rate primarily due to the impact of non-deductible executive compensation and the change in valuation allowance in the U.S., and due to the change in valuation allowance in the U.S., respectively.</w:t>
      </w:r>
    </w:p>
    <w:p>
      <w:pPr>
        <w:spacing w:after="0" w:line="142"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Company files income tax returns as prescribed by the tax laws of the jurisdiction in which it operates. In the normal course of its business, the Company is subject to examination by federal, state and foreign jurisdictions, where applicable. The Company is open to future federal tax examinations by the Internal Revenue Service from 2022 to the present; however, carryforward attributes that were generated prior to 2022 may still be adjusted upon examination to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4" w:name="page25"/>
    <w:bookmarkEnd w:id="24"/>
    <w:p>
      <w:pPr>
        <w:ind w:right="440"/>
        <w:spacing w:after="0" w:line="271" w:lineRule="auto"/>
        <w:rPr>
          <w:sz w:val="20"/>
          <w:szCs w:val="20"/>
          <w:color w:val="auto"/>
        </w:rPr>
      </w:pPr>
      <w:r>
        <w:rPr>
          <w:rFonts w:ascii="Arial" w:cs="Arial" w:eastAsia="Arial" w:hAnsi="Arial"/>
          <w:sz w:val="18"/>
          <w:szCs w:val="18"/>
          <w:color w:val="auto"/>
        </w:rPr>
        <w:t>extent they will be used in a future period. The Company remains open to examination by other foreign tax authorities from 2021 to the present.</w:t>
      </w:r>
    </w:p>
    <w:p>
      <w:pPr>
        <w:spacing w:after="0" w:line="12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2026, the Company continues to maintain a full valuation allowance of the U.S. net deferred tax assets. The Company will continue to maintain a full valuation allowance on its deferred tax assets until there is sufficient evidence to support the reversal of all or some portion of this allowance. The Company believes that there is a reasonable possibility that sufficient positive evidence may become available to reach a conclusion that a portion of the valuation allowance may no longer be needed in the foreseeable future.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spacing w:after="0" w:line="143"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On July 4, 2025, the U.S. government enacted the One Big Beautiful Bill Act of 2025 (“OBBBA”), which introduced comprehensive changes to the U.S. corporate income tax system. While the majority of the OBBBA’s provisions became effective for the Company beginning January 1, 2026, certain capital investment and innovation incentives were retroactively applicable to the 2025 fiscal year. The OBBBA reinstated 100% bonus depreciation for qualified property placed in service after January 19, 2025. It also restored the ability to immediately expense domestic research and development (R&amp;D) expenditures, allowing for a 100% deduction (or 50% over two years for unamortized costs) for tax years beginning after December 31, 2024. The impact of these retroactive changes was recognized in the Company’s income tax provision for the year ended December 31, 2025, and did not have a material effect on the consolidated financial statements. As of March 31, 2026, the Company is accounting for the OBBBA provisions now in effect. We continue to evaluate the long-term effects of the legislation on the Company's estimated annual effective tax rate and cash tax position. Based on current analysis, the OBBBA did not have a material impact on its condensed consolidated financial statements for the three months ended March 31, 2026.</w:t>
      </w:r>
    </w:p>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Commitments and Contingencies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69"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138"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As of March 31, 2026, other than the pending securities class action claim described below,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4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course of enhancing its sanctions compliance function, the Company initiated an internal review that identified issues related to the Company’s compliance with sanctions promulgated by the U.S. Treasury Department’s Office of Foreign Assets Control (OFAC), including payments that may have originated from sanctioned jurisdictions or sanctioned persons. Although Flywire continues to evaluate whether these or other transactions constitute potential violations of sanctions (including whether certain of these payments may have been authorized by general licenses or license exemptions under the relevant sanctions regulations), Flywire has made voluntary submissions to OFAC to report the apparent violations and provide supplemental information.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4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 xml:space="preserve">On July 25, 2025, the Company and certain of its current and former officers were named as defendants in a securities class action complaint captioned </w:t>
      </w:r>
      <w:r>
        <w:rPr>
          <w:rFonts w:ascii="Arial" w:cs="Arial" w:eastAsia="Arial" w:hAnsi="Arial"/>
          <w:sz w:val="18"/>
          <w:szCs w:val="18"/>
          <w:i w:val="1"/>
          <w:iCs w:val="1"/>
          <w:color w:val="auto"/>
        </w:rPr>
        <w:t>Hickman v. Flywire Corporation</w:t>
      </w:r>
      <w:r>
        <w:rPr>
          <w:rFonts w:ascii="Arial" w:cs="Arial" w:eastAsia="Arial" w:hAnsi="Arial"/>
          <w:sz w:val="18"/>
          <w:szCs w:val="18"/>
          <w:color w:val="auto"/>
        </w:rPr>
        <w:t xml:space="preserve">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76" w:right="439" w:bottom="1440" w:gutter="0" w:footer="0" w:header="0"/>
        </w:sectPr>
      </w:pPr>
    </w:p>
    <w:bookmarkStart w:id="25" w:name="page26"/>
    <w:bookmarkEnd w:id="25"/>
    <w:p>
      <w:pPr>
        <w:ind w:right="100"/>
        <w:spacing w:after="0" w:line="247" w:lineRule="auto"/>
        <w:rPr>
          <w:sz w:val="20"/>
          <w:szCs w:val="20"/>
          <w:color w:val="auto"/>
        </w:rPr>
      </w:pPr>
      <w:r>
        <w:rPr>
          <w:rFonts w:ascii="Arial" w:cs="Arial" w:eastAsia="Arial" w:hAnsi="Arial"/>
          <w:sz w:val="18"/>
          <w:szCs w:val="18"/>
          <w:color w:val="auto"/>
        </w:rPr>
        <w:t>2025. Plaintiff alleges that the defendants violated Sections 10(b) and 20(a) of the Exchange Act by purportedly overstating the strength and sustainability of the Company's revenue growth and understating the negative impact of certain government permit and visa related policies on the business. The lawsuit seeks unspecified damages, costs, attorneys’ fees, and other relief. The Company believes it has strong defenses against the asserted claims and intends to vigorously defend itself.</w:t>
      </w:r>
    </w:p>
    <w:p>
      <w:pPr>
        <w:spacing w:after="0" w:line="14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cannot reasonably estimate the maximum potential exposure or the range of possible loss for this matter. Taking into account discussions with the Company's external lawyers, Flywire does not consider the probability of an outflow of resources to be sufficient to recognize a provision at the balance sheet date. In the Company's opinion, these matters constitute contingent liabilities as of the balance sheet date. However, it is currently impractical for the Company to estimate with sufficient reliability the respective contingent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March 31, 2026 and December 31, 2025.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3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3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885825</wp:posOffset>
            </wp:positionV>
            <wp:extent cx="6172200" cy="40290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71" w:lineRule="exact"/>
        <w:rPr>
          <w:sz w:val="20"/>
          <w:szCs w:val="20"/>
          <w:color w:val="auto"/>
        </w:rPr>
      </w:pPr>
    </w:p>
    <w:p>
      <w:pPr>
        <w:ind w:left="460" w:right="260" w:hanging="302"/>
        <w:spacing w:after="0" w:line="252" w:lineRule="auto"/>
        <w:tabs>
          <w:tab w:leader="none" w:pos="4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 36.5%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period-over-period from $8.4 billion during the three months ended March 31, 2025 to $11.4 billion during the three months ended March 31, 2026.</w:t>
      </w:r>
    </w:p>
    <w:p>
      <w:pPr>
        <w:spacing w:after="0" w:line="62" w:lineRule="exact"/>
        <w:rPr>
          <w:rFonts w:ascii="Times New Roman" w:cs="Times New Roman" w:eastAsia="Times New Roman" w:hAnsi="Times New Roman"/>
          <w:sz w:val="18"/>
          <w:szCs w:val="18"/>
          <w:color w:val="auto"/>
        </w:rPr>
      </w:pPr>
    </w:p>
    <w:p>
      <w:pPr>
        <w:jc w:val="both"/>
        <w:ind w:left="460" w:right="240" w:hanging="302"/>
        <w:spacing w:after="0" w:line="252" w:lineRule="auto"/>
        <w:tabs>
          <w:tab w:leader="none" w:pos="4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accounts and payment partners, and have expanded our global reach to over 240 countries and territories and more than 140 currencies.</w:t>
      </w:r>
    </w:p>
    <w:p>
      <w:pPr>
        <w:spacing w:after="0" w:line="62" w:lineRule="exact"/>
        <w:rPr>
          <w:rFonts w:ascii="Times New Roman" w:cs="Times New Roman" w:eastAsia="Times New Roman" w:hAnsi="Times New Roman"/>
          <w:sz w:val="18"/>
          <w:szCs w:val="18"/>
          <w:color w:val="auto"/>
        </w:rPr>
      </w:pPr>
    </w:p>
    <w:p>
      <w:pPr>
        <w:ind w:left="460" w:right="140" w:hanging="302"/>
        <w:spacing w:after="0" w:line="242" w:lineRule="auto"/>
        <w:tabs>
          <w:tab w:leader="none" w:pos="4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2025,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110%.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3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of March 31, 2026, we serve approximately 5,100 clients around the world, excluding clients acquired from the Sertifi and Invoiced acquisitions. In education, we serve more than 3,200 institutions. In healthcare, we power more than 150 healthcare systems, including four of the top 10 healthcare systems in the United States ranked by hospital size as of December 31, 2025. In our travel and B2B verticals, we have a growing portfolio of approximately 1,700 clients.</w:t>
      </w:r>
    </w:p>
    <w:p>
      <w:pPr>
        <w:spacing w:after="0" w:line="14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over $37.6 billion, $11.4 billion, and $8.4 billion in total payment volume during the year ended December 31, 2025 and three months ended March 31, 2026 and 2025, respectively. We generated revenue of $623.0 million and $492.1 million for the years ended December 31, 2025 and 2024, respectively, and reported net income of $13.5 million and $2.9 million, respectively, for the same years. We generated revenue of</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8" w:name="page29"/>
    <w:bookmarkEnd w:id="28"/>
    <w:p>
      <w:pPr>
        <w:ind w:right="500"/>
        <w:spacing w:after="0" w:line="271" w:lineRule="auto"/>
        <w:rPr>
          <w:sz w:val="20"/>
          <w:szCs w:val="20"/>
          <w:color w:val="auto"/>
        </w:rPr>
      </w:pPr>
      <w:r>
        <w:rPr>
          <w:rFonts w:ascii="Arial" w:cs="Arial" w:eastAsia="Arial" w:hAnsi="Arial"/>
          <w:sz w:val="18"/>
          <w:szCs w:val="18"/>
          <w:color w:val="auto"/>
        </w:rPr>
        <w:t>$188.1 million and $133.5 million for the three months ended March 31, 2026 and 2025, respectively, and reported net income of $12.5 million and net loss of $4.2 million, respectively, for the same periods.</w:t>
      </w:r>
    </w:p>
    <w:p>
      <w:pPr>
        <w:spacing w:after="0" w:line="12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3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may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p>
    <w:p>
      <w:pPr>
        <w:spacing w:after="0" w:line="139"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We had approximately 1,460 full-time FlyMates as of March 31, 2026, compared to approximately 1,180 full-time FlyMates as of March 31, 2025, an increase of 23.7%.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 and Share Repurchases</w:t>
      </w:r>
    </w:p>
    <w:p>
      <w:pPr>
        <w:spacing w:after="0" w:line="17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On May 5, 2026, we announced our intention to initiate an accelerated share repurchase (ASR) program of up to $50.0 million under our existing Repurchase Program. We believe this intended action reflects our conviction in the intrinsic value of our business and our ability to generate consistent operating cash flows. We expect to fund the ASR with available cash on hand while maintaining sufficient liquidity to support our ongoing growth investment philosophy, which includes preserving financial flexibility to support continued investments in organic growth and strategic acquisitions.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February 2025, we entered into a Purchase and Sale Agreement (the Agreement) to acquire the business of Sertifi LLC (Sertifi) for upfront cash consideration of $330.0 million, subject to certain post-closing adjustments set forth in the Agreement, and contingent consideration of up to $10.0 million upon the completion or satisfaction of certain technical and commercial milestones by Sertifi, with an estimated fair value of $3.1 million on the date of acquisition. During the year ended December 31, 2025, we paid $5.1 million for post-closing adjustments. Sertifi is a vertical software and payments platform digitizing hospitality-specific workflows and associated payments. We paid the upfront cash consideration through a combination of cash on hand and borrowings from our 2024 Revolving Credit Facility. The acquisition of Sertifi was intended to accelerate our travel business and expand our offerings to support over 20,000 hotel locations globally. Sertifi contributed $3.0 million in platform revenue and $1.7 million in transactional revenue during the three months ended March 31, 2025.</w:t>
      </w:r>
    </w:p>
    <w:p>
      <w:pPr>
        <w:spacing w:after="0" w:line="140"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10 - Business Combinations</w:t>
      </w:r>
      <w:r>
        <w:rPr>
          <w:rFonts w:ascii="Arial" w:cs="Arial" w:eastAsia="Arial" w:hAnsi="Arial"/>
          <w:sz w:val="18"/>
          <w:szCs w:val="18"/>
          <w:color w:val="auto"/>
        </w:rPr>
        <w:t xml:space="preserve"> in our unaudited condensed consolidated financial statements appearing elsewhere in this Quarterly Report on Form 10-Q for additional details related to this acquisition.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8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February 2025, we announced a restructuring plan designed to improve operational efficiencies, reduce operating costs and better align our workforce with current business needs, top strategic priorities, and key growth opportunities (collectively, the Restructuring Plan). In connection with the Restructuring Plan, we incurred restructuring and restructuring-related charges of $8.7 million during the year ended December 31, 2025, recorded within restructuring expenses on the condensed consolidated statements of operations and comprehensive income. Restructuring costs during the year ended December 31, 2025, primarily consisted of cash expenditures for severance payments and related expenses of $6.3 million and non-cash expenditures related to acceleration of vesting of share-based awards of $2.4 million. As of March 31, 2026, the accrued restructuring liability has been settled in full.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Revenue Model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from platform and other fees as described below.</w:t>
      </w:r>
    </w:p>
    <w:p>
      <w:pPr>
        <w:spacing w:after="0" w:line="171"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includes fees earned from payment processing services provided to our clients, which is comprised of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and cross-border transactions.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spacing w:after="0" w:line="14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Platform and other revenues </w:t>
      </w:r>
      <w:r>
        <w:rPr>
          <w:rFonts w:ascii="Arial" w:cs="Arial" w:eastAsia="Arial" w:hAnsi="Arial"/>
          <w:sz w:val="18"/>
          <w:szCs w:val="18"/>
          <w:color w:val="auto"/>
        </w:rPr>
        <w:t>primarily include (i) fees earned for the utilization of our platforms to optimize cash collections and student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processing, which include revenue earned from software subscription fees and usage 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 based fee revenue in prior filings.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6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spacing w:after="0" w:line="136"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Total payment volume is comprised of transaction payment volume and platform and other revenues payment volume. The following tables set forth the increase in our total payment volume, and the payment volume mix between transaction payment volume and platform and other revenues payment volume.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18"/>
                <w:szCs w:val="18"/>
                <w:color w:val="auto"/>
              </w:rPr>
            </w:pPr>
          </w:p>
        </w:tc>
      </w:tr>
      <w:tr>
        <w:trPr>
          <w:trHeight w:val="210"/>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Transaction payment volume</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9,326.3</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6,426.0</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2,900.3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Platform and other revenues payment volume</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0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payment volume</w:t>
            </w:r>
          </w:p>
        </w:tc>
        <w:tc>
          <w:tcPr>
            <w:tcW w:w="4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11,424.9</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8,371.0</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3,053.9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36.5%</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3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B2B solutions, and our student financial software (SFS) solution, which provides institutions a comprehensive platform spanning the student financial lifecycle.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compared to domestic payments, which may increase or decrease depending on the industry in which our clients operate. In addition, the mix of payment methods utilized by our clients’ customers may have an impact on our margins given that our costs associated with certain payment methods, such as credit cards, are higher than other payment methods accepted by our solutions, such as bank transfers.</w:t>
      </w:r>
    </w:p>
    <w:p>
      <w:pPr>
        <w:spacing w:after="0" w:line="14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In addition, we are expanding our payment processing capabilities to offer a more comprehensive solution to our clients. While this new capability is expected to be a source of future growth, it is characterized by a lower gross margin profile compared to our traditional, higher-margin products. We anticipate that the inclusion of this business mix will exert a moderate, downward pressure during the initial ramp-up phase on our overall consolidated gross profit margin percentage, even as it continues to contribute positively to our absolute gross profit dollars.</w:t>
      </w:r>
    </w:p>
    <w:p>
      <w:pPr>
        <w:spacing w:after="0" w:line="136"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During three months ended March 31, 2026, our business mix continued to exert downward pressure on our margins, driven by growing share of domestic transactions and credit card usage in travel and B2B and by our new payment processing solution in healthcare, travel and B2B, partially offset by ongoing optimization of payment costs. We may experience shifts in the type of revenue we earn (transaction revenue or platform and other revenues) depending on the nature of the activity of our clients and our clients’ customers on our platform.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Transformation and Operational Focus</w:t>
      </w:r>
    </w:p>
    <w:p>
      <w:pPr>
        <w:spacing w:after="0" w:line="169"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33"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4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are actively engaged in a comprehensive, company-wide operational and systems transformation program. This initiative encompasses a re-architecting of our data infrastructure, consolidation and upgrade of our enterprise and billing systems, underlying operating models, alongside the strategic alignment of our organizational structure, talent, and internal processes. The primary objectives of this program are to enhance our analytical capabilities, establish a centralized, structured data foundation to support our workforce, and facilitate the ongoing and future integration of artificial intelligence and automation into our workflows and product development. Ultimately, this foundational work is intended to position the Company for continued scalability and long-term growth. As we execute on this transformation, we expect the program to have a broad impact on our enterprise operations, driving long-term efficiencies and evolving our organizational structures and workflows.</w:t>
      </w:r>
    </w:p>
    <w:p>
      <w:pPr>
        <w:spacing w:after="0" w:line="140"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Furthermore, we are optimizing internal systems and tools by consolidating our vendor footprint and automating processes. These efforts collectively reinforce our commitment to driving productivity, optimizing investments, and streamlining operations, thereby enhancing our platform's overall capabilities and providing deeper insights for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and vertical. For instance, our revenue has historically been largest in the third quarter driven by our education peak season.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Resulting From Government Changes to International Student and H-1B Visa Policies</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Revenue from our education clients, which primarily includes clients in the United States, Canada, U.K., Europe, and Asia Pacific/Australia, is affected by several factors, including policies enacted by government organizations around the world that cap the issuance of international student visas. 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When first instituted by the IRCC, the cap initially excluded students enrolled in master’s and PhD programs, but the IRCC more recently included master’s and doctoral students within the cap.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in the three months ended March 31, 2026.</w:t>
      </w:r>
    </w:p>
    <w:p>
      <w:pPr>
        <w:spacing w:after="0" w:line="15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similar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 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in the three months ended March 31, 2026 and we anticipate will continue to impact our Australian revenues in 2026.</w:t>
      </w:r>
    </w:p>
    <w:p>
      <w:pPr>
        <w:spacing w:after="0" w:line="140"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spacing w:after="0" w:line="77" w:lineRule="exact"/>
        <w:rPr>
          <w:sz w:val="20"/>
          <w:szCs w:val="20"/>
          <w:color w:val="auto"/>
        </w:rPr>
      </w:pPr>
    </w:p>
    <w:p>
      <w:pPr>
        <w:ind w:left="460" w:right="340" w:hanging="302"/>
        <w:spacing w:after="0" w:line="270" w:lineRule="auto"/>
        <w:tabs>
          <w:tab w:leader="none" w:pos="4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Expectation of longer student visa processing times, potentially extending from current medians to four–eight or more weeks, which could disrupt admissions and orientation schedules.</w:t>
      </w:r>
    </w:p>
    <w:p>
      <w:pPr>
        <w:spacing w:after="0" w:line="46" w:lineRule="exact"/>
        <w:rPr>
          <w:rFonts w:ascii="Times New Roman" w:cs="Times New Roman" w:eastAsia="Times New Roman" w:hAnsi="Times New Roman"/>
          <w:sz w:val="18"/>
          <w:szCs w:val="18"/>
          <w:color w:val="auto"/>
        </w:rPr>
      </w:pPr>
    </w:p>
    <w:p>
      <w:pPr>
        <w:ind w:left="460" w:right="120" w:hanging="302"/>
        <w:spacing w:after="0" w:line="270" w:lineRule="auto"/>
        <w:tabs>
          <w:tab w:leader="none" w:pos="4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administrative burden on international offices and recruitment staff to assist Indian applicants with enhanced documentation and compliance requirements.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Risk of a reduction in Indian student enrollments or delays in arrival, affecting tuition revenue and program planning.</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32" w:name="page33"/>
    <w:bookmarkEnd w:id="32"/>
    <w:p>
      <w:pPr>
        <w:ind w:left="460" w:right="260" w:hanging="302"/>
        <w:spacing w:after="0" w:line="270" w:lineRule="auto"/>
        <w:tabs>
          <w:tab w:leader="none" w:pos="4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Necessity for universities to adjust intake planning, including staggered start dates or expanded online coursework, to accommodate delayed visa issuance.</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for higher refusal rates requiring additional counseling and risk management for affected applicants.</w:t>
      </w:r>
    </w:p>
    <w:p>
      <w:pPr>
        <w:spacing w:after="0" w:line="184"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w:t>
      </w:r>
    </w:p>
    <w:p>
      <w:pPr>
        <w:spacing w:after="0" w:line="14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spacing w:after="0" w:line="14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periodic U.S. government shutdowns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 our client institutions are located has and is expected in the near term to continue to adversely impact the growth of our business in the applicable regions. We expect these and other changes to U.S. immigration policy to continue to dampen demands for international study and adversely impact our revenue growth in the U.S. in 2026.</w:t>
      </w:r>
    </w:p>
    <w:p>
      <w:pPr>
        <w:spacing w:after="0" w:line="149"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spacing w:after="0" w:line="68" w:lineRule="exact"/>
        <w:rPr>
          <w:sz w:val="20"/>
          <w:szCs w:val="20"/>
          <w:color w:val="auto"/>
        </w:rPr>
      </w:pPr>
    </w:p>
    <w:p>
      <w:pPr>
        <w:ind w:left="460" w:hanging="302"/>
        <w:spacing w:after="0"/>
        <w:tabs>
          <w:tab w:leader="none" w:pos="4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w:t>
      </w:r>
    </w:p>
    <w:p>
      <w:pPr>
        <w:spacing w:after="0" w:line="116" w:lineRule="exact"/>
        <w:rPr>
          <w:rFonts w:ascii="Times New Roman" w:cs="Times New Roman" w:eastAsia="Times New Roman" w:hAnsi="Times New Roman"/>
          <w:sz w:val="18"/>
          <w:szCs w:val="18"/>
          <w:color w:val="auto"/>
        </w:rPr>
      </w:pPr>
    </w:p>
    <w:p>
      <w:pPr>
        <w:ind w:left="460" w:right="100" w:hanging="302"/>
        <w:spacing w:after="0" w:line="270" w:lineRule="auto"/>
        <w:tabs>
          <w:tab w:leader="none" w:pos="4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460" w:right="100" w:hanging="302"/>
        <w:spacing w:after="0" w:line="243" w:lineRule="auto"/>
        <w:tabs>
          <w:tab w:leader="none" w:pos="4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the United Kingdom, Australia, Canada, China, and Germany. These European and Asian study destinations that are gaining in market share of student interest often carry lower tuition and related costs of living relative to the United States, which may result in lower volume of payments processed within our education vertical.</w:t>
      </w:r>
    </w:p>
    <w:p>
      <w:pPr>
        <w:spacing w:after="0" w:line="153" w:lineRule="exact"/>
        <w:rPr>
          <w:sz w:val="20"/>
          <w:szCs w:val="20"/>
          <w:color w:val="auto"/>
        </w:rPr>
      </w:pPr>
    </w:p>
    <w:p>
      <w:pPr>
        <w:jc w:val="both"/>
        <w:ind w:right="180" w:firstLine="374"/>
        <w:spacing w:after="0" w:line="244" w:lineRule="auto"/>
        <w:rPr>
          <w:sz w:val="20"/>
          <w:szCs w:val="20"/>
          <w:color w:val="auto"/>
        </w:rPr>
      </w:pPr>
      <w:r>
        <w:rPr>
          <w:rFonts w:ascii="Arial" w:cs="Arial" w:eastAsia="Arial" w:hAnsi="Arial"/>
          <w:sz w:val="18"/>
          <w:szCs w:val="18"/>
          <w:color w:val="auto"/>
        </w:rPr>
        <w:t>The expanded social media screening process to be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3" w:name="page34"/>
    <w:bookmarkEnd w:id="33"/>
    <w:p>
      <w:pPr>
        <w:ind w:right="20"/>
        <w:spacing w:after="0" w:line="275" w:lineRule="auto"/>
        <w:rPr>
          <w:sz w:val="20"/>
          <w:szCs w:val="20"/>
          <w:color w:val="auto"/>
        </w:rPr>
      </w:pPr>
      <w:r>
        <w:rPr>
          <w:rFonts w:ascii="Arial" w:cs="Arial" w:eastAsia="Arial" w:hAnsi="Arial"/>
          <w:sz w:val="17"/>
          <w:szCs w:val="17"/>
          <w:color w:val="auto"/>
        </w:rPr>
        <w:t>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spacing w:after="0" w:line="12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There is still a degree of uncertainty in terms of the impact the changes to international student visa policy and international trade policies will have on our U.S., Canadian and Australian education markets. We continue to see growth in new customers in our U.S., Canada and Australia education markets, providing a lever to offset some of the expected decline in new incoming international student growth resulting from these government changes to international student visa policies and international trade policies. We believe our business continues to remain strong amid these visa-related policy shifts, benefiting from our increasingly global and diversified footprint across verticals, sub-sectors, countries, currencies and clients.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H-1B Visa Fee Requirement</w:t>
      </w:r>
    </w:p>
    <w:p>
      <w:pPr>
        <w:spacing w:after="0" w:line="212" w:lineRule="exact"/>
        <w:rPr>
          <w:sz w:val="20"/>
          <w:szCs w:val="20"/>
          <w:color w:val="auto"/>
        </w:rPr>
      </w:pPr>
    </w:p>
    <w:p>
      <w:pPr>
        <w:jc w:val="both"/>
        <w:ind w:right="80" w:firstLine="509"/>
        <w:spacing w:after="0" w:line="242" w:lineRule="auto"/>
        <w:rPr>
          <w:sz w:val="20"/>
          <w:szCs w:val="20"/>
          <w:color w:val="auto"/>
        </w:rPr>
      </w:pPr>
      <w:r>
        <w:rPr>
          <w:rFonts w:ascii="Arial" w:cs="Arial" w:eastAsia="Arial" w:hAnsi="Arial"/>
          <w:sz w:val="18"/>
          <w:szCs w:val="18"/>
          <w:color w:val="auto"/>
        </w:rPr>
        <w:t xml:space="preserve">See discussion above under </w:t>
      </w:r>
      <w:r>
        <w:rPr>
          <w:rFonts w:ascii="Arial" w:cs="Arial" w:eastAsia="Arial" w:hAnsi="Arial"/>
          <w:sz w:val="18"/>
          <w:szCs w:val="18"/>
          <w:i w:val="1"/>
          <w:iCs w:val="1"/>
          <w:color w:val="auto"/>
        </w:rPr>
        <w:t>Impacts Resulting From Government Changes to International Student and H-1B Visa Policies</w:t>
      </w:r>
      <w:r>
        <w:rPr>
          <w:rFonts w:ascii="Arial" w:cs="Arial" w:eastAsia="Arial" w:hAnsi="Arial"/>
          <w:sz w:val="18"/>
          <w:szCs w:val="18"/>
          <w:color w:val="auto"/>
        </w:rPr>
        <w:t xml:space="preserve"> regarding the U.S. government's announced plans to require employers to pay a $100,000 filing fee per H-1B visa petition to bring new H-1B workers into the U.S. This new requirement materially increases the cost of employing new foreign nationals in the U.S. The new H-1B visa fee does not apply to international students already in the U.S. looking to apply for a status change. The fee is not expected to apply to petitions filed before the effective date or to renewals. Flywire currently employs a number of specialized personnel under H-1B visas — primarily software engineers and product managers — whose skills are essential to maintaining and expanding our global payments platform.</w:t>
      </w:r>
    </w:p>
    <w:p>
      <w:pPr>
        <w:spacing w:after="0" w:line="138"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The new regulation could potentially increase our annual personnel costs as existing H-1B holders become eligible for renewal and as we recruit new employees in technical and operational roles. While the overall financial impact is not yet determinable, the incremental costs could be significant if the rule remains in effect or expands to other visa categories.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To mitigate these potential cost increases, we are evaluating a combination of strategies, including:</w:t>
      </w:r>
    </w:p>
    <w:p>
      <w:pPr>
        <w:spacing w:after="0" w:line="212" w:lineRule="exact"/>
        <w:rPr>
          <w:sz w:val="20"/>
          <w:szCs w:val="20"/>
          <w:color w:val="auto"/>
        </w:rPr>
      </w:pPr>
    </w:p>
    <w:p>
      <w:pPr>
        <w:ind w:left="460" w:hanging="302"/>
        <w:spacing w:after="0"/>
        <w:tabs>
          <w:tab w:leader="none" w:pos="4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Reallocating hiring and development activities to lower-cost jurisdictions where we already operate;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Investing in automation, AI-based solutions and process efficiency to reduce reliance on incremental headcount growth in the U.S.; and</w:t>
      </w:r>
    </w:p>
    <w:p>
      <w:pPr>
        <w:spacing w:after="0" w:line="116" w:lineRule="exact"/>
        <w:rPr>
          <w:rFonts w:ascii="Times New Roman" w:cs="Times New Roman" w:eastAsia="Times New Roman" w:hAnsi="Times New Roman"/>
          <w:sz w:val="18"/>
          <w:szCs w:val="18"/>
          <w:color w:val="auto"/>
        </w:rPr>
      </w:pPr>
    </w:p>
    <w:p>
      <w:pPr>
        <w:ind w:left="460" w:right="160" w:hanging="302"/>
        <w:spacing w:after="0" w:line="270" w:lineRule="auto"/>
        <w:tabs>
          <w:tab w:leader="none" w:pos="4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Enhancing our domestic talent pipeline through university partnerships, internships, and remote-work arrangements to expand access to U.S.-based workers not requiring sponsorship.</w:t>
      </w:r>
    </w:p>
    <w:p>
      <w:pPr>
        <w:spacing w:after="0" w:line="11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are also engaging through industry associations to monitor legal challenges and regulatory developments related to this rule and to advocate for more balanced immigration policies that support innovation and growth in the U.S. technology and fintech sectors.</w:t>
      </w:r>
    </w:p>
    <w:p>
      <w:pPr>
        <w:spacing w:after="0" w:line="113"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Although these mitigation efforts may partially offset the impact, increased visa-related costs or restrictions could reduce our flexibility in hiring and allocating talent, increase our operating expenses, and slow the pace of product innovation - all of which could adversely affect our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Resulting From U.S. Government Policy Towards Higher Education</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U.S., the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Although most of these changes will not go into effect until July 1, 2026, so U.S. students entering or returning to college in the fall of 2025 were unaffected, the longer-term impacts of the bill may impact U.S. student enrollment in undergraduate and postgraduate programs and could materially and adversely affect our revenue and results of operations.</w:t>
      </w:r>
    </w:p>
    <w:p>
      <w:pPr>
        <w:spacing w:after="0" w:line="140" w:lineRule="exact"/>
        <w:rPr>
          <w:sz w:val="20"/>
          <w:szCs w:val="20"/>
          <w:color w:val="auto"/>
        </w:rPr>
      </w:pPr>
    </w:p>
    <w:p>
      <w:pPr>
        <w:ind w:right="340" w:firstLine="509"/>
        <w:spacing w:after="0" w:line="253" w:lineRule="auto"/>
        <w:rPr>
          <w:sz w:val="20"/>
          <w:szCs w:val="20"/>
          <w:color w:val="auto"/>
        </w:rPr>
      </w:pPr>
      <w:r>
        <w:rPr>
          <w:rFonts w:ascii="Arial" w:cs="Arial" w:eastAsia="Arial" w:hAnsi="Arial"/>
          <w:sz w:val="18"/>
          <w:szCs w:val="18"/>
          <w:color w:val="auto"/>
        </w:rPr>
        <w:t>In addition, in October 2025 the current administration introduced a proposed policy initiative known as the “Compact for Academic Excellence in Higher Education” (Compact), which would condition certain federal funding and grant eligibility for U.S. universities on compliance with a new set of policy standards. These standards reportedly include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4" w:name="page35"/>
    <w:bookmarkEnd w:id="34"/>
    <w:p>
      <w:pPr>
        <w:jc w:val="both"/>
        <w:ind w:right="300"/>
        <w:spacing w:after="0" w:line="253" w:lineRule="auto"/>
        <w:rPr>
          <w:sz w:val="20"/>
          <w:szCs w:val="20"/>
          <w:color w:val="auto"/>
        </w:rPr>
      </w:pPr>
      <w:r>
        <w:rPr>
          <w:rFonts w:ascii="Arial" w:cs="Arial" w:eastAsia="Arial" w:hAnsi="Arial"/>
          <w:sz w:val="18"/>
          <w:szCs w:val="18"/>
          <w:color w:val="auto"/>
        </w:rPr>
        <w:t>tuition caps, modifications to international student enrollment, changes to admissions criteria, and governance-related certifications. While the proposal remains under review and subject to public comment, its adoption - whether in its current or modified form - could materially affect the operating environment for higher-education institutions in the United States.</w:t>
      </w:r>
    </w:p>
    <w:p>
      <w:pPr>
        <w:spacing w:after="0" w:line="14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Many of our U.S. universities and colleges rely on federal funding for research, student aid, and institutional support. If the proposed Compact is implemented, universities may adjust enrollment levels, particularly of international students, or redirect administrative resources to compliance efforts. Such developments could reduce cross-border tuition payment volumes, delay new client implementations, or lead institutions to reevaluate third-party vendor relationships. These effects could, in turn, moderate revenue growth and increase client concentration risk within our education vertical.</w:t>
      </w:r>
    </w:p>
    <w:p>
      <w:pPr>
        <w:spacing w:after="0" w:line="136"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At this stage, the potential financial impact of the Compact cannot be quantified, as the proposal has not yet been finalized or enacted. Management continues to monitor the policy’s development and is engaging with industry associations and higher-education partners to assess potential outcomes. To mitigate exposure, Flywire is taking several proactive steps, including:</w:t>
      </w:r>
    </w:p>
    <w:p>
      <w:pPr>
        <w:spacing w:after="0" w:line="128" w:lineRule="exact"/>
        <w:rPr>
          <w:sz w:val="20"/>
          <w:szCs w:val="20"/>
          <w:color w:val="auto"/>
        </w:rPr>
      </w:pPr>
    </w:p>
    <w:p>
      <w:pPr>
        <w:ind w:left="460" w:hanging="302"/>
        <w:spacing w:after="0"/>
        <w:tabs>
          <w:tab w:leader="none" w:pos="4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Diversifying our education client base internationally to reduce reliance on U.S. higher-education volumes;</w:t>
      </w:r>
    </w:p>
    <w:p>
      <w:pPr>
        <w:spacing w:after="0" w:line="116" w:lineRule="exact"/>
        <w:rPr>
          <w:rFonts w:ascii="Times New Roman" w:cs="Times New Roman" w:eastAsia="Times New Roman" w:hAnsi="Times New Roman"/>
          <w:sz w:val="18"/>
          <w:szCs w:val="18"/>
          <w:color w:val="auto"/>
        </w:rPr>
      </w:pPr>
    </w:p>
    <w:p>
      <w:pPr>
        <w:ind w:left="460" w:right="680" w:hanging="302"/>
        <w:spacing w:after="0" w:line="270" w:lineRule="auto"/>
        <w:tabs>
          <w:tab w:leader="none" w:pos="4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adjacent services (e.g., housing payments, student refunds, and education-related B2B flows) to offset potential domestic revenue headwinds; and</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flexibility in pricing and support structures to accommodate clients undergoing funding or enrollment adjustments.</w:t>
      </w:r>
    </w:p>
    <w:p>
      <w:pPr>
        <w:spacing w:after="0" w:line="197"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While the proposed compact may not be implemented in its current form and was rejected in its initial form by most of the approached universities, uncertainty surrounding federal higher-education policy in the U.S. may influence the timing of new client contracts and the pace of adoption of our technology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69"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have a history of operating losses and while we have experienced significant revenue growth in recent years and achieved profitability on a GAAP basis for the years ended December 31, 2024 and 2025 and the three months ended March 31, 2026,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strategically invest in headcount and technologies and systems to improve operating efficiencies, to further develop and enhance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In addition, we are expanding our payment processing capabilities to offer a more comprehensive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5" w:name="page36"/>
    <w:bookmarkEnd w:id="35"/>
    <w:p>
      <w:pPr>
        <w:spacing w:after="0" w:line="238" w:lineRule="auto"/>
        <w:rPr>
          <w:sz w:val="20"/>
          <w:szCs w:val="20"/>
          <w:color w:val="auto"/>
        </w:rPr>
      </w:pPr>
      <w:r>
        <w:rPr>
          <w:rFonts w:ascii="Arial" w:cs="Arial" w:eastAsia="Arial" w:hAnsi="Arial"/>
          <w:sz w:val="18"/>
          <w:szCs w:val="18"/>
          <w:color w:val="auto"/>
        </w:rPr>
        <w:t>solution to our clients. While this new capability is expected to be a source of future growth, it is characterized by a lower gross margin profile. We are addressing operating losses by making continued improvements designed to create operating efficiencies and a focus on cost discipline, including investing in automation and product development to further enhance our offerings with a focus on scale and productivity across all areas. Beginning in the first quarter of 2025 and continuing into the second quarter of 2025, we implemented a restructuring plan designed to improve operational efficiencies, reduce operating costs and better align our workforce with current business needs, top strategic priorities and key growth opportunities. We believe these improvements, our strong product portfolio, client retention and established product market fit along with strong gross margins and cash flows from operations will help us achieve our goal of maintaining positive annual GAAP net income in the future. As of the date of this report, we expect that our clients’ business and our business will continue to be adversely impacted, directly or indirectly, by the ongoing macroeconomic and geopolitical issues. However, the extent of the ongoing impact of these macroeconomic events on our and our clients’ business, our markets and on global economic activity, is uncertain and the related financial impact cannot be reasonably estimated with any certainty at this time.</w:t>
      </w:r>
    </w:p>
    <w:p>
      <w:pPr>
        <w:spacing w:after="0" w:line="159"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conflict between the U.S., Israel, and Iran has prompted a resumption of active workforce planning to implement safety measures for FlyMates in Israel and support the business without interruption.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other fees as described above under “Our Revenue Model”.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6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6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Technology and development includes (i) costs incurred in connection with the development of our solution and the improvement of existing solutions, including the amortization of software and website development costs incurred in developing our solution, which are capitalized, and acquired developed technology, (ii) site operations and other infrastructure costs incurred, (iii) amortization related to capitalized cost to fulfill a contract, (iv) personnel-related expenses, including salaries, stock-based compensation and other expenses, (v) hardware and software engineering, consultant services, and other costs associated with our technology platform and products, (vi) research materials and facilities, and (vii) depreciation and maintenance expense.</w:t>
      </w:r>
    </w:p>
    <w:p>
      <w:pPr>
        <w:spacing w:after="0" w:line="138"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69"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11"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IT and other administrative functions, costs incurred for external professional services, as well as rent, and facility and insurance costs. We expect to incur additional general and administrative expenses as we continue to invest in our planned growth of our business, including certain costs incurred relating to our digital transformation initiative as described above under “Key Factors Affecting Our Performance”.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6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February 2025, we announced the Restructuring Plan that is designed to improve operational efficiencies, reduce operating costs and better align our workforce with current business needs, top strategic priorities and key growth opportunities. Restructuring expenses included restructuring and restructuring related expenses incurred as part of the Restructuring Plan announced in February 2025, related to employee transition, notice period, severance, employee benefits and facilitation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February 23, 2024, we entered into an Amended and Restated Credit Agreement for a five-year senior secured revolving credit syndication loan (2024 Revolving Credit Facility) with four banks for a total commitment of $125.0 million. On August 1, 2025, we entered into an amendment (the 2025 Revolving Credit Facility Amendment) to the 2024 Revolving Credit Facility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w:t>
      </w:r>
    </w:p>
    <w:p>
      <w:pPr>
        <w:spacing w:after="0" w:line="136"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Interest expense consists of interest, amortization of debt issuance costs, and unused commitment fees on our 2024 Amended Revolving Credit Facility. As of March 31, 2026 and December 31, 2025, there was no outstanding indebtedness under the 2024 Amended Revolving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9" w:lineRule="exact"/>
        <w:rPr>
          <w:sz w:val="20"/>
          <w:szCs w:val="20"/>
          <w:color w:val="auto"/>
        </w:rPr>
      </w:pPr>
    </w:p>
    <w:p>
      <w:pPr>
        <w:ind w:right="940" w:firstLine="509"/>
        <w:spacing w:after="0" w:line="271" w:lineRule="auto"/>
        <w:rPr>
          <w:sz w:val="20"/>
          <w:szCs w:val="20"/>
          <w:color w:val="auto"/>
        </w:rPr>
      </w:pPr>
      <w:r>
        <w:rPr>
          <w:rFonts w:ascii="Arial" w:cs="Arial" w:eastAsia="Arial" w:hAnsi="Arial"/>
          <w:sz w:val="18"/>
          <w:szCs w:val="18"/>
          <w:color w:val="auto"/>
        </w:rPr>
        <w:t>Interest income consists of interest on cash held in interest bearing operating accounts, including money market funds, and investments in available-for-sale debt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from Remeasurement of Foreign Currency</w:t>
      </w:r>
    </w:p>
    <w:p>
      <w:pPr>
        <w:spacing w:after="0" w:line="183"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(Loss) gains from remeasurement of foreign currency consists of realized and unrealized gains and losses from the remeasurement of foreign currency transactions into its functional currency, partially offset by foreign currency exchange forward contracts to hedge our foreign currency exposure.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69"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Provision for (benefit from)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4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have a valuation allowance on our net U.S. deferred tax assets, including federal and state NOLs. We expect to maintain these valuation allowances until it becomes more likely than not that the benefit of our deferred tax assets is realized through future taxable income generated in these jurisdictions.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31, 2026 and 2025</w:t>
      </w:r>
    </w:p>
    <w:p>
      <w:pPr>
        <w:spacing w:after="0" w:line="183"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All dollar amounts in the tables below are rounded and as a result, certain amounts may not recalculate using the rounded amounts provided.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5"/>
        </w:trPr>
        <w:tc>
          <w:tcPr>
            <w:tcW w:w="4480" w:type="dxa"/>
            <w:vAlign w:val="bottom"/>
          </w:tcPr>
          <w:p>
            <w:pPr>
              <w:ind w:left="100"/>
              <w:spacing w:after="0"/>
              <w:rPr>
                <w:sz w:val="20"/>
                <w:szCs w:val="20"/>
                <w:color w:val="auto"/>
              </w:rPr>
            </w:pPr>
            <w:r>
              <w:rPr>
                <w:rFonts w:ascii="Arial" w:cs="Arial" w:eastAsia="Arial" w:hAnsi="Arial"/>
                <w:sz w:val="16"/>
                <w:szCs w:val="16"/>
                <w:color w:val="auto"/>
              </w:rPr>
              <w:t>Payment processing services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Technology and development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5"/>
        </w:trPr>
        <w:tc>
          <w:tcPr>
            <w:tcW w:w="4480" w:type="dxa"/>
            <w:vAlign w:val="bottom"/>
          </w:tcPr>
          <w:p>
            <w:pPr>
              <w:ind w:left="10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3"/>
        </w:trPr>
        <w:tc>
          <w:tcPr>
            <w:tcW w:w="4480" w:type="dxa"/>
            <w:vAlign w:val="bottom"/>
          </w:tcPr>
          <w:p>
            <w:pPr>
              <w:ind w:left="100"/>
              <w:spacing w:after="0"/>
              <w:rPr>
                <w:sz w:val="20"/>
                <w:szCs w:val="20"/>
                <w:color w:val="auto"/>
              </w:rPr>
            </w:pPr>
            <w:r>
              <w:rPr>
                <w:rFonts w:ascii="Arial" w:cs="Arial" w:eastAsia="Arial" w:hAnsi="Arial"/>
                <w:sz w:val="16"/>
                <w:szCs w:val="16"/>
                <w:color w:val="auto"/>
              </w:rPr>
              <w:t>Restructuring</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costs and operating expenses</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6"/>
                <w:szCs w:val="16"/>
                <w:b w:val="1"/>
                <w:bCs w:val="1"/>
                <w:color w:val="auto"/>
              </w:rPr>
              <w:t>Income (loss) from operations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5"/>
        </w:trPr>
        <w:tc>
          <w:tcPr>
            <w:tcW w:w="448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Gain from remeasurement of foreign currency</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4480" w:type="dxa"/>
            <w:vAlign w:val="bottom"/>
          </w:tcPr>
          <w:p>
            <w:pPr>
              <w:ind w:left="100"/>
              <w:spacing w:after="0"/>
              <w:rPr>
                <w:sz w:val="20"/>
                <w:szCs w:val="20"/>
                <w:color w:val="auto"/>
              </w:rPr>
            </w:pPr>
            <w:r>
              <w:rPr>
                <w:rFonts w:ascii="Arial" w:cs="Arial" w:eastAsia="Arial" w:hAnsi="Arial"/>
                <w:sz w:val="16"/>
                <w:szCs w:val="16"/>
                <w:color w:val="auto"/>
              </w:rPr>
              <w:t>Gain on available-for-sale debt securities</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394.0%</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344.4%</w:t>
            </w:r>
          </w:p>
        </w:tc>
        <w:tc>
          <w:tcPr>
            <w:tcW w:w="0" w:type="dxa"/>
            <w:vAlign w:val="bottom"/>
          </w:tcPr>
          <w:p>
            <w:pPr>
              <w:spacing w:after="0"/>
              <w:rPr>
                <w:sz w:val="1"/>
                <w:szCs w:val="1"/>
                <w:color w:val="auto"/>
              </w:rPr>
            </w:pPr>
          </w:p>
        </w:tc>
      </w:tr>
      <w:tr>
        <w:trPr>
          <w:trHeight w:val="183"/>
        </w:trPr>
        <w:tc>
          <w:tcPr>
            <w:tcW w:w="4480" w:type="dxa"/>
            <w:vAlign w:val="bottom"/>
          </w:tcPr>
          <w:p>
            <w:pPr>
              <w:spacing w:after="0" w:line="183" w:lineRule="exact"/>
              <w:rPr>
                <w:sz w:val="20"/>
                <w:szCs w:val="20"/>
                <w:color w:val="auto"/>
              </w:rPr>
            </w:pPr>
            <w:r>
              <w:rPr>
                <w:rFonts w:ascii="Arial" w:cs="Arial" w:eastAsia="Arial" w:hAnsi="Arial"/>
                <w:sz w:val="16"/>
                <w:szCs w:val="16"/>
                <w:b w:val="1"/>
                <w:bCs w:val="1"/>
                <w:color w:val="auto"/>
              </w:rPr>
              <w:t>Net income (loss)</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Foreign currency translation adjustment</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175"/>
        </w:trPr>
        <w:tc>
          <w:tcPr>
            <w:tcW w:w="4480" w:type="dxa"/>
            <w:vAlign w:val="bottom"/>
          </w:tcPr>
          <w:p>
            <w:pPr>
              <w:ind w:left="100"/>
              <w:spacing w:after="0" w:line="175" w:lineRule="exact"/>
              <w:rPr>
                <w:sz w:val="20"/>
                <w:szCs w:val="20"/>
                <w:color w:val="auto"/>
              </w:rPr>
            </w:pPr>
            <w:r>
              <w:rPr>
                <w:rFonts w:ascii="Arial" w:cs="Arial" w:eastAsia="Arial" w:hAnsi="Arial"/>
                <w:sz w:val="16"/>
                <w:szCs w:val="16"/>
                <w:color w:val="auto"/>
              </w:rPr>
              <w:t>Unrealized losses on available-for-sale debt securities, net of</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20"/>
        </w:trPr>
        <w:tc>
          <w:tcPr>
            <w:tcW w:w="4480" w:type="dxa"/>
            <w:vAlign w:val="bottom"/>
            <w:vMerge w:val="restart"/>
          </w:tcPr>
          <w:p>
            <w:pPr>
              <w:ind w:left="10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Comprehensive income (loss)</w:t>
            </w:r>
          </w:p>
        </w:tc>
        <w:tc>
          <w:tcPr>
            <w:tcW w:w="4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11.6</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13.2</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-1773555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-1773555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-1773555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-950595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-950595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-950595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-676275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-676275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-676275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Revenue was $188.1 million for the three months ended March 31, 2026, compared to $133.5 million for the three months ended March 31, 2025, an increase of $54.6 million or 40.9%. Revenue is comprised of transaction revenue and platform and other revenues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18"/>
                <w:szCs w:val="18"/>
                <w:color w:val="auto"/>
              </w:rPr>
            </w:pPr>
          </w:p>
        </w:tc>
      </w:tr>
      <w:tr>
        <w:trPr>
          <w:trHeight w:val="210"/>
        </w:trPr>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Percent</w:t>
            </w:r>
          </w:p>
        </w:tc>
      </w:tr>
      <w:tr>
        <w:trPr>
          <w:trHeight w:val="210"/>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Transaction revenue</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155.2</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w:t>
            </w: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Platform and other revenues</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0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40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w:t>
            </w:r>
          </w:p>
        </w:tc>
        <w:tc>
          <w:tcPr>
            <w:tcW w:w="4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133.5</w:t>
            </w:r>
          </w:p>
        </w:tc>
        <w:tc>
          <w:tcPr>
            <w:tcW w:w="3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54.7</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41.0%</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Transaction revenue was $155.2 million for the three months ended March 31, 2026, compared to $108.5 million for the three months ended March 31, 2025, an increase of $46.7 million or 43.1%. The increase in transaction revenue was primarily driven by growth in transaction payment volumes for the three months ended March 31, 2026 from both our existing clients and new clients added during the three months ended March 31, 2026 compared to the prior period. The increase also included the full-period impact of the Sertifi acquisition that occurred in February 2025, including higher payment volumes from SertifiPay. Our transaction payment volume slightly outpaced our revenue growth during the three months ended March 31, 2026, due to payment mix which impacts our monetization rates. Transaction payment volume increased 45.1% during the three months ended March 31, 2026, to $9.3 billion compared to $6.4 billion during the three months ended March 31, 2025.</w:t>
      </w:r>
    </w:p>
    <w:p>
      <w:pPr>
        <w:spacing w:after="0" w:line="140"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Platform and other revenues were $32.9 million for the three months ended March 31, 2026, compared to $ 25.0 million for the three months ended March 31, 2025, an increase of $7.9 million or 31.8%. The increase in platform and other revenues was driven by the Sertifi acquisition and an increase in utilization in our healthcare platform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69"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Payment processing services costs were $77.5 million for the three months ended March 31, 2026, compared to $50.6 million for the three months ended March 31, 2025, an increase of $26.9 million or 53.2%. The increase in payment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8" w:name="page39"/>
    <w:bookmarkEnd w:id="38"/>
    <w:p>
      <w:pPr>
        <w:ind w:right="40"/>
        <w:spacing w:after="0" w:line="253" w:lineRule="auto"/>
        <w:rPr>
          <w:sz w:val="20"/>
          <w:szCs w:val="20"/>
          <w:color w:val="auto"/>
        </w:rPr>
      </w:pPr>
      <w:r>
        <w:rPr>
          <w:rFonts w:ascii="Arial" w:cs="Arial" w:eastAsia="Arial" w:hAnsi="Arial"/>
          <w:sz w:val="18"/>
          <w:szCs w:val="18"/>
          <w:color w:val="auto"/>
        </w:rPr>
        <w:t>processing services costs was correlated with the increase in transaction payment volume of 45.1% over the same period. The increase was further driven by shifts in our business mix, including the expansion of our payment processing capabilities, which carry higher payment processing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Technology and development expenses were $ 19.4 million for the three months ended March 31, 2026, compared to $16.9 million for the three months ended March 31, 2025, an increase of $2.5 million or 14.8%. The increase in technology and development cost was primarily driven by personnel costs.</w:t>
      </w:r>
    </w:p>
    <w:p>
      <w:pPr>
        <w:spacing w:after="0" w:line="128" w:lineRule="exact"/>
        <w:rPr>
          <w:sz w:val="20"/>
          <w:szCs w:val="20"/>
          <w:color w:val="auto"/>
        </w:rPr>
      </w:pPr>
    </w:p>
    <w:p>
      <w:pPr>
        <w:ind w:left="460" w:right="40" w:hanging="302"/>
        <w:spacing w:after="0" w:line="246" w:lineRule="auto"/>
        <w:tabs>
          <w:tab w:leader="none" w:pos="4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Personnel costs were $13.1 million for the three months ended March 31, 2026 compared to $10.8 million for the three months ended March 31, 2025, an increase of $2.3 million or 21.2%. The increase in personnel costs was primarily driven by higher headcount, including the full-period impact of the Sertifi acquisition completed on February 24, 2025, compared to only a partial period for the three months ended March 31, 2025.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69" w:lineRule="exact"/>
        <w:rPr>
          <w:sz w:val="20"/>
          <w:szCs w:val="20"/>
          <w:color w:val="auto"/>
        </w:rPr>
      </w:pPr>
    </w:p>
    <w:p>
      <w:pPr>
        <w:jc w:val="both"/>
        <w:ind w:right="360" w:firstLine="509"/>
        <w:spacing w:after="0" w:line="253" w:lineRule="auto"/>
        <w:rPr>
          <w:sz w:val="20"/>
          <w:szCs w:val="20"/>
          <w:color w:val="auto"/>
        </w:rPr>
      </w:pPr>
      <w:r>
        <w:rPr>
          <w:rFonts w:ascii="Arial" w:cs="Arial" w:eastAsia="Arial" w:hAnsi="Arial"/>
          <w:sz w:val="18"/>
          <w:szCs w:val="18"/>
          <w:color w:val="auto"/>
        </w:rPr>
        <w:t>Selling and marketing expenses were $40.5 million for the three months ended March 31, 2026, compared to $36.6 million for the three months ended March 31, 2025, an increase of $ 3.9 million or 10.7%. The increase in selling and marketing expenses was primarily driven depreciation and amortization and professional fees.</w:t>
      </w:r>
    </w:p>
    <w:p>
      <w:pPr>
        <w:spacing w:after="0" w:line="128" w:lineRule="exact"/>
        <w:rPr>
          <w:sz w:val="20"/>
          <w:szCs w:val="20"/>
          <w:color w:val="auto"/>
        </w:rPr>
      </w:pPr>
    </w:p>
    <w:p>
      <w:pPr>
        <w:ind w:left="460" w:right="460" w:hanging="302"/>
        <w:spacing w:after="0" w:line="252" w:lineRule="auto"/>
        <w:tabs>
          <w:tab w:leader="none" w:pos="4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Depreciation and amortization was $5.2 million for the three months ended March 31, 2026, compared to $3.0 million for the three months ended March 31, 2025, an increase of $2.2 million or 72.1%. The increase in depreciation and amortization expense was primarily due to acquired intangibles relating to the Sertifi acquisition completed in February 2025.</w:t>
      </w:r>
    </w:p>
    <w:p>
      <w:pPr>
        <w:spacing w:after="0" w:line="62" w:lineRule="exact"/>
        <w:rPr>
          <w:rFonts w:ascii="Times New Roman" w:cs="Times New Roman" w:eastAsia="Times New Roman" w:hAnsi="Times New Roman"/>
          <w:sz w:val="18"/>
          <w:szCs w:val="18"/>
          <w:color w:val="auto"/>
        </w:rPr>
      </w:pPr>
    </w:p>
    <w:p>
      <w:pPr>
        <w:ind w:left="460" w:right="200" w:hanging="302"/>
        <w:spacing w:after="0" w:line="252" w:lineRule="auto"/>
        <w:tabs>
          <w:tab w:leader="none" w:pos="4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Professional fees were $7.2 million for the three months ended March 31, 2026, compared to $6.1 million for the three months ended March 31, 2025, an increase of $1.1 million or 17.7%. The increase in professional fees was primarily due to increases in third party commissions.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69"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General and administrative expenses were $40.0 million for the three months ended March 31, 2026, compared to $33.1 million for the three months ended March 31, 2025, an increase of $6.9 million or 20.8%. The increase in general and administrative expenses was primarily driven by personnel costs, engineering tools, and professional fees, partially offset by a decrease in acquisition costs.</w:t>
      </w:r>
    </w:p>
    <w:p>
      <w:pPr>
        <w:spacing w:after="0" w:line="128" w:lineRule="exact"/>
        <w:rPr>
          <w:sz w:val="20"/>
          <w:szCs w:val="20"/>
          <w:color w:val="auto"/>
        </w:rPr>
      </w:pPr>
    </w:p>
    <w:p>
      <w:pPr>
        <w:ind w:left="460" w:right="100" w:hanging="302"/>
        <w:spacing w:after="0" w:line="246" w:lineRule="auto"/>
        <w:tabs>
          <w:tab w:leader="none" w:pos="4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Personnel costs were $15.2 million for the three months ended March 31, 2026, compared to $11.9 million for the three months ended March 31, 2025, an increase of $3.3 million or 27.5%. The increase in personnel costs were attributable to an increase in headcount, including the full-period impact of the Sertifi acquisition completed on February 24, 2025, and an increase in bonus expense. Bonus expense during the three months March 31, 2025, was reduced as a result of our restructuring.</w:t>
      </w:r>
    </w:p>
    <w:p>
      <w:pPr>
        <w:spacing w:after="0" w:line="68" w:lineRule="exact"/>
        <w:rPr>
          <w:rFonts w:ascii="Times New Roman" w:cs="Times New Roman" w:eastAsia="Times New Roman" w:hAnsi="Times New Roman"/>
          <w:sz w:val="18"/>
          <w:szCs w:val="18"/>
          <w:color w:val="auto"/>
        </w:rPr>
      </w:pPr>
    </w:p>
    <w:p>
      <w:pPr>
        <w:ind w:left="460" w:right="120" w:hanging="302"/>
        <w:spacing w:after="0" w:line="252" w:lineRule="auto"/>
        <w:tabs>
          <w:tab w:leader="none" w:pos="4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Engineering tools were $4.2 million for the three months ended March 31, 2026, compared to $2.6 million for the three months ended March 31, 2025, an increase of $1.6 million or 62.8%. The increase in engineering tools was primarily driven by an increase in hosting fees.</w:t>
      </w:r>
    </w:p>
    <w:p>
      <w:pPr>
        <w:spacing w:after="0" w:line="62" w:lineRule="exact"/>
        <w:rPr>
          <w:rFonts w:ascii="Times New Roman" w:cs="Times New Roman" w:eastAsia="Times New Roman" w:hAnsi="Times New Roman"/>
          <w:sz w:val="18"/>
          <w:szCs w:val="18"/>
          <w:color w:val="auto"/>
        </w:rPr>
      </w:pPr>
    </w:p>
    <w:p>
      <w:pPr>
        <w:ind w:left="460" w:right="200" w:hanging="302"/>
        <w:spacing w:after="0" w:line="252" w:lineRule="auto"/>
        <w:tabs>
          <w:tab w:leader="none" w:pos="4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Professional fees were $4.8 million for the three months ended March 31, 2026, compared to $3.6 million for the three months ended March 31, 2025, an increase of $1.2 million or 32.7%. The increase in professional fees was primarily driven by external consultants and legal fees.</w:t>
      </w:r>
    </w:p>
    <w:p>
      <w:pPr>
        <w:spacing w:after="0" w:line="62" w:lineRule="exact"/>
        <w:rPr>
          <w:rFonts w:ascii="Times New Roman" w:cs="Times New Roman" w:eastAsia="Times New Roman" w:hAnsi="Times New Roman"/>
          <w:sz w:val="18"/>
          <w:szCs w:val="18"/>
          <w:color w:val="auto"/>
        </w:rPr>
      </w:pPr>
    </w:p>
    <w:p>
      <w:pPr>
        <w:jc w:val="both"/>
        <w:ind w:left="460" w:right="460" w:hanging="302"/>
        <w:spacing w:after="0" w:line="252" w:lineRule="auto"/>
        <w:tabs>
          <w:tab w:leader="none" w:pos="4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There were no acquisition costs for the three months ended March 31, 2026, compared to $2.5 million for the three months ended March 31, 2025, a decrease of $2.5 million or 100.0%. The decrease in acquisition costs was attributable to the Sertifi acquisition during the three months ended March 31, 2025.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6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There were no restructuring expenses during the three months ended March 31, 2026, compared to $7.3 million for the three months ended March 31, 2025. Restructuring expenses for the three months ended March 31, 2025, included restructuring and restructuring-related expenses incurred as part of the Restructuring Plan announced in February 2025, related primarily to severance payments, employee benefits, and facilitation costs of $5.1 million and $2.2 million of expense related to the acceleration of stock-based compensation for terminated employees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Interest Expense</w:t>
      </w:r>
    </w:p>
    <w:p>
      <w:pPr>
        <w:spacing w:after="0" w:line="183"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Interest expense was $0.3 million for the three months ended March 31, 2026, compared to $0.7 million for the three months ended March 31, 2025, a decrease of $0.4 million or 57.1%. During the three months ended March 31, 2026, there was no outstanding indebtedness under the 2024 Amended Revolving Credit Facility. During the three months ended March 31, 2025, we drew down $125.0 million and repaid $65.0 million from our 2024 Amended Revolving Credit Facility. Interest expense consists primarily of interest expense, amortization of debt issuance costs and unused commitment fees related to our 2024 Amended Revolving Credit Facility and our former 2024 Revolving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6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Interest income was $ 0.9 million for the three months ended March 31, 2026, compared to $2.9 million for the three months ended March 31, 2025, a decrease of $2.0 million or 69.0%. The decrease in interest income was primarily attributable to the decrease in our cash and cash equivalents, short-term investments, and long-term investments as a result of the use of cash for the acquisition of Sertifi and the Repurchase Program during the three months ended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from Remeasurement of Foreign Currency</w:t>
      </w:r>
    </w:p>
    <w:p>
      <w:pPr>
        <w:spacing w:after="0" w:line="169"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Gain from remeasurement of foreign currency was $ 3.3 million for the three months ended March 31, 2026, compared to $3.6 million for the three months ended March 31, 2025, a decrease of $0.3 million or 8.3%. The decrease was primarily the result of the remeasurement of foreign currency intercompany loans and related hedging instruments and the impact of fluctuations in exchange rates during respective remeasurement periods.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Available-for-Sale Debt Securities</w:t>
      </w:r>
    </w:p>
    <w:p>
      <w:pPr>
        <w:spacing w:after="0" w:line="183"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There were no gains or losses from the sale of available-for-sale debt securities for the three months ended March 31, 2026, compared to $ 0.2 million gain from the sale of available-for-sale debt securities for the three months ended March 31, 2025, a decrease of $0.2 million or 100.0%.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6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Provision for income taxes was $2.2 million during the three months ended March 31, 2026, compared to a benefit from income taxes of $0.9 million during the three months ended March 31, 2025, an increase of $ 3.1 million or 344.4%. The provision for income taxes for the three months ended March 31, 2026, was primarily attributable to activity in our foreign subsidiaries and U.S. federal and state taxes. The income tax benefit for the three months ended March 31, 2025, was driven by the Company's pre-tax loss position in the period. Our effective tax rate was 14.8% for the three months ended March 31, 2026, compared to 17.5% for the three months ended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7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vMerge w:val="restart"/>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Payment Volume</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11,424.9</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8,371.0</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188.1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 Less Ancillary Services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Gross Profit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Gross Margin</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Gross Margin</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5"/>
        </w:trPr>
        <w:tc>
          <w:tcPr>
            <w:tcW w:w="8020" w:type="dxa"/>
            <w:vAlign w:val="bottom"/>
            <w:gridSpan w:val="2"/>
          </w:tcPr>
          <w:p>
            <w:pPr>
              <w:spacing w:after="0"/>
              <w:rPr>
                <w:sz w:val="20"/>
                <w:szCs w:val="20"/>
                <w:color w:val="auto"/>
              </w:rPr>
            </w:pPr>
            <w:r>
              <w:rPr>
                <w:rFonts w:ascii="Arial" w:cs="Arial" w:eastAsia="Arial" w:hAnsi="Arial"/>
                <w:sz w:val="16"/>
                <w:szCs w:val="16"/>
                <w:color w:val="auto"/>
              </w:rPr>
              <w:t>Adjusted EBITDA Margin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For the three months ended March 31, 2026, transaction revenue and platform and other revenues represented 82.5% and 17.5% of our revenue, respectively. For the three months ended March 31, 2026, transaction revenue and</w:t>
      </w: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0" w:name="page41"/>
    <w:bookmarkEnd w:id="40"/>
    <w:p>
      <w:pPr>
        <w:ind w:right="300"/>
        <w:spacing w:after="0" w:line="247" w:lineRule="auto"/>
        <w:rPr>
          <w:sz w:val="20"/>
          <w:szCs w:val="20"/>
          <w:color w:val="auto"/>
        </w:rPr>
      </w:pPr>
      <w:r>
        <w:rPr>
          <w:rFonts w:ascii="Arial" w:cs="Arial" w:eastAsia="Arial" w:hAnsi="Arial"/>
          <w:sz w:val="18"/>
          <w:szCs w:val="18"/>
          <w:color w:val="auto"/>
        </w:rPr>
        <w:t>platform and other revenues represented 84.3% and 15.7% of our total revenue less ancillary services, respectively. For the three months ended March 31, 2026, our total payment volume was approximately $11.4 billion, consisting of $9.3 billion of total payment volume from transactions included in transaction revenue and $2.1 billion of total payment volume from transactions included in platform and other revenues.</w:t>
      </w:r>
    </w:p>
    <w:p>
      <w:pPr>
        <w:spacing w:after="0" w:line="147" w:lineRule="exact"/>
        <w:rPr>
          <w:sz w:val="20"/>
          <w:szCs w:val="20"/>
          <w:color w:val="auto"/>
        </w:rPr>
      </w:pPr>
    </w:p>
    <w:p>
      <w:pPr>
        <w:jc w:val="both"/>
        <w:ind w:right="200" w:firstLine="509"/>
        <w:spacing w:after="0" w:line="244" w:lineRule="auto"/>
        <w:rPr>
          <w:sz w:val="20"/>
          <w:szCs w:val="20"/>
          <w:color w:val="auto"/>
        </w:rPr>
      </w:pPr>
      <w:r>
        <w:rPr>
          <w:rFonts w:ascii="Arial" w:cs="Arial" w:eastAsia="Arial" w:hAnsi="Arial"/>
          <w:sz w:val="18"/>
          <w:szCs w:val="18"/>
          <w:color w:val="auto"/>
        </w:rPr>
        <w:t>For the three months ended March 31, 2025, transaction revenue and platform and other revenues represented 81.3% and 18.7% of our revenue, respectively. For the three months ended March 31, 2025, transaction revenue and platform and other revenues represented 84.0% and 16.0% of our total revenue less ancillary services, respectively. For the three months ended March 31, 2025, our total payment volume was approximately $8.4 billion, consisting of $6.4 billion of total payment volume from transactions included in transaction revenue and $2.0 billion of total payment volume from transactions included in platform and other revenues.</w:t>
      </w:r>
    </w:p>
    <w:p>
      <w:pPr>
        <w:spacing w:after="0" w:line="138"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Revenue Less Ancillary Services, FX Neutral Revenue Less Ancillary Services, Adjusted Gross Profit, Adjusted Gross Margin, EBITDA, Adjusted EBITDA, Adjusted EBITDA Margin and Non-GAAP Operating Expenses</w:t>
      </w:r>
    </w:p>
    <w:p>
      <w:pPr>
        <w:spacing w:after="0" w:line="9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6"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61" w:lineRule="exact"/>
        <w:rPr>
          <w:sz w:val="20"/>
          <w:szCs w:val="20"/>
          <w:color w:val="auto"/>
        </w:rPr>
      </w:pPr>
    </w:p>
    <w:p>
      <w:pPr>
        <w:jc w:val="both"/>
        <w:ind w:left="460" w:right="40" w:hanging="302"/>
        <w:spacing w:after="0" w:line="252" w:lineRule="auto"/>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represents our consolidated revenue in accordance with GAAP less (i) pass-through cost for printing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mailing services and (ii) marketing fees. We exclude these amounts to arrive at this supplemental non-GAAP financial measure as we view these services as ancillary to the primary services we provide to our clients.</w:t>
      </w:r>
    </w:p>
    <w:p>
      <w:pPr>
        <w:spacing w:after="0" w:line="62" w:lineRule="exact"/>
        <w:rPr>
          <w:rFonts w:ascii="Times New Roman" w:cs="Times New Roman" w:eastAsia="Times New Roman" w:hAnsi="Times New Roman"/>
          <w:sz w:val="18"/>
          <w:szCs w:val="18"/>
          <w:color w:val="auto"/>
        </w:rPr>
      </w:pPr>
    </w:p>
    <w:p>
      <w:pPr>
        <w:ind w:left="460" w:right="220" w:hanging="302"/>
        <w:spacing w:after="0" w:line="246" w:lineRule="auto"/>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FX Neutral Revenue Less Ancillary Services </w:t>
      </w:r>
      <w:r>
        <w:rPr>
          <w:rFonts w:ascii="Arial" w:cs="Arial" w:eastAsia="Arial" w:hAnsi="Arial"/>
          <w:sz w:val="18"/>
          <w:szCs w:val="18"/>
          <w:color w:val="auto"/>
        </w:rPr>
        <w:t>- represents Revenue Less Ancillary Services adjusted to show presentation on a FX</w:t>
      </w:r>
      <w:r>
        <w:rPr>
          <w:rFonts w:ascii="Arial" w:cs="Arial" w:eastAsia="Arial" w:hAnsi="Arial"/>
          <w:sz w:val="18"/>
          <w:szCs w:val="18"/>
          <w:i w:val="1"/>
          <w:iCs w:val="1"/>
          <w:color w:val="auto"/>
        </w:rPr>
        <w:t xml:space="preserve"> </w:t>
      </w:r>
      <w:r>
        <w:rPr>
          <w:rFonts w:ascii="Arial" w:cs="Arial" w:eastAsia="Arial" w:hAnsi="Arial"/>
          <w:sz w:val="18"/>
          <w:szCs w:val="18"/>
          <w:color w:val="auto"/>
        </w:rPr>
        <w:t>Neutral basis. The FX Neutral information presented is calculated by translating current period results using prior period weighted average foreign currency exchange rates. We analyze FX Neutral Revenue Less Ancillary Services on an FX Neutral basis provide a comparable framework for assessing how the business performed excluding the effect of foreign currency fluctuations.</w:t>
      </w:r>
    </w:p>
    <w:p>
      <w:pPr>
        <w:spacing w:after="0" w:line="68" w:lineRule="exact"/>
        <w:rPr>
          <w:rFonts w:ascii="Times New Roman" w:cs="Times New Roman" w:eastAsia="Times New Roman" w:hAnsi="Times New Roman"/>
          <w:sz w:val="18"/>
          <w:szCs w:val="18"/>
          <w:color w:val="auto"/>
        </w:rPr>
      </w:pPr>
    </w:p>
    <w:p>
      <w:pPr>
        <w:ind w:left="460" w:right="20" w:hanging="302"/>
        <w:spacing w:after="0" w:line="259" w:lineRule="auto"/>
        <w:tabs>
          <w:tab w:leader="none" w:pos="46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Adjusted Gross Profit and Adjusted Gross Margin </w:t>
      </w:r>
      <w:r>
        <w:rPr>
          <w:rFonts w:ascii="Arial" w:cs="Arial" w:eastAsia="Arial" w:hAnsi="Arial"/>
          <w:sz w:val="17"/>
          <w:szCs w:val="17"/>
          <w:color w:val="auto"/>
        </w:rPr>
        <w:t>- Adjusted Gross Profit represents Revenue Less Ancillary Services, less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our payment processing-related services, which are the primary services we provide to our clients.</w:t>
      </w:r>
    </w:p>
    <w:p>
      <w:pPr>
        <w:spacing w:after="0" w:line="56" w:lineRule="exact"/>
        <w:rPr>
          <w:rFonts w:ascii="Times New Roman" w:cs="Times New Roman" w:eastAsia="Times New Roman" w:hAnsi="Times New Roman"/>
          <w:sz w:val="17"/>
          <w:szCs w:val="17"/>
          <w:color w:val="auto"/>
        </w:rPr>
      </w:pPr>
    </w:p>
    <w:p>
      <w:pPr>
        <w:ind w:left="460" w:hanging="302"/>
        <w:spacing w:after="0" w:line="239" w:lineRule="auto"/>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EBITDA represents our consolidated net income (loss) in accordance with GAAP adjusted to exclude (i)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(ii) interest income, (iii) provision for (benefit from) income taxes, and (iv) depreciation and amortization.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(vi) employee retention costs, such as incentive compensation associated with acquisition activities, (vii) restructuring, and (viii) gain (loss) from investments. Management believes that the exclusion of these amounts to calculate Adjusted EBITDA provides useful measures for period-to-period comparisons of our business.</w:t>
      </w:r>
    </w:p>
    <w:p>
      <w:pPr>
        <w:spacing w:after="0" w:line="78" w:lineRule="exact"/>
        <w:rPr>
          <w:rFonts w:ascii="Times New Roman" w:cs="Times New Roman" w:eastAsia="Times New Roman" w:hAnsi="Times New Roman"/>
          <w:sz w:val="18"/>
          <w:szCs w:val="18"/>
          <w:color w:val="auto"/>
        </w:rPr>
      </w:pPr>
    </w:p>
    <w:p>
      <w:pPr>
        <w:ind w:left="460" w:right="300" w:hanging="302"/>
        <w:spacing w:after="0" w:line="241" w:lineRule="auto"/>
        <w:tabs>
          <w:tab w:leader="none" w:pos="4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 represents Adjusted EBITDA divided by Revenue Less Ancillary Services. Management believes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supplements the GAAP presentation of gross margin with a useful measure of the gross margin of our payment-related services, which are the primary services we provide to our clients.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1" w:name="page42"/>
    <w:bookmarkEnd w:id="41"/>
    <w:p>
      <w:pPr>
        <w:ind w:left="460" w:right="60" w:hanging="302"/>
        <w:spacing w:after="0" w:line="246" w:lineRule="auto"/>
        <w:tabs>
          <w:tab w:leader="none" w:pos="4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Non-GAAP Operating Expenses </w:t>
      </w:r>
      <w:r>
        <w:rPr>
          <w:rFonts w:ascii="Arial" w:cs="Arial" w:eastAsia="Arial" w:hAnsi="Arial"/>
          <w:sz w:val="18"/>
          <w:szCs w:val="18"/>
          <w:color w:val="auto"/>
        </w:rPr>
        <w:t>- represents GAAP Operating Expenses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spacing w:after="0" w:line="136" w:lineRule="exact"/>
        <w:rPr>
          <w:sz w:val="20"/>
          <w:szCs w:val="20"/>
          <w:color w:val="auto"/>
        </w:rPr>
      </w:pPr>
    </w:p>
    <w:p>
      <w:pPr>
        <w:ind w:right="20" w:firstLine="559"/>
        <w:spacing w:after="0" w:line="242"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profit, gross margin, operating expenses, or net income (loss) prepared in accordance with GAAP and should be read only in conjunction with financial information presented on a GAAP basis. Reconciliations of these non-GAAP financial measures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9"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tables below provide reconciliations of Revenue Less Ancillary Services, Adjusted Gross Profit, Adjusted Gross Margin, FX Neutral Revenue Less Ancillary Services, EBITDA, Adjusted EBITDA, Adjusted EBITDA Margin, and Non-GAAP Operating Expenses to the most comparable GAAP figure on a consolidated basis for the periods presented. All dollar amounts are rounded and as a result, certain amounts may not recalculate using the rounded amounts provided.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vMerge w:val="restart"/>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Adjusted to exclude gross up for:</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Pass-through cost for printing and mailing</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Marketing fees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 Less Ancillary Services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184.0</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70"/>
        </w:trPr>
        <w:tc>
          <w:tcPr>
            <w:tcW w:w="8020" w:type="dxa"/>
            <w:vAlign w:val="bottom"/>
            <w:tcBorders>
              <w:top w:val="single" w:sz="8" w:color="CFF0FC"/>
            </w:tcBorders>
            <w:gridSpan w:val="2"/>
          </w:tcPr>
          <w:p>
            <w:pPr>
              <w:spacing w:after="0" w:line="170" w:lineRule="exact"/>
              <w:rPr>
                <w:sz w:val="20"/>
                <w:szCs w:val="20"/>
                <w:color w:val="auto"/>
              </w:rPr>
            </w:pPr>
            <w:r>
              <w:rPr>
                <w:rFonts w:ascii="Arial" w:cs="Arial" w:eastAsia="Arial" w:hAnsi="Arial"/>
                <w:sz w:val="16"/>
                <w:szCs w:val="16"/>
                <w:color w:val="auto"/>
              </w:rPr>
              <w:t>Payment processing services costs</w:t>
            </w: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77.5</w:t>
            </w:r>
          </w:p>
        </w:tc>
        <w:tc>
          <w:tcPr>
            <w:tcW w:w="12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Hosting and amortization costs within technology and development expenses</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3"/>
        </w:trPr>
        <w:tc>
          <w:tcPr>
            <w:tcW w:w="8020" w:type="dxa"/>
            <w:vAlign w:val="bottom"/>
            <w:gridSpan w:val="2"/>
          </w:tcPr>
          <w:p>
            <w:pPr>
              <w:spacing w:after="0" w:line="183" w:lineRule="exact"/>
              <w:rPr>
                <w:sz w:val="20"/>
                <w:szCs w:val="20"/>
                <w:color w:val="auto"/>
              </w:rPr>
            </w:pPr>
            <w:r>
              <w:rPr>
                <w:rFonts w:ascii="Arial" w:cs="Arial" w:eastAsia="Arial" w:hAnsi="Arial"/>
                <w:sz w:val="16"/>
                <w:szCs w:val="16"/>
                <w:color w:val="auto"/>
              </w:rPr>
              <w:t>Cost of Revenue</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81.3</w:t>
            </w:r>
          </w:p>
        </w:tc>
        <w:tc>
          <w:tcPr>
            <w:tcW w:w="44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2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color w:val="auto"/>
              </w:rPr>
              <w:t>Adjusted to:</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Exclude printing and mailing costs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Offset marketing fees against related costs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Exclude depreciation and amortization</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Adjusted Cost of Revenue</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73.4</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106.8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Gross Margin</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70"/>
        </w:trPr>
        <w:tc>
          <w:tcPr>
            <w:tcW w:w="8020" w:type="dxa"/>
            <w:vAlign w:val="bottom"/>
            <w:gridSpan w:val="2"/>
          </w:tcPr>
          <w:p>
            <w:pPr>
              <w:spacing w:after="0" w:line="170" w:lineRule="exact"/>
              <w:rPr>
                <w:sz w:val="20"/>
                <w:szCs w:val="20"/>
                <w:color w:val="auto"/>
              </w:rPr>
            </w:pPr>
            <w:r>
              <w:rPr>
                <w:rFonts w:ascii="Arial" w:cs="Arial" w:eastAsia="Arial" w:hAnsi="Arial"/>
                <w:sz w:val="16"/>
                <w:szCs w:val="16"/>
                <w:color w:val="auto"/>
              </w:rPr>
              <w:t>Adjusted Gross Profit</w:t>
            </w:r>
          </w:p>
        </w:tc>
        <w:tc>
          <w:tcPr>
            <w:tcW w:w="260" w:type="dxa"/>
            <w:vAlign w:val="bottom"/>
          </w:tcPr>
          <w:p>
            <w:pPr>
              <w:jc w:val="right"/>
              <w:ind w:right="79"/>
              <w:spacing w:after="0" w:line="170"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70" w:lineRule="exact"/>
              <w:rPr>
                <w:sz w:val="20"/>
                <w:szCs w:val="20"/>
                <w:color w:val="auto"/>
              </w:rPr>
            </w:pPr>
            <w:r>
              <w:rPr>
                <w:rFonts w:ascii="Arial" w:cs="Arial" w:eastAsia="Arial" w:hAnsi="Arial"/>
                <w:sz w:val="16"/>
                <w:szCs w:val="16"/>
                <w:color w:val="auto"/>
              </w:rPr>
              <w:t>110.5</w:t>
            </w:r>
          </w:p>
        </w:tc>
        <w:tc>
          <w:tcPr>
            <w:tcW w:w="44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0" w:lineRule="exact"/>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Adjusted Gross Margin</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-1559560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-1542415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-1293495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-290830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-273685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Disaggregated by Revenue Type: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108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Adjusted to exclude gross up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Pass-through cost for printing and mailing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Marketing fees</w:t>
      </w:r>
    </w:p>
    <w:p>
      <w:pPr>
        <w:spacing w:after="0" w:line="16"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color w:val="auto"/>
        </w:rPr>
        <w:t>Revenue Less Ancillary Services Percentage of Revenue</w:t>
      </w:r>
    </w:p>
    <w:p>
      <w:pPr>
        <w:spacing w:after="0" w:line="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Percentage of Revenue Less Ancillary Services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7"/>
          </w:tcPr>
          <w:p>
            <w:pPr>
              <w:jc w:val="right"/>
              <w:ind w:right="439"/>
              <w:spacing w:after="0"/>
              <w:rPr>
                <w:sz w:val="20"/>
                <w:szCs w:val="20"/>
                <w:color w:val="auto"/>
              </w:rPr>
            </w:pPr>
            <w:r>
              <w:rPr>
                <w:rFonts w:ascii="Arial" w:cs="Arial" w:eastAsia="Arial" w:hAnsi="Arial"/>
                <w:sz w:val="16"/>
                <w:szCs w:val="16"/>
                <w:b w:val="1"/>
                <w:bCs w:val="1"/>
                <w:color w:val="auto"/>
              </w:rPr>
              <w:t>Three Months Ended March 31, 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7"/>
          </w:tcPr>
          <w:p>
            <w:pPr>
              <w:jc w:val="right"/>
              <w:ind w:right="459"/>
              <w:spacing w:after="0"/>
              <w:rPr>
                <w:sz w:val="20"/>
                <w:szCs w:val="20"/>
                <w:color w:val="auto"/>
              </w:rPr>
            </w:pPr>
            <w:r>
              <w:rPr>
                <w:rFonts w:ascii="Arial" w:cs="Arial" w:eastAsia="Arial" w:hAnsi="Arial"/>
                <w:sz w:val="16"/>
                <w:szCs w:val="16"/>
                <w:b w:val="1"/>
                <w:bCs w:val="1"/>
                <w:color w:val="auto"/>
              </w:rPr>
              <w:t>Three Months Ended March 31, 2025</w:t>
            </w: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9"/>
              <w:spacing w:after="0" w:line="168" w:lineRule="exact"/>
              <w:rPr>
                <w:sz w:val="20"/>
                <w:szCs w:val="20"/>
                <w:color w:val="auto"/>
              </w:rPr>
            </w:pPr>
            <w:r>
              <w:rPr>
                <w:rFonts w:ascii="Arial" w:cs="Arial" w:eastAsia="Arial" w:hAnsi="Arial"/>
                <w:sz w:val="16"/>
                <w:szCs w:val="16"/>
                <w:b w:val="1"/>
                <w:bCs w:val="1"/>
                <w:color w:val="auto"/>
              </w:rPr>
              <w:t>Platform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9"/>
              <w:spacing w:after="0" w:line="168" w:lineRule="exact"/>
              <w:rPr>
                <w:sz w:val="20"/>
                <w:szCs w:val="20"/>
                <w:color w:val="auto"/>
              </w:rPr>
            </w:pPr>
            <w:r>
              <w:rPr>
                <w:rFonts w:ascii="Arial" w:cs="Arial" w:eastAsia="Arial" w:hAnsi="Arial"/>
                <w:sz w:val="16"/>
                <w:szCs w:val="16"/>
                <w:b w:val="1"/>
                <w:bCs w:val="1"/>
                <w:color w:val="auto"/>
              </w:rPr>
              <w:t>Platform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Transaction</w:t>
            </w:r>
          </w:p>
        </w:tc>
        <w:tc>
          <w:tcPr>
            <w:tcW w:w="120" w:type="dxa"/>
            <w:vAlign w:val="bottom"/>
          </w:tcPr>
          <w:p>
            <w:pPr>
              <w:spacing w:after="0"/>
              <w:rPr>
                <w:sz w:val="17"/>
                <w:szCs w:val="17"/>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other revenues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Transaction</w:t>
            </w:r>
          </w:p>
        </w:tc>
        <w:tc>
          <w:tcPr>
            <w:tcW w:w="120" w:type="dxa"/>
            <w:vAlign w:val="bottom"/>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other revenues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r>
      <w:tr>
        <w:trPr>
          <w:trHeight w:val="208"/>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155.2</w:t>
            </w:r>
          </w:p>
        </w:tc>
        <w:tc>
          <w:tcPr>
            <w:tcW w:w="1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133.5</w:t>
            </w:r>
          </w:p>
        </w:tc>
      </w:tr>
      <w:tr>
        <w:trPr>
          <w:trHeight w:val="33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183"/>
        </w:trPr>
        <w:tc>
          <w:tcPr>
            <w:tcW w:w="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184.0</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108.2</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128.7</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-941070</wp:posOffset>
            </wp:positionV>
            <wp:extent cx="7132320"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-701040</wp:posOffset>
            </wp:positionV>
            <wp:extent cx="713232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-186690</wp:posOffset>
            </wp:positionV>
            <wp:extent cx="7132320" cy="2400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-452120</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3000" w:space="460"/>
            <w:col w:w="7780"/>
          </w:cols>
          <w:pgMar w:left="320" w:top="1309"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FX Neutral Revenue Less Ancillary Services: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439"/>
              <w:spacing w:after="0"/>
              <w:rPr>
                <w:sz w:val="20"/>
                <w:szCs w:val="20"/>
                <w:color w:val="auto"/>
              </w:rPr>
            </w:pPr>
            <w:r>
              <w:rPr>
                <w:rFonts w:ascii="Arial" w:cs="Arial" w:eastAsia="Arial" w:hAnsi="Arial"/>
                <w:sz w:val="16"/>
                <w:szCs w:val="16"/>
                <w:b w:val="1"/>
                <w:bCs w:val="1"/>
                <w:color w:val="auto"/>
              </w:rPr>
              <w:t>Growth</w:t>
            </w:r>
          </w:p>
        </w:tc>
      </w:tr>
      <w:tr>
        <w:trPr>
          <w:trHeight w:val="183"/>
        </w:trPr>
        <w:tc>
          <w:tcPr>
            <w:tcW w:w="61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(dollars in millions)</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right"/>
              <w:ind w:right="42"/>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Rate</w:t>
            </w:r>
          </w:p>
        </w:tc>
      </w:tr>
      <w:tr>
        <w:trPr>
          <w:trHeight w:val="183"/>
        </w:trPr>
        <w:tc>
          <w:tcPr>
            <w:tcW w:w="62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120" w:type="dxa"/>
            <w:vAlign w:val="bottom"/>
            <w:shd w:val="clear" w:color="auto" w:fill="CFF0FC"/>
          </w:tcPr>
          <w:p>
            <w:pPr>
              <w:jc w:val="right"/>
              <w:ind w:right="962"/>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w:t>
            </w:r>
          </w:p>
        </w:tc>
        <w:tc>
          <w:tcPr>
            <w:tcW w:w="1220" w:type="dxa"/>
            <w:vAlign w:val="bottom"/>
            <w:gridSpan w:val="2"/>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133.5</w:t>
            </w:r>
          </w:p>
        </w:tc>
        <w:tc>
          <w:tcPr>
            <w:tcW w:w="16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41%</w:t>
            </w:r>
          </w:p>
        </w:tc>
      </w:tr>
      <w:tr>
        <w:trPr>
          <w:trHeight w:val="189"/>
        </w:trPr>
        <w:tc>
          <w:tcPr>
            <w:tcW w:w="6220" w:type="dxa"/>
            <w:vAlign w:val="bottom"/>
            <w:gridSpan w:val="2"/>
          </w:tcPr>
          <w:p>
            <w:pPr>
              <w:spacing w:after="0"/>
              <w:rPr>
                <w:sz w:val="20"/>
                <w:szCs w:val="20"/>
                <w:color w:val="auto"/>
              </w:rPr>
            </w:pPr>
            <w:r>
              <w:rPr>
                <w:rFonts w:ascii="Arial" w:cs="Arial" w:eastAsia="Arial" w:hAnsi="Arial"/>
                <w:sz w:val="16"/>
                <w:szCs w:val="16"/>
                <w:color w:val="auto"/>
              </w:rPr>
              <w:t>Ancillary services</w:t>
            </w: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3"/>
        </w:trPr>
        <w:tc>
          <w:tcPr>
            <w:tcW w:w="62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 Less Ancillary Services</w:t>
            </w:r>
          </w:p>
        </w:tc>
        <w:tc>
          <w:tcPr>
            <w:tcW w:w="1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184.0</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128.7</w:t>
            </w:r>
          </w:p>
        </w:tc>
        <w:tc>
          <w:tcPr>
            <w:tcW w:w="16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r>
      <w:tr>
        <w:trPr>
          <w:trHeight w:val="189"/>
        </w:trPr>
        <w:tc>
          <w:tcPr>
            <w:tcW w:w="6220" w:type="dxa"/>
            <w:vAlign w:val="bottom"/>
            <w:gridSpan w:val="2"/>
          </w:tcPr>
          <w:p>
            <w:pPr>
              <w:spacing w:after="0"/>
              <w:rPr>
                <w:sz w:val="20"/>
                <w:szCs w:val="20"/>
                <w:color w:val="auto"/>
              </w:rPr>
            </w:pPr>
            <w:r>
              <w:rPr>
                <w:rFonts w:ascii="Arial" w:cs="Arial" w:eastAsia="Arial" w:hAnsi="Arial"/>
                <w:sz w:val="16"/>
                <w:szCs w:val="16"/>
                <w:color w:val="auto"/>
              </w:rPr>
              <w:t>Effects of foreign currency rate fluctuations</w:t>
            </w: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3"/>
        </w:trPr>
        <w:tc>
          <w:tcPr>
            <w:tcW w:w="622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FX Neutral Revenue Less Ancillary Services</w:t>
            </w:r>
          </w:p>
        </w:tc>
        <w:tc>
          <w:tcPr>
            <w:tcW w:w="1120" w:type="dxa"/>
            <w:vAlign w:val="bottom"/>
            <w:tcBorders>
              <w:bottom w:val="single" w:sz="8" w:color="auto"/>
            </w:tcBorders>
            <w:shd w:val="clear" w:color="auto" w:fill="CFF0FC"/>
          </w:tcPr>
          <w:p>
            <w:pPr>
              <w:jc w:val="right"/>
              <w:ind w:right="962"/>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176.6</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128.7</w:t>
            </w:r>
          </w:p>
        </w:tc>
        <w:tc>
          <w:tcPr>
            <w:tcW w:w="168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vMerge w:val="restart"/>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Net income (loss)</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12.5</w:t>
            </w:r>
          </w:p>
        </w:tc>
        <w:tc>
          <w:tcPr>
            <w:tcW w:w="440" w:type="dxa"/>
            <w:vAlign w:val="bottom"/>
            <w:gridSpan w:val="2"/>
            <w:shd w:val="clear" w:color="auto" w:fill="CFF0FC"/>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3"/>
        </w:trPr>
        <w:tc>
          <w:tcPr>
            <w:tcW w:w="8020" w:type="dxa"/>
            <w:vAlign w:val="bottom"/>
            <w:gridSpan w:val="2"/>
          </w:tcPr>
          <w:p>
            <w:pPr>
              <w:spacing w:after="0" w:line="183" w:lineRule="exact"/>
              <w:rPr>
                <w:sz w:val="20"/>
                <w:szCs w:val="20"/>
                <w:color w:val="auto"/>
              </w:rPr>
            </w:pPr>
            <w:r>
              <w:rPr>
                <w:rFonts w:ascii="Arial" w:cs="Arial" w:eastAsia="Arial" w:hAnsi="Arial"/>
                <w:sz w:val="16"/>
                <w:szCs w:val="16"/>
                <w:color w:val="auto"/>
              </w:rPr>
              <w:t>EBITDA</w:t>
            </w:r>
          </w:p>
        </w:tc>
        <w:tc>
          <w:tcPr>
            <w:tcW w:w="26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22.7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Stock-based compensation expense and related taxes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Gain from remeasurement of foreign currency</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Gain on available-for-sale debt securities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Indirect taxes related to intercompany activity</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Acquisition-related transaction costs </w:t>
            </w:r>
            <w:r>
              <w:rPr>
                <w:rFonts w:ascii="Arial" w:cs="Arial" w:eastAsia="Arial" w:hAnsi="Arial"/>
                <w:sz w:val="21"/>
                <w:szCs w:val="21"/>
                <w:color w:val="auto"/>
                <w:vertAlign w:val="superscript"/>
              </w:rPr>
              <w:t>(a)</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3"/>
        </w:trPr>
        <w:tc>
          <w:tcPr>
            <w:tcW w:w="8020" w:type="dxa"/>
            <w:vAlign w:val="bottom"/>
            <w:gridSpan w:val="2"/>
          </w:tcPr>
          <w:p>
            <w:pPr>
              <w:spacing w:after="0" w:line="183" w:lineRule="exact"/>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20" w:type="dxa"/>
            <w:vAlign w:val="bottom"/>
            <w:gridSpan w:val="2"/>
            <w:shd w:val="clear" w:color="auto" w:fill="CFF0FC"/>
          </w:tcPr>
          <w:p>
            <w:pPr>
              <w:spacing w:after="0" w:line="170" w:lineRule="exact"/>
              <w:rPr>
                <w:sz w:val="20"/>
                <w:szCs w:val="20"/>
                <w:color w:val="auto"/>
              </w:rPr>
            </w:pPr>
            <w:r>
              <w:rPr>
                <w:rFonts w:ascii="Arial" w:cs="Arial" w:eastAsia="Arial" w:hAnsi="Arial"/>
                <w:sz w:val="16"/>
                <w:szCs w:val="16"/>
                <w:color w:val="auto"/>
              </w:rPr>
              <w:t>Adjusted EBITDA margin</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-1242060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23742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97"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Acquisition-related transaction costs consisted of legal and advisory fees incurred in connection with the Sertifi acquisition.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Margin, EBITDA Margin, Adjusted EBITDA Margin and Adjusted EBITDA Margin: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vMerge w:val="restart"/>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7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Revenue (A)</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188.1</w:t>
            </w:r>
          </w:p>
        </w:tc>
        <w:tc>
          <w:tcPr>
            <w:tcW w:w="44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Revenue less ancillary services (B)</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184.0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(loss) (C)</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EBITDA (D)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EBITDA (E)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Net margin (C/A)</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margin using RLAS (C/B)</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EBITDA Margin (D/B)</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EBITDA Margin (E/B)</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Reconciliation of GAAP Operating Expenses to Non-GAAP 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vMerge w:val="restart"/>
          </w:tcPr>
          <w:p>
            <w:pPr>
              <w:spacing w:after="0"/>
              <w:rPr>
                <w:sz w:val="20"/>
                <w:szCs w:val="20"/>
                <w:color w:val="auto"/>
              </w:rPr>
            </w:pPr>
            <w:r>
              <w:rPr>
                <w:rFonts w:ascii="Arial" w:cs="Arial" w:eastAsia="Arial" w:hAnsi="Arial"/>
                <w:sz w:val="16"/>
                <w:szCs w:val="16"/>
                <w:b w:val="1"/>
                <w:bCs w:val="1"/>
                <w:color w:val="auto"/>
              </w:rPr>
              <w:t>(dollars in millions)</w:t>
            </w:r>
          </w:p>
        </w:tc>
        <w:tc>
          <w:tcPr>
            <w:tcW w:w="120" w:type="dxa"/>
            <w:vAlign w:val="bottom"/>
            <w:vMerge w:val="restart"/>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2"/>
        </w:trPr>
        <w:tc>
          <w:tcPr>
            <w:tcW w:w="7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8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GAAP Technology and development</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w:t>
            </w:r>
          </w:p>
        </w:tc>
        <w:tc>
          <w:tcPr>
            <w:tcW w:w="440" w:type="dxa"/>
            <w:vAlign w:val="bottom"/>
            <w:gridSpan w:val="2"/>
            <w:shd w:val="clear" w:color="auto" w:fill="CFF0FC"/>
          </w:tcPr>
          <w:p>
            <w:pPr>
              <w:jc w:val="right"/>
              <w:ind w:right="164"/>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 Stock-based compensation expense and related taxes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Depreciation and amortization</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8020" w:type="dxa"/>
            <w:vAlign w:val="bottom"/>
            <w:gridSpan w:val="2"/>
          </w:tcPr>
          <w:p>
            <w:pPr>
              <w:spacing w:after="0" w:line="183" w:lineRule="exact"/>
              <w:rPr>
                <w:sz w:val="20"/>
                <w:szCs w:val="20"/>
                <w:color w:val="auto"/>
              </w:rPr>
            </w:pPr>
            <w:r>
              <w:rPr>
                <w:rFonts w:ascii="Arial" w:cs="Arial" w:eastAsia="Arial" w:hAnsi="Arial"/>
                <w:sz w:val="16"/>
                <w:szCs w:val="16"/>
                <w:color w:val="auto"/>
              </w:rPr>
              <w:t>Non-GAAP Technology and development</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GAAP Selling and marketing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40.5</w:t>
            </w:r>
          </w:p>
        </w:tc>
        <w:tc>
          <w:tcPr>
            <w:tcW w:w="44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Stock-based compensation expense and related taxes</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 Depreciation and amortization</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Non-GAAP Selling and marketing</w:t>
            </w: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30.1</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169"/>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GAAP General and administrative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44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 Stock-based compensation expense and related taxes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Depreciation and amortization</w:t>
            </w:r>
          </w:p>
        </w:tc>
        <w:tc>
          <w:tcPr>
            <w:tcW w:w="26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8020" w:type="dxa"/>
            <w:vAlign w:val="bottom"/>
            <w:gridSpan w:val="2"/>
          </w:tcPr>
          <w:p>
            <w:pPr>
              <w:spacing w:after="0"/>
              <w:rPr>
                <w:sz w:val="20"/>
                <w:szCs w:val="20"/>
                <w:color w:val="auto"/>
              </w:rPr>
            </w:pPr>
            <w:r>
              <w:rPr>
                <w:rFonts w:ascii="Arial" w:cs="Arial" w:eastAsia="Arial" w:hAnsi="Arial"/>
                <w:sz w:val="16"/>
                <w:szCs w:val="16"/>
                <w:color w:val="auto"/>
              </w:rPr>
              <w:t>(-) Acquisition related transaction costs</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8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Change in fair value of contingent consideration</w:t>
            </w:r>
          </w:p>
        </w:tc>
        <w:tc>
          <w:tcPr>
            <w:tcW w:w="2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3"/>
        </w:trPr>
        <w:tc>
          <w:tcPr>
            <w:tcW w:w="8020" w:type="dxa"/>
            <w:vAlign w:val="bottom"/>
            <w:gridSpan w:val="2"/>
          </w:tcPr>
          <w:p>
            <w:pPr>
              <w:spacing w:after="0" w:line="183" w:lineRule="exact"/>
              <w:rPr>
                <w:sz w:val="20"/>
                <w:szCs w:val="20"/>
                <w:color w:val="auto"/>
              </w:rPr>
            </w:pPr>
            <w:r>
              <w:rPr>
                <w:rFonts w:ascii="Arial" w:cs="Arial" w:eastAsia="Arial" w:hAnsi="Arial"/>
                <w:sz w:val="16"/>
                <w:szCs w:val="16"/>
                <w:color w:val="auto"/>
              </w:rPr>
              <w:t>Non-GAAP General and administrative</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-899795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-882650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-1028065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of March 31, 2026, our principal source of liquidity is cash and cash equivalents of $311.9 million, short-term available-for-sale debt securities of $13.2 million, and the available balance under our 2024 Amended Revolving Credit Facility of $300.0 million. Cash equivalents is comprised primarily of money market funds. Our short-term available-for-sale debt securities are comprised of corporate bonds, U.S. Government obligations, and asset backed securities.</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On August 6, 2024, we announced the Repurchase Program. On July 30, 2025, our board of directors approved an increase in the aggregate amount of voting and non-voting common stock outstanding that may be repurchased under the Repurchase Program by an additional $150.0 million, bringing the total authorized amount under the Repurchase Program to $300.0 million. For additional information on our Repurchase Program, see </w:t>
      </w:r>
      <w:r>
        <w:rPr>
          <w:rFonts w:ascii="Arial" w:cs="Arial" w:eastAsia="Arial" w:hAnsi="Arial"/>
          <w:sz w:val="18"/>
          <w:szCs w:val="18"/>
          <w:i w:val="1"/>
          <w:iCs w:val="1"/>
          <w:color w:val="auto"/>
        </w:rPr>
        <w:t>Note 13 - Stockholders’ Equity</w:t>
      </w:r>
      <w:r>
        <w:rPr>
          <w:rFonts w:ascii="Arial" w:cs="Arial" w:eastAsia="Arial" w:hAnsi="Arial"/>
          <w:sz w:val="18"/>
          <w:szCs w:val="18"/>
          <w:color w:val="auto"/>
        </w:rPr>
        <w:t xml:space="preserve"> in our condensed consolidated financial statements included elsewhere in this Quarterly Report on Form 10-Q. During the three months ended March 31, 2026, the Company repurchased 907,029 shares of its common stock for an aggregate amount, including commissions and accrued excise tax, of $10.0 million under the Repurchase Program. The repurchased shares are held as treasury stock. Since the inception of the share repurchase program, we have deployed $128.1 million in total share repurchases. As of March 31, 2026, approximately $171.9 million of the authorized $300 million amount under the Repurchase Program remained available for future repurchases.</w:t>
      </w:r>
    </w:p>
    <w:p>
      <w:pPr>
        <w:spacing w:after="0" w:line="15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May 5, 2026, we announced our intention to initiate an accelerated share repurchase (ASR) program of up to $50.0 million under the Repurchase Program. We anticipate funding the ASR program using our existing cash and cash equivalents. The ultimate amount and timing of the repurchases will be informed by the execution of a definitive ASR agreement, prevailing market conditions, and the trading price of our common stock. This anticipated ASR aligns with our broader capital allocation priorities, which include preserving financial flexibility to support continued investments in organic growth and strategic acquisitions.</w:t>
      </w:r>
    </w:p>
    <w:p>
      <w:pPr>
        <w:spacing w:after="0" w:line="13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February 23, 2024, we entered into our 2024 Revolving Credit Facility for a total commitment of $125.0 million, which replaced the 2021 Revolving Credit Facility of $50.0 million that was in effect as of December 31, 2023. On August 1, 2025, we entered into an amendment to the 2024 Revolving Credit Facility (2025 Revolving Credit Facility Amendment) with five banks to increase the total commitments from $125.0 million to $300.0 million and make certain conforming and administrative changes. The 2024 Revolving Credit Facility, as amended by the 2025 Revolving Credit Facility Amendment, is hereinafter referred to as, the 2024 Amended Revolving Credit Facility. Four of the lenders under the 2025 Revolving Credit Facility Amendment were existing lenders under the 2024 Revolving Credit Facility.</w:t>
      </w:r>
    </w:p>
    <w:p>
      <w:pPr>
        <w:spacing w:after="0" w:line="14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During the three months ended March 31, 2025, we drew down $125.0 million under the 2024 Amended Revolving Credit Facility in connection with the acquisition of Sertifi. During the three months ended March 31, 2025, we repaid $65.0 million against the 2024 Amended Revolving Credit Facility. There was no outstanding balance of the 2024 Amended Revolving Credit Facility at March 31, 2026 and December 31, 2025.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44" w:name="page45"/>
    <w:bookmarkEnd w:id="44"/>
    <w:p>
      <w:pPr>
        <w:ind w:right="20" w:firstLine="509"/>
        <w:spacing w:after="0" w:line="238"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In addition, we have, and may in the future, repurchase shares of our voting and non-voting common stock from time to time under our Repurchase Program.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69"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sets forth a summary of our cash flow information for the periods presented. All dollar amounts in the table below are rounded and as a result, certain amounts may not recalculate using the rounded amounts provided.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7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provided by:</w:t>
            </w:r>
          </w:p>
        </w:tc>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r>
      <w:tr>
        <w:trPr>
          <w:trHeight w:val="189"/>
        </w:trPr>
        <w:tc>
          <w:tcPr>
            <w:tcW w:w="7980" w:type="dxa"/>
            <w:vAlign w:val="bottom"/>
          </w:tcPr>
          <w:p>
            <w:pPr>
              <w:ind w:left="160"/>
              <w:spacing w:after="0"/>
              <w:rPr>
                <w:sz w:val="20"/>
                <w:szCs w:val="20"/>
                <w:color w:val="auto"/>
              </w:rPr>
            </w:pPr>
            <w:r>
              <w:rPr>
                <w:rFonts w:ascii="Arial" w:cs="Arial" w:eastAsia="Arial" w:hAnsi="Arial"/>
                <w:sz w:val="16"/>
                <w:szCs w:val="16"/>
                <w:color w:val="auto"/>
              </w:rPr>
              <w:t>Operating activities</w:t>
            </w:r>
          </w:p>
        </w:tc>
        <w:tc>
          <w:tcPr>
            <w:tcW w:w="1060" w:type="dxa"/>
            <w:vAlign w:val="bottom"/>
            <w:gridSpan w:val="2"/>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(15.8)</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189"/>
        </w:trPr>
        <w:tc>
          <w:tcPr>
            <w:tcW w:w="79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Investing activities</w:t>
            </w:r>
          </w:p>
        </w:tc>
        <w:tc>
          <w:tcPr>
            <w:tcW w:w="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w:t>
            </w:r>
          </w:p>
        </w:tc>
      </w:tr>
      <w:tr>
        <w:trPr>
          <w:trHeight w:val="189"/>
        </w:trPr>
        <w:tc>
          <w:tcPr>
            <w:tcW w:w="7980" w:type="dxa"/>
            <w:vAlign w:val="bottom"/>
          </w:tcPr>
          <w:p>
            <w:pPr>
              <w:ind w:left="160"/>
              <w:spacing w:after="0"/>
              <w:rPr>
                <w:sz w:val="20"/>
                <w:szCs w:val="20"/>
                <w:color w:val="auto"/>
              </w:rPr>
            </w:pPr>
            <w:r>
              <w:rPr>
                <w:rFonts w:ascii="Arial" w:cs="Arial" w:eastAsia="Arial" w:hAnsi="Arial"/>
                <w:sz w:val="16"/>
                <w:szCs w:val="16"/>
                <w:color w:val="auto"/>
              </w:rPr>
              <w:t>Financing activities</w:t>
            </w: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189"/>
        </w:trPr>
        <w:tc>
          <w:tcPr>
            <w:tcW w:w="79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Effect of exchange rates changes on cash and cash equivalents</w:t>
            </w:r>
          </w:p>
        </w:tc>
        <w:tc>
          <w:tcPr>
            <w:tcW w:w="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3"/>
        </w:trPr>
        <w:tc>
          <w:tcPr>
            <w:tcW w:w="7980" w:type="dxa"/>
            <w:vAlign w:val="bottom"/>
          </w:tcPr>
          <w:p>
            <w:pPr>
              <w:spacing w:after="0" w:line="183" w:lineRule="exact"/>
              <w:rPr>
                <w:sz w:val="20"/>
                <w:szCs w:val="20"/>
                <w:color w:val="auto"/>
              </w:rPr>
            </w:pPr>
            <w:r>
              <w:rPr>
                <w:rFonts w:ascii="Arial" w:cs="Arial" w:eastAsia="Arial" w:hAnsi="Arial"/>
                <w:sz w:val="16"/>
                <w:szCs w:val="16"/>
                <w:b w:val="1"/>
                <w:bCs w:val="1"/>
                <w:color w:val="auto"/>
              </w:rPr>
              <w:t>Net change in cash and cash equivalents</w:t>
            </w:r>
          </w:p>
        </w:tc>
        <w:tc>
          <w:tcPr>
            <w:tcW w:w="1060" w:type="dxa"/>
            <w:vAlign w:val="bottom"/>
            <w:gridSpan w:val="2"/>
          </w:tcPr>
          <w:p>
            <w:pPr>
              <w:jc w:val="right"/>
              <w:ind w:right="879"/>
              <w:spacing w:after="0" w:line="183" w:lineRule="exact"/>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line="183" w:lineRule="exact"/>
              <w:rPr>
                <w:sz w:val="20"/>
                <w:szCs w:val="20"/>
                <w:color w:val="auto"/>
              </w:rPr>
            </w:pPr>
            <w:r>
              <w:rPr>
                <w:rFonts w:ascii="Arial" w:cs="Arial" w:eastAsia="Arial" w:hAnsi="Arial"/>
                <w:sz w:val="16"/>
                <w:szCs w:val="16"/>
                <w:color w:val="auto"/>
              </w:rPr>
              <w:t>(18.4)</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(304.7)</w:t>
            </w:r>
          </w:p>
        </w:tc>
      </w:tr>
      <w:tr>
        <w:trPr>
          <w:trHeight w:val="20"/>
        </w:trPr>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-153670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40" w:firstLine="509"/>
        <w:spacing w:after="0" w:line="271" w:lineRule="auto"/>
        <w:rPr>
          <w:sz w:val="20"/>
          <w:szCs w:val="20"/>
          <w:color w:val="auto"/>
        </w:rPr>
      </w:pPr>
      <w:r>
        <w:rPr>
          <w:rFonts w:ascii="Arial" w:cs="Arial" w:eastAsia="Arial" w:hAnsi="Arial"/>
          <w:sz w:val="18"/>
          <w:szCs w:val="18"/>
          <w:color w:val="auto"/>
        </w:rPr>
        <w:t>Net cash used in operating activities consists of net income (loss) adjusted for certain non-cash items and changes in operating assets and liabilities.</w:t>
      </w:r>
    </w:p>
    <w:p>
      <w:pPr>
        <w:spacing w:after="0" w:line="11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Net cash used in operating activities was $15.8 million for the three months ended March 31, 2026, compared to $ 80.8 million for the three months ended March 31, 2025, representing a $64.9 million decrease in net cash used in operating activities. This variance was primarily attributable to a $45.8 million favorable change in our operating assets and liabilities, net of acquisitions, and a $19.2 million increase in net income adjusted for non-cash expenses.</w:t>
      </w:r>
    </w:p>
    <w:p>
      <w:pPr>
        <w:spacing w:after="0" w:line="14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For the three months ended March 31, 2026, net cash used for changes in operating assets and liabilities was $50.7 million, compared to $96.5 million for the three months ended March 31, 2025, resulting in a $45.8 million net change in operating assets and liabilities. This variance was primarily driven by a favorable variance in funds receivable from payment partners of $37.2 million, as a result of the timing of collections from our partners in the applicable period. The timing of collections from our partners will vary from period to period based on when our clients’ customer payment for a particular transaction is made, as well as the customer’s payment method which impacts the timing of settlement of the payment.</w:t>
      </w:r>
    </w:p>
    <w:p>
      <w:pPr>
        <w:spacing w:after="0" w:line="13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This net decrease in cash used in operating activities was also impacted by our operating cash flows from our net income (after adjustments for an increase in non-cash expenses of $2.5 million) which increased by $19.2 million for the three months ended March 31, 2026, compared to the prior period. This variance was primarily impacted by the increase in income from operations reflecting the growth in transaction payment volumes, from both our existing clients and new clients, net of the increase in payment processing costs, and gains in foreign currency remeasurement of foreign currency.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3"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Net cash provided by investing activities was $7.7 million for the three months ended March 31, 2026, compared to net cash used in investing activities of $ 237.4 million during the three months ended March 31, 2025. The $245.1 million increase in cash flow from investing activities was primarily attributable to a $319.8 million decrease in cash paid for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5" w:name="page46"/>
    <w:bookmarkEnd w:id="45"/>
    <w:p>
      <w:pPr>
        <w:ind w:right="660"/>
        <w:spacing w:after="0" w:line="271" w:lineRule="auto"/>
        <w:rPr>
          <w:sz w:val="20"/>
          <w:szCs w:val="20"/>
          <w:color w:val="auto"/>
        </w:rPr>
      </w:pPr>
      <w:r>
        <w:rPr>
          <w:rFonts w:ascii="Arial" w:cs="Arial" w:eastAsia="Arial" w:hAnsi="Arial"/>
          <w:sz w:val="18"/>
          <w:szCs w:val="18"/>
          <w:color w:val="auto"/>
        </w:rPr>
        <w:t>acquisition of Sertifi, partially offset by a $87.4 million reduction in proceeds from the maturity and sale of investments to facilitate our acquisition of Sertifi during the three months ended March 31,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Net cash used in financing activities was $12.6 million for the three months ended March 31, 2026, compared to net cash provided by financing activities of $11.6 million during the three months ended March 31, 2025. This $24.2 million change was primarily due to a $125.0 million decrease in proceeds from the borrowings under our 2024 Amended Revolving Credit Facility. This decrease in cash inflow was partially offset by a $65.0 million reduction in repayments on our 2024 Amended Revolving Credit Facility and $39.3 million decrease in cash used for common stock repurchases compared to the prior period.</w:t>
      </w:r>
    </w:p>
    <w:p>
      <w:pPr>
        <w:spacing w:after="0" w:line="136"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As of March 31, 2026 and December 31, 2025, there was no outstanding indebtedness under the 2024 Amended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0"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treasury bill, foreign agency securities, commercial paper, agency bond and asset-backed debt securities. An immediate 10% increase or decrease in interest rates would not have a material effect on our financial position, results of operations or cash flows.</w:t>
      </w:r>
    </w:p>
    <w:p>
      <w:pPr>
        <w:spacing w:after="0" w:line="15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We are also exposed to interest rate risk related to our 2024 Amended Revolving Credit Facility. Our 2024 Amended Revolving Credit Facility consists of ABR borrowings or Term SOFR borrowings, at our option.</w:t>
      </w:r>
    </w:p>
    <w:p>
      <w:pPr>
        <w:spacing w:after="0" w:line="11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46" w:name="page47"/>
    <w:bookmarkEnd w:id="46"/>
    <w:p>
      <w:pPr>
        <w:ind w:right="180"/>
        <w:spacing w:after="0" w:line="253" w:lineRule="auto"/>
        <w:rPr>
          <w:sz w:val="20"/>
          <w:szCs w:val="20"/>
          <w:color w:val="auto"/>
        </w:rPr>
      </w:pPr>
      <w:r>
        <w:rPr>
          <w:rFonts w:ascii="Arial" w:cs="Arial" w:eastAsia="Arial" w:hAnsi="Arial"/>
          <w:sz w:val="18"/>
          <w:szCs w:val="18"/>
          <w:color w:val="auto"/>
        </w:rPr>
        <w:t>recent consolidated financial information and ranges from 1.0% to 2.5%. The 2024 Amended Revolving Credit Facility incurs a commitment fee ranging from 0.25% to 0.35% based upon our consolidated total net leverage ratio as of the most recent consolidated financial information assessed on the average available commitment.</w:t>
      </w:r>
    </w:p>
    <w:p>
      <w:pPr>
        <w:spacing w:after="0" w:line="142"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As of March 31, 2026 and December 31, 2025, there was no outstanding indebtedness under the 2024 Amended Revolving Credit Facility. An immediate 10% increase or decrease in interest rates would not have a material effect on our financial position, results of operations or cash flows.</w:t>
      </w:r>
    </w:p>
    <w:p>
      <w:pPr>
        <w:spacing w:after="0" w:line="128"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Information provided by the sensitivity analysis is not a prediction of future events and does not necessarily represent the actual changes that would occur.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help mitigate the volatility related to fluctuations in the foreign exchange rates. In addition, to mitigate the impact of foreign currency fluctuations on our net income (loss), beginning in July 2025, we entered into foreign currency forward contracts to economically hedge the variability in exchange rates associated with certain intercompany loans.</w:t>
      </w:r>
    </w:p>
    <w:p>
      <w:pPr>
        <w:spacing w:after="0" w:line="14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weakened against several currencies, including the British Pound, relative to the prior year, these foreign exchange impacts increased our reported revenue in U.S. Dollars by approximately $7.4 million compared to the prior year on a FX Neutral basis.</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(loss) income in our consolidated balance sheets. Gains and losses from the remeasurement of foreign currencies into functional currencies are recognized in the condensed consolidated statements of operations and comprehensive income. A potential change in foreign exchange rates of 10% from such remeasurement would have impacted income (loss) before income taxes by approximately $23.6 million and $25.3 million as of March 31, 2026 and December 31, 2025,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71"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months ended March 31, 2026. If our costs were to become subject to significant inflationary pressures, we may not be able to fully offset such higher costs through increase in prices of our product offerings.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March 31, 2026.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March 31, 2026,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March 31, 2026 that has materially affected, or is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4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the course of enhancing our sanctions compliance function, we initiated an internal review that identified issues related to our compliance with sanctions, including payments that may have originated from sanctioned jurisdictions or sanctioned persons. Although Flywire continues to evaluate whether these or other transactions constitute potential violations of OFAC sanctions (including whether certain of these payments may have been authorized by general licenses or license exemptions under the relevant sanctions regulations), Flywire has made voluntary submissions to OFAC to report apparent violations and provide supplemental information.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spacing w:after="0" w:line="14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July 25, 2025, we and certain of our current and former officers were named as defendants in a securities class action complaint captioned Hickman v. Flywire Corporation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our business. The lawsuit seeks unspecified damages, costs, attorneys’ fees, and other relief. We believe we have strong defenses against the asserted claims and intend to vigorously defend ourselves.</w:t>
      </w:r>
    </w:p>
    <w:p>
      <w:pPr>
        <w:spacing w:after="0" w:line="15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1"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02" w:lineRule="exact"/>
        <w:rPr>
          <w:sz w:val="20"/>
          <w:szCs w:val="20"/>
          <w:color w:val="auto"/>
        </w:rPr>
      </w:pPr>
    </w:p>
    <w:p>
      <w:pPr>
        <w:ind w:left="5520" w:right="3260" w:hanging="5362"/>
        <w:spacing w:after="0" w:line="286" w:lineRule="auto"/>
        <w:tabs>
          <w:tab w:leader="none" w:pos="453"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operating losses and may not achieve or sustain profitability in the future.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16" w:lineRule="exact"/>
        <w:rPr>
          <w:rFonts w:ascii="Times New Roman" w:cs="Times New Roman" w:eastAsia="Times New Roman" w:hAnsi="Times New Roman"/>
          <w:sz w:val="18"/>
          <w:szCs w:val="18"/>
          <w:color w:val="auto"/>
        </w:rPr>
      </w:pPr>
    </w:p>
    <w:p>
      <w:pPr>
        <w:ind w:left="460" w:right="460" w:hanging="302"/>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quarterly and annual fluctuations in operating results.</w:t>
      </w:r>
    </w:p>
    <w:p>
      <w:pPr>
        <w:spacing w:after="0" w:line="116" w:lineRule="exact"/>
        <w:rPr>
          <w:rFonts w:ascii="Times New Roman" w:cs="Times New Roman" w:eastAsia="Times New Roman" w:hAnsi="Times New Roman"/>
          <w:sz w:val="18"/>
          <w:szCs w:val="18"/>
          <w:color w:val="auto"/>
        </w:rPr>
      </w:pPr>
    </w:p>
    <w:p>
      <w:pPr>
        <w:ind w:left="460" w:right="660" w:hanging="302"/>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undertook restructuring activities that may not yield their intended efficiencies and could strain resources, negatively impact workforce morale, and slow down execution of our strategic plans.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operational and business portfolio reviews may not result in improvements to our financial performance, strategy, or operations.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16" w:lineRule="exact"/>
        <w:rPr>
          <w:rFonts w:ascii="Times New Roman" w:cs="Times New Roman" w:eastAsia="Times New Roman" w:hAnsi="Times New Roman"/>
          <w:sz w:val="18"/>
          <w:szCs w:val="18"/>
          <w:color w:val="auto"/>
        </w:rPr>
      </w:pPr>
    </w:p>
    <w:p>
      <w:pPr>
        <w:ind w:left="460" w:right="560" w:hanging="302"/>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If our efforts to attract new clients and increase the number of our clients’ customers that use our solutions are unsuccessful, our revenue growth and operating results will be adversely affected.</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16" w:lineRule="exact"/>
        <w:rPr>
          <w:rFonts w:ascii="Times New Roman" w:cs="Times New Roman" w:eastAsia="Times New Roman" w:hAnsi="Times New Roman"/>
          <w:sz w:val="18"/>
          <w:szCs w:val="18"/>
          <w:color w:val="auto"/>
        </w:rPr>
      </w:pPr>
    </w:p>
    <w:p>
      <w:pPr>
        <w:ind w:left="460" w:right="60" w:hanging="302"/>
        <w:spacing w:after="0" w:line="252"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 or our ability to meet service levels to allow for timely payment processing due to system downtime or other factors.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16" w:lineRule="exact"/>
        <w:rPr>
          <w:rFonts w:ascii="Times New Roman" w:cs="Times New Roman" w:eastAsia="Times New Roman" w:hAnsi="Times New Roman"/>
          <w:sz w:val="18"/>
          <w:szCs w:val="18"/>
          <w:color w:val="auto"/>
        </w:rPr>
      </w:pPr>
    </w:p>
    <w:p>
      <w:pPr>
        <w:ind w:left="460" w:right="40" w:hanging="302"/>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16" w:lineRule="exact"/>
        <w:rPr>
          <w:rFonts w:ascii="Times New Roman" w:cs="Times New Roman" w:eastAsia="Times New Roman" w:hAnsi="Times New Roman"/>
          <w:sz w:val="18"/>
          <w:szCs w:val="18"/>
          <w:color w:val="auto"/>
        </w:rPr>
      </w:pPr>
    </w:p>
    <w:p>
      <w:pPr>
        <w:ind w:left="460" w:right="320" w:hanging="302"/>
        <w:spacing w:after="0" w:line="270"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third-parties.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markets are highly competitive.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16" w:lineRule="exact"/>
        <w:rPr>
          <w:rFonts w:ascii="Times New Roman" w:cs="Times New Roman" w:eastAsia="Times New Roman" w:hAnsi="Times New Roman"/>
          <w:sz w:val="18"/>
          <w:szCs w:val="18"/>
          <w:color w:val="auto"/>
        </w:rPr>
      </w:pPr>
    </w:p>
    <w:p>
      <w:pPr>
        <w:jc w:val="both"/>
        <w:ind w:left="460" w:right="240" w:hanging="302"/>
        <w:spacing w:after="0" w:line="252" w:lineRule="auto"/>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education business may be adversely affected by decreases in enrollment or tuition, cutbacks in governmental financial support, limitations or other restrictions on student visas to international students, actual and proposed U.S. policy changes and enforcement practices, or increased operating expenses for our clients.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healthcare industry is rapidly evolving.</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enter or expand into new verticals or sub-verticals, including our B2B vertical.</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There could be consolidation in the payment processing or enablement industry.</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adversely impacted by global economic and political instability.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02" w:lineRule="exact"/>
        <w:rPr>
          <w:sz w:val="20"/>
          <w:szCs w:val="20"/>
          <w:color w:val="auto"/>
        </w:rPr>
      </w:pPr>
    </w:p>
    <w:p>
      <w:pPr>
        <w:ind w:left="460" w:hanging="302"/>
        <w:spacing w:after="0"/>
        <w:tabs>
          <w:tab w:leader="none" w:pos="4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16" w:lineRule="exact"/>
        <w:rPr>
          <w:rFonts w:ascii="Times New Roman" w:cs="Times New Roman" w:eastAsia="Times New Roman" w:hAnsi="Times New Roman"/>
          <w:sz w:val="18"/>
          <w:szCs w:val="18"/>
          <w:color w:val="auto"/>
        </w:rPr>
      </w:pPr>
    </w:p>
    <w:p>
      <w:pPr>
        <w:ind w:left="460" w:hanging="302"/>
        <w:spacing w:after="0" w:line="270" w:lineRule="auto"/>
        <w:tabs>
          <w:tab w:leader="none" w:pos="4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46" w:lineRule="exact"/>
        <w:rPr>
          <w:rFonts w:ascii="Times New Roman" w:cs="Times New Roman" w:eastAsia="Times New Roman" w:hAnsi="Times New Roman"/>
          <w:sz w:val="18"/>
          <w:szCs w:val="18"/>
          <w:color w:val="auto"/>
        </w:rPr>
      </w:pPr>
    </w:p>
    <w:p>
      <w:pPr>
        <w:ind w:left="460" w:right="140" w:hanging="302"/>
        <w:spacing w:after="0" w:line="270" w:lineRule="auto"/>
        <w:tabs>
          <w:tab w:leader="none" w:pos="4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46" w:lineRule="exact"/>
        <w:rPr>
          <w:rFonts w:ascii="Times New Roman" w:cs="Times New Roman" w:eastAsia="Times New Roman" w:hAnsi="Times New Roman"/>
          <w:sz w:val="18"/>
          <w:szCs w:val="18"/>
          <w:color w:val="auto"/>
        </w:rPr>
      </w:pPr>
    </w:p>
    <w:p>
      <w:pPr>
        <w:ind w:left="460" w:right="160" w:hanging="302"/>
        <w:spacing w:after="0" w:line="244" w:lineRule="auto"/>
        <w:tabs>
          <w:tab w:leader="none" w:pos="4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maintain or expand our ability to offer a variety of local and international payment methods or grow and develop preferred payment choices.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0" w:name="page51"/>
    <w:bookmarkEnd w:id="50"/>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cyberattacks or security vulnerabilities.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risk management efforts may not be effective to prevent fraudulent activities by our clients, FlyMates or other third parties.</w:t>
      </w:r>
    </w:p>
    <w:p>
      <w:pPr>
        <w:spacing w:after="0" w:line="116" w:lineRule="exact"/>
        <w:rPr>
          <w:rFonts w:ascii="Times New Roman" w:cs="Times New Roman" w:eastAsia="Times New Roman" w:hAnsi="Times New Roman"/>
          <w:sz w:val="18"/>
          <w:szCs w:val="18"/>
          <w:color w:val="auto"/>
        </w:rPr>
      </w:pPr>
    </w:p>
    <w:p>
      <w:pPr>
        <w:ind w:left="460" w:right="280" w:hanging="302"/>
        <w:spacing w:after="0" w:line="270" w:lineRule="auto"/>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46" w:lineRule="exact"/>
        <w:rPr>
          <w:rFonts w:ascii="Times New Roman" w:cs="Times New Roman" w:eastAsia="Times New Roman" w:hAnsi="Times New Roman"/>
          <w:sz w:val="18"/>
          <w:szCs w:val="18"/>
          <w:color w:val="auto"/>
        </w:rPr>
      </w:pPr>
    </w:p>
    <w:p>
      <w:pPr>
        <w:ind w:left="460" w:right="680" w:hanging="302"/>
        <w:spacing w:after="0" w:line="270" w:lineRule="auto"/>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use of artificial intelligence (AI) may result in operational challenges, legal liability, reputational harm, competitive risks and enhanced regulatory and fraud concerns.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payment card networks fees or rules could harm our business.</w:t>
      </w:r>
    </w:p>
    <w:p>
      <w:pPr>
        <w:spacing w:after="0" w:line="116" w:lineRule="exact"/>
        <w:rPr>
          <w:rFonts w:ascii="Times New Roman" w:cs="Times New Roman" w:eastAsia="Times New Roman" w:hAnsi="Times New Roman"/>
          <w:sz w:val="18"/>
          <w:szCs w:val="18"/>
          <w:color w:val="auto"/>
        </w:rPr>
      </w:pPr>
    </w:p>
    <w:p>
      <w:pPr>
        <w:ind w:left="460" w:right="20" w:hanging="302"/>
        <w:spacing w:after="0" w:line="270" w:lineRule="auto"/>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could be harmed as a result of the risks associated with our acquisitions.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Systems failures and resulting interruptions in the availability of our solutions and core payment platform could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02" w:lineRule="exact"/>
        <w:rPr>
          <w:sz w:val="20"/>
          <w:szCs w:val="20"/>
          <w:color w:val="auto"/>
        </w:rPr>
      </w:pPr>
    </w:p>
    <w:p>
      <w:pPr>
        <w:ind w:left="460" w:hanging="302"/>
        <w:spacing w:after="0"/>
        <w:tabs>
          <w:tab w:leader="none" w:pos="4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16" w:lineRule="exact"/>
        <w:rPr>
          <w:rFonts w:ascii="Times New Roman" w:cs="Times New Roman" w:eastAsia="Times New Roman" w:hAnsi="Times New Roman"/>
          <w:sz w:val="18"/>
          <w:szCs w:val="18"/>
          <w:color w:val="auto"/>
        </w:rPr>
      </w:pPr>
    </w:p>
    <w:p>
      <w:pPr>
        <w:ind w:left="460" w:right="120" w:hanging="302"/>
        <w:spacing w:after="0" w:line="270" w:lineRule="auto"/>
        <w:tabs>
          <w:tab w:leader="none" w:pos="4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laws and requirements regarding economic and trade sanctions, AML, CFT and those applicable to a MSB.</w:t>
      </w:r>
    </w:p>
    <w:p>
      <w:pPr>
        <w:spacing w:after="0" w:line="46" w:lineRule="exact"/>
        <w:rPr>
          <w:rFonts w:ascii="Times New Roman" w:cs="Times New Roman" w:eastAsia="Times New Roman" w:hAnsi="Times New Roman"/>
          <w:sz w:val="18"/>
          <w:szCs w:val="18"/>
          <w:color w:val="auto"/>
        </w:rPr>
      </w:pPr>
    </w:p>
    <w:p>
      <w:pPr>
        <w:ind w:left="460" w:right="60" w:hanging="302"/>
        <w:spacing w:after="0" w:line="270" w:lineRule="auto"/>
        <w:tabs>
          <w:tab w:leader="none" w:pos="4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02" w:lineRule="exact"/>
        <w:rPr>
          <w:sz w:val="20"/>
          <w:szCs w:val="20"/>
          <w:color w:val="auto"/>
        </w:rPr>
      </w:pPr>
    </w:p>
    <w:p>
      <w:pPr>
        <w:ind w:left="460" w:hanging="302"/>
        <w:spacing w:after="0"/>
        <w:tabs>
          <w:tab w:leader="none" w:pos="4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may fail to continue to maintain proper effective internal control over financial reporting.</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incur increased costs as a public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02" w:lineRule="exact"/>
        <w:rPr>
          <w:sz w:val="20"/>
          <w:szCs w:val="20"/>
          <w:color w:val="auto"/>
        </w:rPr>
      </w:pPr>
    </w:p>
    <w:p>
      <w:pPr>
        <w:ind w:left="460" w:right="20" w:hanging="302"/>
        <w:spacing w:after="0" w:line="270" w:lineRule="auto"/>
        <w:tabs>
          <w:tab w:leader="none" w:pos="4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Repurchase Program may not achieve our goals or meet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6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were incorporated in 2009 and although we have only generated net income for the years ended December 31, 2024 and 2025, we have incurred net losses in the past, and may incur net losses in the future. We generated net income of $13.5 million and $2.9 million for the years ended December 31, 2025 and 2024, and generated net loss of $8.6 million for the year ended December 31, 2023, respectively, and net income of $12.5 million during the three months ended March 31, 2026 and a net loss of $4.2 million for the three months ended March 31, 2025. In addition, as of March 31, 2026, we had an accumulated deficit of $144.9 million. We have experienced significant revenue growth in recent periods and we are not certain whether or when we will obtain a high enough volume of revenue to sustain or increase our growth or maintain profitability in the future. We also expect our costs and expenses to increase in future periods, which could negatively affect our future operating results if our revenue does not increase. In particular, we intend to continue to strategically and selectively invest in headcount, to further develop our solutions, including introducing new functionality, and to expand our marketing programs and sales teams to drive new client adoption, expand strategic partner integrations, and support international and product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1" w:name="page52"/>
    <w:bookmarkEnd w:id="51"/>
    <w:p>
      <w:pPr>
        <w:ind w:right="20"/>
        <w:spacing w:after="0" w:line="239" w:lineRule="auto"/>
        <w:rPr>
          <w:sz w:val="20"/>
          <w:szCs w:val="20"/>
          <w:color w:val="auto"/>
        </w:rPr>
      </w:pPr>
      <w:r>
        <w:rPr>
          <w:rFonts w:ascii="Arial" w:cs="Arial" w:eastAsia="Arial" w:hAnsi="Arial"/>
          <w:sz w:val="18"/>
          <w:szCs w:val="18"/>
          <w:color w:val="auto"/>
        </w:rPr>
        <w:t>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sustain profitability, the value of our business and common stock may significantly decrease.</w:t>
      </w:r>
    </w:p>
    <w:p>
      <w:pPr>
        <w:spacing w:after="0" w:line="15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maintain profitability. Our financial results from any prior quarterly or annual periods should not be relied upon as an indication of our future revenue or growth in revenue, gross profit, gross margins, volume of payments processed, or other operating results.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04" w:lineRule="exact"/>
        <w:rPr>
          <w:sz w:val="20"/>
          <w:szCs w:val="20"/>
          <w:color w:val="auto"/>
        </w:rPr>
      </w:pPr>
    </w:p>
    <w:p>
      <w:pPr>
        <w:ind w:left="460" w:hanging="302"/>
        <w:spacing w:after="0" w:line="270" w:lineRule="auto"/>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infrastructure, including systems architecture, scalability, leveraging AI, availability, performance, and security;</w:t>
      </w:r>
    </w:p>
    <w:p>
      <w:pPr>
        <w:spacing w:after="0" w:line="116" w:lineRule="exact"/>
        <w:rPr>
          <w:rFonts w:ascii="Times New Roman" w:cs="Times New Roman" w:eastAsia="Times New Roman" w:hAnsi="Times New Roman"/>
          <w:sz w:val="18"/>
          <w:szCs w:val="18"/>
          <w:color w:val="auto"/>
        </w:rPr>
      </w:pPr>
    </w:p>
    <w:p>
      <w:pPr>
        <w:ind w:left="460" w:right="300" w:hanging="302"/>
        <w:spacing w:after="0" w:line="270" w:lineRule="auto"/>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expanding into more international markets;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retaining existing clients, attracting new clients and increasing the number of our clients’ customers that use our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acquisitions or strategic investments;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compliance and risk management;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increase in our costs, our business, financial position and operating results will be harmed, and we may not be able to achieve or maintain profitability over the long term.</w:t>
      </w:r>
    </w:p>
    <w:p>
      <w:pPr>
        <w:spacing w:after="0" w:line="144"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and significantly evolving industry and, as a result, our past results may not be indicative of future operating performance.</w:t>
      </w:r>
    </w:p>
    <w:p>
      <w:pPr>
        <w:spacing w:after="0" w:line="99"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04" w:lineRule="exact"/>
        <w:rPr>
          <w:sz w:val="20"/>
          <w:szCs w:val="20"/>
          <w:color w:val="auto"/>
        </w:rPr>
      </w:pPr>
    </w:p>
    <w:p>
      <w:pPr>
        <w:ind w:left="460" w:right="40" w:hanging="302"/>
        <w:spacing w:after="0" w:line="270" w:lineRule="auto"/>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cost-effectively acquire new clients, retain existing clients, increase the number of our clients’ customers that use our solutions and sell additional functionality to our clients;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maintain and increase our market share;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avoid pricing pressure on our solutions which would compress our margins;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market our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existing solutions and develop new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increase awareness of our brand and maintain our reputation;</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6" w:right="379" w:bottom="1440" w:gutter="0" w:footer="0" w:header="0"/>
        </w:sectPr>
      </w:pPr>
    </w:p>
    <w:bookmarkStart w:id="52" w:name="page53"/>
    <w:bookmarkEnd w:id="52"/>
    <w:p>
      <w:pPr>
        <w:ind w:left="460" w:right="4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develop new technologies, adapt to technology changes and evolving industry standards and to incorporate new technologies, such as artificial intelligence, into our solutions;</w:t>
      </w:r>
    </w:p>
    <w:p>
      <w:pPr>
        <w:spacing w:after="0" w:line="46" w:lineRule="exact"/>
        <w:rPr>
          <w:rFonts w:ascii="Times New Roman" w:cs="Times New Roman" w:eastAsia="Times New Roman" w:hAnsi="Times New Roman"/>
          <w:sz w:val="18"/>
          <w:szCs w:val="18"/>
          <w:color w:val="auto"/>
        </w:rPr>
      </w:pPr>
    </w:p>
    <w:p>
      <w:pPr>
        <w:ind w:left="460" w:right="44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offer seamless experience for our clients and their customers, including all user facing attributes ranging from the user interface to client and customer support;</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comprehensive, company-wide digital operational and systems transformation program;</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respond to microeconomic and macroeconomic changes;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exit certain markets, or our inability to process payments from certain jurisdictions we had previously served;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compete effectively;</w:t>
      </w:r>
    </w:p>
    <w:p>
      <w:pPr>
        <w:spacing w:after="0" w:line="116" w:lineRule="exact"/>
        <w:rPr>
          <w:rFonts w:ascii="Times New Roman" w:cs="Times New Roman" w:eastAsia="Times New Roman" w:hAnsi="Times New Roman"/>
          <w:sz w:val="18"/>
          <w:szCs w:val="18"/>
          <w:color w:val="auto"/>
        </w:rPr>
      </w:pPr>
    </w:p>
    <w:p>
      <w:pPr>
        <w:ind w:left="460" w:right="62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avoid interruptions in our business from information technology (IT) downtime, an inability to manage emerging technology risks (including those posed by generative AI or other tools), cybersecurity breaches, or labor stoppages;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growth;</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identify and manage risks, including foreign currency exchange risk;</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hire, integrate, and retain talented people at all levels of our organization;</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maintain the quality of our technology infrastructure;</w:t>
      </w:r>
    </w:p>
    <w:p>
      <w:pPr>
        <w:spacing w:after="0" w:line="116" w:lineRule="exact"/>
        <w:rPr>
          <w:rFonts w:ascii="Times New Roman" w:cs="Times New Roman" w:eastAsia="Times New Roman" w:hAnsi="Times New Roman"/>
          <w:sz w:val="18"/>
          <w:szCs w:val="18"/>
          <w:color w:val="auto"/>
        </w:rPr>
      </w:pPr>
    </w:p>
    <w:p>
      <w:pPr>
        <w:ind w:left="460" w:right="52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sustainability and other social matters;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w:t>
      </w:r>
    </w:p>
    <w:p>
      <w:pPr>
        <w:spacing w:after="0" w:line="116" w:lineRule="exact"/>
        <w:rPr>
          <w:rFonts w:ascii="Times New Roman" w:cs="Times New Roman" w:eastAsia="Times New Roman" w:hAnsi="Times New Roman"/>
          <w:sz w:val="18"/>
          <w:szCs w:val="18"/>
          <w:color w:val="auto"/>
        </w:rPr>
      </w:pPr>
    </w:p>
    <w:p>
      <w:pPr>
        <w:ind w:left="460" w:right="6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46" w:lineRule="exact"/>
        <w:rPr>
          <w:rFonts w:ascii="Times New Roman" w:cs="Times New Roman" w:eastAsia="Times New Roman" w:hAnsi="Times New Roman"/>
          <w:sz w:val="18"/>
          <w:szCs w:val="18"/>
          <w:color w:val="auto"/>
        </w:rPr>
      </w:pPr>
    </w:p>
    <w:p>
      <w:pPr>
        <w:ind w:left="460" w:right="80" w:hanging="302"/>
        <w:spacing w:after="0" w:line="270" w:lineRule="auto"/>
        <w:tabs>
          <w:tab w:leader="none" w:pos="4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1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9"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3" w:name="page54"/>
    <w:bookmarkEnd w:id="53"/>
    <w:p>
      <w:pPr>
        <w:jc w:val="both"/>
        <w:ind w:right="180"/>
        <w:spacing w:after="0" w:line="253" w:lineRule="auto"/>
        <w:rPr>
          <w:sz w:val="20"/>
          <w:szCs w:val="20"/>
          <w:color w:val="auto"/>
        </w:rPr>
      </w:pPr>
      <w:r>
        <w:rPr>
          <w:rFonts w:ascii="Arial" w:cs="Arial" w:eastAsia="Arial" w:hAnsi="Arial"/>
          <w:sz w:val="18"/>
          <w:szCs w:val="18"/>
          <w:color w:val="auto"/>
        </w:rPr>
        <w:t>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 and other operating results.</w:t>
      </w:r>
    </w:p>
    <w:p>
      <w:pPr>
        <w:spacing w:after="0" w:line="14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b w:val="1"/>
          <w:bCs w:val="1"/>
          <w:i w:val="1"/>
          <w:iCs w:val="1"/>
          <w:color w:val="auto"/>
        </w:rPr>
        <w:t>We may experience quarterly and annual fluctuations in our operating results, as well as our key metrics, due to a number of factors which make our future results difficult to predict and could cause our operating results to fall below expectations or our guidance.</w:t>
      </w:r>
    </w:p>
    <w:p>
      <w:pPr>
        <w:spacing w:after="0" w:line="13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p>
    <w:p>
      <w:pPr>
        <w:spacing w:after="0" w:line="133"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and annual operating results, business and financial condition include the following:</w:t>
      </w:r>
    </w:p>
    <w:p>
      <w:pPr>
        <w:spacing w:after="0" w:line="61" w:lineRule="exact"/>
        <w:rPr>
          <w:sz w:val="20"/>
          <w:szCs w:val="20"/>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timing of tuition payments;</w:t>
      </w:r>
    </w:p>
    <w:p>
      <w:pPr>
        <w:spacing w:after="0" w:line="116" w:lineRule="exact"/>
        <w:rPr>
          <w:rFonts w:ascii="Times New Roman" w:cs="Times New Roman" w:eastAsia="Times New Roman" w:hAnsi="Times New Roman"/>
          <w:sz w:val="18"/>
          <w:szCs w:val="18"/>
          <w:color w:val="auto"/>
        </w:rPr>
      </w:pPr>
    </w:p>
    <w:p>
      <w:pPr>
        <w:ind w:left="460" w:right="460" w:hanging="302"/>
        <w:spacing w:after="0" w:line="270" w:lineRule="auto"/>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government restrictions or related suspensions, limitations or delays on the issuances of visas, such as those being implemented in the U.K., Canada, Australia, and the U.S.;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acceptance of our current and future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revenue mix in a particular quarter;</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a slowdown or delay in spending on IT and software by our current and/or prospective clients;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sales cycles and performance of our direct and indirect sales force;</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budgeting and implementation cycles of our current or potential clients;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renewals of contracts with our clients;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markets;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control and predict costs, including our operating expenses;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4" w:name="page55"/>
    <w:bookmarkEnd w:id="54"/>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seasonality and cyclical nature of our business;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manage or integrate any acquisitions, including our most recent acquisition of Sertifi;</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or publicity surrounding any pending or threatened lawsuits or government investigations;</w:t>
      </w:r>
    </w:p>
    <w:p>
      <w:pPr>
        <w:spacing w:after="0" w:line="116" w:lineRule="exact"/>
        <w:rPr>
          <w:rFonts w:ascii="Times New Roman" w:cs="Times New Roman" w:eastAsia="Times New Roman" w:hAnsi="Times New Roman"/>
          <w:sz w:val="18"/>
          <w:szCs w:val="18"/>
          <w:color w:val="auto"/>
        </w:rPr>
      </w:pPr>
    </w:p>
    <w:p>
      <w:pPr>
        <w:ind w:left="460" w:right="220" w:hanging="302"/>
        <w:spacing w:after="0" w:line="252" w:lineRule="auto"/>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and political conditions in our domestic and international markets, including heightened interest rates, imposition of tariffs, inflation and fluctuations in supply chains, regional or global economic recession, and restrictions on cross-border travel or commerce;</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 of scrutiny applied by regulators, clients, and investors on our social impact efforts;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events, including those resulting from climate change, international or civil conflicts and wars, or other geopolitical events;</w:t>
      </w:r>
    </w:p>
    <w:p>
      <w:pPr>
        <w:spacing w:after="0" w:line="116" w:lineRule="exact"/>
        <w:rPr>
          <w:rFonts w:ascii="Times New Roman" w:cs="Times New Roman" w:eastAsia="Times New Roman" w:hAnsi="Times New Roman"/>
          <w:sz w:val="18"/>
          <w:szCs w:val="18"/>
          <w:color w:val="auto"/>
        </w:rPr>
      </w:pPr>
    </w:p>
    <w:p>
      <w:pPr>
        <w:ind w:left="460" w:hanging="302"/>
        <w:spacing w:after="0" w:line="252" w:lineRule="auto"/>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U.S. federal government shutdowns, priorities of the U.S. presidential administration and related changes in laws, regulations or policies, which among other things could result in increased limitations on visa issuances, geopolitical uncertainty and impact educational financial aid payments; and</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18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3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undertook restructuring activities that may not yield their intended efficiencies and could strain resources, negatively impact workforce morale, and slow down execution of our strategic plans.</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February 2025, we announced a restructuring plan designed to improve operational efficiencies, reduce operating costs and better align our workforce with current business needs, top strategic priorities and key growth opportunities (Restructuring Plan). As part of the Restructuring Plan, we implemented a reduction in force. These actions and other additional measures we might take to reduce costs may potentially result in a strain our workforce, divert management attention, yield attrition beyond our intended reduction in force, negatively impact employee morale and productivity, the loss of institutional knowledge and expertise, cause us to delay, limit, reduce or eliminate certain strategic plans or otherwise interfere with our ability to operate and grow our business effectively, each of which could have an adverse impact on our business, operating results and financial condition. Additionally, as we are operating our business with a different level and mix of employees, we face additional risk that we might not be able to execute on our strategic plans and product roadmap, which may have an adverse effect on our business, financial condition, and operating results. Moreover, the workforce reduction we implemented, and any other future reductions, may negatively impact our ability to attract, integrate, retain and motivate highly qualified employees, make it difficult for us to pursue new opportunities and initiatives, and may harm our reputation with current or prospective employees.</w:t>
      </w:r>
    </w:p>
    <w:p>
      <w:pPr>
        <w:spacing w:after="0" w:line="161" w:lineRule="exact"/>
        <w:rPr>
          <w:sz w:val="20"/>
          <w:szCs w:val="20"/>
          <w:color w:val="auto"/>
        </w:rPr>
      </w:pPr>
    </w:p>
    <w:p>
      <w:pPr>
        <w:ind w:right="880"/>
        <w:spacing w:after="0" w:line="278" w:lineRule="auto"/>
        <w:rPr>
          <w:sz w:val="20"/>
          <w:szCs w:val="20"/>
          <w:color w:val="auto"/>
        </w:rPr>
      </w:pPr>
      <w:r>
        <w:rPr>
          <w:rFonts w:ascii="Arial" w:cs="Arial" w:eastAsia="Arial" w:hAnsi="Arial"/>
          <w:sz w:val="18"/>
          <w:szCs w:val="18"/>
          <w:b w:val="1"/>
          <w:bCs w:val="1"/>
          <w:i w:val="1"/>
          <w:iCs w:val="1"/>
          <w:color w:val="auto"/>
        </w:rPr>
        <w:t>Our operational and business portfolio reviews may not result in improvements to our financial performance, strategy, or operations, and we face a number of risks related to such reviews.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operational and business portfolio reviews are ongoing, and are expected to encompass geographies, products, verticals, and cost structure, and explore various options and an operational cost-saving review to identify efficiencies and synergies across all of our business areas, including opportunities to combine and optimize systems and processes. Implementation of a go forward plan and any other cost-saving initiatives, including possible future restructuring efforts, may be costly and disruptive to our business, the expected costs and charges may be greater than forecasted, and the estimated cost savings may be lower than forecasted. We may not achieve the desired strategic, operational, and financial benefits of any actions previously taken, or taken in the future, as a result of our operational and business portfolio reviews. Further, we may not be able to successfully execute the desired changes. During the pendency of these reviews or any transaction that may occur as a result of these reviews, we may be subject to risks related to a decline in the business or employee morale and turnover, as well as distraction of management from our business and clients, and investors may not react favorably to our decisions, which could adversely affect our business, results of operations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ind w:right="100"/>
        <w:spacing w:after="0" w:line="253" w:lineRule="auto"/>
        <w:rPr>
          <w:sz w:val="20"/>
          <w:szCs w:val="20"/>
          <w:color w:val="auto"/>
        </w:rPr>
      </w:pPr>
      <w:r>
        <w:rPr>
          <w:rFonts w:ascii="Arial" w:cs="Arial" w:eastAsia="Arial" w:hAnsi="Arial"/>
          <w:sz w:val="18"/>
          <w:szCs w:val="18"/>
          <w:color w:val="auto"/>
        </w:rPr>
        <w:t>the market price of our common stock. If we are unable to successfully complete our operational and business portfolio reviews or we are unable to complete the proposed outcomes of these reviews or they do not meet our strategic objectives, our business, results of operations and financial condition could be adversely affected.</w:t>
      </w:r>
    </w:p>
    <w:p>
      <w:pPr>
        <w:spacing w:after="0" w:line="14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are continuing to carefully consider the full range of options for maximizing value to our shareholders, including potential transactions with third parties and other strategic and financial alternatives. There can be no assurance that the operational and business portfolio reviews will result in any particular action or that a transaction will be consummated, nor can there be any assurance regarding the timing of any action or transaction. We have not set a deadline or definitive timetable for the completion of our reviews, and we can provide no assurance that any actions taken or any transaction or other strategic alternative we may pursue will achieve the anticipated cost savings, operating efficiencies or have a positive impact on our results of operations or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6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5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7"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1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strategically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6" w:name="page57"/>
    <w:bookmarkEnd w:id="56"/>
    <w:p>
      <w:pPr>
        <w:ind w:right="1100"/>
        <w:spacing w:after="0" w:line="278"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6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p>
    <w:p>
      <w:pPr>
        <w:spacing w:after="0" w:line="151"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99"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for the three months ended March 31, 2026, as the U.S. Dollar weakened against several currencies, including the British Pound, relative to the prior year, these foreign exchange impacts increased our reported revenue in U.S. Dollars by approximately $7.4 million compared to the prior year on a FX Neutral basis.</w:t>
      </w:r>
    </w:p>
    <w:p>
      <w:pPr>
        <w:spacing w:after="0" w:line="13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58"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36"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1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FX Neutral Revenue Less Ancillary Services, adjusted gross profit, adjusted gross margin, adjusted EBITDA, and adjusted EBITDA margin, with internal systems and tools and which may differ from estimates or similar metrics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7" w:name="page58"/>
    <w:bookmarkEnd w:id="57"/>
    <w:p>
      <w:pPr>
        <w:ind w:right="20"/>
        <w:spacing w:after="0" w:line="239" w:lineRule="auto"/>
        <w:rPr>
          <w:sz w:val="20"/>
          <w:szCs w:val="20"/>
          <w:color w:val="auto"/>
        </w:rPr>
      </w:pPr>
      <w:r>
        <w:rPr>
          <w:rFonts w:ascii="Arial" w:cs="Arial" w:eastAsia="Arial" w:hAnsi="Arial"/>
          <w:sz w:val="18"/>
          <w:szCs w:val="18"/>
          <w:color w:val="auto"/>
        </w:rPr>
        <w:t>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6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and anti-financial crime audit including adherence to AML policies and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3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our existing banking partners may at any time and from time to time cease serving certain categories of payments due to perceived risk or similar reasons as well as payments originating from, or being paid to, certain high-risk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spacing w:after="0" w:line="14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4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83" w:lineRule="exact"/>
        <w:rPr>
          <w:sz w:val="20"/>
          <w:szCs w:val="20"/>
          <w:color w:val="auto"/>
        </w:rPr>
      </w:pPr>
    </w:p>
    <w:p>
      <w:pPr>
        <w:ind w:right="240" w:firstLine="509"/>
        <w:spacing w:after="0" w:line="252" w:lineRule="auto"/>
        <w:rPr>
          <w:sz w:val="20"/>
          <w:szCs w:val="20"/>
          <w:color w:val="auto"/>
        </w:rPr>
      </w:pPr>
      <w:r>
        <w:rPr>
          <w:rFonts w:ascii="Arial" w:cs="Arial" w:eastAsia="Arial" w:hAnsi="Arial"/>
          <w:sz w:val="17"/>
          <w:szCs w:val="17"/>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8" w:name="page59"/>
    <w:bookmarkEnd w:id="58"/>
    <w:p>
      <w:pPr>
        <w:ind w:right="880"/>
        <w:spacing w:after="0" w:line="271" w:lineRule="auto"/>
        <w:rPr>
          <w:sz w:val="20"/>
          <w:szCs w:val="20"/>
          <w:color w:val="auto"/>
        </w:rPr>
      </w:pPr>
      <w:r>
        <w:rPr>
          <w:rFonts w:ascii="Arial" w:cs="Arial" w:eastAsia="Arial" w:hAnsi="Arial"/>
          <w:sz w:val="18"/>
          <w:szCs w:val="18"/>
          <w:color w:val="auto"/>
        </w:rPr>
        <w:t>impaired and our operating results could suffer. Even if our strategic relationships are successful, we cannot assure you that these relationships will result in increased client usage of our solutions or increased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6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47"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1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42"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limitations or other restrictions on student visas, pressure on tuition costs, or increased operating expenses, which may reduce demand for our solutions.</w:t>
      </w:r>
    </w:p>
    <w:p>
      <w:pPr>
        <w:spacing w:after="0" w:line="11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61" w:lineRule="exact"/>
        <w:rPr>
          <w:sz w:val="20"/>
          <w:szCs w:val="20"/>
          <w:color w:val="auto"/>
        </w:rPr>
      </w:pPr>
    </w:p>
    <w:p>
      <w:pPr>
        <w:ind w:left="460" w:right="140" w:hanging="302"/>
        <w:spacing w:after="0" w:line="246" w:lineRule="auto"/>
        <w:tabs>
          <w:tab w:leader="none" w:pos="4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Declines in international student enrollment. Global conflict, geopolitical tensions and restrictions on immigration and revocations, suspensions or increased restrictions or limitations on the award of, student visas (such as those being implemented in the U.S., U.K., Canada and Australia) has and is expected to continue to negatively impact the cross-border education industry and schools that rely on foreign student populations.</w:t>
      </w:r>
    </w:p>
    <w:p>
      <w:pPr>
        <w:spacing w:after="0" w:line="68" w:lineRule="exact"/>
        <w:rPr>
          <w:rFonts w:ascii="Times New Roman" w:cs="Times New Roman" w:eastAsia="Times New Roman" w:hAnsi="Times New Roman"/>
          <w:sz w:val="18"/>
          <w:szCs w:val="18"/>
          <w:color w:val="auto"/>
        </w:rPr>
      </w:pPr>
    </w:p>
    <w:p>
      <w:pPr>
        <w:ind w:left="460" w:right="40" w:hanging="302"/>
        <w:spacing w:after="0" w:line="259" w:lineRule="auto"/>
        <w:tabs>
          <w:tab w:leader="none" w:pos="46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w:t>
      </w:r>
    </w:p>
    <w:p>
      <w:pPr>
        <w:ind w:left="460" w:right="300"/>
        <w:spacing w:after="0" w:line="234" w:lineRule="auto"/>
        <w:rPr>
          <w:sz w:val="20"/>
          <w:szCs w:val="20"/>
          <w:color w:val="auto"/>
        </w:rPr>
      </w:pPr>
      <w:r>
        <w:rPr>
          <w:rFonts w:ascii="Arial" w:cs="Arial" w:eastAsia="Arial" w:hAnsi="Arial"/>
          <w:sz w:val="18"/>
          <w:szCs w:val="18"/>
          <w:color w:val="auto"/>
        </w:rPr>
        <w:t>grants or loans, may reduce enrollments and decrease the payment volume we process. Potential students may also be deterred by increases in the cost of attendance.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9" w:name="page60"/>
    <w:bookmarkEnd w:id="59"/>
    <w:p>
      <w:pPr>
        <w:ind w:left="460" w:right="360" w:hanging="302"/>
        <w:spacing w:after="0" w:line="270" w:lineRule="auto"/>
        <w:tabs>
          <w:tab w:leader="none" w:pos="4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46" w:lineRule="exact"/>
        <w:rPr>
          <w:rFonts w:ascii="Times New Roman" w:cs="Times New Roman" w:eastAsia="Times New Roman" w:hAnsi="Times New Roman"/>
          <w:sz w:val="18"/>
          <w:szCs w:val="18"/>
          <w:color w:val="auto"/>
        </w:rPr>
      </w:pPr>
    </w:p>
    <w:p>
      <w:pPr>
        <w:ind w:left="460" w:right="140" w:hanging="302"/>
        <w:spacing w:after="0" w:line="252" w:lineRule="auto"/>
        <w:tabs>
          <w:tab w:leader="none" w:pos="4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or a lower price point for online classes.</w:t>
      </w:r>
    </w:p>
    <w:p>
      <w:pPr>
        <w:spacing w:after="0" w:line="62" w:lineRule="exact"/>
        <w:rPr>
          <w:rFonts w:ascii="Times New Roman" w:cs="Times New Roman" w:eastAsia="Times New Roman" w:hAnsi="Times New Roman"/>
          <w:sz w:val="18"/>
          <w:szCs w:val="18"/>
          <w:color w:val="auto"/>
        </w:rPr>
      </w:pPr>
    </w:p>
    <w:p>
      <w:pPr>
        <w:ind w:left="460" w:right="40" w:hanging="302"/>
        <w:spacing w:after="0" w:line="270" w:lineRule="auto"/>
        <w:tabs>
          <w:tab w:leader="none" w:pos="4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46" w:lineRule="exact"/>
        <w:rPr>
          <w:rFonts w:ascii="Times New Roman" w:cs="Times New Roman" w:eastAsia="Times New Roman" w:hAnsi="Times New Roman"/>
          <w:sz w:val="18"/>
          <w:szCs w:val="18"/>
          <w:color w:val="auto"/>
        </w:rPr>
      </w:pPr>
    </w:p>
    <w:p>
      <w:pPr>
        <w:ind w:left="460" w:right="220" w:hanging="302"/>
        <w:spacing w:after="0" w:line="252" w:lineRule="auto"/>
        <w:tabs>
          <w:tab w:leader="none" w:pos="4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U.S. government shutdown could result in the suspension, delay or cancellation in education grants and loans or in the issuance of visas or visa denials, any of which could discourage prospective international students from choosing U.S. institutions as places for study or otherwise negatively impact our revenues derived from such students.</w:t>
      </w:r>
    </w:p>
    <w:p>
      <w:pPr>
        <w:spacing w:after="0" w:line="62" w:lineRule="exact"/>
        <w:rPr>
          <w:rFonts w:ascii="Times New Roman" w:cs="Times New Roman" w:eastAsia="Times New Roman" w:hAnsi="Times New Roman"/>
          <w:sz w:val="18"/>
          <w:szCs w:val="18"/>
          <w:color w:val="auto"/>
        </w:rPr>
      </w:pPr>
    </w:p>
    <w:p>
      <w:pPr>
        <w:ind w:left="460" w:right="100" w:hanging="302"/>
        <w:spacing w:after="0" w:line="252" w:lineRule="auto"/>
        <w:tabs>
          <w:tab w:leader="none" w:pos="4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3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cross-border payment volumes in our Education vertical are significantly influenced by the ability of international students to secure and maintain work authorization in the U.S. through programs like Optional Practical Training (“OPT”). Although bipartisan initiatives such as the “Keep Innovators in America Act” seek to stabilize the sector by codifying OPT into statute and providing "dual intent" for student visas, the program remains vulnerable to competing legislative proposals for termination and administrative processing freezes that have recently impacted students from 39 countries. Any sustained reduction in the availability of these work authorizations or a shift in the U.S. competitive position relative to other global education hubs could lead to decreased enrollment at our U.S. client institutions. Consequently, such volatility in immigration policy and work authorization processing could result in a material reduction in our transaction volumes, impacting our revenue and results of operations.</w:t>
      </w:r>
    </w:p>
    <w:p>
      <w:pPr>
        <w:spacing w:after="0" w:line="15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as well as between Canada and India, that has from time to time slowed the growth of Chinese students studying in the U.S. and Indian students studying in Canada, and may have resulted in changes in Chinese and Indian student education destinations, have had and may continue to have an impact on our revenue growth. These geopolitical tensions and perceptions regarding potential hostility of host country study destinations may further suppress interest in international study (even at levels below the caps described below set by the governments of Canada and Australia), which would have an adverse effect on our business, operating results and financial condition. Sustained economic weakness in the United States or global economic conditions triggered by imposition of tariffs or other recessionary economic conditions, may disrupt international migration patterns, which are likely to reduce money transfer volumes and harm our operating results.</w:t>
      </w:r>
    </w:p>
    <w:p>
      <w:pPr>
        <w:spacing w:after="0" w:line="1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January 2024, the Canadian government announced what at the time appeared to be a temporary intake cap on international student permit applications to stabilize new growth for a period of two years. This cap – intended to address Canada’s housing shortage, overburdened health systems, and rising costs of living – has reportedly reduced the number of international students coming to Canada by about 40% since implementation. Building on these changes, the Immigration, Refugees, and Citizenship Canada (IRCC) announced in January 2025 that new study permits for international students will be reduced by 10% from the 2024 target of 485,000 to 437,000 in 2025 and 2026. In November 2025, the IRCC announced that it expects to issue up to 408,000 study permits, including 155,000 to newly arriving international students, as outlined in the 2026–2028 Immigration Levels Plan, and 253,000 extensions for current and returning students. This number is 7% lower than the 2025 issuance target of 437,000 and 16% lower than the 2024 issuance target of 485,000. As of January 1, 2026, master’s and doctoral level students enrolled at a public designated learning institution in Canada will not need to submit a provincial or territorial attestation letter with their study permit application. Additionally, in November 2024, Canada ended its Student Direct Stream (SDS) program for expedited international student visa processing, and international students applying to study in Canada no longer need to prepay tuition to apply for a study permit. These limitations have resulted in a corresponding reduction in payment flows, which had an adverse effect on our business for the three months ended March 31, 2026.</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Similarly, since late 2023, the Australian government has taken actions to tighten international student visa rules, including an increase in the amount of minimum savings that international students would need to have in order to obtain a visa, raising the standards of the English language proficiency requirements for student and graduate visas, a 125% increase in the visa fee for international students, and the imposition of a ban for holders of visitor visas and students holding temporary graduate visas from applying for a student visa while in Australia. In August 2024, the Australian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spacing w:after="0" w:line="239" w:lineRule="auto"/>
        <w:rPr>
          <w:sz w:val="20"/>
          <w:szCs w:val="20"/>
          <w:color w:val="auto"/>
        </w:rPr>
      </w:pPr>
      <w:r>
        <w:rPr>
          <w:rFonts w:ascii="Arial" w:cs="Arial" w:eastAsia="Arial" w:hAnsi="Arial"/>
          <w:sz w:val="18"/>
          <w:szCs w:val="18"/>
          <w:color w:val="auto"/>
        </w:rPr>
        <w:t>government announced the setting of a national planning level to apply from January 1, 2025 and which is intended to limit the number of new overseas student places available in Australia – including a ceiling of 270,000 international students for calendar year 2025. However, in December 2024, the government announced a change of course, instead implementing a system to introduce two categories of student visa processing: “high priority” and “standard priority”, with all international education providers to receive high priority processing up to 80% of their indicative international student cap. After reaching 80%, the providers will receive standard priority processing. In August 2025, the Australian government announced the setting of a national planning level to apply a ceiling of 295,000 international students for 2026. These new Australian government policies, including university quotas, slower visa processing, higher fees, and stricter financial and language requirements, has had an adverse impact on our business for the three months ended March 31, 2026 and we anticipate will continue to impact our Australian revenues in 2026.</w:t>
      </w:r>
    </w:p>
    <w:p>
      <w:pPr>
        <w:spacing w:after="0" w:line="156" w:lineRule="exact"/>
        <w:rPr>
          <w:sz w:val="20"/>
          <w:szCs w:val="20"/>
          <w:color w:val="auto"/>
        </w:rPr>
      </w:pPr>
    </w:p>
    <w:p>
      <w:pPr>
        <w:ind w:right="40" w:firstLine="374"/>
        <w:spacing w:after="0"/>
        <w:rPr>
          <w:sz w:val="20"/>
          <w:szCs w:val="20"/>
          <w:color w:val="auto"/>
        </w:rPr>
      </w:pPr>
      <w:r>
        <w:rPr>
          <w:rFonts w:ascii="Arial" w:cs="Arial" w:eastAsia="Arial" w:hAnsi="Arial"/>
          <w:sz w:val="18"/>
          <w:szCs w:val="18"/>
          <w:color w:val="auto"/>
        </w:rPr>
        <w:t>The Australian government reclassified India as a highest-risk (Evidence Level 3) student-visa assessment jurisdiction under its Simplified Student Visa Framework (SSVF), shifting India from Evidence Level 2 to the more stringent Evidence Level 3 category effective January 8, 2026. This reclassification was attributed to what the Department of Home Affairs described as “emerging integrity risks,” including concerns about non-genuine applications and fraudulent documentation within the student visa system. Indian student visa applicants are now required to submit more extensive documentation, including detailed financial evidence, authenticated academic records, proof of English language proficiency, and may be subject to additional background checks or interviews before a visa decision can be finalized. Some expected impacts to Australian universities include:</w:t>
      </w:r>
    </w:p>
    <w:p>
      <w:pPr>
        <w:spacing w:after="0" w:line="77" w:lineRule="exact"/>
        <w:rPr>
          <w:sz w:val="20"/>
          <w:szCs w:val="20"/>
          <w:color w:val="auto"/>
        </w:rPr>
      </w:pPr>
    </w:p>
    <w:p>
      <w:pPr>
        <w:ind w:left="460" w:right="260" w:hanging="302"/>
        <w:spacing w:after="0" w:line="270" w:lineRule="auto"/>
        <w:tabs>
          <w:tab w:leader="none" w:pos="4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Expectation of longer student visa processing times, potentially extending from current medians to eight or more weeks, which could disrupt admissions and orientation schedules.</w:t>
      </w:r>
    </w:p>
    <w:p>
      <w:pPr>
        <w:spacing w:after="0" w:line="46" w:lineRule="exact"/>
        <w:rPr>
          <w:rFonts w:ascii="Times New Roman" w:cs="Times New Roman" w:eastAsia="Times New Roman" w:hAnsi="Times New Roman"/>
          <w:sz w:val="18"/>
          <w:szCs w:val="18"/>
          <w:color w:val="auto"/>
        </w:rPr>
      </w:pPr>
    </w:p>
    <w:p>
      <w:pPr>
        <w:ind w:left="460" w:right="120" w:hanging="302"/>
        <w:spacing w:after="0" w:line="270" w:lineRule="auto"/>
        <w:tabs>
          <w:tab w:leader="none" w:pos="4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administrative burden on international offices and recruitment staff to assist Indian applicants with enhanced documentation and compliance requirements.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Risk of a reduction in Indian student enrollments or delays in arrival, affecting tuition revenue and program planning.</w:t>
      </w:r>
    </w:p>
    <w:p>
      <w:pPr>
        <w:spacing w:after="0" w:line="116" w:lineRule="exact"/>
        <w:rPr>
          <w:rFonts w:ascii="Times New Roman" w:cs="Times New Roman" w:eastAsia="Times New Roman" w:hAnsi="Times New Roman"/>
          <w:sz w:val="18"/>
          <w:szCs w:val="18"/>
          <w:color w:val="auto"/>
        </w:rPr>
      </w:pPr>
    </w:p>
    <w:p>
      <w:pPr>
        <w:ind w:left="460" w:right="260" w:hanging="302"/>
        <w:spacing w:after="0" w:line="270" w:lineRule="auto"/>
        <w:tabs>
          <w:tab w:leader="none" w:pos="4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Necessity for universities to adjust intake planning, including staggered start dates or expanded online coursework, to accommodate delayed visa issuance.</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for higher refusal rates requiring additional counseling and risk management for affected applicants.</w:t>
      </w:r>
    </w:p>
    <w:p>
      <w:pPr>
        <w:spacing w:after="0" w:line="184" w:lineRule="exact"/>
        <w:rPr>
          <w:sz w:val="20"/>
          <w:szCs w:val="20"/>
          <w:color w:val="auto"/>
        </w:rPr>
      </w:pPr>
    </w:p>
    <w:p>
      <w:pPr>
        <w:ind w:right="100" w:firstLine="374"/>
        <w:spacing w:after="0" w:line="247" w:lineRule="auto"/>
        <w:rPr>
          <w:sz w:val="20"/>
          <w:szCs w:val="20"/>
          <w:color w:val="auto"/>
        </w:rPr>
      </w:pPr>
      <w:r>
        <w:rPr>
          <w:rFonts w:ascii="Arial" w:cs="Arial" w:eastAsia="Arial" w:hAnsi="Arial"/>
          <w:sz w:val="18"/>
          <w:szCs w:val="18"/>
          <w:color w:val="auto"/>
        </w:rPr>
        <w:t>Flywire could experience reduced transaction volumes and delayed payment flows from its Australian clients’ Indian student corridors due to slower visa processing times, increased application friction, and potential declines in enrollment. These factors could adversely affect our revenue growth in the Asia-Pacific education vertical and increase operational complexity associated with refunds, deferred intakes, and compliance-related payment adjustments.</w:t>
      </w:r>
    </w:p>
    <w:p>
      <w:pPr>
        <w:spacing w:after="0" w:line="13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the U.K. as well, there have recently been significant modifications to the process and standards for issuance of international student visas which may reduce demand for international study and adversely affect our business. In November 2025, the U.K. budget confirmed that a levy of £925 per student per year of study will commence from August 2028, at the start of the 2028/29 academic year, for higher education institutions in England. All providers will be given an allowance of the first 220 international students per year not paying the levy, which may protect smaller, specialist providers from paying the charge. Of potentially more significance is the reduction of the U.K.’s Graduate Route post-study-work-visa from 24 to 18 months as taking effect for visa applications made after January 1, 2027. The change applies to bachelor’s and master’s degrees, and not to PhDs (which retain a 3-year option). All of these changes in UK visa policies for international students could potentially discourage international students from studying in the U.K. and have an adverse impact on our business.</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Other governments where our client institutions are located, including in the U.S., may introduce measures from time to time to manage the growth of the international student population in their respective countries, which may have adverse effects on our business. For example, the U.S. government’s recent announcement to impose a $100,000 filing fee per new H-1B visa could adversely impact demand for international students to attend our client institutions in the U.S. The new H-1B visa fee does not apply to international students already in the U.S. looking to apply for a status change. In addition, in 2025 U.S. policy shifts prompted dramatic action to rescind student visas (including deportation of students), plan additional cutbacks to the volume of international student visa issuances, and more closely scrutinize applications for international student visas, and to cut government support for higher education, adding to uncertainty around the number of students coming to the U.S. to study in the near future. Delays in issuances of visas or visa denials – which could be exacerbated by the recent U.S. government shutdown – may discourage prospective international students from choosing U.S. institutions as places for study. Recent proposals in Congress to tighten visa stay rules and to implement the “OPT Fair Tax Act” could further dampen demand among international students to study in the U.S. The existing rules and any introduction of new rules further limiting the attractiveness of international study by the governments of countries where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1" w:name="page62"/>
    <w:bookmarkEnd w:id="61"/>
    <w:p>
      <w:pPr>
        <w:ind w:right="240"/>
        <w:spacing w:after="0"/>
        <w:rPr>
          <w:sz w:val="20"/>
          <w:szCs w:val="20"/>
          <w:color w:val="auto"/>
        </w:rPr>
      </w:pPr>
      <w:r>
        <w:rPr>
          <w:rFonts w:ascii="Arial" w:cs="Arial" w:eastAsia="Arial" w:hAnsi="Arial"/>
          <w:sz w:val="18"/>
          <w:szCs w:val="18"/>
          <w:color w:val="auto"/>
        </w:rPr>
        <w:t>our client institutions are located has and is expected in the near term to continue to adversely impact the growth of our business in the applicable regions. In addition to caps on international students, government changes to other visa or student insurance requirements (for example, no longer requiring a one year tuition deposit as a condition to issuance of a student visa, or eliminating a need to procure insurance) may negatively impact payment volume. The existing rules and any introduction of new rules further limiting potential payment flows or the attractiveness of international study by the governments of countries where our client institutions are located has and could continue to adversely impact our business, operating results, and financial condition. Changes to U.S. immigration policy can also dampen demands for international study.</w:t>
      </w:r>
    </w:p>
    <w:p>
      <w:pPr>
        <w:spacing w:after="0" w:line="158"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A number of recent actual and proposed U.S. policy changes and enforcement practices could reshape the U.S. private secondary and higher education landscape, impacting students, our client educational institutions, and the wider educational framework in the United States.</w:t>
      </w:r>
    </w:p>
    <w:p>
      <w:pPr>
        <w:spacing w:after="0" w:line="119" w:lineRule="exact"/>
        <w:rPr>
          <w:sz w:val="20"/>
          <w:szCs w:val="20"/>
          <w:color w:val="auto"/>
        </w:rPr>
      </w:pPr>
    </w:p>
    <w:p>
      <w:pPr>
        <w:ind w:right="280" w:firstLine="374"/>
        <w:spacing w:after="0" w:line="244" w:lineRule="auto"/>
        <w:rPr>
          <w:sz w:val="20"/>
          <w:szCs w:val="20"/>
          <w:color w:val="auto"/>
        </w:rPr>
      </w:pPr>
      <w:r>
        <w:rPr>
          <w:rFonts w:ascii="Arial" w:cs="Arial" w:eastAsia="Arial" w:hAnsi="Arial"/>
          <w:sz w:val="18"/>
          <w:szCs w:val="18"/>
          <w:color w:val="auto"/>
        </w:rPr>
        <w:t>In 2025, there were a number of actions and policies proposed or taken which have unsettled the U.S. private secondary and higher education sector, a historically significant source of clients and revenue for us. Any one or combination of these potential acts and policies coming to fruition or further developing – or even a perception or fear of occurrence – could negatively affect student enrollment at U.S. private boarding schools and colleges and universities, lead to diminishing operating budgets, and adversely affect our business and operating results and financial condition. Among these proposed or actual policies are:</w:t>
      </w:r>
    </w:p>
    <w:p>
      <w:pPr>
        <w:spacing w:after="0" w:line="68" w:lineRule="exact"/>
        <w:rPr>
          <w:sz w:val="20"/>
          <w:szCs w:val="20"/>
          <w:color w:val="auto"/>
        </w:rPr>
      </w:pPr>
    </w:p>
    <w:p>
      <w:pPr>
        <w:ind w:left="460" w:right="20" w:hanging="302"/>
        <w:spacing w:after="0"/>
        <w:tabs>
          <w:tab w:leader="none" w:pos="4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issuances and revocations of student visas, and deportation of students studying in the U.S. High profile instances of students with traditionally protective immigration status being arrested, deported, or having their student visas revoked have drawn widespread media attention. There have similarly been proposals put forth to expand the scope of bans on visa issuances. Diplomatic tensions between the U.S. and other countries can evoke visa restrictions specifically targeting students which would impact their ability to study in the U.S. Changes in U.S. immigration regulations or other laws, practices and frequency or methods of enforcement which discourage immigration or international study could adversely affect our education vertical or growth rate in the future. Reduced or disrupted international study patterns are likely to reduce the payment volumes we process and harm our operating results.</w:t>
      </w:r>
    </w:p>
    <w:p>
      <w:pPr>
        <w:spacing w:after="0" w:line="75" w:lineRule="exact"/>
        <w:rPr>
          <w:rFonts w:ascii="Times New Roman" w:cs="Times New Roman" w:eastAsia="Times New Roman" w:hAnsi="Times New Roman"/>
          <w:sz w:val="18"/>
          <w:szCs w:val="18"/>
          <w:color w:val="auto"/>
        </w:rPr>
      </w:pPr>
    </w:p>
    <w:p>
      <w:pPr>
        <w:ind w:left="460" w:right="20" w:hanging="302"/>
        <w:spacing w:after="0" w:line="239" w:lineRule="auto"/>
        <w:tabs>
          <w:tab w:leader="none" w:pos="4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government funding. There have been a number of instances of actual or threatened withholdings of federal funding to U.S. institutions of higher learning in general as well as to higher-profile U.S. colleges and universities. While some schools have worked out a negotiated arrangement with the U.S. government to allow for funding to continue in whole or in part – subject to specified conditions – others have not, and unreconciled instances continue to create an environment of uncertainty. Changes at the federal level regarding education policy could have a ripple effect on state funding for higher education. This could result in financial uncertainty for public universities that rely on state support, potentially leading to tougher budgetary constraints. Any such reductions could adversely affect the financial health of colleges and universities, leading to diminished operational budgets, fewer student services, and declines in enrollment, which could reduce the demand for our services and negatively impact our operating results.</w:t>
      </w:r>
    </w:p>
    <w:p>
      <w:pPr>
        <w:spacing w:after="0" w:line="78" w:lineRule="exact"/>
        <w:rPr>
          <w:rFonts w:ascii="Times New Roman" w:cs="Times New Roman" w:eastAsia="Times New Roman" w:hAnsi="Times New Roman"/>
          <w:sz w:val="18"/>
          <w:szCs w:val="18"/>
          <w:color w:val="auto"/>
        </w:rPr>
      </w:pPr>
    </w:p>
    <w:p>
      <w:pPr>
        <w:ind w:left="460" w:right="20" w:hanging="302"/>
        <w:spacing w:after="0" w:line="242" w:lineRule="auto"/>
        <w:tabs>
          <w:tab w:leader="none" w:pos="4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Cutbacks to, or elimination of, student loan programs and the U.S. Department of Education. Alterations in student loan regulations or a reduction in U.S. government support for loan programs – particularly for international study – could exacerbate the financial burden on students and their families and make the cost of attending college prohibitively expensive for families. This situation might discourage prospective students from enrolling, thereby affecting overall college attendance rates. We have historically, and expect to continue to, process U.S. student loan payments and a loss of these payment flows or a reduction in the number of students enrolling in higher education institutions that accept U.S. student loan payments could adversely affect our business.</w:t>
      </w:r>
    </w:p>
    <w:p>
      <w:pPr>
        <w:spacing w:after="0" w:line="69" w:lineRule="exact"/>
        <w:rPr>
          <w:rFonts w:ascii="Times New Roman" w:cs="Times New Roman" w:eastAsia="Times New Roman" w:hAnsi="Times New Roman"/>
          <w:sz w:val="18"/>
          <w:szCs w:val="18"/>
          <w:color w:val="auto"/>
        </w:rPr>
      </w:pPr>
    </w:p>
    <w:p>
      <w:pPr>
        <w:ind w:left="460" w:right="20" w:hanging="302"/>
        <w:spacing w:after="0" w:line="241" w:lineRule="auto"/>
        <w:tabs>
          <w:tab w:leader="none" w:pos="4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Public image and perception. The perception of these real or proposed policies – especially with respect to immigration and availability of student visas – and their potential to make it more challenging for international students to study in the United States could result in a significant drop in enrollment numbers. This decline would particularly impact our U.S. client institutions that rely heavily on tuition</w:t>
      </w:r>
    </w:p>
    <w:p>
      <w:pPr>
        <w:spacing w:after="0" w:line="1" w:lineRule="exact"/>
        <w:rPr>
          <w:sz w:val="20"/>
          <w:szCs w:val="20"/>
          <w:color w:val="auto"/>
        </w:rPr>
      </w:pPr>
    </w:p>
    <w:p>
      <w:pPr>
        <w:jc w:val="center"/>
        <w:ind w:left="460" w:right="320"/>
        <w:spacing w:after="0" w:line="242" w:lineRule="auto"/>
        <w:rPr>
          <w:sz w:val="20"/>
          <w:szCs w:val="20"/>
          <w:color w:val="auto"/>
        </w:rPr>
      </w:pPr>
      <w:r>
        <w:rPr>
          <w:rFonts w:ascii="Arial" w:cs="Arial" w:eastAsia="Arial" w:hAnsi="Arial"/>
          <w:sz w:val="18"/>
          <w:szCs w:val="18"/>
          <w:color w:val="auto"/>
        </w:rPr>
        <w:t>revenue generated from international students. In addition, other nations may implement more attractive visa policies, which could entice international students to choose educational opportunities outside of the United States. Although we have client institutions in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2" w:name="page63"/>
    <w:bookmarkEnd w:id="62"/>
    <w:p>
      <w:pPr>
        <w:jc w:val="both"/>
        <w:ind w:left="460" w:right="400"/>
        <w:spacing w:after="0" w:line="253" w:lineRule="auto"/>
        <w:rPr>
          <w:sz w:val="20"/>
          <w:szCs w:val="20"/>
          <w:color w:val="auto"/>
        </w:rPr>
      </w:pPr>
      <w:r>
        <w:rPr>
          <w:rFonts w:ascii="Arial" w:cs="Arial" w:eastAsia="Arial" w:hAnsi="Arial"/>
          <w:sz w:val="18"/>
          <w:szCs w:val="18"/>
          <w:color w:val="auto"/>
        </w:rPr>
        <w:t>countries around the world where international students may choose to study if they are increasingly uncomfortable studying in the U.S., the cost of attending a school in these jurisdictions may be significantly less than in the U.S., and our payment volumes may suffer as a result.</w:t>
      </w:r>
    </w:p>
    <w:p>
      <w:pPr>
        <w:spacing w:after="0" w:line="128" w:lineRule="exact"/>
        <w:rPr>
          <w:sz w:val="20"/>
          <w:szCs w:val="20"/>
          <w:color w:val="auto"/>
        </w:rPr>
      </w:pPr>
    </w:p>
    <w:p>
      <w:pPr>
        <w:ind w:right="20" w:firstLine="374"/>
        <w:spacing w:after="0" w:line="244" w:lineRule="auto"/>
        <w:rPr>
          <w:sz w:val="20"/>
          <w:szCs w:val="20"/>
          <w:color w:val="auto"/>
        </w:rPr>
      </w:pPr>
      <w:r>
        <w:rPr>
          <w:rFonts w:ascii="Arial" w:cs="Arial" w:eastAsia="Arial" w:hAnsi="Arial"/>
          <w:sz w:val="18"/>
          <w:szCs w:val="18"/>
          <w:color w:val="auto"/>
        </w:rPr>
        <w:t>After a period during which interviews and applications for student visas to study in the U.S. were temporarily suspended, in June 2025 the U.S. Department of State (DOS) resumed scheduling visa interview appointments for international students and exchange visitors while it considered new social media vetting measures. New student and exchange visitor visa policies, including the temporary pause and expanded vetting, could impact the amount of international students successfully enrolling as students in the U.S., which may adversely affect our revenue and results of operations. Some of these expected impacts include:</w:t>
      </w:r>
    </w:p>
    <w:p>
      <w:pPr>
        <w:spacing w:after="0" w:line="68" w:lineRule="exact"/>
        <w:rPr>
          <w:sz w:val="20"/>
          <w:szCs w:val="20"/>
          <w:color w:val="auto"/>
        </w:rPr>
      </w:pPr>
    </w:p>
    <w:p>
      <w:pPr>
        <w:ind w:left="460" w:hanging="302"/>
        <w:spacing w:after="0"/>
        <w:tabs>
          <w:tab w:leader="none" w:pos="4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Requests for deferred admissions, increased student inquiries/concerns, and delays in expected enrollment;</w:t>
      </w:r>
    </w:p>
    <w:p>
      <w:pPr>
        <w:spacing w:after="0" w:line="116" w:lineRule="exact"/>
        <w:rPr>
          <w:rFonts w:ascii="Times New Roman" w:cs="Times New Roman" w:eastAsia="Times New Roman" w:hAnsi="Times New Roman"/>
          <w:sz w:val="18"/>
          <w:szCs w:val="18"/>
          <w:color w:val="auto"/>
        </w:rPr>
      </w:pPr>
    </w:p>
    <w:p>
      <w:pPr>
        <w:ind w:left="460" w:right="100" w:hanging="302"/>
        <w:spacing w:after="0" w:line="270" w:lineRule="auto"/>
        <w:tabs>
          <w:tab w:leader="none" w:pos="4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Visa appointment cancellations, unavailability or delays in scheduling interviews as well as higher visa rejection rates - especially as to potential students from the countries that send the most students to the United States; and</w:t>
      </w:r>
    </w:p>
    <w:p>
      <w:pPr>
        <w:spacing w:after="0" w:line="46" w:lineRule="exact"/>
        <w:rPr>
          <w:rFonts w:ascii="Times New Roman" w:cs="Times New Roman" w:eastAsia="Times New Roman" w:hAnsi="Times New Roman"/>
          <w:sz w:val="18"/>
          <w:szCs w:val="18"/>
          <w:color w:val="auto"/>
        </w:rPr>
      </w:pPr>
    </w:p>
    <w:p>
      <w:pPr>
        <w:ind w:left="460" w:right="280" w:hanging="302"/>
        <w:spacing w:after="0" w:line="243" w:lineRule="auto"/>
        <w:tabs>
          <w:tab w:leader="none" w:pos="4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Students pivoting away from study and research in the United States. According to some studies, the top five countries that international students and scholars have indicated they are turning to instead of the United States are: United Kingdom, Australia, Canada, China, and Germany. The European and Asian study destinations that are gaining in market share of student interest often carry lower tuition and related costs of living relative to the United States, which can result in lower volume of payments processed within our education vertical.</w:t>
      </w:r>
    </w:p>
    <w:p>
      <w:pPr>
        <w:spacing w:after="0" w:line="153"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expanded social media screening process applied by the DOS to student visa applicants establishes that, of those students seeking expedited appointments, priority should be given to those attending universities with lower international enrollment (15% or less). This change potentially disadvantages those seeking to study at more internationally diverse institutions and marks a significant departure from previous DOS guidance that prioritized students based on the start of their academic studies. Administrative processing issues, a new requirement that applicants provide DOS access to social media accounts, and the resource-intensive nature of the new screening requirements is expected to create longer wait times and processing delays. All of these factors – and other related uncertainties that will surface as the new standards are implemented – can contribute to a decline in international enrollment in U.S. academic institutions, which could adversely affect our business.</w:t>
      </w:r>
    </w:p>
    <w:p>
      <w:pPr>
        <w:spacing w:after="0" w:line="14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in the U.S., the “One Big Beautiful Bill” contains a number of provisions with the potential to significantly change the landscape for financing undergraduate and graduate study and which could adversely affect the demand for higher education in the U.S. The One Big Beautiful Bill limits Pell Grant awards (which provide gift aid to low-income students), eliminates the Grad PLUS program, and sets new limits for graduate and professional students for Direct Unsubsidized Loans. The new bill also caps parent loans to finance undergraduate education, and changes student loan repayment options, among other modifications. Most of these changes do not go into effect until July 1, 2026. The bill may impact U.S. student enrollment in undergraduate and postgraduate programs and could materially and adversely affect our revenue and results of operations.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 October 2025, the current administration introduced a proposal termed the “Compact for Academic Excellence in Higher Education,” under which select U.S. universities would be invited to accept a set of federal policy conditions—such as freezing tuition rates, limiting international student enrollment, altering admissions criteria, and certifying adherence to specified ideological and governance standards—in exchange for preferential access to federal funding and grants. Because a meaningful portion of Flywire’s revenue is generated through cross-border payment services and tuition facilitation for higher-education institutions, changes in federal higher-education policy could indirectly but materially affect us. If major client universities (especially large public and private institutions) decline to engage in or are disqualified from federal funding programs due to a refusal or failure to comply with compact terms, they may downsize enrollments (particularly of international students), constrain capital expenditures, or restructure their financial operations. Such shifts could reduce payment volumes, delay implementation of new systems, and reduce demand for value-added services like foreign-exchange hedging, deferred payments, or collections.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-798830</wp:posOffset>
            </wp:positionV>
            <wp:extent cx="317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3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Moreover, uncertainty stemming from the compact’s adoption or rejection could exacerbate institutional risk in the sector. Universities may postpone upgrades, IT transitions, or third-party service contracts pending clarity on their federal funding status. They may also prioritize internal compliance or legal capabilities over vendor innovation. If key clients delay or scale back programs, Flywire’s financial performance — including revenue growth, margins, or client retention — could be materially and adversely affected.</w:t>
      </w:r>
    </w:p>
    <w:p>
      <w:pPr>
        <w:spacing w:after="0" w:line="133" w:lineRule="exact"/>
        <w:rPr>
          <w:sz w:val="20"/>
          <w:szCs w:val="20"/>
          <w:color w:val="auto"/>
        </w:rPr>
      </w:pPr>
    </w:p>
    <w:p>
      <w:pPr>
        <w:ind w:right="240" w:firstLine="509"/>
        <w:spacing w:after="0" w:line="245" w:lineRule="auto"/>
        <w:rPr>
          <w:sz w:val="20"/>
          <w:szCs w:val="20"/>
          <w:color w:val="auto"/>
        </w:rPr>
      </w:pPr>
      <w:r>
        <w:rPr>
          <w:rFonts w:ascii="Arial" w:cs="Arial" w:eastAsia="Arial" w:hAnsi="Arial"/>
          <w:sz w:val="18"/>
          <w:szCs w:val="18"/>
          <w:color w:val="auto"/>
        </w:rPr>
        <w:t>Finally, reputational or policy backlash could create reputational or regulatory risk for providers of educational payments solutions. If the compact becomes politically controversial or perceived as ideologically driven, vendors aligning</w:t>
      </w: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3" w:name="page64"/>
    <w:bookmarkEnd w:id="63"/>
    <w:p>
      <w:pPr>
        <w:ind w:right="340"/>
        <w:spacing w:after="0" w:line="253" w:lineRule="auto"/>
        <w:rPr>
          <w:sz w:val="20"/>
          <w:szCs w:val="20"/>
          <w:color w:val="auto"/>
        </w:rPr>
      </w:pPr>
      <w:r>
        <w:rPr>
          <w:rFonts w:ascii="Arial" w:cs="Arial" w:eastAsia="Arial" w:hAnsi="Arial"/>
          <w:sz w:val="18"/>
          <w:szCs w:val="18"/>
          <w:color w:val="auto"/>
        </w:rPr>
        <w:t>with affected institutions might face increased scrutiny from policymakers, advocacy groups, or the press. While Flywire operates globally and across verticals, even marginal negative sentiment or regulatory uncertainty in the education payments space could make client acquisition or retention more challenging.</w:t>
      </w:r>
    </w:p>
    <w:p>
      <w:pPr>
        <w:spacing w:after="0" w:line="14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1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4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p>
    <w:p>
      <w:pPr>
        <w:spacing w:after="0" w:line="15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4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p>
    <w:p>
      <w:pPr>
        <w:spacing w:after="0" w:line="140" w:lineRule="exact"/>
        <w:rPr>
          <w:sz w:val="20"/>
          <w:szCs w:val="20"/>
          <w:color w:val="auto"/>
        </w:rPr>
      </w:pPr>
    </w:p>
    <w:p>
      <w:pPr>
        <w:ind w:right="400" w:firstLine="509"/>
        <w:spacing w:after="0" w:line="241"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4" w:name="page65"/>
    <w:bookmarkEnd w:id="64"/>
    <w:p>
      <w:pPr>
        <w:ind w:firstLine="509"/>
        <w:spacing w:after="0" w:line="239"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6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recent conflicts between Russia and Ukraine, Israel and Hamas, and the U.S. and Israeli military conflict with Iran, terrorist attacks, mass shooting incidents, natural disasters, such as hurricanes, earthquakes, closures, or geographical disruptions of critical natural resources, supply chains,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recessionary trends, heightened interest rates and inflation.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 We are not in a position to evaluate the net effect of these circumstances on our business as these events are largely unpredictable; however, we believe there has been and may continue to be negative impact to our business due to such events. Furthermore, in the longer term, our business might be negatively affected by regulatory changes,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In addition, any hostility towards tourists may depress international travel. The United States has implemented or proposed, or is considering, various changes in laws, regulations or policies such as the imposition of tariffs or sanctions that could affect U.S. trade policy or practices, relations with other countries and travel permits, which could also adversely affect travel to or from the United States. If such events result in a long-term negative impact on the travel industry, such impact could have a material adverse effect on our business. The payment volume from our travel vertical represented less than 10% of our total payment volume during the year ended December 31, 2025. Because we seek to grow the payment volume and the revenue from this vertical in the future through various initiatives, including our Sertifi acquisition, failure to grow our payment volume and resulting revenue from this industry, may have an adverse effect on our business, operating results and financial condition.</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Our payment volume and resulting revenue from serving the B2B vertical is highly sensitive to restrictions on the cross-border commerce on which our clients rely, and declining economic conditions, increases in the costs or unavailability of imported goods and services due to imposition of tariffs, sanctions or other restrictions, could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5" w:name="page66"/>
    <w:bookmarkEnd w:id="65"/>
    <w:p>
      <w:pPr>
        <w:ind w:right="20"/>
        <w:spacing w:after="0" w:line="244" w:lineRule="auto"/>
        <w:rPr>
          <w:sz w:val="20"/>
          <w:szCs w:val="20"/>
          <w:color w:val="auto"/>
        </w:rPr>
      </w:pPr>
      <w:r>
        <w:rPr>
          <w:rFonts w:ascii="Arial" w:cs="Arial" w:eastAsia="Arial" w:hAnsi="Arial"/>
          <w:sz w:val="18"/>
          <w:szCs w:val="18"/>
          <w:color w:val="auto"/>
        </w:rPr>
        <w:t>adversely affect our development of this vertical or our overall operating results and financial condition. The payment volume and resulting revenue from our B2B payment vertical during the year ended December 31, 2025 represented,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49"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2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2"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1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heightened interest rates, reduced corporate profitability, employment pressures in services sectors, volatility in the banking ecosystem or credit, equity and foreign exchange markets, bankruptcies, as well as war, terrorist activity, political or social unrest, civil strife and other geopolitical uncertainty, or the effects of ongoing diplomatic and trade friction between Canada and India and the U.S. and countries such as Canada, Mexico and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including concerns of restrictions on global supplies, including but not limited to oil, due to conflict in the Middle East lead to an economic recession, demand for our solutions, our business and financial condition could be negatively impacted. In addition, from time to time we have reduced expenses and needed to restructure or reorganize certain portions of our operations, including our restructuring announced in February 2025, in order to align our business with market conditions and our strategies, any of which can result in near term expense and harm to our growth prospects.</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After two years of steady conflict, an agreement was reached to end hostilities in October 2025. It is difficult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66" w:name="page67"/>
    <w:bookmarkEnd w:id="66"/>
    <w:p>
      <w:pPr>
        <w:ind w:right="300"/>
        <w:spacing w:after="0" w:line="271" w:lineRule="auto"/>
        <w:rPr>
          <w:sz w:val="20"/>
          <w:szCs w:val="20"/>
          <w:color w:val="auto"/>
        </w:rPr>
      </w:pPr>
      <w:r>
        <w:rPr>
          <w:rFonts w:ascii="Arial" w:cs="Arial" w:eastAsia="Arial" w:hAnsi="Arial"/>
          <w:sz w:val="18"/>
          <w:szCs w:val="18"/>
          <w:color w:val="auto"/>
        </w:rPr>
        <w:t>predict if the additional steps identified as part of a peace plan will be achieved in a timely fashion if at all, or if hostilities will recommence, and if so, their duration.</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most recent outbreak of hostilities and military strikes involving the U.S. and Israel alliance positioned against Iran, and Iran's restriction of traffic through the Straits of Hormuz has amplified global economic uncertainty. The Israel Defense Force (IDF), the national military of Israel, is a conscripted military service, subject to certain exceptions. In March 2026, the IDF approved the call-up of up to 400,000 reservists to support operations across multiple fronts, including Iran and Hezbollah.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spacing w:after="0" w:line="14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Although the length, impact and outcome of these conflicts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 Further, heightened conflict between the U.S. and Iran, and the resulting volatility in energy prices and regional security, may cause significant shifts in global travel patterns and consumer confidence. Any such disruptions could result in the cancellation or deferral of travel bookings among our travel vertical clients, leading to an elevated risk of uncollectible chargebacks and a reduction in our total payment volume.</w:t>
      </w:r>
    </w:p>
    <w:p>
      <w:pPr>
        <w:spacing w:after="0" w:line="14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actively monitoring the situations in Ukraine and the Middle East and assessing any potential impact on our business, but to date have not experienced any material impact. We have no way to predict the progress or outcome of the conflicts in Ukraine and the Middle East or any peace that has or may be reached,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clients,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spacing w:after="0" w:line="15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addition, political tensions between the U.S. and countries, such as Canada, Mexico and China, have recently escalated due to, among other things, U.S. policy shifts, and could have an adverse effect on our operating results. Rising political tensions could reduce levels of trade, investments, technological and educational exchanges, travel and other economic activities between the U.S. and such other countries, which would have a material adverse effect on global economic conditions and the stability of global financial markets. Since February 2025, the U.S. government has enacted, and continues to enact, a series of new tariffs, including a tariff on all imports and additional “reciprocal” tariffs targeting imports from specified countries. These tariffs and other changes in U.S. trade policy have triggered, and could continue to trigger, retaliatory actions by affected countries, including retaliatory measures other protectionist measures that could harm our business, results of operations and financial condition. The tariff policy environment has been and can be expected to continue to be dynamic. The ultimate impact of these newly enacted and potential future tariffs or other restrictions on international trade will depend on various factors, including the ultimate levels of such tariffs, how long such tariffs remain in place, and how other countries respond to the U.S. tariffs. Any of these factors could have a material adverse effect on our business, prospects, financial condition and results of operations. We cannot assure you that, if the political tension between the U.S. and other countries intensifies and further regulations affecting our business are passed, our business will not be materially and adversely affected.</w:t>
      </w:r>
    </w:p>
    <w:p>
      <w:pPr>
        <w:spacing w:after="0" w:line="14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Inflation and heightened interest rates have and may in the future result in decreased demand for our solutions, increases in our operating costs including our labor costs, constrained credit and liquidity, and volatility in financial markets and the banking ecosystem. Although the Federal Reserve lowered interest rates by 25 basis points on each of September 17, 2025, October 29, 2025, and December 10, 2025, interest rates remain elevated and there continues to be uncertainty in the changing market and economic conditions, including the effects of additional measures that have and could be taken by the Trump administration, the Federal Reserve and other government agencies, related to concerns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7" w:name="page68"/>
    <w:bookmarkEnd w:id="67"/>
    <w:p>
      <w:pPr>
        <w:ind w:right="180"/>
        <w:spacing w:after="0" w:line="271" w:lineRule="auto"/>
        <w:rPr>
          <w:sz w:val="20"/>
          <w:szCs w:val="20"/>
          <w:color w:val="auto"/>
        </w:rPr>
      </w:pPr>
      <w:r>
        <w:rPr>
          <w:rFonts w:ascii="Arial" w:cs="Arial" w:eastAsia="Arial" w:hAnsi="Arial"/>
          <w:sz w:val="18"/>
          <w:szCs w:val="18"/>
          <w:color w:val="auto"/>
        </w:rPr>
        <w:t>over inflation risk. A sharp rise in interest rates could have an adverse impact on the fair market value of securities we may invest in as part of our portfolio investments, which could adversely affect our financial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3"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 We are currently actively engaged in a comprehensive, company-wide operational and systems transformation program, which encompasses a re-architecting of our data infrastructure, consolidation and upgrade of our enterprise and billing systems and underlying operating models, alongside the strategic alignment of our organizational structure, talent, and internal processes. Ultimately, this foundational work is intended to position the Company for continued scalability and long-term growth.</w:t>
      </w:r>
    </w:p>
    <w:p>
      <w:pPr>
        <w:spacing w:after="0" w:line="1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or improve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45"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For the years ended December 31, 2025 and 2024, we processed over $37.6 billion and over $29.7 billion in payments on our solutions, respectively. For the three months ended March 31, 2026, we processed approximately $11.4 billion in payments on our solutions. We have grown rapidly and seek to continue to grow, and our business is subject to the risk of financial losses as a result of chargebacks for client-related losses, credit losses, operational errors, software defects, service disruption, employee or partner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Payments companies are frequent targets of social engineering and AI "deepfake" attacks.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or we are otherwise unable to collect on the chargeback, we will bear the economic loss, which can negatively impact our business.</w:t>
      </w:r>
    </w:p>
    <w:p>
      <w:pPr>
        <w:spacing w:after="0" w:line="156" w:lineRule="exact"/>
        <w:rPr>
          <w:sz w:val="20"/>
          <w:szCs w:val="20"/>
          <w:color w:val="auto"/>
        </w:rPr>
      </w:pPr>
    </w:p>
    <w:p>
      <w:pPr>
        <w:jc w:val="both"/>
        <w:ind w:right="600" w:firstLine="509"/>
        <w:spacing w:after="0" w:line="247"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66" w:lineRule="exact"/>
        <w:rPr>
          <w:sz w:val="20"/>
          <w:szCs w:val="20"/>
          <w:color w:val="auto"/>
        </w:rPr>
      </w:pPr>
    </w:p>
    <w:p>
      <w:pPr>
        <w:ind w:left="460" w:hanging="302"/>
        <w:spacing w:after="0"/>
        <w:tabs>
          <w:tab w:leader="none" w:pos="4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lost or delayed market acceptance and acquisition of new clients;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legal claims against us;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enforcement action; 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8" w:name="page69"/>
    <w:bookmarkEnd w:id="68"/>
    <w:p>
      <w:pPr>
        <w:ind w:left="460" w:hanging="302"/>
        <w:spacing w:after="0"/>
        <w:tabs>
          <w:tab w:leader="none" w:pos="46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84"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4"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9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or are delayed in accessing,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marketable securities portfolio is subject to credit, liquidity, market, and interest rate risks that could cause its value to decline significantly and materially adversely affect our business, financial condition, results of operations, and prospects.</w:t>
      </w:r>
    </w:p>
    <w:p>
      <w:pPr>
        <w:spacing w:after="0" w:line="11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spacing w:after="0" w:line="146"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auto"/>
        </w:rPr>
        <w:t>Volatility in the banking and financial services ecosystems may impact our bank partnerships and relationships, which could adversely affect our operations and liquidity.</w:t>
      </w:r>
    </w:p>
    <w:p>
      <w:pPr>
        <w:spacing w:after="0" w:line="9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p>
    <w:p>
      <w:pPr>
        <w:spacing w:after="0" w:line="14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spacing w:after="0" w:line="139"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jc w:val="both"/>
        <w:ind w:right="300"/>
        <w:spacing w:after="0" w:line="253" w:lineRule="auto"/>
        <w:rPr>
          <w:sz w:val="20"/>
          <w:szCs w:val="20"/>
          <w:color w:val="auto"/>
        </w:rPr>
      </w:pPr>
      <w:r>
        <w:rPr>
          <w:rFonts w:ascii="Arial" w:cs="Arial" w:eastAsia="Arial" w:hAnsi="Arial"/>
          <w:sz w:val="18"/>
          <w:szCs w:val="18"/>
          <w:color w:val="auto"/>
        </w:rPr>
        <w:t>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1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4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particular, the emergence and growing adoption of cryptocurrencies, including stablecoins, and related blockchain-based payment solutions may disrupt the traditional payments ecosystem in ways that could adversely affect our business. These technologies may enable new or existing competitors to offer cross-border payment and settlement services that are faster, lower cost, or otherwise more attractive than our solutions, including direct wallet-to-wallet transfers or alternative settlement rails that bypass intermediary financial institutions. As a result, merchants, payers, or financial institution partners in the verticals we serve may shift volume away from our platform or demand lower pricing, which could erode our revenue and margins. In addition, stablecoin- or cryptocurrency-based payment models may reduce foreign exchange spreads, transaction fees, or other economic components of our offerings, alter customer expectations regarding speed and transparency, and increase competition from fintech companies, payment networks, or technology providers that leverage these technologies. The regulatory treatment of cryptocurrencies and stablecoins remains uncertain and continues to evolve, and new frameworks could accelerate adoption or enable broader participation by competitors. If cryptocurrencies or stablecoins gain broader acceptance as payment or settlement mechanisms, or if we are unable to adapt our platform, pricing, or product strategy effectively in response to these developments, our business, operating results, and financial condition could be harmed.</w:t>
      </w:r>
    </w:p>
    <w:p>
      <w:pPr>
        <w:spacing w:after="0" w:line="15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3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0" w:name="page71"/>
    <w:bookmarkEnd w:id="70"/>
    <w:p>
      <w:pPr>
        <w:ind w:right="20" w:firstLine="509"/>
        <w:spacing w:after="0" w:line="239"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NACHA, which manages the governance of the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clients for our failure or the failure of third parties with whom we contract to protect this data in accordance with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spacing w:after="0" w:line="15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FERPA, the Gramm-Leach-Bliley Act (GLBA), and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p>
    <w:p>
      <w:pPr>
        <w:spacing w:after="0" w:line="14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59"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clients, suppliers or other vendors.</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71" w:name="page72"/>
    <w:bookmarkEnd w:id="71"/>
    <w:p>
      <w:pPr>
        <w:ind w:firstLine="509"/>
        <w:spacing w:after="0" w:line="23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spacing w:after="0" w:line="16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4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3"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Middle East and continued political uncertainty involving Russia and Ukraine, Israel and Hamas and the ongoing conflict between the U.S., Iran and Israel, respectively, and potentially other regions of Europe and the Middle East, there is an increased likelihood that escalation of tensions could result in cyberattacks that could either directly or indirectly impact our operations. In addition,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 Because of this, we face additional cybersecurity challenges, including threats to our own IT infrastructure or those of our clients, our clients’ customers,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5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46"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clients, FlyMates or other third parties, which could expose us to material financial losses and liability and otherwise harm our business.</w:t>
      </w:r>
    </w:p>
    <w:p>
      <w:pPr>
        <w:spacing w:after="0" w:line="99"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advanced uses of AI for fraudulent purposes,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5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4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2" w:lineRule="exact"/>
        <w:rPr>
          <w:sz w:val="20"/>
          <w:szCs w:val="20"/>
          <w:color w:val="auto"/>
        </w:rPr>
      </w:pPr>
    </w:p>
    <w:p>
      <w:pPr>
        <w:ind w:right="500"/>
        <w:spacing w:after="0" w:line="244" w:lineRule="auto"/>
        <w:rPr>
          <w:sz w:val="20"/>
          <w:szCs w:val="20"/>
          <w:color w:val="auto"/>
        </w:rPr>
      </w:pPr>
      <w:r>
        <w:rPr>
          <w:rFonts w:ascii="Arial" w:cs="Arial" w:eastAsia="Arial" w:hAnsi="Arial"/>
          <w:sz w:val="18"/>
          <w:szCs w:val="18"/>
          <w:b w:val="1"/>
          <w:bCs w:val="1"/>
          <w:i w:val="1"/>
          <w:iCs w:val="1"/>
          <w:color w:val="auto"/>
        </w:rPr>
        <w:t>We rely on a third-party digital asset partner to process stablecoin transactions and facilitate fiat conversion. Any operational failure, security breach, or regulatory action affecting our third-party digital asset partner could</w:t>
      </w: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3" w:name="page74"/>
    <w:bookmarkEnd w:id="73"/>
    <w:p>
      <w:pPr>
        <w:ind w:right="560"/>
        <w:spacing w:after="0" w:line="278" w:lineRule="auto"/>
        <w:rPr>
          <w:sz w:val="20"/>
          <w:szCs w:val="20"/>
          <w:color w:val="auto"/>
        </w:rPr>
      </w:pPr>
      <w:r>
        <w:rPr>
          <w:rFonts w:ascii="Arial" w:cs="Arial" w:eastAsia="Arial" w:hAnsi="Arial"/>
          <w:sz w:val="18"/>
          <w:szCs w:val="18"/>
          <w:b w:val="1"/>
          <w:bCs w:val="1"/>
          <w:i w:val="1"/>
          <w:iCs w:val="1"/>
          <w:color w:val="auto"/>
        </w:rPr>
        <w:t>expose us to additional financial, regulatory, operational, and market risks that could adversely affect our business, financial condition, and results of operations.</w:t>
      </w:r>
    </w:p>
    <w:p>
      <w:pPr>
        <w:spacing w:after="0" w:line="11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To enable our clients to offer stablecoin payment options, we partner with a third-party digital asset service provider (the "Digital Asset Partner"). Under this arrangement, the Digital Asset Partner receives the stablecoins directly from the client's customer, converts the digital assets into fiat currency, and settles the fiat currency to us for payout to our client. We do not buy, sell, receive, transmit, custody, hold, issue, or exchange digital assets. However, we are highly dependent on the operational and financial stability of our Digital Asset Partner. If our Digital Asset Partner experiences system outages, cybersecurity breaches, insolvency, or loss of its regulatory authorizations or banking relationships, the conversion and settlement of funds could be delayed or frozen (temporarily or permanently).</w:t>
      </w:r>
    </w:p>
    <w:p>
      <w:pPr>
        <w:spacing w:after="0" w:line="138"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Stablecoins also introduce additional operational and cybersecurity risks. The blockchain networks and digital wallets our Digital Asset Partner uses to process stablecoin transactions may be vulnerable to congestion, security breaches, hacking, phishing attacks, software bugs, hard forks, and network failures. Any of these could result in the loss or theft of stablecoin funds, for which we may have limited recourse due to the decentralized and irreversible nature of blockchain transactions. If our Digital Asset Provider, the public blockchain networks, or any stablecoin issuers experience insolvency, operational disruptions, or fraudulent activity, our Digital Asset Partner’s ability to process payments or convert stablecoins to fiat currency could be impaired, potentially leading to financial losses or liquidity constraints.</w:t>
      </w:r>
    </w:p>
    <w:p>
      <w:pPr>
        <w:spacing w:after="0" w:line="12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Although we operate exclusively in fiat currency, our Digital Asset Partner’s processing of stablecoin payments indirectly exposes us to complex, evolving, and uncertain digital asset regulations. The regulatory environment surrounding stablecoins remains uncertain and rapidly evolving. Legislatures and regulatory bodies, including foreign authorities, continue to evaluate whether stablecoins constitute securities, commodities, or other regulated financial instruments. Although our business model is limited to receiving and settling in fiat currency, regulators may interpret existing laws and regulations to apply to our activities or our integration with our Digital Asset Partner. In addition, new laws, regulations, or enforcement actions could impose significant compliance obligations on our Digital Asset Partner or on us, including additional licensing, AML and KYC requirements. This could restrict our ability to continue collaborating with our Digital Asset Partner, result in unfavorable changes in use, transfer, and redemption of stablecoins, or impose tax liabilities upon stablecoin holders. Noncompliance with such regulations, even unintentional, could result in fines, penalties, legal proceedings, and reputational harm. Furthermore, if a stablecoin issuer is deemed non-compliant with applicable laws, it could disrupt our payment operations or expose us to liability for including a non-compliant stablecoin as a payment option in our client’s checkout.</w:t>
      </w:r>
    </w:p>
    <w:p>
      <w:pPr>
        <w:spacing w:after="0" w:line="15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stablecoins utilized in our payment flows may be subject to "de-pegging" events and market volatility and are not protected by deposit insurance. Although stablecoins are designed to maintain a stable value while being pegged to fiat currencies like the U.S. dollar, the stability and reliability of stablecoins are not guaranteed and depend on various factors beyond our control, including the financial health of the issuing entity, the adequacy and liquidity of reserve assets, and the effectiveness of the underlying stabilization mechanisms. A stablecoin that our Digital Asset Partner handles may experience a significant devaluation or “de-pegging” event (“De-pegging Event”), where its market value drops materially below its intended fiat value peg due to algorithmic failures, lack of adequate reserve assets, or panic selling. If a De-pegging Event occurs during the window between a payer initiating a checkout and our Digital Asset Partner executing the conversion from stablecoin to fiat, it could result in a shortfall of fiat funds delivered to us, causing us to incur losses. A De-pegging Event could also cause disruptions in transaction processing and may cause our clients or our client's customers to lose confidence in us. All of these things could negatively impact our financial condition, operations, and reputation. Moreover, stablecoins are not subject to any deposit insurance protection scheme, and the presence of fiat currency reserves is not a guarantee for redemption. There is a possibility that the assets that stablecoin issuers hold in reserves are not sufficient or may not be available for redemption at times of extremely high demand. Volatility spikes in the cryptocurrency markets also might lead to De-pegging Events.</w:t>
      </w:r>
    </w:p>
    <w:p>
      <w:pPr>
        <w:spacing w:after="0" w:line="14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Stablecoins are a relatively new payment method, and they present additional risks related to market acceptance. If clients or their customers lose confidence in stablecoins due to volatility, scandals, legislative or regulatory actions, or other factors, demand for stablecoin payment options could decline or we would be forced to incur costs to adapt to such changes. Conversely, if we cease enabling stablecoin as a payment method in response to these risks, we may alienate a segment of our client or client’s customer base that prefers cryptocurrency payments, potentially reducing our market competitiveness.</w:t>
      </w:r>
    </w:p>
    <w:p>
      <w:pPr>
        <w:spacing w:after="0" w:line="136"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Fluctuations in the broader cryptocurrency market could also indirectly impact stablecoin transactions. A significant downturn in cryptocurrency prices or public sentiment could trigger redemption pressures on stablecoin issuers, straining their reserves and increasing the likelihood of instability. Such events could disrupt our Digital Asset Partner’s payment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processing capabilities and financial position and, in turn, negatively impact our financial condition, operations, and reputation</w:t>
      </w:r>
    </w:p>
    <w:p>
      <w:pPr>
        <w:spacing w:after="0" w:line="18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1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5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auto"/>
        </w:rPr>
        <w:t>We use artificial intelligence (AI) in our solutions and services which may result in operational challenges, legal liability, reputational harm, competitive risks and regulatory and enhanced fraud concerns that could adversely affect our business and results of operations.</w:t>
      </w:r>
    </w:p>
    <w:p>
      <w:pPr>
        <w:spacing w:after="0" w:line="11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incorporate AI, including generative AI, into our solutions and services, including into our payor virtual assistant self-help chatbot. We may also incorporate or resell third-party AI technology into the services we provide to our clients. In addition, as part of our broader digital transformation strategy, we are integrating artificial intelligence to support our internal business functions and exploring additional uses for the future. These technologies are complex and rapidly evolving and building them requires significant investment in infrastructure and personnel with no assurance that we will realize the desired or anticipated benefits. There is no assurance that the usage of such AI-powered solutions, whether developed in-house or sourced from third-parties, will enhance our business, or otherwise help our operations become more effective, efficient, or profitable. The models underlying our AI-powered solutions may be incorrectly or inadequately designed or implemented. They may also be trained on, or otherwise use, biased, incomplete, inaccurate, misleading, or poor-quality data or algorithms, any of which may not be easily detectable. AI-powered solutions may also be adversely impacted by unforeseen defects, technical challenges, cyberattacks, cybersecurity breaches, service outages or other similar incidents, or material performance issues. Accordingly, our use or delivery to our clients of AI-powered solutions may inadvertently reduce our effectiveness and efficiency or generate unintentional or unexpected outputs (including any AI-generated content, analyses, or recommendations) that are, or are perceived to be, biased, incomplete, inaccurate, misleading, poor-quality, unethical, or otherwise deficient or flawed, do not match our business goals, standards, or values, do not comply with our policies or procedures, harm our brand or reputation, negatively impact or clients or clients’ customers or partners, or otherwise interfere with the performance of our business.</w:t>
      </w:r>
    </w:p>
    <w:p>
      <w:pPr>
        <w:spacing w:after="0" w:line="14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rapid adoption of generative AI technologies—such as OpenAI’s ChatGPT and similar tools—may adversely impact certain categories of our traditional clients, including online learning platforms and education technology providers. As students increasingly use AI tools as substitutes for conventional digital learning and tutoring services, these clients could experience reduced demand for their offerings, which in turn may decrease the volume of transactions processed through our platform and negatively affect our results of operations.</w:t>
      </w: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5" w:name="page76"/>
    <w:bookmarkEnd w:id="75"/>
    <w:p>
      <w:pPr>
        <w:ind w:right="40" w:firstLine="509"/>
        <w:spacing w:after="0" w:line="239" w:lineRule="auto"/>
        <w:rPr>
          <w:sz w:val="20"/>
          <w:szCs w:val="20"/>
          <w:color w:val="auto"/>
        </w:rPr>
      </w:pPr>
      <w:r>
        <w:rPr>
          <w:rFonts w:ascii="Arial" w:cs="Arial" w:eastAsia="Arial" w:hAnsi="Arial"/>
          <w:sz w:val="18"/>
          <w:szCs w:val="18"/>
          <w:color w:val="auto"/>
        </w:rPr>
        <w:t>Our competitors may more successfully or more quickly incorporate AI into their products and achieve higher market acceptance of their AI solutions, which could impair our ability to compete effectively and adversely affect our results of operations, and we may also encounter new risks, challenges, and unintended consequences as a result of our use of AI. For example, the issue of intellectual property ownership and license rights surrounding AI technologies has not been fully addressed by U.S. or international courts or federal or state laws and regulations. We may not have adequate rights to use the data on which our AI-powered solutions rely. To the extent that we do not have sufficient rights to use the data used in, or produced by, the AI-powered solutions employed in our business and operations, we could be exposed to intellectual property claims or mandatory compliance with open-source software or other license terms. Further, any content or other output created by us using AI-powered solutions may not be subject to copyright protection, which may adversely affect our ability to commercialize or use, or the validity or enforceability of any IP rights in, such content or other output.</w:t>
      </w:r>
    </w:p>
    <w:p>
      <w:pPr>
        <w:spacing w:after="0" w:line="15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use of AI may also lead to novel cybersecurity or privacy risks, including those that implicate the confidential and personal information of users of AI-powered solutions, which may adversely affect our operations and reputation and expose us to legal liability or regulatory risks, including with respect to third-party IP rights or privacy, publicity, contractual, or other rights. If any of our employees, contractors, or other third parties with whom we partner input confidential or personal information while using any third-party AI-powered solution in connection with our business or the products, solutions, and services they provide to us, such practice may lead to the inadvertent disclosure of such confidential or personal information, which may impact our ability to realize the benefit of, or adequately obtain, maintain, protect, defend, and enforce our IP rights in, such information or otherwise harm our competitive position, reputation, or business.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European Union’s Artificial Intelligence Act (the EU AI Act), which would apply beyond the European Union's borders, came into force in August 2024, and various other governments have proposed or adopted policy and regulatory responses to oversee the use of AI. There is a risk that our current or future AI-powered solutions may obligate us to comply with the applicable requirements of the EU AI Act, which may impose additional costs on us, increase our risk of liability and fines, or otherwise adversely affect our business, financial condition, operating results, and future prospects. Compliance with other regulations as well as social and ethical standards and client expectations relating to AI may require significant research and development costs as well as management and employee attention. Any actual or perceived failure to comply with these laws, regulations, ethical standards or expectations could include severe penalties, reputational harm, and slow adoption of AI in our solutions and services. In addition, our business may be disrupted if any of the third-party AI services we use become unavailable due to extended outages or commercially unreasonable terms of service.</w:t>
      </w:r>
    </w:p>
    <w:p>
      <w:pPr>
        <w:spacing w:after="0" w:line="14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the nefarious and fraudulent uses of AI by bad actors could lead to reputational damage if we fail, or are perceived to fail, to align our AML, KYC, sanctions and verification screening policies, procedures and protocols to detect fraudulent activity relating to the use of AI. Such failures may result in financial loss to our business, other fines, penalties or disciplinary actions imposed by regulators, lawsuits and claims from negatively impacted clients or payors, and may also erode trust in the use of our services by clients and our clients’ customers. Although we take steps designed to mitigate the risks associated with the use of AI in our business and operations, our use or the use of AI for fraudulent purposes by bad actors may present ethical, reputational, technical, operational, legal, competitive, or regulatory risks, any of which could adversely affect our business, financial condition, operating results, and future prospects.</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6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w:t>
      </w:r>
    </w:p>
    <w:p>
      <w:pPr>
        <w:spacing w:after="0" w:line="14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w:t>
      </w: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6" w:name="page77"/>
    <w:bookmarkEnd w:id="76"/>
    <w:p>
      <w:pPr>
        <w:ind w:right="60"/>
        <w:spacing w:after="0" w:line="271" w:lineRule="auto"/>
        <w:rPr>
          <w:sz w:val="20"/>
          <w:szCs w:val="20"/>
          <w:color w:val="auto"/>
        </w:rPr>
      </w:pPr>
      <w:r>
        <w:rPr>
          <w:rFonts w:ascii="Arial" w:cs="Arial" w:eastAsia="Arial" w:hAnsi="Arial"/>
          <w:sz w:val="18"/>
          <w:szCs w:val="18"/>
          <w:color w:val="auto"/>
        </w:rPr>
        <w:t>ability to offer certain cards as a payment method to our clients’ customers, or such payments could become prohibitively expensive for us or for our clients.</w:t>
      </w:r>
    </w:p>
    <w:p>
      <w:pPr>
        <w:spacing w:after="0" w:line="12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Additionally, from time to time, American Express and the card networks, including Visa and Mastercard, increase the fees that they charge processors. Changes in pricing, fee structures, or network rules by American Express or other card networks could adversely affect our costs and margins. We rely on global card networks, including American Express, to process certain payment types, and these networks may from time to time modify their interchange rates, assessments, discount fees, or other pricing components, or apply different cost structures based on the nature of an underlying transaction (such as education, travel, healthcare, or other categories) or the manner in which Flywire or our transactions are classified under their rules. If a card network were to reclassify Flywire, our customers, or specific payment flows, or to increase fees applicable to one or more of our core verticals, we may be unable to fully pass those increased costs on to customers without adversely affecting demand, competitiveness, or customer relationships.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19"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Flywire's platform is designed to integrate with a broad ecosystem of ERP and financial management systems, such as Workday and Oracle for B2B payments, Oracle, Workday and Ellucian for education, Epic Systems for healthcare, and Rezdy for travel. These integrations enhance our ability to streamline complex flows, improve operational efficiency, and deepen our value proposition across vertical markets.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52" w:lineRule="exact"/>
        <w:rPr>
          <w:sz w:val="20"/>
          <w:szCs w:val="20"/>
          <w:color w:val="auto"/>
        </w:rPr>
      </w:pPr>
    </w:p>
    <w:p>
      <w:pPr>
        <w:jc w:val="both"/>
        <w:ind w:right="540" w:firstLine="509"/>
        <w:spacing w:after="0" w:line="253"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28"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8" w:lineRule="exact"/>
        <w:rPr>
          <w:sz w:val="20"/>
          <w:szCs w:val="20"/>
          <w:color w:val="auto"/>
        </w:rPr>
      </w:pPr>
    </w:p>
    <w:p>
      <w:pPr>
        <w:jc w:val="both"/>
        <w:ind w:right="20" w:firstLine="509"/>
        <w:spacing w:after="0" w:line="275" w:lineRule="auto"/>
        <w:rPr>
          <w:sz w:val="20"/>
          <w:szCs w:val="20"/>
          <w:color w:val="auto"/>
        </w:rPr>
      </w:pPr>
      <w:r>
        <w:rPr>
          <w:rFonts w:ascii="Arial" w:cs="Arial" w:eastAsia="Arial" w:hAnsi="Arial"/>
          <w:sz w:val="17"/>
          <w:szCs w:val="17"/>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27"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If we fail to maintain, protect and enhance our brand, our ability to expand our client base will be impaired and our business, operating results, and financial condition may suffer.</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believe that further developing, maintaining, protecting and enhancing our brand domestically and on a global basis is important to support the marketing and sale of our existing and future solutions to existing and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our solutions from competitive solutions. Our brand promotion activities may not generate client awareness or yield increased revenue, and even if they do, any increased revenue may not offset the expenses we incur in maintaining and building our brand. If we fail to successfully promote and maintain our brand or if we incur excessive expenses in this effort, our business could suffer.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7" w:name="page78"/>
    <w:bookmarkEnd w:id="77"/>
    <w:p>
      <w:pPr>
        <w:ind w:right="500" w:firstLine="509"/>
        <w:spacing w:after="0" w:line="244" w:lineRule="auto"/>
        <w:rPr>
          <w:sz w:val="20"/>
          <w:szCs w:val="20"/>
          <w:color w:val="auto"/>
        </w:rPr>
      </w:pPr>
      <w:r>
        <w:rPr>
          <w:rFonts w:ascii="Arial" w:cs="Arial" w:eastAsia="Arial" w:hAnsi="Arial"/>
          <w:sz w:val="18"/>
          <w:szCs w:val="18"/>
          <w:color w:val="auto"/>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p>
    <w:p>
      <w:pPr>
        <w:spacing w:after="0" w:line="14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clients and their customers with us, our products or services could adversely affect our reputation and the confidence in and use of our solutions. If we do not successfully maintain, protect or enhance our brands, our business could be materially and adversely affected.</w:t>
      </w:r>
    </w:p>
    <w:p>
      <w:pPr>
        <w:spacing w:after="0" w:line="151"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4"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immigration policy and regulatory changes may also affect our ability to hire, mobilize, or retain some of our global talent. If we fail to identify, attract, develop and integrate new personnel, or fail to retain and motivate our current personnel, our growth prospects would be adversely affected.</w:t>
      </w:r>
    </w:p>
    <w:p>
      <w:pPr>
        <w:spacing w:after="0" w:line="140" w:lineRule="exact"/>
        <w:rPr>
          <w:sz w:val="20"/>
          <w:szCs w:val="20"/>
          <w:color w:val="auto"/>
        </w:rPr>
      </w:pPr>
    </w:p>
    <w:p>
      <w:pPr>
        <w:ind w:right="640" w:firstLine="509"/>
        <w:spacing w:after="0" w:line="245" w:lineRule="auto"/>
        <w:rPr>
          <w:sz w:val="20"/>
          <w:szCs w:val="20"/>
          <w:color w:val="auto"/>
        </w:rPr>
      </w:pPr>
      <w:r>
        <w:rPr>
          <w:rFonts w:ascii="Arial" w:cs="Arial" w:eastAsia="Arial" w:hAnsi="Arial"/>
          <w:sz w:val="18"/>
          <w:szCs w:val="18"/>
          <w:color w:val="auto"/>
        </w:rPr>
        <w:t>We rely on highly skilled employees, including software engineers and product specialists, many of whom are foreign nationals working in the United States under H-1B and other temporary work visas. In September 2025, the U.S.</w:t>
      </w: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78" w:name="page79"/>
    <w:bookmarkEnd w:id="78"/>
    <w:p>
      <w:pPr>
        <w:ind w:right="40"/>
        <w:spacing w:after="0" w:line="239" w:lineRule="auto"/>
        <w:rPr>
          <w:sz w:val="20"/>
          <w:szCs w:val="20"/>
          <w:color w:val="auto"/>
        </w:rPr>
      </w:pPr>
      <w:r>
        <w:rPr>
          <w:rFonts w:ascii="Arial" w:cs="Arial" w:eastAsia="Arial" w:hAnsi="Arial"/>
          <w:sz w:val="18"/>
          <w:szCs w:val="18"/>
          <w:color w:val="auto"/>
        </w:rPr>
        <w:t>government announced its plans to require employers pay a $100,000 filing fee per H-1B visa petition to bring new H-1B workers into the U.S. The new H-1B visa fee does not apply to international students already in the U.S. looking to apply for a status change, but this new requirement significantly increases the cost of employing new nationals in the U.S and could materially impact our operating expenses and our ability to attract specialized talent. If these visa-related costs remain in effect or increase further, we may be required to reduce our reliance on new H-1B visa holders or absorb materially higher personnel costs, either of which could negatively affect our financial performance. In addition, the number of H-1B visas available each year is limited by quota and lottery, and future changes in immigration laws or enforcement could further restrict our access to qualified foreign workers. Our inability to recruit or retain critical technical and operational talent—whether due to higher visa costs, policy changes, or processing delays—could hinder our ability to innovate, maintain our technology infrastructure, or expand internationally.</w:t>
      </w:r>
    </w:p>
    <w:p>
      <w:pPr>
        <w:spacing w:after="0" w:line="156"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new visa fee requirement could also indirectly affect our global operations. Increased hiring costs in the United States may lead us to reallocate engineering or compliance resources abroad, resulting in higher coordination costs, reduced operational efficiency, or delays in product development. If we are unable to effectively manage these transitions or attract equivalent talent in other jurisdictions, our business, financial condition, and results of operations could be materially and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6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6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of our solutions tend to vary depending on the client industry sector which makes forecasting more complex and uncertain.</w:t>
      </w:r>
    </w:p>
    <w:p>
      <w:pPr>
        <w:spacing w:after="0" w:line="11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heightened inflationary conditions, regulatory concerns, recession concerns, priorities of the U.S. presidential administration and related changes in laws, regulations or policies, and the escalation of hostilities between Russia and Ukraine, or the ongoing conflict between the U.S., Iran and Israel in the Middle East or the failure of an agreed-upon peace in the conflict between Israel and Hamas to become permanent),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5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w:t>
      </w: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79" w:name="page80"/>
    <w:bookmarkEnd w:id="79"/>
    <w:p>
      <w:pPr>
        <w:ind w:right="380"/>
        <w:spacing w:after="0" w:line="271" w:lineRule="auto"/>
        <w:rPr>
          <w:sz w:val="20"/>
          <w:szCs w:val="20"/>
          <w:color w:val="auto"/>
        </w:rPr>
      </w:pPr>
      <w:r>
        <w:rPr>
          <w:rFonts w:ascii="Arial" w:cs="Arial" w:eastAsia="Arial" w:hAnsi="Arial"/>
          <w:sz w:val="18"/>
          <w:szCs w:val="18"/>
          <w:color w:val="auto"/>
        </w:rPr>
        <w:t>implementation could cause clients to reject our solutions or lead to the delay or non-receipt of future orders, in which case our business, operating results and financial condition would be harmed.</w:t>
      </w:r>
    </w:p>
    <w:p>
      <w:pPr>
        <w:spacing w:after="0" w:line="129"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p>
    <w:p>
      <w:pPr>
        <w:spacing w:after="0" w:line="142"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1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43"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5"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1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6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completed. In connection with any potential acquisitions, particularly of businesses with legacy or less robust information technology and cybersecurity controls than ours, we may face heightened vulnerability to cybersecurity threats, including pre-existing or undiscovered compromises which may lead to data loss, interruptions, increased integration and remediation costs, regulatory investigations, reputational harm, and other adverse impacts.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acquisitions of Sertifi in February 2025 and Invoiced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August 2024, will likely be accompanied by business risks which may include, among other things:</w:t>
      </w:r>
    </w:p>
    <w:p>
      <w:pPr>
        <w:spacing w:after="0" w:line="86" w:lineRule="exact"/>
        <w:rPr>
          <w:sz w:val="20"/>
          <w:szCs w:val="20"/>
          <w:color w:val="auto"/>
        </w:rPr>
      </w:pPr>
    </w:p>
    <w:p>
      <w:pPr>
        <w:ind w:left="460" w:hanging="302"/>
        <w:spacing w:after="0"/>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the acquisition on our financial results, strategic position or reputation;</w:t>
      </w:r>
    </w:p>
    <w:p>
      <w:pPr>
        <w:spacing w:after="0" w:line="116" w:lineRule="exact"/>
        <w:rPr>
          <w:rFonts w:ascii="Times New Roman" w:cs="Times New Roman" w:eastAsia="Times New Roman" w:hAnsi="Times New Roman"/>
          <w:sz w:val="18"/>
          <w:szCs w:val="18"/>
          <w:color w:val="auto"/>
        </w:rPr>
      </w:pPr>
    </w:p>
    <w:p>
      <w:pPr>
        <w:ind w:left="460" w:right="500" w:hanging="302"/>
        <w:spacing w:after="0" w:line="270" w:lineRule="auto"/>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46" w:lineRule="exact"/>
        <w:rPr>
          <w:rFonts w:ascii="Times New Roman" w:cs="Times New Roman" w:eastAsia="Times New Roman" w:hAnsi="Times New Roman"/>
          <w:sz w:val="18"/>
          <w:szCs w:val="18"/>
          <w:color w:val="auto"/>
        </w:rPr>
      </w:pPr>
    </w:p>
    <w:p>
      <w:pPr>
        <w:ind w:left="460" w:right="280" w:hanging="302"/>
        <w:spacing w:after="0" w:line="270" w:lineRule="auto"/>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16" w:lineRule="exact"/>
        <w:rPr>
          <w:rFonts w:ascii="Times New Roman" w:cs="Times New Roman" w:eastAsia="Times New Roman" w:hAnsi="Times New Roman"/>
          <w:sz w:val="18"/>
          <w:szCs w:val="18"/>
          <w:color w:val="auto"/>
        </w:rPr>
      </w:pPr>
    </w:p>
    <w:p>
      <w:pPr>
        <w:ind w:left="460" w:right="280" w:hanging="302"/>
        <w:spacing w:after="0" w:line="270" w:lineRule="auto"/>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46" w:lineRule="exact"/>
        <w:rPr>
          <w:rFonts w:ascii="Times New Roman" w:cs="Times New Roman" w:eastAsia="Times New Roman" w:hAnsi="Times New Roman"/>
          <w:sz w:val="18"/>
          <w:szCs w:val="18"/>
          <w:color w:val="auto"/>
        </w:rPr>
      </w:pPr>
    </w:p>
    <w:p>
      <w:pPr>
        <w:ind w:left="460" w:right="340" w:hanging="302"/>
        <w:spacing w:after="0" w:line="270" w:lineRule="auto"/>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 lack of experience in new markets, new geographies, new business culture, products or technologies or an initial dependence on unfamiliar distribution partners;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loss of key employees of the acquired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Sertifi has been the largest acquisition in our operating history. We may not realize the anticipated benefits of our acquisition of Sertifi on the expected timeline or at all, which could adversely affect our business and financial results. Achieving expected synergies depends on, among other things, the successful integration and reconciliation of Sertifi’s platform and data with our existing systems, the effective monetization of acquired payment flows, and the onboarding and migration of Sertifi’s legacy customers to Flywire’s platform, each of which may prove more complex, time-consuming, or costly than anticipated. Delays or challenges in these areas could increase operating expenses, limit revenue growth, and reduce the strategic and financial benefits we expected from the transaction.</w:t>
      </w:r>
    </w:p>
    <w:p>
      <w:pPr>
        <w:spacing w:after="0" w:line="152"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0" w:lineRule="exact"/>
        <w:rPr>
          <w:sz w:val="20"/>
          <w:szCs w:val="20"/>
          <w:color w:val="auto"/>
        </w:rPr>
      </w:pPr>
    </w:p>
    <w:p>
      <w:pPr>
        <w:ind w:right="780"/>
        <w:spacing w:after="0" w:line="278" w:lineRule="auto"/>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and core payment platform could harm our business.</w:t>
      </w:r>
    </w:p>
    <w:p>
      <w:pPr>
        <w:spacing w:after="0" w:line="99"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Our systems and payment platform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the continuation or escalation of the conflicts between Russia and Ukraine, Israel and Hamas, and the ongoing conflict between the U.S., Iran and Israel,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6" w:right="399" w:bottom="1440" w:gutter="0" w:footer="0" w:header="0"/>
        </w:sectPr>
      </w:pPr>
    </w:p>
    <w:bookmarkStart w:id="81" w:name="page82"/>
    <w:bookmarkEnd w:id="81"/>
    <w:p>
      <w:pPr>
        <w:ind w:right="680"/>
        <w:spacing w:after="0" w:line="271" w:lineRule="auto"/>
        <w:rPr>
          <w:sz w:val="20"/>
          <w:szCs w:val="20"/>
          <w:color w:val="auto"/>
        </w:rPr>
      </w:pPr>
      <w:r>
        <w:rPr>
          <w:rFonts w:ascii="Arial" w:cs="Arial" w:eastAsia="Arial" w:hAnsi="Arial"/>
          <w:sz w:val="18"/>
          <w:szCs w:val="18"/>
          <w:color w:val="auto"/>
        </w:rPr>
        <w:t>rigorous testing of such plans, which are costly and time-consuming to implement, and may divert our resources from other business priorities.</w:t>
      </w:r>
    </w:p>
    <w:p>
      <w:pPr>
        <w:spacing w:after="0" w:line="12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A prolonged interruption in the availability, speed, or functionality of our solutions, payment platform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or platform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38"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and payment platform.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3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use public cloud hosting with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conflicts between Russia and Ukraine, or in the Middle East involving the U.S., Israel, Hamas and Iran,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04" w:lineRule="exact"/>
        <w:rPr>
          <w:sz w:val="20"/>
          <w:szCs w:val="20"/>
          <w:color w:val="auto"/>
        </w:rPr>
      </w:pPr>
    </w:p>
    <w:p>
      <w:pPr>
        <w:ind w:left="460" w:hanging="302"/>
        <w:spacing w:after="0"/>
        <w:tabs>
          <w:tab w:leader="none" w:pos="4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6" w:lineRule="exact"/>
        <w:rPr>
          <w:rFonts w:ascii="Times New Roman" w:cs="Times New Roman" w:eastAsia="Times New Roman" w:hAnsi="Times New Roman"/>
          <w:sz w:val="18"/>
          <w:szCs w:val="18"/>
          <w:color w:val="auto"/>
        </w:rPr>
      </w:pPr>
    </w:p>
    <w:p>
      <w:pPr>
        <w:ind w:left="460" w:right="80" w:hanging="302"/>
        <w:spacing w:after="0" w:line="270" w:lineRule="auto"/>
        <w:tabs>
          <w:tab w:leader="none" w:pos="4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cyber and payment fraud risk, as cybercriminals attempt DDoS related attacks, phishing scams and other disruptive actions, given the shift to online banking, e-commerce and other online activity, as well as more FlyMates working remotely; and</w:t>
      </w:r>
    </w:p>
    <w:p>
      <w:pPr>
        <w:spacing w:after="0" w:line="46" w:lineRule="exact"/>
        <w:rPr>
          <w:rFonts w:ascii="Times New Roman" w:cs="Times New Roman" w:eastAsia="Times New Roman" w:hAnsi="Times New Roman"/>
          <w:sz w:val="18"/>
          <w:szCs w:val="18"/>
          <w:color w:val="auto"/>
        </w:rPr>
      </w:pPr>
    </w:p>
    <w:p>
      <w:pPr>
        <w:ind w:left="460" w:right="120" w:hanging="302"/>
        <w:spacing w:after="0" w:line="252" w:lineRule="auto"/>
        <w:tabs>
          <w:tab w:leader="none" w:pos="4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3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Our solutions and payment platform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platform or impede our ability to grow our business and scale our operations. If our third-party infrastructure service agreements are terminated, or there is a lapse of service, interruption of internet service provider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2" w:name="page83"/>
    <w:bookmarkEnd w:id="82"/>
    <w:p>
      <w:pPr>
        <w:ind w:right="640"/>
        <w:spacing w:after="0" w:line="271" w:lineRule="auto"/>
        <w:rPr>
          <w:sz w:val="20"/>
          <w:szCs w:val="20"/>
          <w:color w:val="auto"/>
        </w:rPr>
      </w:pPr>
      <w:r>
        <w:rPr>
          <w:rFonts w:ascii="Arial" w:cs="Arial" w:eastAsia="Arial" w:hAnsi="Arial"/>
          <w:sz w:val="18"/>
          <w:szCs w:val="18"/>
          <w:color w:val="auto"/>
        </w:rPr>
        <w:t>connectivity, or damage to data centers, we could experience interruptions in access to our solutions as well as delays and additional expense in arranging new facilities and services.</w:t>
      </w:r>
    </w:p>
    <w:p>
      <w:pPr>
        <w:spacing w:after="0" w:line="12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36"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We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2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potential implementation of tariffs, the possibility of renegotiated trade deals and international tax law treaties, priorities of the U.S. presidential administration and related changes in laws, regulations or policies, United States-China and Canada-India diplomatic and trade friction, heightened tensions between China and Taiwan and the continuation or escalation of the conflicts between Russia and Ukraine, Israel and Hamas and Israel, the U.S., and Iran,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75" w:lineRule="exact"/>
        <w:rPr>
          <w:sz w:val="20"/>
          <w:szCs w:val="20"/>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volatility;</w:t>
      </w:r>
    </w:p>
    <w:p>
      <w:pPr>
        <w:spacing w:after="0" w:line="116" w:lineRule="exact"/>
        <w:rPr>
          <w:rFonts w:ascii="Times New Roman" w:cs="Times New Roman" w:eastAsia="Times New Roman" w:hAnsi="Times New Roman"/>
          <w:sz w:val="18"/>
          <w:szCs w:val="18"/>
          <w:color w:val="auto"/>
        </w:rPr>
      </w:pPr>
    </w:p>
    <w:p>
      <w:pPr>
        <w:ind w:left="460" w:right="500" w:hanging="302"/>
        <w:spacing w:after="0" w:line="270" w:lineRule="auto"/>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adverse economic conditions in the United States and globally, including economic slowdown, heightened interest rates, inflation, recession concerns and the disruption, volatility and tightening of credit and capital markets;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compliance with multiple complex, potentially conflicting and changing governmental laws and regulations;</w:t>
      </w:r>
    </w:p>
    <w:p>
      <w:pPr>
        <w:spacing w:after="0" w:line="116" w:lineRule="exact"/>
        <w:rPr>
          <w:rFonts w:ascii="Times New Roman" w:cs="Times New Roman" w:eastAsia="Times New Roman" w:hAnsi="Times New Roman"/>
          <w:sz w:val="18"/>
          <w:szCs w:val="18"/>
          <w:color w:val="auto"/>
        </w:rPr>
      </w:pPr>
    </w:p>
    <w:p>
      <w:pPr>
        <w:ind w:left="460" w:right="200" w:hanging="302"/>
        <w:spacing w:after="0" w:line="270" w:lineRule="auto"/>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16" w:lineRule="exact"/>
        <w:rPr>
          <w:rFonts w:ascii="Times New Roman" w:cs="Times New Roman" w:eastAsia="Times New Roman" w:hAnsi="Times New Roman"/>
          <w:sz w:val="18"/>
          <w:szCs w:val="18"/>
          <w:color w:val="auto"/>
        </w:rPr>
      </w:pPr>
    </w:p>
    <w:p>
      <w:pPr>
        <w:ind w:left="460" w:right="40" w:hanging="302"/>
        <w:spacing w:after="0" w:line="270" w:lineRule="auto"/>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trade barriers, tariffs and changes in trade regulations;</w:t>
      </w:r>
    </w:p>
    <w:p>
      <w:pPr>
        <w:spacing w:after="0" w:line="116" w:lineRule="exact"/>
        <w:rPr>
          <w:rFonts w:ascii="Times New Roman" w:cs="Times New Roman" w:eastAsia="Times New Roman" w:hAnsi="Times New Roman"/>
          <w:sz w:val="18"/>
          <w:szCs w:val="18"/>
          <w:color w:val="auto"/>
        </w:rPr>
      </w:pPr>
    </w:p>
    <w:p>
      <w:pPr>
        <w:ind w:left="460" w:right="20" w:hanging="302"/>
        <w:spacing w:after="0" w:line="270" w:lineRule="auto"/>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sanctions on our ability to offer services in a region, such as sanctions issued by the U.S. and other countries against Russia;</w:t>
      </w:r>
    </w:p>
    <w:p>
      <w:pPr>
        <w:spacing w:after="0" w:line="46" w:lineRule="exact"/>
        <w:rPr>
          <w:rFonts w:ascii="Times New Roman" w:cs="Times New Roman" w:eastAsia="Times New Roman" w:hAnsi="Times New Roman"/>
          <w:sz w:val="18"/>
          <w:szCs w:val="18"/>
          <w:color w:val="auto"/>
        </w:rPr>
      </w:pPr>
    </w:p>
    <w:p>
      <w:pPr>
        <w:ind w:left="460" w:right="320" w:hanging="302"/>
        <w:spacing w:after="0" w:line="270" w:lineRule="auto"/>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stringent local labor laws and regulations;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3" w:name="page84"/>
    <w:bookmarkEnd w:id="83"/>
    <w:p>
      <w:pPr>
        <w:ind w:left="460" w:right="760" w:hanging="302"/>
        <w:spacing w:after="0" w:line="270"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46" w:lineRule="exact"/>
        <w:rPr>
          <w:rFonts w:ascii="Times New Roman" w:cs="Times New Roman" w:eastAsia="Times New Roman" w:hAnsi="Times New Roman"/>
          <w:sz w:val="18"/>
          <w:szCs w:val="18"/>
          <w:color w:val="auto"/>
        </w:rPr>
      </w:pPr>
    </w:p>
    <w:p>
      <w:pPr>
        <w:ind w:left="460" w:hanging="302"/>
        <w:spacing w:after="0" w:line="252"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diplomatic friction, political or social unrest, war or other military conflict, including the continuation or escalation of the conflicts between Russia and Ukraine, Israel and Hamas and Israel, the U.S., and Iran, respectively, economic instability, repression, or human rights issues;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16" w:lineRule="exact"/>
        <w:rPr>
          <w:rFonts w:ascii="Times New Roman" w:cs="Times New Roman" w:eastAsia="Times New Roman" w:hAnsi="Times New Roman"/>
          <w:sz w:val="18"/>
          <w:szCs w:val="18"/>
          <w:color w:val="auto"/>
        </w:rPr>
      </w:pPr>
    </w:p>
    <w:p>
      <w:pPr>
        <w:ind w:left="460" w:right="40" w:hanging="302"/>
        <w:spacing w:after="0" w:line="270"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16" w:lineRule="exact"/>
        <w:rPr>
          <w:rFonts w:ascii="Times New Roman" w:cs="Times New Roman" w:eastAsia="Times New Roman" w:hAnsi="Times New Roman"/>
          <w:sz w:val="18"/>
          <w:szCs w:val="18"/>
          <w:color w:val="auto"/>
        </w:rPr>
      </w:pPr>
    </w:p>
    <w:p>
      <w:pPr>
        <w:ind w:left="460" w:right="120" w:hanging="302"/>
        <w:spacing w:after="0" w:line="252"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regulations or policies in the United States and elsewhere and as described in more detail below;</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antitrust and competition regulations;</w:t>
      </w:r>
    </w:p>
    <w:p>
      <w:pPr>
        <w:spacing w:after="0" w:line="116" w:lineRule="exact"/>
        <w:rPr>
          <w:rFonts w:ascii="Times New Roman" w:cs="Times New Roman" w:eastAsia="Times New Roman" w:hAnsi="Times New Roman"/>
          <w:sz w:val="18"/>
          <w:szCs w:val="18"/>
          <w:color w:val="auto"/>
        </w:rPr>
      </w:pPr>
    </w:p>
    <w:p>
      <w:pPr>
        <w:ind w:left="460" w:right="220" w:hanging="302"/>
        <w:spacing w:after="0" w:line="246"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spacing w:after="0" w:line="68" w:lineRule="exact"/>
        <w:rPr>
          <w:rFonts w:ascii="Times New Roman" w:cs="Times New Roman" w:eastAsia="Times New Roman" w:hAnsi="Times New Roman"/>
          <w:sz w:val="18"/>
          <w:szCs w:val="18"/>
          <w:color w:val="auto"/>
        </w:rPr>
      </w:pPr>
    </w:p>
    <w:p>
      <w:pPr>
        <w:ind w:left="460" w:right="60" w:hanging="302"/>
        <w:spacing w:after="0" w:line="270" w:lineRule="auto"/>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expected or actual extended federal government shutdowns or the priorities of the U.S. presidential administration and related changes in laws, regulations or policies;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national or regional differences in macroeconomic growth rates;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difficulties in collecting accounts receivable.</w:t>
      </w:r>
    </w:p>
    <w:p>
      <w:pPr>
        <w:spacing w:after="0" w:line="184"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3"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ind w:right="180"/>
        <w:spacing w:after="0" w:line="278"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4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Certain of our subsidiaries are registered with FinCEN. Our subsidiary Flywire Global Corp. has obtained licenses to operate as a money transmitter (or the statutory equivalent) in 46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p>
    <w:p>
      <w:pPr>
        <w:spacing w:after="0" w:line="13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5"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Recent changes to card payment regulation announced by the Reserve Bank of Australia may also adversely affect our emerging business in Australia, operating results, and financial condition. In particular, the elimination of merchant surcharging on certain card networks beginning in October 2026, may increase the cost of card acceptance for merchants that use our platform and reduce the economics associated with domestic cross-border payment transactions processed in Australia. These changes would require select merchants to begin absorbing card-related costs, which are partially mitigated by new domestic interchange fee caps. These changes may compress margins on certain domestic payment flows or reduce the attractiveness of card-based payment methods relative to alternative payment options, and require us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5" w:name="page86"/>
    <w:bookmarkEnd w:id="85"/>
    <w:p>
      <w:pPr>
        <w:ind w:right="20"/>
        <w:spacing w:after="0" w:line="247" w:lineRule="auto"/>
        <w:rPr>
          <w:sz w:val="20"/>
          <w:szCs w:val="20"/>
          <w:color w:val="auto"/>
        </w:rPr>
      </w:pPr>
      <w:r>
        <w:rPr>
          <w:rFonts w:ascii="Arial" w:cs="Arial" w:eastAsia="Arial" w:hAnsi="Arial"/>
          <w:sz w:val="18"/>
          <w:szCs w:val="18"/>
          <w:color w:val="auto"/>
        </w:rPr>
        <w:t>to modify our pricing, routing, or product strategies. In addition, these regulatory developments may prompt issuers, networks, or other market participants to adjust their fee structures, incentives, or processing practices in ways that could further impact transaction volumes or revenue derived from Australian payment activity. Any of these effects, individually or in the aggregate, could adversely impact our business, operating results, and financial condition.</w:t>
      </w:r>
    </w:p>
    <w:p>
      <w:pPr>
        <w:spacing w:after="0" w:line="147"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27"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9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3"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46" w:lineRule="exact"/>
        <w:rPr>
          <w:sz w:val="20"/>
          <w:szCs w:val="20"/>
          <w:color w:val="auto"/>
        </w:rPr>
      </w:pPr>
    </w:p>
    <w:p>
      <w:pPr>
        <w:ind w:left="460" w:right="660" w:hanging="302"/>
        <w:spacing w:after="0" w:line="270" w:lineRule="auto"/>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client identification and client due diligence requirements;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impose minimum capital or other financial requirements;</w:t>
      </w:r>
    </w:p>
    <w:p>
      <w:pPr>
        <w:spacing w:after="0" w:line="116" w:lineRule="exact"/>
        <w:rPr>
          <w:rFonts w:ascii="Times New Roman" w:cs="Times New Roman" w:eastAsia="Times New Roman" w:hAnsi="Times New Roman"/>
          <w:sz w:val="18"/>
          <w:szCs w:val="18"/>
          <w:color w:val="auto"/>
        </w:rPr>
      </w:pPr>
    </w:p>
    <w:p>
      <w:pPr>
        <w:ind w:left="460" w:hanging="302"/>
        <w:spacing w:after="0" w:line="252" w:lineRule="auto"/>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16" w:lineRule="exact"/>
        <w:rPr>
          <w:rFonts w:ascii="Times New Roman" w:cs="Times New Roman" w:eastAsia="Times New Roman" w:hAnsi="Times New Roman"/>
          <w:sz w:val="18"/>
          <w:szCs w:val="18"/>
          <w:color w:val="auto"/>
        </w:rPr>
      </w:pPr>
    </w:p>
    <w:p>
      <w:pPr>
        <w:ind w:left="460" w:right="260" w:hanging="302"/>
        <w:spacing w:after="0" w:line="270" w:lineRule="auto"/>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46" w:lineRule="exact"/>
        <w:rPr>
          <w:rFonts w:ascii="Times New Roman" w:cs="Times New Roman" w:eastAsia="Times New Roman" w:hAnsi="Times New Roman"/>
          <w:sz w:val="18"/>
          <w:szCs w:val="18"/>
          <w:color w:val="auto"/>
        </w:rPr>
      </w:pPr>
    </w:p>
    <w:p>
      <w:pPr>
        <w:ind w:left="460" w:right="520" w:hanging="302"/>
        <w:spacing w:after="0" w:line="270" w:lineRule="auto"/>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46" w:lineRule="exact"/>
        <w:rPr>
          <w:rFonts w:ascii="Times New Roman" w:cs="Times New Roman" w:eastAsia="Times New Roman" w:hAnsi="Times New Roman"/>
          <w:sz w:val="18"/>
          <w:szCs w:val="18"/>
          <w:color w:val="auto"/>
        </w:rPr>
      </w:pPr>
    </w:p>
    <w:p>
      <w:pPr>
        <w:ind w:left="460" w:right="20" w:hanging="302"/>
        <w:spacing w:after="0" w:line="270" w:lineRule="auto"/>
        <w:tabs>
          <w:tab w:leader="none" w:pos="46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1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9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are currently required to comply with U.S. economic and trade sanctions administered by OFAC and we have processes in place designed to comply with the OFAC regulations as well as similar requirements in the foreign jurisdictions in which we already operate. As part of our compliance efforts, we scan our clients and their customers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76" w:right="399" w:bottom="1440" w:gutter="0" w:footer="0" w:header="0"/>
        </w:sectPr>
      </w:pPr>
    </w:p>
    <w:bookmarkStart w:id="86" w:name="page87"/>
    <w:bookmarkEnd w:id="86"/>
    <w:p>
      <w:pPr>
        <w:ind w:right="60"/>
        <w:spacing w:after="0" w:line="239" w:lineRule="auto"/>
        <w:rPr>
          <w:sz w:val="20"/>
          <w:szCs w:val="20"/>
          <w:color w:val="auto"/>
        </w:rPr>
      </w:pPr>
      <w:r>
        <w:rPr>
          <w:rFonts w:ascii="Arial" w:cs="Arial" w:eastAsia="Arial" w:hAnsi="Arial"/>
          <w:sz w:val="18"/>
          <w:szCs w:val="18"/>
          <w:color w:val="auto"/>
        </w:rPr>
        <w:t>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enhancing our sanctions compliance function, we initiated an internal review that identified issues related to our compliance with sanctions, including payments that may have originated from sanctioned jurisdictions or sanctioned persons. We have made voluntary submissions to OFAC to report the apparent violations and to provide supplemental information.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 with these or other transactions, it could result in penalties, fines, costs, and restrictions on our ability to do business, which could also harm our operating results.</w:t>
      </w:r>
    </w:p>
    <w:p>
      <w:pPr>
        <w:spacing w:after="0" w:line="15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4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business operations in other parts of the world such as the U.K., Lithuania, Canada, Australia, Hong Kong, New Zealand, Indonesia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4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38"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53"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4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88" w:name="page89"/>
    <w:bookmarkEnd w:id="88"/>
    <w:p>
      <w:pPr>
        <w:jc w:val="both"/>
        <w:ind w:right="60"/>
        <w:spacing w:after="0" w:line="253" w:lineRule="auto"/>
        <w:rPr>
          <w:sz w:val="20"/>
          <w:szCs w:val="20"/>
          <w:color w:val="auto"/>
        </w:rPr>
      </w:pPr>
      <w:r>
        <w:rPr>
          <w:rFonts w:ascii="Arial" w:cs="Arial" w:eastAsia="Arial" w:hAnsi="Arial"/>
          <w:sz w:val="18"/>
          <w:szCs w:val="18"/>
          <w:color w:val="auto"/>
        </w:rPr>
        <w:t>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4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3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40"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3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4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w:t>
      </w: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89" w:name="page90"/>
    <w:bookmarkEnd w:id="89"/>
    <w:p>
      <w:pPr>
        <w:ind w:right="80"/>
        <w:spacing w:after="0"/>
        <w:rPr>
          <w:sz w:val="20"/>
          <w:szCs w:val="20"/>
          <w:color w:val="auto"/>
        </w:rPr>
      </w:pPr>
      <w:r>
        <w:rPr>
          <w:rFonts w:ascii="Arial" w:cs="Arial" w:eastAsia="Arial" w:hAnsi="Arial"/>
          <w:sz w:val="18"/>
          <w:szCs w:val="18"/>
          <w:color w:val="auto"/>
        </w:rPr>
        <w:t>notifying security breaches and creating pseudonymous information exempt from certain obligations under the Amended APPI. On April 7, 2026, the Japanese Cabinet approved and submitted to the Diet a bill to amend the APPI, which includes both deregulatory measures and strengthened regulatory provisions. Key highlights among other matters include: a new consent exemption for statistical processing (e.g., AI development); broader relaxation of consent requirements; specific protections for children’s personal data; new rules on biometric data; and regulatory relief for entrusted data processors. Assuming the bill passes the Diet in 2026, the new rules are expected to take full effect by 2028 at the latest. We have taken steps to address compliance obligations that apply to us under the Amended APPI, but cannot assure you that such steps will be effective, and we may face the risk of increased costs, liability and loss of business.</w:t>
      </w:r>
    </w:p>
    <w:p>
      <w:pPr>
        <w:spacing w:after="0" w:line="15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spacing w:after="0" w:line="14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spacing w:after="0" w:line="144" w:lineRule="exact"/>
        <w:rPr>
          <w:sz w:val="20"/>
          <w:szCs w:val="20"/>
          <w:color w:val="auto"/>
        </w:rPr>
      </w:pPr>
    </w:p>
    <w:p>
      <w:pPr>
        <w:jc w:val="both"/>
        <w:ind w:right="160" w:firstLine="509"/>
        <w:spacing w:after="0" w:line="253"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4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0" w:name="page91"/>
    <w:bookmarkEnd w:id="90"/>
    <w:p>
      <w:pPr>
        <w:ind w:right="160"/>
        <w:spacing w:after="0" w:line="278"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solutions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45"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4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91" w:name="page92"/>
    <w:bookmarkEnd w:id="91"/>
    <w:p>
      <w:pPr>
        <w:ind w:right="160" w:firstLine="509"/>
        <w:spacing w:after="0" w:line="239"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spacing w:after="0" w:line="153"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4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47"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47"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9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2" w:name="page93"/>
    <w:bookmarkEnd w:id="92"/>
    <w:p>
      <w:pPr>
        <w:ind w:right="200"/>
        <w:spacing w:after="0" w:line="247" w:lineRule="auto"/>
        <w:rPr>
          <w:sz w:val="20"/>
          <w:szCs w:val="20"/>
          <w:color w:val="auto"/>
        </w:rPr>
      </w:pPr>
      <w:r>
        <w:rPr>
          <w:rFonts w:ascii="Arial" w:cs="Arial" w:eastAsia="Arial" w:hAnsi="Arial"/>
          <w:sz w:val="18"/>
          <w:szCs w:val="18"/>
          <w:color w:val="auto"/>
        </w:rPr>
        <w:t>to use such open source software, and consequently to provide or distribute our solutions. Although use of open source software has historically been free,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4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7"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61"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9"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38"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4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3" w:name="page94"/>
    <w:bookmarkEnd w:id="93"/>
    <w:p>
      <w:pPr>
        <w:ind w:right="100"/>
        <w:spacing w:after="0" w:line="247" w:lineRule="auto"/>
        <w:rPr>
          <w:sz w:val="20"/>
          <w:szCs w:val="20"/>
          <w:color w:val="auto"/>
        </w:rPr>
      </w:pPr>
      <w:r>
        <w:rPr>
          <w:rFonts w:ascii="Arial" w:cs="Arial" w:eastAsia="Arial" w:hAnsi="Arial"/>
          <w:sz w:val="18"/>
          <w:szCs w:val="18"/>
          <w:color w:val="auto"/>
        </w:rPr>
        <w:t>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47"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8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As of March 31, 2026, we had U.S. federal NOL carryforwards of approximately $ 0.1 million and state NOL carryforwards of approximately $75.9 million. The federal and material state NOL carryforwards will both begin to expire in 2031. Ownership changes, as defined under Internal Revenue Code Section 382 and similar state provisions, may limit the amount of federal and state NOL and credit carryforwards that can be utilized annually to offset future federal and state taxable income and tax. Generally, an ownership change occurs when the ownership percentage of 5% or greater stockholders increases by more than 50% over a three-year period. Accordingly, the purchase of our stock in amounts greater than specified levels could limit our ability to utilize federal and state NOL and credit carryforwards for tax purposes.</w:t>
      </w:r>
    </w:p>
    <w:p>
      <w:pPr>
        <w:spacing w:after="0" w:line="144"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During 2022, we completed a Section 382 study and as a result of the ownership changes identified, $1.6 million of Flywire’s NOLs and $0.2 million of Simplificare Inc.’s NOLs will expire unutilized, assuming sufficient taxable income is generated in the future. We updated our Section 382 study through the 2024 tax year and determined there are no additional limitations in using federal and state NOL and credit carryforwards.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continue to maintain an effective system of disclosure controls and internal control over financial reporting, our ability to produce timely and accurate financial statements or comply with applicable laws and regulations could be impaired.</w:t>
      </w:r>
    </w:p>
    <w:p>
      <w:pPr>
        <w:spacing w:after="0" w:line="11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4" w:name="page95"/>
    <w:bookmarkEnd w:id="94"/>
    <w:p>
      <w:pPr>
        <w:ind w:right="100" w:firstLine="509"/>
        <w:spacing w:after="0"/>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maintain our internal controls,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8"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is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36"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38"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We are actively engaged in the ongoing costly process of maintaining compliance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4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38"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increased starting in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active or liquid market in our common stock may not be sustainable.</w:t>
      </w:r>
    </w:p>
    <w:p>
      <w:pPr>
        <w:spacing w:after="0" w:line="185"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The market price of our common stock may fluctuate significantly in response to numerous factors, many of which are beyond our control, including:</w:t>
      </w:r>
    </w:p>
    <w:p>
      <w:pPr>
        <w:spacing w:after="0" w:line="46" w:lineRule="exact"/>
        <w:rPr>
          <w:sz w:val="20"/>
          <w:szCs w:val="20"/>
          <w:color w:val="auto"/>
        </w:rPr>
      </w:pPr>
    </w:p>
    <w:p>
      <w:pPr>
        <w:ind w:left="460" w:hanging="302"/>
        <w:spacing w:after="0"/>
        <w:tabs>
          <w:tab w:leader="none" w:pos="46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overall performance of the equity markets;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5" w:name="page96"/>
    <w:bookmarkEnd w:id="95"/>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performance and the performance of other similar companies;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the roll out of new solutions;</w:t>
      </w:r>
    </w:p>
    <w:p>
      <w:pPr>
        <w:spacing w:after="0" w:line="116" w:lineRule="exact"/>
        <w:rPr>
          <w:rFonts w:ascii="Times New Roman" w:cs="Times New Roman" w:eastAsia="Times New Roman" w:hAnsi="Times New Roman"/>
          <w:sz w:val="18"/>
          <w:szCs w:val="18"/>
          <w:color w:val="auto"/>
        </w:rPr>
      </w:pPr>
    </w:p>
    <w:p>
      <w:pPr>
        <w:ind w:left="460" w:right="1000" w:hanging="302"/>
        <w:spacing w:after="0" w:line="270" w:lineRule="auto"/>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payment solutions;</w:t>
      </w:r>
    </w:p>
    <w:p>
      <w:pPr>
        <w:spacing w:after="0" w:line="116" w:lineRule="exact"/>
        <w:rPr>
          <w:rFonts w:ascii="Times New Roman" w:cs="Times New Roman" w:eastAsia="Times New Roman" w:hAnsi="Times New Roman"/>
          <w:sz w:val="18"/>
          <w:szCs w:val="18"/>
          <w:color w:val="auto"/>
        </w:rPr>
      </w:pPr>
    </w:p>
    <w:p>
      <w:pPr>
        <w:ind w:left="460" w:right="20" w:hanging="302"/>
        <w:spacing w:after="0" w:line="270" w:lineRule="auto"/>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including the priorities of the U.S. presidential administration and related changes in laws, regulations or policies;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our solutions;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economy as a whole and market conditions in our industry;</w:t>
      </w:r>
    </w:p>
    <w:p>
      <w:pPr>
        <w:spacing w:after="0" w:line="116" w:lineRule="exact"/>
        <w:rPr>
          <w:rFonts w:ascii="Times New Roman" w:cs="Times New Roman" w:eastAsia="Times New Roman" w:hAnsi="Times New Roman"/>
          <w:sz w:val="18"/>
          <w:szCs w:val="18"/>
          <w:color w:val="auto"/>
        </w:rPr>
      </w:pPr>
    </w:p>
    <w:p>
      <w:pPr>
        <w:ind w:left="460" w:right="160" w:hanging="302"/>
        <w:spacing w:after="0" w:line="252" w:lineRule="auto"/>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political or social unrest, war or other military conflict, including the continuation or escalation of the conflicts between Russia and Ukraine, or between Israel and Hamas and the ongoing conflict between the U.S., Iran and Israel (or other combatants in the region), respectively, economic instability, repression, or human rights issues;</w:t>
      </w:r>
    </w:p>
    <w:p>
      <w:pPr>
        <w:spacing w:after="0" w:line="62"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cutbacks or withholding of funding to, and real or perceived hostility towards higher education institutions in the U.S.;</w:t>
      </w:r>
    </w:p>
    <w:p>
      <w:pPr>
        <w:spacing w:after="0" w:line="116" w:lineRule="exact"/>
        <w:rPr>
          <w:rFonts w:ascii="Times New Roman" w:cs="Times New Roman" w:eastAsia="Times New Roman" w:hAnsi="Times New Roman"/>
          <w:sz w:val="18"/>
          <w:szCs w:val="18"/>
          <w:color w:val="auto"/>
        </w:rPr>
      </w:pPr>
    </w:p>
    <w:p>
      <w:pPr>
        <w:ind w:left="460" w:right="380" w:hanging="302"/>
        <w:spacing w:after="0" w:line="270" w:lineRule="auto"/>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that negatively impact international travel, study or commerce, including actual or threatened revocation of visas, mass deportations, or delays in issuances of visas;</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payment systems;</w:t>
      </w:r>
    </w:p>
    <w:p>
      <w:pPr>
        <w:spacing w:after="0" w:line="116" w:lineRule="exact"/>
        <w:rPr>
          <w:rFonts w:ascii="Times New Roman" w:cs="Times New Roman" w:eastAsia="Times New Roman" w:hAnsi="Times New Roman"/>
          <w:sz w:val="18"/>
          <w:szCs w:val="18"/>
          <w:color w:val="auto"/>
        </w:rPr>
      </w:pPr>
    </w:p>
    <w:p>
      <w:pPr>
        <w:ind w:left="460" w:right="100" w:hanging="302"/>
        <w:spacing w:after="0" w:line="270" w:lineRule="auto"/>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threatened imposition of tariffs, trade wars including the effects of ongoing United States-China and Canada-India diplomatic and trade friction;</w:t>
      </w:r>
    </w:p>
    <w:p>
      <w:pPr>
        <w:spacing w:after="0" w:line="4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our market float; and</w:t>
      </w:r>
    </w:p>
    <w:p>
      <w:pPr>
        <w:spacing w:after="0" w:line="116"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84"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Concerns over economic recession, heightened interest rates and inflation, supply chain delays and disruptions, priorities of the U.S. presidential administration and Congress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Israel and Hamas and/or Iran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be negatively affected by securities litigation or stockholder activism.</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From time to time, we may be subject to securities class actions, derivative suits or other securities-related legal actions.</w:t>
      </w:r>
    </w:p>
    <w:p>
      <w:pPr>
        <w:spacing w:after="0" w:line="185"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In the past, securities class action litigation have often been brought against a company following a decline in the market price of its securities. In July 2025, we and certain of our current and former officers were named as defendants in</w:t>
      </w: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96" w:name="page97"/>
    <w:bookmarkEnd w:id="96"/>
    <w:p>
      <w:pPr>
        <w:spacing w:after="0" w:line="252" w:lineRule="auto"/>
        <w:rPr>
          <w:sz w:val="20"/>
          <w:szCs w:val="20"/>
          <w:color w:val="auto"/>
        </w:rPr>
      </w:pPr>
      <w:r>
        <w:rPr>
          <w:rFonts w:ascii="Arial" w:cs="Arial" w:eastAsia="Arial" w:hAnsi="Arial"/>
          <w:sz w:val="17"/>
          <w:szCs w:val="17"/>
          <w:color w:val="auto"/>
        </w:rPr>
        <w:t xml:space="preserve">a securities class action complaint captioned </w:t>
      </w:r>
      <w:r>
        <w:rPr>
          <w:rFonts w:ascii="Arial" w:cs="Arial" w:eastAsia="Arial" w:hAnsi="Arial"/>
          <w:sz w:val="17"/>
          <w:szCs w:val="17"/>
          <w:i w:val="1"/>
          <w:iCs w:val="1"/>
          <w:color w:val="auto"/>
        </w:rPr>
        <w:t>Hickman v. Flywire Corporation</w:t>
      </w:r>
      <w:r>
        <w:rPr>
          <w:rFonts w:ascii="Arial" w:cs="Arial" w:eastAsia="Arial" w:hAnsi="Arial"/>
          <w:sz w:val="17"/>
          <w:szCs w:val="17"/>
          <w:color w:val="auto"/>
        </w:rPr>
        <w:t xml:space="preserve"> filed in the United States District Court for the Eastern District of New York on behalf of a putative class of investors who purchased Flywire securities from February 28, 2024, through February 25, 2025. In January 2026, the complaint was amended to, among other matters, remove a former officer from the claim and modify the class period to the time period between May 21, 2024 through February 25, 2025. Plaintiff alleges that the defendants violated Sections 10(b) and 20(a) of the Exchange Act by purportedly overstating the strength and sustainability of our revenue growth and understating the negative impact of certain government permit and visa related policies on the business. The lawsuit seeks unspecified damages, costs, attorneys’ fees, and other relief. We believe we have strong defenses against the asserted claims and intend to vigorously defend ourselves.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clients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45"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Any claims or litigation, even if fully indemnified or insured, could adversely affect our relationships with clients and business partners, damage our reputation, decrease client or their customers’ demand for our solutions and make it more difficult to attract and retain qualified personnel, making it more difficult for us to compete effectively. In addition, lawsuits or legal claims involving us may increase our insurance premiums, deductibles or co-insurance requirements or otherwise make it more difficult for us to maintain or obtain adequate insurance coverage on acceptable terms, if at all. Furthermore, while we maintain insurance for certain potential liabilities, such insurance does not cover all types and amounts of potential liabilities and is subject to various exclusions, as well as caps on amounts recoverable. Even if we believe that a claim is covered by insurance, insurers may dispute our entitlement to recovery for a variety of potential reasons, which may affect the timing and, if the insurers prevail, the amount of our recovery. Our exposure under these matters may also include our indemnification obligations, to the extent that we have any, to current and former officers and directors against losses incurred in connection with these matters, including reimbursement of legal fees and other expenses.</w:t>
      </w:r>
    </w:p>
    <w:p>
      <w:pPr>
        <w:spacing w:after="0" w:line="13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a result, lawsuits involving us, or our officers or directors, could have a material adverse effect on our business, reputation, financial condition, results of operations, liquidity and the trading price of our common stock.</w:t>
      </w:r>
    </w:p>
    <w:p>
      <w:pPr>
        <w:spacing w:after="0" w:line="11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1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42"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7" w:name="page98"/>
    <w:bookmarkEnd w:id="97"/>
    <w:p>
      <w:pPr>
        <w:ind w:right="60" w:firstLine="509"/>
        <w:spacing w:after="0"/>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60"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We cannot guarantee that our Repurchase Program will be fully implemented or that it will enhance stockholder value, and share repurchases could affect the price of our common stock.</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August 2024, we announced that our Board of Directors authorized the Repurchase Program, pursuant to which we may, from time to time, purchase shares of our Voting and Non-voting common stock for an aggregate purchase price not to exceed $150 million. In July 2025, our Board of Directors approved an increase in the aggregate amount of voting and non-voting common stock outstanding that may be repurchased under the Repurchase Program by an additional $150 million, bringing the total authorized amount under the Repurchase Program to $300 million. As of March 31, 2026 approximately $171.9 million remained available for repurchases under the Repurchase Program. In May 2026, we announced our intention to initiate an accelerated share repurchase (ASR) program of up to $50.0 million under the Repurchase Program. The ultimate amount and timing of the repurchases under the ASR program will be informed by the execution of a definitive ASR agreement, prevailing market conditions, and the trading price of our common stock.</w:t>
      </w:r>
    </w:p>
    <w:p>
      <w:pPr>
        <w:spacing w:after="0" w:line="140"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Repurchases under the Repurchase Program may be made through a variety of methods and are subject to market and business conditions, levels of available liquidity, cash requirements for other purposes, regulatory, and other relevant factors. The timing, pricing, and size of share repurchases under the Repurchase Program, including the ASR program, will depend on a number of factors, including price, corporate and regulatory requirements, capital allocation alternatives, and general market and economic conditions. The Repurchase Program, including the ASR program, does not obligate us to repurchase any minimum dollar amount or number of shares, and may be suspended or discontinued by our Board of Directors at any time, which may result in a decrease in the price of our common stock.</w:t>
      </w:r>
    </w:p>
    <w:p>
      <w:pPr>
        <w:spacing w:after="0" w:line="15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Repurchases under the Repurchase Program will decrease the number of outstanding shares of our common stock and therefore could affect the price of our common stock and increase its volatility. The existence of the Repurchase Program could also cause the price of our common stock to be higher than it would be in the absence of such a program and could reduce the market liquidity for our common stock. Repurchases under the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Repurchase Program is intended to enhance long-term stockholder value, short-term price fluctuations could reduce the program’s effectiveness.</w:t>
      </w:r>
    </w:p>
    <w:p>
      <w:pPr>
        <w:spacing w:after="0" w:line="145"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51"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9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121,451,032 shares of our voting common stock and 1,873,320 shares of our non-voting common stock outstanding as of March 31, 2026. Other than shares held by directors, executive officers and other affiliates that are subject to volume limitations under Rule 144 under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98" w:name="page99"/>
    <w:bookmarkEnd w:id="98"/>
    <w:p>
      <w:pPr>
        <w:ind w:right="80"/>
        <w:spacing w:after="0" w:line="271" w:lineRule="auto"/>
        <w:rPr>
          <w:sz w:val="20"/>
          <w:szCs w:val="20"/>
          <w:color w:val="auto"/>
        </w:rPr>
      </w:pPr>
      <w:r>
        <w:rPr>
          <w:rFonts w:ascii="Arial" w:cs="Arial" w:eastAsia="Arial" w:hAnsi="Arial"/>
          <w:sz w:val="18"/>
          <w:szCs w:val="18"/>
          <w:color w:val="auto"/>
        </w:rPr>
        <w:t>the Securities Act and various vesting agreements, these shares of common stock generally are freely tradable without restrictions or further registration under the Securities Act.</w:t>
      </w:r>
    </w:p>
    <w:p>
      <w:pPr>
        <w:spacing w:after="0" w:line="12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Certain of our stockholders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33" w:lineRule="exact"/>
        <w:rPr>
          <w:sz w:val="20"/>
          <w:szCs w:val="20"/>
          <w:color w:val="auto"/>
        </w:rPr>
      </w:pPr>
    </w:p>
    <w:p>
      <w:pPr>
        <w:ind w:right="320" w:firstLine="509"/>
        <w:spacing w:after="0" w:line="301"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92" w:lineRule="exact"/>
        <w:rPr>
          <w:sz w:val="20"/>
          <w:szCs w:val="20"/>
          <w:color w:val="auto"/>
        </w:rPr>
      </w:pPr>
    </w:p>
    <w:p>
      <w:pPr>
        <w:ind w:right="700"/>
        <w:spacing w:after="0" w:line="278"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As of December 31, 2025,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40" w:lineRule="exact"/>
        <w:rPr>
          <w:sz w:val="20"/>
          <w:szCs w:val="20"/>
          <w:color w:val="auto"/>
        </w:rPr>
      </w:pPr>
    </w:p>
    <w:p>
      <w:pPr>
        <w:ind w:right="340"/>
        <w:spacing w:after="0" w:line="278" w:lineRule="auto"/>
        <w:rPr>
          <w:sz w:val="20"/>
          <w:szCs w:val="20"/>
          <w:color w:val="auto"/>
        </w:rPr>
      </w:pPr>
      <w:r>
        <w:rPr>
          <w:rFonts w:ascii="Arial" w:cs="Arial" w:eastAsia="Arial" w:hAnsi="Arial"/>
          <w:sz w:val="18"/>
          <w:szCs w:val="18"/>
          <w:b w:val="1"/>
          <w:bCs w:val="1"/>
          <w:i w:val="1"/>
          <w:iCs w:val="1"/>
          <w:color w:val="auto"/>
        </w:rPr>
        <w:t>We do not intend to pay dividends on our common stock, consequently, your ability to achieve a return on your investment will depend on appreciation in the price of our common stock.</w:t>
      </w:r>
    </w:p>
    <w:p>
      <w:pPr>
        <w:spacing w:after="0" w:line="9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all available funds and any future earnings for reinvestment to fund the development, operation, expansion and growth of our business and to fund our Repurchase Program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8"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68" w:lineRule="exact"/>
        <w:rPr>
          <w:sz w:val="20"/>
          <w:szCs w:val="20"/>
          <w:color w:val="auto"/>
        </w:rPr>
      </w:pPr>
    </w:p>
    <w:p>
      <w:pPr>
        <w:ind w:left="460" w:right="60" w:hanging="302"/>
        <w:spacing w:after="0" w:line="270" w:lineRule="auto"/>
        <w:tabs>
          <w:tab w:leader="none" w:pos="4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6" w:lineRule="exact"/>
        <w:rPr>
          <w:rFonts w:ascii="Times New Roman" w:cs="Times New Roman" w:eastAsia="Times New Roman" w:hAnsi="Times New Roman"/>
          <w:sz w:val="18"/>
          <w:szCs w:val="18"/>
          <w:color w:val="auto"/>
        </w:rPr>
      </w:pPr>
    </w:p>
    <w:p>
      <w:pPr>
        <w:ind w:left="460" w:right="400" w:hanging="302"/>
        <w:spacing w:after="0" w:line="252" w:lineRule="auto"/>
        <w:tabs>
          <w:tab w:leader="none" w:pos="4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62" w:lineRule="exact"/>
        <w:rPr>
          <w:rFonts w:ascii="Times New Roman" w:cs="Times New Roman" w:eastAsia="Times New Roman" w:hAnsi="Times New Roman"/>
          <w:sz w:val="18"/>
          <w:szCs w:val="18"/>
          <w:color w:val="auto"/>
        </w:rPr>
      </w:pPr>
    </w:p>
    <w:p>
      <w:pPr>
        <w:ind w:left="460" w:right="120" w:hanging="302"/>
        <w:spacing w:after="0" w:line="270" w:lineRule="auto"/>
        <w:tabs>
          <w:tab w:leader="none" w:pos="4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46" w:lineRule="exact"/>
        <w:rPr>
          <w:rFonts w:ascii="Times New Roman" w:cs="Times New Roman" w:eastAsia="Times New Roman" w:hAnsi="Times New Roman"/>
          <w:sz w:val="18"/>
          <w:szCs w:val="18"/>
          <w:color w:val="auto"/>
        </w:rPr>
      </w:pPr>
    </w:p>
    <w:p>
      <w:pPr>
        <w:ind w:left="460" w:right="240" w:hanging="302"/>
        <w:spacing w:after="0" w:line="244" w:lineRule="auto"/>
        <w:tabs>
          <w:tab w:leader="none" w:pos="4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bookmarkStart w:id="99" w:name="page100"/>
    <w:bookmarkEnd w:id="99"/>
    <w:p>
      <w:pPr>
        <w:ind w:left="460" w:right="100" w:hanging="302"/>
        <w:spacing w:after="0" w:line="252" w:lineRule="auto"/>
        <w:tabs>
          <w:tab w:leader="none" w:pos="4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62" w:lineRule="exact"/>
        <w:rPr>
          <w:rFonts w:ascii="Times New Roman" w:cs="Times New Roman" w:eastAsia="Times New Roman" w:hAnsi="Times New Roman"/>
          <w:sz w:val="18"/>
          <w:szCs w:val="18"/>
          <w:color w:val="auto"/>
        </w:rPr>
      </w:pPr>
    </w:p>
    <w:p>
      <w:pPr>
        <w:ind w:left="460" w:right="160" w:hanging="302"/>
        <w:spacing w:after="0" w:line="246" w:lineRule="auto"/>
        <w:tabs>
          <w:tab w:leader="none" w:pos="4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68" w:lineRule="exact"/>
        <w:rPr>
          <w:rFonts w:ascii="Times New Roman" w:cs="Times New Roman" w:eastAsia="Times New Roman" w:hAnsi="Times New Roman"/>
          <w:sz w:val="18"/>
          <w:szCs w:val="18"/>
          <w:color w:val="auto"/>
        </w:rPr>
      </w:pPr>
    </w:p>
    <w:p>
      <w:pPr>
        <w:ind w:left="460" w:right="140" w:hanging="302"/>
        <w:spacing w:after="0" w:line="252" w:lineRule="auto"/>
        <w:tabs>
          <w:tab w:leader="none" w:pos="46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3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2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69" w:lineRule="exact"/>
        <w:rPr>
          <w:sz w:val="20"/>
          <w:szCs w:val="20"/>
          <w:color w:val="auto"/>
        </w:rPr>
      </w:pPr>
    </w:p>
    <w:p>
      <w:pPr>
        <w:ind w:right="860" w:firstLine="509"/>
        <w:spacing w:after="0" w:line="271" w:lineRule="auto"/>
        <w:rPr>
          <w:sz w:val="20"/>
          <w:szCs w:val="20"/>
          <w:color w:val="auto"/>
        </w:rPr>
      </w:pPr>
      <w:r>
        <w:rPr>
          <w:rFonts w:ascii="Arial" w:cs="Arial" w:eastAsia="Arial" w:hAnsi="Arial"/>
          <w:sz w:val="18"/>
          <w:szCs w:val="18"/>
          <w:color w:val="auto"/>
        </w:rPr>
        <w:t>The following table summarizes the repurchases of voting common stock during the three months ended March 31, 2026 (in thousands, except shares and per share amounts):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0" w:name="page101"/>
    <w:bookmarkEnd w:id="100"/>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3440" w:type="dxa"/>
            <w:vAlign w:val="bottom"/>
          </w:tcPr>
          <w:p>
            <w:pPr>
              <w:jc w:val="center"/>
              <w:ind w:left="1408"/>
              <w:spacing w:after="0"/>
              <w:rPr>
                <w:sz w:val="20"/>
                <w:szCs w:val="20"/>
                <w:color w:val="auto"/>
              </w:rPr>
            </w:pPr>
            <w:r>
              <w:rPr>
                <w:rFonts w:ascii="Arial" w:cs="Arial" w:eastAsia="Arial" w:hAnsi="Arial"/>
                <w:sz w:val="14"/>
                <w:szCs w:val="14"/>
                <w:b w:val="1"/>
                <w:bCs w:val="1"/>
                <w:color w:val="auto"/>
              </w:rPr>
              <w:t>Total Number of Shares</w:t>
            </w:r>
          </w:p>
        </w:tc>
        <w:tc>
          <w:tcPr>
            <w:tcW w:w="1720" w:type="dxa"/>
            <w:vAlign w:val="bottom"/>
          </w:tcPr>
          <w:p>
            <w:pPr>
              <w:ind w:left="160"/>
              <w:spacing w:after="0"/>
              <w:rPr>
                <w:sz w:val="20"/>
                <w:szCs w:val="20"/>
                <w:color w:val="auto"/>
              </w:rPr>
            </w:pPr>
            <w:r>
              <w:rPr>
                <w:rFonts w:ascii="Arial" w:cs="Arial" w:eastAsia="Arial" w:hAnsi="Arial"/>
                <w:sz w:val="14"/>
                <w:szCs w:val="14"/>
                <w:b w:val="1"/>
                <w:bCs w:val="1"/>
                <w:color w:val="auto"/>
              </w:rPr>
              <w:t>Average Price Paid per</w:t>
            </w:r>
          </w:p>
        </w:tc>
        <w:tc>
          <w:tcPr>
            <w:tcW w:w="0" w:type="dxa"/>
            <w:vAlign w:val="bottom"/>
          </w:tcPr>
          <w:p>
            <w:pPr>
              <w:spacing w:after="0"/>
              <w:rPr>
                <w:sz w:val="1"/>
                <w:szCs w:val="1"/>
                <w:color w:val="auto"/>
              </w:rPr>
            </w:pPr>
          </w:p>
        </w:tc>
      </w:tr>
      <w:tr>
        <w:trPr>
          <w:trHeight w:val="189"/>
        </w:trPr>
        <w:tc>
          <w:tcPr>
            <w:tcW w:w="2140" w:type="dxa"/>
            <w:vAlign w:val="bottom"/>
            <w:vMerge w:val="continue"/>
          </w:tcPr>
          <w:p>
            <w:pPr>
              <w:spacing w:after="0"/>
              <w:rPr>
                <w:sz w:val="16"/>
                <w:szCs w:val="16"/>
                <w:color w:val="auto"/>
              </w:rPr>
            </w:pPr>
          </w:p>
        </w:tc>
        <w:tc>
          <w:tcPr>
            <w:tcW w:w="3440" w:type="dxa"/>
            <w:vAlign w:val="bottom"/>
          </w:tcPr>
          <w:p>
            <w:pPr>
              <w:jc w:val="center"/>
              <w:ind w:left="1448"/>
              <w:spacing w:after="0" w:line="189" w:lineRule="exact"/>
              <w:rPr>
                <w:sz w:val="20"/>
                <w:szCs w:val="20"/>
                <w:color w:val="auto"/>
              </w:rPr>
            </w:pPr>
            <w:r>
              <w:rPr>
                <w:rFonts w:ascii="Arial" w:cs="Arial" w:eastAsia="Arial" w:hAnsi="Arial"/>
                <w:sz w:val="14"/>
                <w:szCs w:val="14"/>
                <w:b w:val="1"/>
                <w:bCs w:val="1"/>
                <w:color w:val="auto"/>
                <w:w w:val="96"/>
              </w:rPr>
              <w:t xml:space="preserve">Purchased </w:t>
            </w:r>
            <w:r>
              <w:rPr>
                <w:rFonts w:ascii="Arial" w:cs="Arial" w:eastAsia="Arial" w:hAnsi="Arial"/>
                <w:sz w:val="19"/>
                <w:szCs w:val="19"/>
                <w:b w:val="1"/>
                <w:bCs w:val="1"/>
                <w:color w:val="auto"/>
                <w:w w:val="96"/>
                <w:vertAlign w:val="superscript"/>
              </w:rPr>
              <w:t>(a)</w:t>
            </w:r>
          </w:p>
        </w:tc>
        <w:tc>
          <w:tcPr>
            <w:tcW w:w="1720" w:type="dxa"/>
            <w:vAlign w:val="bottom"/>
          </w:tcPr>
          <w:p>
            <w:pPr>
              <w:ind w:left="680"/>
              <w:spacing w:after="0" w:line="189" w:lineRule="exact"/>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19"/>
                <w:szCs w:val="19"/>
                <w:b w:val="1"/>
                <w:bCs w:val="1"/>
                <w:color w:val="auto"/>
                <w:vertAlign w:val="superscript"/>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Number of Shares</w:t>
            </w:r>
          </w:p>
        </w:tc>
        <w:tc>
          <w:tcPr>
            <w:tcW w:w="188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Purchased as Part of</w:t>
            </w:r>
          </w:p>
        </w:tc>
        <w:tc>
          <w:tcPr>
            <w:tcW w:w="1880" w:type="dxa"/>
            <w:vAlign w:val="bottom"/>
          </w:tcPr>
          <w:p>
            <w:pPr>
              <w:jc w:val="center"/>
              <w:ind w:left="48"/>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1720" w:type="dxa"/>
            <w:vAlign w:val="bottom"/>
          </w:tcPr>
          <w:p>
            <w:pPr>
              <w:jc w:val="center"/>
              <w:ind w:right="28"/>
              <w:spacing w:after="0"/>
              <w:rPr>
                <w:sz w:val="20"/>
                <w:szCs w:val="20"/>
                <w:color w:val="auto"/>
              </w:rPr>
            </w:pPr>
            <w:r>
              <w:rPr>
                <w:rFonts w:ascii="Arial" w:cs="Arial" w:eastAsia="Arial" w:hAnsi="Arial"/>
                <w:sz w:val="14"/>
                <w:szCs w:val="14"/>
                <w:b w:val="1"/>
                <w:bCs w:val="1"/>
                <w:color w:val="auto"/>
              </w:rPr>
              <w:t>Publicly Announced</w:t>
            </w:r>
          </w:p>
        </w:tc>
        <w:tc>
          <w:tcPr>
            <w:tcW w:w="1880" w:type="dxa"/>
            <w:vAlign w:val="bottom"/>
          </w:tcPr>
          <w:p>
            <w:pPr>
              <w:jc w:val="center"/>
              <w:ind w:left="8"/>
              <w:spacing w:after="0"/>
              <w:rPr>
                <w:sz w:val="20"/>
                <w:szCs w:val="20"/>
                <w:color w:val="auto"/>
              </w:rPr>
            </w:pPr>
            <w:r>
              <w:rPr>
                <w:rFonts w:ascii="Arial" w:cs="Arial" w:eastAsia="Arial" w:hAnsi="Arial"/>
                <w:sz w:val="14"/>
                <w:szCs w:val="14"/>
                <w:b w:val="1"/>
                <w:bCs w:val="1"/>
                <w:color w:val="auto"/>
              </w:rPr>
              <w:t>Purchased Under the</w:t>
            </w:r>
          </w:p>
        </w:tc>
      </w:tr>
      <w:tr>
        <w:trPr>
          <w:trHeight w:val="171"/>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880" w:type="dxa"/>
            <w:vAlign w:val="bottom"/>
          </w:tcPr>
          <w:p>
            <w:pPr>
              <w:jc w:val="center"/>
              <w:ind w:left="68"/>
              <w:spacing w:after="0"/>
              <w:rPr>
                <w:sz w:val="20"/>
                <w:szCs w:val="20"/>
                <w:color w:val="auto"/>
              </w:rPr>
            </w:pPr>
            <w:r>
              <w:rPr>
                <w:rFonts w:ascii="Arial" w:cs="Arial" w:eastAsia="Arial" w:hAnsi="Arial"/>
                <w:sz w:val="14"/>
                <w:szCs w:val="14"/>
                <w:b w:val="1"/>
                <w:bCs w:val="1"/>
                <w:color w:val="auto"/>
              </w:rPr>
              <w:t>Plans</w:t>
            </w:r>
          </w:p>
        </w:tc>
      </w:tr>
    </w:tbl>
    <w:p>
      <w:pPr>
        <w:spacing w:after="0" w:line="20" w:lineRule="exact"/>
        <w:rPr>
          <w:sz w:val="20"/>
          <w:szCs w:val="20"/>
          <w:color w:val="auto"/>
        </w:rPr>
      </w:pPr>
    </w:p>
    <w:p>
      <w:pPr>
        <w:sectPr>
          <w:pgSz w:w="11900" w:h="16838" w:orient="portrait"/>
          <w:cols w:equalWidth="0" w:num="2">
            <w:col w:w="7300" w:space="320"/>
            <w:col w:w="3620"/>
          </w:cols>
          <w:pgMar w:left="320" w:top="121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37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63"/>
        </w:trPr>
        <w:tc>
          <w:tcPr>
            <w:tcW w:w="372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January 1 - January 31, 2026</w:t>
            </w:r>
          </w:p>
        </w:tc>
        <w:tc>
          <w:tcPr>
            <w:tcW w:w="180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640"/>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560"/>
              <w:spacing w:after="0" w:line="162"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62" w:lineRule="exact"/>
              <w:rPr>
                <w:sz w:val="20"/>
                <w:szCs w:val="20"/>
                <w:color w:val="auto"/>
              </w:rPr>
            </w:pPr>
            <w:r>
              <w:rPr>
                <w:rFonts w:ascii="Arial" w:cs="Arial" w:eastAsia="Arial" w:hAnsi="Arial"/>
                <w:sz w:val="16"/>
                <w:szCs w:val="16"/>
                <w:color w:val="auto"/>
              </w:rPr>
              <w:t>181,926</w:t>
            </w: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February 1 - February 28, 2026</w:t>
            </w:r>
          </w:p>
        </w:tc>
        <w:tc>
          <w:tcPr>
            <w:tcW w:w="1800" w:type="dxa"/>
            <w:vAlign w:val="bottom"/>
          </w:tcPr>
          <w:p>
            <w:pPr>
              <w:jc w:val="right"/>
              <w:spacing w:after="0"/>
              <w:rPr>
                <w:sz w:val="20"/>
                <w:szCs w:val="20"/>
                <w:color w:val="auto"/>
              </w:rPr>
            </w:pPr>
            <w:r>
              <w:rPr>
                <w:rFonts w:ascii="Arial" w:cs="Arial" w:eastAsia="Arial" w:hAnsi="Arial"/>
                <w:sz w:val="16"/>
                <w:szCs w:val="16"/>
                <w:color w:val="auto"/>
              </w:rPr>
              <w:t>907,029</w:t>
            </w:r>
          </w:p>
        </w:tc>
        <w:tc>
          <w:tcPr>
            <w:tcW w:w="86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11.06</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907,029</w:t>
            </w:r>
          </w:p>
        </w:tc>
        <w:tc>
          <w:tcPr>
            <w:tcW w:w="76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171,895</w:t>
            </w:r>
          </w:p>
        </w:tc>
      </w:tr>
      <w:tr>
        <w:trPr>
          <w:trHeight w:val="189"/>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1 - March 31, 2026</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FF0FC"/>
            </w:tcBorders>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171,895</w:t>
            </w: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Total</w:t>
            </w:r>
          </w:p>
        </w:tc>
        <w:tc>
          <w:tcPr>
            <w:tcW w:w="1800" w:type="dxa"/>
            <w:vAlign w:val="bottom"/>
          </w:tcPr>
          <w:p>
            <w:pPr>
              <w:jc w:val="right"/>
              <w:spacing w:after="0" w:line="183" w:lineRule="exact"/>
              <w:rPr>
                <w:sz w:val="20"/>
                <w:szCs w:val="20"/>
                <w:color w:val="auto"/>
              </w:rPr>
            </w:pPr>
            <w:r>
              <w:rPr>
                <w:rFonts w:ascii="Arial" w:cs="Arial" w:eastAsia="Arial" w:hAnsi="Arial"/>
                <w:sz w:val="16"/>
                <w:szCs w:val="16"/>
                <w:color w:val="auto"/>
              </w:rPr>
              <w:t>907,029</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907,029</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37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-153670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right="60" w:firstLine="8"/>
        <w:spacing w:after="0" w:line="237" w:lineRule="auto"/>
        <w:tabs>
          <w:tab w:leader="none" w:pos="157"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 xml:space="preserve">All shares were repurchased in open market transactions pursuant to a share repurchase program to repurchase up to $300 million of our outstanding voting and non-voting common stock for an indefinite period (the Repurchase Program). The Repurchase Program was authorized by our board of directors and publicly announced on August 6, 2024. On July 30, 2025, our board of directors approved an increase to the capacity of the Repurchase Program by $150 million. Repurchases under the Repurchase Program may be made from time to time through open market purchases, in privately negotiated transactions or by other means, including through the use of trading plans intended to qualify under Rule 10b5-1 under the Exchange Act, in accordance with applicable securities laws and other restrictions, including Rule 10b-18. For additional information on our Repurchase Program, see </w:t>
      </w:r>
      <w:r>
        <w:rPr>
          <w:rFonts w:ascii="Arial" w:cs="Arial" w:eastAsia="Arial" w:hAnsi="Arial"/>
          <w:sz w:val="14"/>
          <w:szCs w:val="14"/>
          <w:i w:val="1"/>
          <w:iCs w:val="1"/>
          <w:color w:val="auto"/>
        </w:rPr>
        <w:t>Note 13 - Stockholders’ Equity</w:t>
      </w:r>
      <w:r>
        <w:rPr>
          <w:rFonts w:ascii="Arial" w:cs="Arial" w:eastAsia="Arial" w:hAnsi="Arial"/>
          <w:sz w:val="14"/>
          <w:szCs w:val="14"/>
          <w:color w:val="auto"/>
        </w:rPr>
        <w:t xml:space="preserve"> in our condensed consolidated financial statements included elsewhere in this Quarterly Report on Form 10-Q.</w:t>
      </w:r>
    </w:p>
    <w:p>
      <w:pPr>
        <w:spacing w:after="0" w:line="40" w:lineRule="exact"/>
        <w:rPr>
          <w:rFonts w:ascii="Arial" w:cs="Arial" w:eastAsia="Arial" w:hAnsi="Arial"/>
          <w:sz w:val="18"/>
          <w:szCs w:val="18"/>
          <w:color w:val="auto"/>
          <w:vertAlign w:val="superscript"/>
        </w:rPr>
      </w:pPr>
    </w:p>
    <w:p>
      <w:pPr>
        <w:ind w:right="280" w:firstLine="8"/>
        <w:spacing w:after="0" w:line="229" w:lineRule="auto"/>
        <w:tabs>
          <w:tab w:leader="none" w:pos="157"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related commissions, but excludes the 1% excise tax accrued on our share repurchases as a result of the Inflation Reduction Act of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69" w:lineRule="exact"/>
        <w:rPr>
          <w:sz w:val="20"/>
          <w:szCs w:val="20"/>
          <w:color w:val="auto"/>
        </w:rPr>
      </w:pPr>
    </w:p>
    <w:p>
      <w:pPr>
        <w:jc w:val="both"/>
        <w:ind w:right="440" w:firstLine="509"/>
        <w:spacing w:after="0" w:line="301" w:lineRule="auto"/>
        <w:rPr>
          <w:sz w:val="20"/>
          <w:szCs w:val="20"/>
          <w:color w:val="auto"/>
        </w:rPr>
      </w:pPr>
      <w:r>
        <w:rPr>
          <w:rFonts w:ascii="Arial" w:cs="Arial" w:eastAsia="Arial" w:hAnsi="Arial"/>
          <w:sz w:val="17"/>
          <w:szCs w:val="17"/>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60" w:type="dxa"/>
            <w:vAlign w:val="bottom"/>
            <w:gridSpan w:val="6"/>
          </w:tcPr>
          <w:p>
            <w:pPr>
              <w:ind w:left="2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Arial" w:cs="Arial" w:eastAsia="Arial" w:hAnsi="Arial"/>
                <w:sz w:val="18"/>
                <w:szCs w:val="18"/>
                <w:color w:val="auto"/>
              </w:rPr>
              <w:t>31.1*</w:t>
            </w:r>
          </w:p>
        </w:tc>
        <w:tc>
          <w:tcPr>
            <w:tcW w:w="260" w:type="dxa"/>
            <w:vAlign w:val="bottom"/>
          </w:tcPr>
          <w:p>
            <w:pPr>
              <w:spacing w:after="0"/>
              <w:rPr>
                <w:sz w:val="14"/>
                <w:szCs w:val="14"/>
                <w:color w:val="auto"/>
              </w:rPr>
            </w:pPr>
          </w:p>
        </w:tc>
        <w:tc>
          <w:tcPr>
            <w:tcW w:w="10060" w:type="dxa"/>
            <w:vAlign w:val="bottom"/>
            <w:gridSpan w:val="8"/>
          </w:tcPr>
          <w:p>
            <w:pPr>
              <w:spacing w:after="0" w:line="169"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5"/>
                <w:szCs w:val="15"/>
                <w:color w:val="auto"/>
              </w:rPr>
            </w:pPr>
          </w:p>
        </w:tc>
        <w:tc>
          <w:tcPr>
            <w:tcW w:w="98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5"/>
            <w:vMerge w:val="restart"/>
          </w:tcPr>
          <w:p>
            <w:pPr>
              <w:jc w:val="center"/>
              <w:ind w:right="340"/>
              <w:spacing w:after="0" w:line="202" w:lineRule="exact"/>
              <w:rPr>
                <w:sz w:val="20"/>
                <w:szCs w:val="20"/>
                <w:color w:val="auto"/>
              </w:rPr>
            </w:pPr>
            <w:r>
              <w:rPr>
                <w:rFonts w:ascii="Arial" w:cs="Arial" w:eastAsia="Arial" w:hAnsi="Arial"/>
                <w:sz w:val="18"/>
                <w:szCs w:val="18"/>
                <w:color w:val="0000FF"/>
              </w:rPr>
              <w:t>-14(a) under the Securities Exchange Act of</w:t>
            </w: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3"/>
          </w:tcPr>
          <w:p>
            <w:pPr>
              <w:spacing w:after="0" w:line="182" w:lineRule="exact"/>
              <w:rPr>
                <w:sz w:val="20"/>
                <w:szCs w:val="20"/>
                <w:color w:val="auto"/>
              </w:rPr>
            </w:pPr>
            <w:r>
              <w:rPr>
                <w:rFonts w:ascii="Arial" w:cs="Arial" w:eastAsia="Arial" w:hAnsi="Arial"/>
                <w:sz w:val="18"/>
                <w:szCs w:val="18"/>
                <w:color w:val="0000FF"/>
                <w:w w:val="98"/>
              </w:rPr>
              <w:t>Certification of Principal Financial Officer Pursuant to Rules 13a-14(a) and 15d</w:t>
            </w:r>
          </w:p>
        </w:tc>
        <w:tc>
          <w:tcPr>
            <w:tcW w:w="38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5"/>
                <w:szCs w:val="15"/>
                <w:color w:val="auto"/>
              </w:rPr>
            </w:pPr>
          </w:p>
        </w:tc>
        <w:tc>
          <w:tcPr>
            <w:tcW w:w="976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3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gridSpan w:val="5"/>
            <w:vMerge w:val="restart"/>
          </w:tcPr>
          <w:p>
            <w:pPr>
              <w:jc w:val="center"/>
              <w:ind w:right="340"/>
              <w:spacing w:after="0" w:line="202" w:lineRule="exact"/>
              <w:rPr>
                <w:sz w:val="20"/>
                <w:szCs w:val="20"/>
                <w:color w:val="auto"/>
              </w:rPr>
            </w:pPr>
            <w:r>
              <w:rPr>
                <w:rFonts w:ascii="Arial" w:cs="Arial" w:eastAsia="Arial" w:hAnsi="Arial"/>
                <w:sz w:val="18"/>
                <w:szCs w:val="18"/>
                <w:color w:val="0000FF"/>
                <w:w w:val="99"/>
              </w:rPr>
              <w:t>as Adopted Pursuant to Section 906 of the</w:t>
            </w: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20" w:type="dxa"/>
            <w:vAlign w:val="bottom"/>
            <w:gridSpan w:val="3"/>
          </w:tcPr>
          <w:p>
            <w:pPr>
              <w:spacing w:after="0" w:line="182" w:lineRule="exact"/>
              <w:rPr>
                <w:sz w:val="20"/>
                <w:szCs w:val="20"/>
                <w:color w:val="auto"/>
              </w:rPr>
            </w:pPr>
            <w:r>
              <w:rPr>
                <w:rFonts w:ascii="Arial" w:cs="Arial" w:eastAsia="Arial" w:hAnsi="Arial"/>
                <w:sz w:val="18"/>
                <w:szCs w:val="18"/>
                <w:color w:val="0000FF"/>
                <w:w w:val="98"/>
              </w:rPr>
              <w:t>Certification of Principal Executive Officer Pursuant to 18 U.S.C. Section 1350,</w:t>
            </w:r>
          </w:p>
        </w:tc>
        <w:tc>
          <w:tcPr>
            <w:tcW w:w="38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00" w:type="dxa"/>
            <w:vAlign w:val="bottom"/>
            <w:tcBorders>
              <w:top w:val="single" w:sz="8" w:color="0000FF"/>
            </w:tcBorders>
            <w:gridSpan w:val="3"/>
          </w:tcPr>
          <w:p>
            <w:pPr>
              <w:spacing w:after="0"/>
              <w:rPr>
                <w:sz w:val="15"/>
                <w:szCs w:val="15"/>
                <w:color w:val="auto"/>
              </w:rPr>
            </w:pP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60" w:type="dxa"/>
            <w:vAlign w:val="bottom"/>
            <w:gridSpan w:val="8"/>
          </w:tcPr>
          <w:p>
            <w:pPr>
              <w:spacing w:after="0" w:line="182" w:lineRule="exact"/>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40" w:type="dxa"/>
            <w:vAlign w:val="bottom"/>
            <w:tcBorders>
              <w:top w:val="single" w:sz="8" w:color="0000FF"/>
            </w:tcBorders>
            <w:gridSpan w:val="2"/>
          </w:tcPr>
          <w:p>
            <w:pPr>
              <w:spacing w:after="0"/>
              <w:rPr>
                <w:sz w:val="15"/>
                <w:szCs w:val="15"/>
                <w:color w:val="auto"/>
              </w:rPr>
            </w:pPr>
          </w:p>
        </w:tc>
        <w:tc>
          <w:tcPr>
            <w:tcW w:w="4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60" w:type="dxa"/>
            <w:vAlign w:val="bottom"/>
            <w:gridSpan w:val="8"/>
          </w:tcPr>
          <w:p>
            <w:pPr>
              <w:spacing w:after="0" w:line="191"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60" w:type="dxa"/>
            <w:vAlign w:val="bottom"/>
            <w:gridSpan w:val="8"/>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160" w:hanging="1152"/>
        <w:spacing w:after="0"/>
        <w:tabs>
          <w:tab w:leader="none" w:pos="11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23742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FLYWIRE CORPORATION</w:t>
      </w:r>
    </w:p>
    <w:p>
      <w:pPr>
        <w:spacing w:after="0" w:line="21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Michael Massaro</w:t>
      </w:r>
    </w:p>
    <w:p>
      <w:pPr>
        <w:ind w:left="67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8"/>
          <w:szCs w:val="18"/>
          <w:b w:val="1"/>
          <w:bCs w:val="1"/>
          <w:color w:val="auto"/>
        </w:rPr>
        <w:t>(Principal Executive Officer)</w:t>
      </w:r>
    </w:p>
    <w:p>
      <w:pPr>
        <w:spacing w:after="0" w:line="19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17780</wp:posOffset>
            </wp:positionV>
            <wp:extent cx="37287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728720" cy="8890"/>
                    </a:xfrm>
                    <a:prstGeom prst="rect">
                      <a:avLst/>
                    </a:prstGeom>
                    <a:noFill/>
                  </pic:spPr>
                </pic:pic>
              </a:graphicData>
            </a:graphic>
          </wp:anchor>
        </w:drawing>
      </w:r>
    </w:p>
    <w:p>
      <w:pPr>
        <w:spacing w:after="0" w:line="30" w:lineRule="exact"/>
        <w:rPr>
          <w:sz w:val="20"/>
          <w:szCs w:val="20"/>
          <w:color w:val="auto"/>
        </w:rPr>
      </w:pPr>
    </w:p>
    <w:p>
      <w:pPr>
        <w:ind w:left="160"/>
        <w:spacing w:after="0"/>
        <w:tabs>
          <w:tab w:leader="none" w:pos="484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Cosmin Pitigoi</w:t>
      </w:r>
    </w:p>
    <w:p>
      <w:pPr>
        <w:jc w:val="center"/>
        <w:ind w:left="53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2026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840" w:right="1240" w:hanging="6840"/>
        <w:spacing w:after="0" w:line="276" w:lineRule="auto"/>
        <w:tabs>
          <w:tab w:leader="none" w:pos="682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-1905</wp:posOffset>
            </wp:positionV>
            <wp:extent cx="25463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214" w:lineRule="exact"/>
        <w:rPr>
          <w:sz w:val="20"/>
          <w:szCs w:val="20"/>
          <w:color w:val="auto"/>
        </w:rPr>
      </w:pPr>
    </w:p>
    <w:p>
      <w:pPr>
        <w:jc w:val="center"/>
        <w:ind w:left="7140"/>
        <w:spacing w:after="0"/>
        <w:rPr>
          <w:sz w:val="20"/>
          <w:szCs w:val="20"/>
          <w:color w:val="auto"/>
        </w:rPr>
      </w:pPr>
      <w:r>
        <w:rPr>
          <w:rFonts w:ascii="Arial" w:cs="Arial" w:eastAsia="Arial" w:hAnsi="Arial"/>
          <w:sz w:val="18"/>
          <w:szCs w:val="18"/>
          <w:b w:val="1"/>
          <w:bCs w:val="1"/>
          <w:color w:val="auto"/>
        </w:rPr>
        <w:t>Michael Massaro</w:t>
      </w:r>
    </w:p>
    <w:p>
      <w:pPr>
        <w:jc w:val="center"/>
        <w:ind w:left="714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 Cosmin Pitigoi, certify that:</w:t>
      </w:r>
    </w:p>
    <w:p>
      <w:pPr>
        <w:spacing w:after="0" w:line="104"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2026 of Flywire Corporation;</w:t>
      </w:r>
    </w:p>
    <w:p>
      <w:pPr>
        <w:spacing w:after="0" w:line="103" w:lineRule="exact"/>
        <w:rPr>
          <w:rFonts w:ascii="Arial" w:cs="Arial" w:eastAsia="Arial" w:hAnsi="Arial"/>
          <w:sz w:val="18"/>
          <w:szCs w:val="18"/>
          <w:color w:val="auto"/>
        </w:rPr>
      </w:pPr>
    </w:p>
    <w:p>
      <w:pPr>
        <w:ind w:left="520" w:right="20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16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660" w:right="260" w:hanging="507"/>
        <w:spacing w:after="0" w:line="247"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8"/>
          <w:szCs w:val="18"/>
          <w:color w:val="auto"/>
        </w:rPr>
      </w:pPr>
    </w:p>
    <w:p>
      <w:pPr>
        <w:jc w:val="both"/>
        <w:ind w:left="1660" w:right="180" w:hanging="507"/>
        <w:spacing w:after="0" w:line="275" w:lineRule="auto"/>
        <w:tabs>
          <w:tab w:leader="none" w:pos="15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660" w:right="28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66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380" w:hanging="512"/>
        <w:spacing w:after="0" w:line="253" w:lineRule="auto"/>
        <w:tabs>
          <w:tab w:leader="none" w:pos="4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660" w:right="120" w:hanging="507"/>
        <w:spacing w:after="0" w:line="253"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660" w:right="520" w:hanging="507"/>
        <w:spacing w:after="0" w:line="271" w:lineRule="auto"/>
        <w:tabs>
          <w:tab w:leader="none" w:pos="15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6520" w:right="1520" w:hanging="6503"/>
        <w:spacing w:after="0" w:line="276" w:lineRule="auto"/>
        <w:tabs>
          <w:tab w:leader="none" w:pos="650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-1905</wp:posOffset>
            </wp:positionV>
            <wp:extent cx="27603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4"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Cosmin Pitigoi</w:t>
      </w:r>
    </w:p>
    <w:p>
      <w:pPr>
        <w:jc w:val="center"/>
        <w:ind w:left="680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1287780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440" w:hanging="6368"/>
        <w:spacing w:after="0" w:line="276" w:lineRule="auto"/>
        <w:tabs>
          <w:tab w:leader="none" w:pos="636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Michael Massaro</w:t>
      </w:r>
    </w:p>
    <w:p>
      <w:pPr>
        <w:jc w:val="center"/>
        <w:ind w:left="6680"/>
        <w:spacing w:after="0" w:line="234" w:lineRule="auto"/>
        <w:rPr>
          <w:sz w:val="20"/>
          <w:szCs w:val="20"/>
          <w:color w:val="auto"/>
        </w:rPr>
      </w:pPr>
      <w:r>
        <w:rPr>
          <w:rFonts w:ascii="Arial" w:cs="Arial" w:eastAsia="Arial" w:hAnsi="Arial"/>
          <w:sz w:val="18"/>
          <w:szCs w:val="18"/>
          <w:b w:val="1"/>
          <w:bCs w:val="1"/>
          <w:color w:val="auto"/>
        </w:rPr>
        <w:t>Chief Executive Officer and Director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6"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61" w:lineRule="exact"/>
        <w:rPr>
          <w:sz w:val="20"/>
          <w:szCs w:val="20"/>
          <w:color w:val="auto"/>
        </w:rPr>
      </w:pPr>
    </w:p>
    <w:p>
      <w:pPr>
        <w:ind w:left="1560" w:hanging="407"/>
        <w:spacing w:after="0"/>
        <w:tabs>
          <w:tab w:leader="none" w:pos="15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660" w:right="560" w:hanging="507"/>
        <w:spacing w:after="0" w:line="271" w:lineRule="auto"/>
        <w:tabs>
          <w:tab w:leader="none" w:pos="15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6380" w:right="1540" w:hanging="6368"/>
        <w:spacing w:after="0" w:line="276" w:lineRule="auto"/>
        <w:tabs>
          <w:tab w:leader="none" w:pos="6360" w:val="left"/>
        </w:tabs>
        <w:rPr>
          <w:sz w:val="20"/>
          <w:szCs w:val="20"/>
          <w:color w:val="auto"/>
        </w:rPr>
      </w:pPr>
      <w:r>
        <w:rPr>
          <w:rFonts w:ascii="Arial" w:cs="Arial" w:eastAsia="Arial" w:hAnsi="Arial"/>
          <w:sz w:val="18"/>
          <w:szCs w:val="18"/>
          <w:color w:val="auto"/>
        </w:rPr>
        <w:t>Date: May 5, 2026</w:t>
      </w:r>
      <w:r>
        <w:rPr>
          <w:sz w:val="20"/>
          <w:szCs w:val="20"/>
          <w:color w:val="auto"/>
        </w:rPr>
        <w:tab/>
      </w:r>
      <w:r>
        <w:rPr>
          <w:rFonts w:ascii="Arial" w:cs="Arial" w:eastAsia="Arial" w:hAnsi="Arial"/>
          <w:sz w:val="18"/>
          <w:szCs w:val="18"/>
          <w:color w:val="auto"/>
        </w:rPr>
        <w:t>/s/ Cosmin Pitigoi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8460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4"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Cosmin Pitigoi</w:t>
      </w:r>
    </w:p>
    <w:p>
      <w:pPr>
        <w:jc w:val="center"/>
        <w:ind w:left="66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
      <w:numFmt w:val="bullet"/>
      <w:start w:val="1"/>
    </w:lvl>
    <w:lvl w:ilvl="1">
      <w:lvlJc w:val="left"/>
      <w:lvlText w:val="%2"/>
      <w:numFmt w:val="decimal"/>
      <w:start w:val="104"/>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2026-05-06T05:06:46Z</dcterms:created>
  <dcterms:modified xsi:type="dcterms:W3CDTF">2026-05-06T05:06:46Z</dcterms:modified>
</cp:coreProperties>
</file>