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200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200140"/>
                    </a:xfrm>
                    <a:prstGeom prst="rect">
                      <a:avLst/>
                    </a:prstGeom>
                    <a:noFill/>
                  </pic:spPr>
                </pic:pic>
              </a:graphicData>
            </a:graphic>
          </wp:anchor>
        </w:drawing>
      </w:r>
    </w:p>
    <w:p>
      <w:pPr>
        <w:sectPr>
          <w:pgSz w:w="11900" w:h="16876"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Ellis Michael G</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05/25/2021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Flywire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FLYW</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76"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FLYWIRE CORPORATION</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4"/>
              </w:rPr>
              <w:t>141 TREMONT STREET, SUITE 10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BOSTON</w:t>
            </w:r>
          </w:p>
        </w:tc>
        <w:tc>
          <w:tcPr>
            <w:tcW w:w="820" w:type="dxa"/>
            <w:vAlign w:val="bottom"/>
          </w:tcPr>
          <w:p>
            <w:pPr>
              <w:ind w:left="120"/>
              <w:spacing w:after="0"/>
              <w:rPr>
                <w:sz w:val="20"/>
                <w:szCs w:val="20"/>
                <w:color w:val="auto"/>
              </w:rPr>
            </w:pPr>
            <w:r>
              <w:rPr>
                <w:rFonts w:ascii="Arial" w:cs="Arial" w:eastAsia="Arial" w:hAnsi="Arial"/>
                <w:sz w:val="20"/>
                <w:szCs w:val="20"/>
                <w:color w:val="0000FF"/>
              </w:rPr>
              <w:t>MA</w:t>
            </w:r>
          </w:p>
        </w:tc>
        <w:tc>
          <w:tcPr>
            <w:tcW w:w="1340" w:type="dxa"/>
            <w:vAlign w:val="bottom"/>
          </w:tcPr>
          <w:p>
            <w:pPr>
              <w:ind w:left="340"/>
              <w:spacing w:after="0"/>
              <w:rPr>
                <w:sz w:val="20"/>
                <w:szCs w:val="20"/>
                <w:color w:val="auto"/>
              </w:rPr>
            </w:pPr>
            <w:r>
              <w:rPr>
                <w:rFonts w:ascii="Arial" w:cs="Arial" w:eastAsia="Arial" w:hAnsi="Arial"/>
                <w:sz w:val="20"/>
                <w:szCs w:val="20"/>
                <w:color w:val="0000FF"/>
              </w:rPr>
              <w:t>02111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76" w:orient="portrait"/>
          <w:cols w:equalWidth="0" w:num="3">
            <w:col w:w="4277" w:space="720"/>
            <w:col w:w="3003" w:space="269"/>
            <w:col w:w="2671"/>
          </w:cols>
          <w:pgMar w:left="480" w:top="236"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384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2920" w:type="dxa"/>
            <w:vAlign w:val="bottom"/>
            <w:tcBorders>
              <w:bottom w:val="single" w:sz="8" w:color="2C2C2C"/>
            </w:tcBorders>
          </w:tcPr>
          <w:p>
            <w:pPr>
              <w:jc w:val="right"/>
              <w:ind w:right="562"/>
              <w:spacing w:after="0"/>
              <w:rPr>
                <w:sz w:val="20"/>
                <w:szCs w:val="20"/>
                <w:color w:val="auto"/>
              </w:rPr>
            </w:pPr>
            <w:r>
              <w:rPr>
                <w:rFonts w:ascii="Arial" w:cs="Arial" w:eastAsia="Arial" w:hAnsi="Arial"/>
                <w:sz w:val="20"/>
                <w:szCs w:val="20"/>
                <w:color w:val="0000FF"/>
              </w:rPr>
              <w:t>37,500</w:t>
            </w:r>
          </w:p>
        </w:tc>
        <w:tc>
          <w:tcPr>
            <w:tcW w:w="1080" w:type="dxa"/>
            <w:vAlign w:val="bottom"/>
            <w:tcBorders>
              <w:bottom w:val="single" w:sz="8" w:color="2C2C2C"/>
            </w:tcBorders>
          </w:tcPr>
          <w:p>
            <w:pPr>
              <w:jc w:val="center"/>
              <w:ind w:left="242"/>
              <w:spacing w:after="0"/>
              <w:rPr>
                <w:sz w:val="20"/>
                <w:szCs w:val="20"/>
                <w:color w:val="auto"/>
              </w:rPr>
            </w:pPr>
            <w:r>
              <w:rPr>
                <w:rFonts w:ascii="Arial" w:cs="Arial" w:eastAsia="Arial" w:hAnsi="Arial"/>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84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2920" w:type="dxa"/>
            <w:vAlign w:val="bottom"/>
            <w:tcBorders>
              <w:bottom w:val="single" w:sz="8" w:color="2C2C2C"/>
            </w:tcBorders>
          </w:tcPr>
          <w:p>
            <w:pPr>
              <w:jc w:val="right"/>
              <w:ind w:right="562"/>
              <w:spacing w:after="0"/>
              <w:rPr>
                <w:sz w:val="20"/>
                <w:szCs w:val="20"/>
                <w:color w:val="auto"/>
              </w:rPr>
            </w:pPr>
            <w:r>
              <w:rPr>
                <w:rFonts w:ascii="Arial" w:cs="Arial" w:eastAsia="Arial" w:hAnsi="Arial"/>
                <w:sz w:val="20"/>
                <w:szCs w:val="20"/>
                <w:color w:val="0000FF"/>
              </w:rPr>
              <w:t>30,000</w:t>
            </w:r>
          </w:p>
        </w:tc>
        <w:tc>
          <w:tcPr>
            <w:tcW w:w="1080" w:type="dxa"/>
            <w:vAlign w:val="bottom"/>
            <w:tcBorders>
              <w:bottom w:val="single" w:sz="8" w:color="2C2C2C"/>
            </w:tcBorders>
          </w:tcPr>
          <w:p>
            <w:pPr>
              <w:jc w:val="center"/>
              <w:ind w:left="24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By GRAT</w:t>
            </w:r>
            <w:r>
              <w:rPr>
                <w:rFonts w:ascii="Arial" w:cs="Arial" w:eastAsia="Arial" w:hAnsi="Arial"/>
                <w:sz w:val="25"/>
                <w:szCs w:val="25"/>
                <w:color w:val="008000"/>
                <w:vertAlign w:val="superscript"/>
              </w:rPr>
              <w:t>(2)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84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2920" w:type="dxa"/>
            <w:vAlign w:val="bottom"/>
            <w:tcBorders>
              <w:bottom w:val="single" w:sz="8" w:color="2C2C2C"/>
            </w:tcBorders>
          </w:tcPr>
          <w:p>
            <w:pPr>
              <w:jc w:val="right"/>
              <w:ind w:right="562"/>
              <w:spacing w:after="0"/>
              <w:rPr>
                <w:sz w:val="20"/>
                <w:szCs w:val="20"/>
                <w:color w:val="auto"/>
              </w:rPr>
            </w:pPr>
            <w:r>
              <w:rPr>
                <w:rFonts w:ascii="Arial" w:cs="Arial" w:eastAsia="Arial" w:hAnsi="Arial"/>
                <w:sz w:val="20"/>
                <w:szCs w:val="20"/>
                <w:color w:val="0000FF"/>
              </w:rPr>
              <w:t>30,000</w:t>
            </w:r>
          </w:p>
        </w:tc>
        <w:tc>
          <w:tcPr>
            <w:tcW w:w="1080" w:type="dxa"/>
            <w:vAlign w:val="bottom"/>
            <w:tcBorders>
              <w:bottom w:val="single" w:sz="8" w:color="2C2C2C"/>
            </w:tcBorders>
          </w:tcPr>
          <w:p>
            <w:pPr>
              <w:jc w:val="center"/>
              <w:ind w:left="24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By GRAT</w:t>
            </w:r>
            <w:r>
              <w:rPr>
                <w:rFonts w:ascii="Arial" w:cs="Arial" w:eastAsia="Arial" w:hAnsi="Arial"/>
                <w:sz w:val="25"/>
                <w:szCs w:val="25"/>
                <w:color w:val="008000"/>
                <w:vertAlign w:val="superscript"/>
              </w:rPr>
              <w:t>(3)</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840" w:type="dxa"/>
            <w:vAlign w:val="bottom"/>
            <w:tcBorders>
              <w:top w:val="single" w:sz="8" w:color="808080"/>
            </w:tcBorders>
            <w:shd w:val="clear" w:color="auto" w:fill="2C2C2C"/>
          </w:tcPr>
          <w:p>
            <w:pPr>
              <w:spacing w:after="0" w:line="20" w:lineRule="exact"/>
              <w:rPr>
                <w:sz w:val="1"/>
                <w:szCs w:val="1"/>
                <w:color w:val="auto"/>
              </w:rPr>
            </w:pPr>
          </w:p>
        </w:tc>
        <w:tc>
          <w:tcPr>
            <w:tcW w:w="29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(4)</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04/29/2025</w:t>
            </w:r>
          </w:p>
        </w:tc>
        <w:tc>
          <w:tcPr>
            <w:tcW w:w="176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201,729</w:t>
            </w:r>
          </w:p>
        </w:tc>
        <w:tc>
          <w:tcPr>
            <w:tcW w:w="1000" w:type="dxa"/>
            <w:vAlign w:val="bottom"/>
            <w:vMerge w:val="restart"/>
          </w:tcPr>
          <w:p>
            <w:pPr>
              <w:ind w:left="340"/>
              <w:spacing w:after="0"/>
              <w:rPr>
                <w:sz w:val="20"/>
                <w:szCs w:val="20"/>
                <w:color w:val="auto"/>
              </w:rPr>
            </w:pPr>
            <w:r>
              <w:rPr>
                <w:rFonts w:ascii="Arial" w:cs="Arial" w:eastAsia="Arial" w:hAnsi="Arial"/>
                <w:sz w:val="20"/>
                <w:szCs w:val="20"/>
                <w:color w:val="0000FF"/>
              </w:rPr>
              <w:t>0.35</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02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760" w:type="dxa"/>
            <w:vAlign w:val="bottom"/>
            <w:tcBorders>
              <w:bottom w:val="single" w:sz="8" w:color="2C2C2C"/>
            </w:tcBorders>
            <w:vMerge w:val="continue"/>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(5)</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11/27/2028</w:t>
            </w:r>
          </w:p>
        </w:tc>
        <w:tc>
          <w:tcPr>
            <w:tcW w:w="176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195,000</w:t>
            </w:r>
          </w:p>
        </w:tc>
        <w:tc>
          <w:tcPr>
            <w:tcW w:w="1000" w:type="dxa"/>
            <w:vAlign w:val="bottom"/>
            <w:vMerge w:val="restart"/>
          </w:tcPr>
          <w:p>
            <w:pPr>
              <w:ind w:left="340"/>
              <w:spacing w:after="0"/>
              <w:rPr>
                <w:sz w:val="20"/>
                <w:szCs w:val="20"/>
                <w:color w:val="auto"/>
              </w:rPr>
            </w:pPr>
            <w:r>
              <w:rPr>
                <w:rFonts w:ascii="Arial" w:cs="Arial" w:eastAsia="Arial" w:hAnsi="Arial"/>
                <w:sz w:val="20"/>
                <w:szCs w:val="20"/>
                <w:color w:val="0000FF"/>
              </w:rPr>
              <w:t>3.28</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02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760" w:type="dxa"/>
            <w:vAlign w:val="bottom"/>
            <w:tcBorders>
              <w:bottom w:val="single" w:sz="8" w:color="2C2C2C"/>
            </w:tcBorders>
            <w:vMerge w:val="continue"/>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01/20/2031</w:t>
            </w:r>
          </w:p>
        </w:tc>
        <w:tc>
          <w:tcPr>
            <w:tcW w:w="176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195,000</w:t>
            </w:r>
          </w:p>
        </w:tc>
        <w:tc>
          <w:tcPr>
            <w:tcW w:w="1000" w:type="dxa"/>
            <w:vAlign w:val="bottom"/>
            <w:vMerge w:val="restart"/>
          </w:tcPr>
          <w:p>
            <w:pPr>
              <w:ind w:left="340"/>
              <w:spacing w:after="0"/>
              <w:rPr>
                <w:sz w:val="20"/>
                <w:szCs w:val="20"/>
                <w:color w:val="auto"/>
              </w:rPr>
            </w:pPr>
            <w:r>
              <w:rPr>
                <w:rFonts w:ascii="Arial" w:cs="Arial" w:eastAsia="Arial" w:hAnsi="Arial"/>
                <w:sz w:val="20"/>
                <w:szCs w:val="20"/>
                <w:color w:val="0000FF"/>
              </w:rPr>
              <w:t>3.95</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30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Immediately prior to the closing of the initial public offering of the Issuer's Common Stock, each share of Class A Common Stock will be reclassified into one share of Voting Common Stock and each share of Class B Common Stock will be reclassified into one share of Non-Voting Common Stock.</w:t>
      </w:r>
    </w:p>
    <w:p>
      <w:pPr>
        <w:spacing w:after="0" w:line="26" w:lineRule="exact"/>
        <w:rPr>
          <w:rFonts w:ascii="Arial" w:cs="Arial" w:eastAsia="Arial" w:hAnsi="Arial"/>
          <w:sz w:val="15"/>
          <w:szCs w:val="15"/>
          <w:color w:val="008000"/>
        </w:rPr>
      </w:pPr>
    </w:p>
    <w:p>
      <w:pPr>
        <w:ind w:left="40" w:right="2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5" w:lineRule="exact"/>
        <w:rPr>
          <w:rFonts w:ascii="Arial" w:cs="Arial" w:eastAsia="Arial" w:hAnsi="Arial"/>
          <w:sz w:val="15"/>
          <w:szCs w:val="15"/>
          <w:color w:val="008000"/>
        </w:rPr>
      </w:pPr>
    </w:p>
    <w:p>
      <w:pPr>
        <w:ind w:left="40" w:right="2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5" w:lineRule="exact"/>
        <w:rPr>
          <w:rFonts w:ascii="Arial" w:cs="Arial" w:eastAsia="Arial" w:hAnsi="Arial"/>
          <w:sz w:val="15"/>
          <w:szCs w:val="15"/>
          <w:color w:val="008000"/>
        </w:rPr>
      </w:pPr>
    </w:p>
    <w:p>
      <w:pPr>
        <w:ind w:left="40" w:right="2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originally subject to this option shall vest over 4 years of service following April 20, 2015, with 25% vesting upon completion of 1 year of continuous service to the Issuer and the balance vesting in 36 equal monthly installments thereafter.</w:t>
      </w:r>
    </w:p>
    <w:p>
      <w:pPr>
        <w:spacing w:after="0" w:line="26" w:lineRule="exact"/>
        <w:rPr>
          <w:rFonts w:ascii="Arial" w:cs="Arial" w:eastAsia="Arial" w:hAnsi="Arial"/>
          <w:sz w:val="15"/>
          <w:szCs w:val="15"/>
          <w:color w:val="008000"/>
        </w:rPr>
      </w:pPr>
    </w:p>
    <w:p>
      <w:pPr>
        <w:ind w:left="40" w:right="1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originally subject to this option shall vest over 4 years of service following October 3, 2018, with 25% vesting upon completion of 1 year of continuous service to the Issuer and the balance vesting in 36 equal monthly installments thereafter.</w:t>
      </w:r>
    </w:p>
    <w:p>
      <w:pPr>
        <w:spacing w:after="0" w:line="26" w:lineRule="exact"/>
        <w:rPr>
          <w:rFonts w:ascii="Arial" w:cs="Arial" w:eastAsia="Arial" w:hAnsi="Arial"/>
          <w:sz w:val="15"/>
          <w:szCs w:val="15"/>
          <w:color w:val="008000"/>
        </w:rPr>
      </w:pPr>
    </w:p>
    <w:p>
      <w:pPr>
        <w:ind w:left="40" w:right="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originally subject to this option shall vest over 4 years of service following January 21, 2021, with 25% vesting upon completion of 1 year of continuous service to the Issuer and the balance vesting in 36 equal monthly installments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Michael G Ellis</w:t>
            </w:r>
          </w:p>
        </w:tc>
        <w:tc>
          <w:tcPr>
            <w:tcW w:w="900" w:type="dxa"/>
            <w:vAlign w:val="bottom"/>
          </w:tcPr>
          <w:p>
            <w:pPr>
              <w:spacing w:after="0"/>
              <w:rPr>
                <w:sz w:val="20"/>
                <w:szCs w:val="20"/>
                <w:color w:val="auto"/>
              </w:rPr>
            </w:pPr>
            <w:r>
              <w:rPr>
                <w:rFonts w:ascii="Arial" w:cs="Arial" w:eastAsia="Arial" w:hAnsi="Arial"/>
                <w:sz w:val="20"/>
                <w:szCs w:val="20"/>
                <w:color w:val="0000FF"/>
                <w:w w:val="87"/>
              </w:rPr>
              <w:t>05/25/2021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76"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2898" TargetMode="External"/><Relationship Id="rId11"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2021-05-25T19:29:35Z</dcterms:created>
  <dcterms:modified xsi:type="dcterms:W3CDTF">2021-05-25T19:29:35Z</dcterms:modified>
</cp:coreProperties>
</file>