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20" w:type="dxa"/>
            <w:vAlign w:val="bottom"/>
          </w:tcPr>
          <w:p>
            <w:pPr>
              <w:jc w:val="right"/>
              <w:ind w:right="144"/>
              <w:spacing w:after="0"/>
              <w:rPr>
                <w:sz w:val="20"/>
                <w:szCs w:val="20"/>
                <w:color w:val="auto"/>
              </w:rPr>
            </w:pPr>
            <w:r>
              <w:rPr>
                <w:rFonts w:ascii="Arial" w:cs="Arial" w:eastAsia="Arial" w:hAnsi="Arial"/>
                <w:sz w:val="7"/>
                <w:szCs w:val="7"/>
                <w:color w:val="auto"/>
                <w:w w:val="71"/>
              </w:rPr>
              <w:t>*</w:t>
            </w:r>
          </w:p>
        </w:tc>
        <w:tc>
          <w:tcPr>
            <w:tcW w:w="1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w w:val="92"/>
              </w:rPr>
            </w:pPr>
            <w:hyperlink r:id="rId10">
              <w:r>
                <w:rPr>
                  <w:rFonts w:ascii="Arial" w:cs="Arial" w:eastAsia="Arial" w:hAnsi="Arial"/>
                  <w:sz w:val="24"/>
                  <w:szCs w:val="24"/>
                  <w:color w:val="0000EE"/>
                  <w:w w:val="92"/>
                </w:rPr>
                <w:t>Spark Management Partners II,</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2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137 NEWBURY STREET, FLOOR 8</w:t>
            </w: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8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340" w:type="dxa"/>
            <w:vAlign w:val="bottom"/>
          </w:tcPr>
          <w:p>
            <w:pPr>
              <w:ind w:left="140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40" w:type="dxa"/>
            <w:vAlign w:val="bottom"/>
          </w:tcPr>
          <w:p>
            <w:pPr>
              <w:ind w:left="140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40" w:type="dxa"/>
            <w:vAlign w:val="bottom"/>
          </w:tcPr>
          <w:p>
            <w:pPr>
              <w:ind w:left="140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3"/>
              </w:rPr>
              <w:t>627</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7"/>
              </w:rPr>
              <w:t>6,723</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8"/>
              </w:rPr>
              <w:t>679,368</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340" w:type="dxa"/>
            <w:vAlign w:val="bottom"/>
            <w:tcBorders>
              <w:bottom w:val="single" w:sz="8" w:color="2C2C2C"/>
            </w:tcBorders>
          </w:tcPr>
          <w:p>
            <w:pPr>
              <w:jc w:val="center"/>
              <w:ind w:left="1292"/>
              <w:spacing w:after="0"/>
              <w:rPr>
                <w:sz w:val="20"/>
                <w:szCs w:val="20"/>
                <w:color w:val="auto"/>
              </w:rPr>
            </w:pPr>
            <w:r>
              <w:rPr>
                <w:rFonts w:ascii="Arial" w:cs="Arial" w:eastAsia="Arial" w:hAnsi="Arial"/>
                <w:sz w:val="20"/>
                <w:szCs w:val="20"/>
                <w:color w:val="0000FF"/>
                <w:w w:val="84"/>
              </w:rPr>
              <w:t>95,904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53,250</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8,139,309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7,359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1,125,039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15,945</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2,437,785</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19,983</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3,054,843</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980" w:type="dxa"/>
            <w:vAlign w:val="bottom"/>
            <w:vMerge w:val="restart"/>
          </w:tcPr>
          <w:p>
            <w:pPr>
              <w:jc w:val="right"/>
              <w:ind w:right="353"/>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3"/>
              </w:rPr>
              <w:t>309</w:t>
            </w:r>
          </w:p>
        </w:tc>
        <w:tc>
          <w:tcPr>
            <w:tcW w:w="980" w:type="dxa"/>
            <w:vAlign w:val="bottom"/>
            <w:vMerge w:val="restart"/>
          </w:tcPr>
          <w:p>
            <w:pPr>
              <w:jc w:val="right"/>
              <w:ind w:right="332"/>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vMerge w:val="continue"/>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800" w:type="dxa"/>
            <w:vAlign w:val="bottom"/>
            <w:gridSpan w:val="2"/>
            <w:vMerge w:val="restart"/>
          </w:tcPr>
          <w:p>
            <w:pPr>
              <w:jc w:val="right"/>
              <w:ind w:right="45"/>
              <w:spacing w:after="0"/>
              <w:rPr>
                <w:sz w:val="20"/>
                <w:szCs w:val="20"/>
                <w:color w:val="auto"/>
              </w:rPr>
            </w:pPr>
            <w:r>
              <w:rPr>
                <w:rFonts w:ascii="Arial" w:cs="Arial" w:eastAsia="Arial" w:hAnsi="Arial"/>
                <w:sz w:val="13"/>
                <w:szCs w:val="13"/>
                <w:color w:val="008000"/>
              </w:rPr>
              <w:t>(6)</w:t>
            </w:r>
          </w:p>
        </w:tc>
        <w:tc>
          <w:tcPr>
            <w:tcW w:w="30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3,534</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800" w:type="dxa"/>
            <w:vAlign w:val="bottom"/>
            <w:gridSpan w:val="2"/>
            <w:vMerge w:val="restart"/>
          </w:tcPr>
          <w:p>
            <w:pPr>
              <w:jc w:val="right"/>
              <w:ind w:right="45"/>
              <w:spacing w:after="0"/>
              <w:rPr>
                <w:sz w:val="20"/>
                <w:szCs w:val="20"/>
                <w:color w:val="auto"/>
              </w:rPr>
            </w:pPr>
            <w:r>
              <w:rPr>
                <w:rFonts w:ascii="Arial" w:cs="Arial" w:eastAsia="Arial" w:hAnsi="Arial"/>
                <w:sz w:val="13"/>
                <w:szCs w:val="13"/>
                <w:color w:val="008000"/>
              </w:rPr>
              <w:t>(6)</w:t>
            </w:r>
          </w:p>
        </w:tc>
        <w:tc>
          <w:tcPr>
            <w:tcW w:w="30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8"/>
              </w:rPr>
              <w:t>357,141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vMerge w:val="continue"/>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4"/>
            <w:vMerge w:val="restart"/>
          </w:tcPr>
          <w:p>
            <w:pPr>
              <w:ind w:left="80"/>
              <w:spacing w:after="0"/>
              <w:rPr>
                <w:sz w:val="20"/>
                <w:szCs w:val="20"/>
                <w:color w:val="auto"/>
              </w:rPr>
            </w:pPr>
            <w:r>
              <w:rPr>
                <w:rFonts w:ascii="Arial" w:cs="Arial" w:eastAsia="Arial" w:hAnsi="Arial"/>
                <w:sz w:val="20"/>
                <w:szCs w:val="20"/>
                <w:color w:val="0000FF"/>
              </w:rPr>
              <w:t>Series F-1 Preferred Stock</w:t>
            </w:r>
          </w:p>
        </w:tc>
        <w:tc>
          <w:tcPr>
            <w:tcW w:w="800" w:type="dxa"/>
            <w:vAlign w:val="bottom"/>
            <w:gridSpan w:val="2"/>
            <w:vMerge w:val="restart"/>
          </w:tcPr>
          <w:p>
            <w:pPr>
              <w:jc w:val="right"/>
              <w:ind w:right="45"/>
              <w:spacing w:after="0"/>
              <w:rPr>
                <w:sz w:val="20"/>
                <w:szCs w:val="20"/>
                <w:color w:val="auto"/>
              </w:rPr>
            </w:pPr>
            <w:r>
              <w:rPr>
                <w:rFonts w:ascii="Arial" w:cs="Arial" w:eastAsia="Arial" w:hAnsi="Arial"/>
                <w:sz w:val="13"/>
                <w:szCs w:val="13"/>
                <w:color w:val="008000"/>
              </w:rPr>
              <w:t>(6)</w:t>
            </w:r>
          </w:p>
        </w:tc>
        <w:tc>
          <w:tcPr>
            <w:tcW w:w="30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(6)</w:t>
            </w:r>
          </w:p>
        </w:tc>
        <w:tc>
          <w:tcPr>
            <w:tcW w:w="17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4"/>
              </w:rPr>
              <w:t>47,301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720" w:type="dxa"/>
            <w:vAlign w:val="bottom"/>
            <w:tcBorders>
              <w:bottom w:val="single" w:sz="8" w:color="2C2C2C"/>
            </w:tcBorders>
            <w:vMerge w:val="continue"/>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0" w:type="dxa"/>
            <w:vAlign w:val="bottom"/>
            <w:gridSpan w:val="5"/>
          </w:tcPr>
          <w:p>
            <w:pPr>
              <w:spacing w:after="0" w:line="249" w:lineRule="exact"/>
              <w:rPr>
                <w:rFonts w:ascii="Arial" w:cs="Arial" w:eastAsia="Arial" w:hAnsi="Arial"/>
                <w:sz w:val="24"/>
                <w:szCs w:val="24"/>
                <w:color w:val="0000EE"/>
                <w:w w:val="98"/>
              </w:rPr>
            </w:pPr>
            <w:hyperlink r:id="rId10">
              <w:r>
                <w:rPr>
                  <w:rFonts w:ascii="Arial" w:cs="Arial" w:eastAsia="Arial" w:hAnsi="Arial"/>
                  <w:sz w:val="24"/>
                  <w:szCs w:val="24"/>
                  <w:color w:val="0000EE"/>
                  <w:w w:val="98"/>
                </w:rPr>
                <w:t>Spark Management Partners II, LLC</w:t>
              </w:r>
            </w:hyperlink>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10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20"/>
                <w:szCs w:val="20"/>
                <w:color w:val="0000FF"/>
              </w:rPr>
              <w:t>137 NEWBURY STREET, FLOOR 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620" w:type="dxa"/>
            <w:vAlign w:val="bottom"/>
          </w:tcPr>
          <w:p>
            <w:pPr>
              <w:ind w:left="300"/>
              <w:spacing w:after="0"/>
              <w:rPr>
                <w:sz w:val="20"/>
                <w:szCs w:val="20"/>
                <w:color w:val="auto"/>
              </w:rPr>
            </w:pPr>
            <w:r>
              <w:rPr>
                <w:rFonts w:ascii="Arial" w:cs="Arial" w:eastAsia="Arial" w:hAnsi="Arial"/>
                <w:sz w:val="20"/>
                <w:szCs w:val="20"/>
                <w:color w:val="0000FF"/>
              </w:rPr>
              <w:t>MA</w:t>
            </w:r>
          </w:p>
        </w:tc>
        <w:tc>
          <w:tcPr>
            <w:tcW w:w="800" w:type="dxa"/>
            <w:vAlign w:val="bottom"/>
            <w:gridSpan w:val="2"/>
          </w:tcPr>
          <w:p>
            <w:pPr>
              <w:ind w:left="60"/>
              <w:spacing w:after="0"/>
              <w:rPr>
                <w:sz w:val="20"/>
                <w:szCs w:val="20"/>
                <w:color w:val="auto"/>
              </w:rPr>
            </w:pPr>
            <w:r>
              <w:rPr>
                <w:rFonts w:ascii="Arial" w:cs="Arial" w:eastAsia="Arial" w:hAnsi="Arial"/>
                <w:sz w:val="20"/>
                <w:szCs w:val="20"/>
                <w:color w:val="0000FF"/>
              </w:rPr>
              <w:t>02116</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620" w:type="dxa"/>
            <w:vAlign w:val="bottom"/>
          </w:tcPr>
          <w:p>
            <w:pPr>
              <w:ind w:left="300"/>
              <w:spacing w:after="0"/>
              <w:rPr>
                <w:sz w:val="20"/>
                <w:szCs w:val="20"/>
                <w:color w:val="auto"/>
              </w:rPr>
            </w:pPr>
            <w:r>
              <w:rPr>
                <w:rFonts w:ascii="Arial" w:cs="Arial" w:eastAsia="Arial" w:hAnsi="Arial"/>
                <w:sz w:val="15"/>
                <w:szCs w:val="15"/>
                <w:color w:val="auto"/>
              </w:rPr>
              <w:t>(State)</w:t>
            </w:r>
          </w:p>
        </w:tc>
        <w:tc>
          <w:tcPr>
            <w:tcW w:w="110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SPARK CAPITAL FOUNDERS FUND II</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137 NEWBURY STREET, FLOOR 8</w:t>
      </w:r>
    </w:p>
    <w:p>
      <w:pPr>
        <w:spacing w:after="0" w:line="39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spacing w:after="0"/>
        <w:tabs>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02116</w:t>
      </w:r>
    </w:p>
    <w:p>
      <w:pPr>
        <w:spacing w:after="0" w:line="37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Spark Growth Management Partners LLC</w:t>
        </w:r>
      </w:hyperlink>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137 NEWBURY STREET, FLOOR 8</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24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780" w:type="dxa"/>
            <w:vAlign w:val="bottom"/>
          </w:tcPr>
          <w:p>
            <w:pPr>
              <w:ind w:left="44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3"/>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Spark Capital II LP</w:t>
              </w:r>
            </w:hyperlink>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137 NEWBURY STREET, FLOOR 8</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24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780" w:type="dxa"/>
            <w:vAlign w:val="bottom"/>
          </w:tcPr>
          <w:p>
            <w:pPr>
              <w:ind w:left="440"/>
              <w:spacing w:after="0"/>
              <w:rPr>
                <w:sz w:val="20"/>
                <w:szCs w:val="20"/>
                <w:color w:val="auto"/>
              </w:rPr>
            </w:pPr>
            <w:r>
              <w:rPr>
                <w:rFonts w:ascii="Arial" w:cs="Arial" w:eastAsia="Arial" w:hAnsi="Arial"/>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194" w:right="479" w:bottom="0" w:gutter="0" w:footer="0" w:header="0"/>
        </w:sectPr>
      </w:pPr>
    </w:p>
    <w:p>
      <w:pPr>
        <w:ind w:left="14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Spark Capital Growth Founders' Fund,</w:t>
        </w:r>
      </w:hyperlink>
    </w:p>
    <w:p>
      <w:pPr>
        <w:sectPr>
          <w:pgSz w:w="11900" w:h="16838" w:orient="portrait"/>
          <w:cols w:equalWidth="0" w:num="1">
            <w:col w:w="10940"/>
          </w:cols>
          <w:pgMar w:left="480" w:top="194" w:right="479" w:bottom="0" w:gutter="0" w:footer="0" w:header="0"/>
          <w:type w:val="continuous"/>
        </w:sectPr>
      </w:pPr>
    </w:p>
    <w:bookmarkStart w:id="2" w:name="page3"/>
    <w:bookmarkEnd w:id="2"/>
    <w:p>
      <w:pPr>
        <w:ind w:left="10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-159385</wp:posOffset>
            </wp:positionV>
            <wp:extent cx="2798445" cy="352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98445" cy="3528695"/>
                    </a:xfrm>
                    <a:prstGeom prst="rect">
                      <a:avLst/>
                    </a:prstGeom>
                    <a:noFill/>
                  </pic:spPr>
                </pic:pic>
              </a:graphicData>
            </a:graphic>
          </wp:anchor>
        </w:drawing>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137 NEWBURY STREET, FLOOR 8</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Spark Capital Growth Fund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3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137 NEWBURY STREET, FLOOR 8</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40" w:firstLine="5"/>
        <w:spacing w:after="0" w:line="288"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prior to the closing of the initial public offering of the Issuer's Common Stock, each share of Class A Common Stock will be reclassified into one share of Voting Common Stock and each share of Class B Common Stock will be reclassified into one share of Non-Voting Common Stock (the "Reclassification").</w:t>
      </w:r>
    </w:p>
    <w:p>
      <w:pPr>
        <w:spacing w:after="0" w:line="3" w:lineRule="exact"/>
        <w:rPr>
          <w:rFonts w:ascii="Arial" w:cs="Arial" w:eastAsia="Arial" w:hAnsi="Arial"/>
          <w:sz w:val="14"/>
          <w:szCs w:val="14"/>
          <w:color w:val="008000"/>
        </w:rPr>
      </w:pPr>
    </w:p>
    <w:p>
      <w:pPr>
        <w:ind w:right="40" w:firstLine="5"/>
        <w:spacing w:after="0" w:line="256"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of record by Spark Capital Founders' Fund II, L.P. ("Spark Capital FF II"). Spark Management Partners II, LLC ("SMP II") is the general partner of Spark Capital FF II. Paul Conway, Bijan Sabet, Santo Politi, and Alexander J, Finkelstein, a member of the Issuer's board of directors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6" w:lineRule="exact"/>
        <w:rPr>
          <w:rFonts w:ascii="Arial" w:cs="Arial" w:eastAsia="Arial" w:hAnsi="Arial"/>
          <w:sz w:val="14"/>
          <w:szCs w:val="14"/>
          <w:color w:val="008000"/>
        </w:rPr>
      </w:pPr>
    </w:p>
    <w:p>
      <w:pPr>
        <w:ind w:firstLine="5"/>
        <w:spacing w:after="0" w:line="286"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Founders' Fund, L.P. ("Spark Capital Growth FF"). Spark Growth Management Partners, LLC ("SGMP") is the general partner of Spark Capital Growth FF.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7" w:lineRule="exact"/>
        <w:rPr>
          <w:rFonts w:ascii="Arial" w:cs="Arial" w:eastAsia="Arial" w:hAnsi="Arial"/>
          <w:sz w:val="13"/>
          <w:szCs w:val="13"/>
          <w:color w:val="008000"/>
        </w:rPr>
      </w:pPr>
    </w:p>
    <w:p>
      <w:pPr>
        <w:ind w:right="120" w:firstLine="5"/>
        <w:spacing w:after="0" w:line="260"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are held of record by Spark Capital Growth Fund, L.P. ("Spark Capital Growth"). SGMP is the general partner of Spark Capital Growth. The Managing Members are the managing members of SGMP. Each of the Managing Members may be deemed to share investment, voting and dispositive power over these shares. Each of SGMP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2" w:lineRule="exact"/>
        <w:rPr>
          <w:rFonts w:ascii="Arial" w:cs="Arial" w:eastAsia="Arial" w:hAnsi="Arial"/>
          <w:sz w:val="14"/>
          <w:szCs w:val="14"/>
          <w:color w:val="008000"/>
        </w:rPr>
      </w:pPr>
    </w:p>
    <w:p>
      <w:pPr>
        <w:ind w:right="4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Spark Capital II, L.P. ("Spark Capital II"). SMP II is the general partner of Spark Capital II. The Managing Members are the managing members of SMP II. Each of the Managing Members may be deemed to share investment, voting and dispositive power over these shares. Each of SMP II and the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36" w:lineRule="exact"/>
        <w:rPr>
          <w:rFonts w:ascii="Arial" w:cs="Arial" w:eastAsia="Arial" w:hAnsi="Arial"/>
          <w:sz w:val="15"/>
          <w:szCs w:val="15"/>
          <w:color w:val="008000"/>
        </w:rPr>
      </w:pPr>
    </w:p>
    <w:p>
      <w:pPr>
        <w:ind w:right="40" w:firstLine="5"/>
        <w:spacing w:after="0" w:line="291"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share of the Issuer's Series A, Series B, Series B-1, Series C, Series D, Series E-1 and Series F-1 Preferred Stock are convertible into Class A Common Stock on a 1 for 1 basis at the holder's election and will automatically convert immediately prior to the Reclassification and each share of the Issuer's Series E-2 Preferred Stock convertible into Class B Common Stock on a 1 for 1 basis at the holder's election and will automatically convert immediately prior to the Reclassification. These shares have no expiration date.</w:t>
      </w:r>
    </w:p>
    <w:p>
      <w:pPr>
        <w:sectPr>
          <w:pgSz w:w="11900" w:h="16838" w:orient="portrait"/>
          <w:cols w:equalWidth="0" w:num="1">
            <w:col w:w="10860"/>
          </w:cols>
          <w:pgMar w:left="520" w:top="115" w:right="51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Spark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6985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6985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44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1144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73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Spark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664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II, LLC, /s/ Alex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61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Finkelstein,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50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Spark Capital II,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249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344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8534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Spark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647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Partners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441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461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4612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Spark Capital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189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918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Fund II, L.P., /s/ Alex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78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Finkelstein,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50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737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737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Management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80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999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8580" w:space="140"/>
            <w:col w:w="2140"/>
          </w:cols>
          <w:pgMar w:left="520" w:top="115" w:right="51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Spark Capital Growth</w:t>
            </w:r>
          </w:p>
        </w:tc>
        <w:tc>
          <w:tcPr>
            <w:tcW w:w="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05/25/2021</w:t>
            </w:r>
          </w:p>
        </w:tc>
      </w:tr>
    </w:tbl>
    <w:p>
      <w:pPr>
        <w:spacing w:after="0" w:line="20"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Founders' Fund,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0269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26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344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8534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Spark Gworth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985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8500" cy="9525"/>
                    </a:xfrm>
                    <a:prstGeom prst="rect">
                      <a:avLst/>
                    </a:prstGeom>
                    <a:noFill/>
                  </pic:spPr>
                </pic:pic>
              </a:graphicData>
            </a:graphic>
          </wp:anchor>
        </w:drawing>
      </w:r>
    </w:p>
    <w:p>
      <w:pPr>
        <w:sectPr>
          <w:pgSz w:w="11900" w:h="16838" w:orient="portrait"/>
          <w:cols w:equalWidth="0" w:num="1">
            <w:col w:w="10860"/>
          </w:cols>
          <w:pgMar w:left="520" w:top="115"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1442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144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999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7"/>
          </w:tcPr>
          <w:p>
            <w:pPr>
              <w:spacing w:after="0"/>
              <w:rPr>
                <w:sz w:val="20"/>
                <w:szCs w:val="20"/>
                <w:color w:val="auto"/>
              </w:rPr>
            </w:pPr>
            <w:r>
              <w:rPr>
                <w:rFonts w:ascii="Arial" w:cs="Arial" w:eastAsia="Arial" w:hAnsi="Arial"/>
                <w:sz w:val="20"/>
                <w:szCs w:val="20"/>
                <w:color w:val="0000FF"/>
              </w:rPr>
              <w:t>Spark Capital Growth</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0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9"/>
              </w:rPr>
              <w:t>Fund, L.P., /s/ Alex</w:t>
            </w:r>
          </w:p>
        </w:tc>
        <w:tc>
          <w:tcPr>
            <w:tcW w:w="48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7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89"/>
              </w:rPr>
              <w:t>Finkelstein, Managing</w:t>
            </w:r>
          </w:p>
        </w:tc>
        <w:tc>
          <w:tcPr>
            <w:tcW w:w="420" w:type="dxa"/>
            <w:vAlign w:val="bottom"/>
            <w:gridSpan w:val="3"/>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05/25/2021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20" w:type="dxa"/>
            <w:vAlign w:val="bottom"/>
            <w:gridSpan w:val="6"/>
            <w:vMerge w:val="restart"/>
          </w:tcPr>
          <w:p>
            <w:pPr>
              <w:spacing w:after="0" w:line="220" w:lineRule="exact"/>
              <w:rPr>
                <w:sz w:val="20"/>
                <w:szCs w:val="20"/>
                <w:color w:val="auto"/>
              </w:rPr>
            </w:pPr>
            <w:r>
              <w:rPr>
                <w:rFonts w:ascii="Arial" w:cs="Arial" w:eastAsia="Arial" w:hAnsi="Arial"/>
                <w:sz w:val="20"/>
                <w:szCs w:val="20"/>
                <w:color w:val="0000FF"/>
                <w:w w:val="89"/>
              </w:rPr>
              <w:t>Member of Spark Growth</w:t>
            </w:r>
          </w:p>
        </w:tc>
        <w:tc>
          <w:tcPr>
            <w:tcW w:w="1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20" w:type="dxa"/>
            <w:vAlign w:val="bottom"/>
            <w:tcBorders>
              <w:bottom w:val="single" w:sz="8" w:color="auto"/>
            </w:tcBorders>
            <w:gridSpan w:val="6"/>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7"/>
          </w:tcPr>
          <w:p>
            <w:pPr>
              <w:spacing w:after="0" w:line="220" w:lineRule="exact"/>
              <w:rPr>
                <w:sz w:val="20"/>
                <w:szCs w:val="20"/>
                <w:color w:val="auto"/>
              </w:rPr>
            </w:pPr>
            <w:r>
              <w:rPr>
                <w:rFonts w:ascii="Arial" w:cs="Arial" w:eastAsia="Arial" w:hAnsi="Arial"/>
                <w:sz w:val="20"/>
                <w:szCs w:val="20"/>
                <w:color w:val="0000FF"/>
              </w:rPr>
              <w:t>Management Partners,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7"/>
          </w:tcPr>
          <w:p>
            <w:pPr>
              <w:spacing w:after="0" w:line="220" w:lineRule="exact"/>
              <w:rPr>
                <w:sz w:val="20"/>
                <w:szCs w:val="20"/>
                <w:color w:val="auto"/>
              </w:rPr>
            </w:pPr>
            <w:r>
              <w:rPr>
                <w:rFonts w:ascii="Arial" w:cs="Arial" w:eastAsia="Arial" w:hAnsi="Arial"/>
                <w:sz w:val="20"/>
                <w:szCs w:val="20"/>
                <w:color w:val="0000FF"/>
              </w:rPr>
              <w:t>LLC, its general partner</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6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gridSpan w:val="2"/>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7"/>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7"/>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8"/>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8"/>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0" Type="http://schemas.openxmlformats.org/officeDocument/2006/relationships/hyperlink" Target="http://www.sec.gov/cgi-bin/browse-edgar?action=getcompany&amp;CIK=0001600213" TargetMode="External"/><Relationship Id="rId11" Type="http://schemas.openxmlformats.org/officeDocument/2006/relationships/hyperlink" Target="http://www.sec.gov/cgi-bin/browse-edgar?action=getcompany&amp;CIK=0001580560" TargetMode="External"/><Relationship Id="rId13" Type="http://schemas.openxmlformats.org/officeDocument/2006/relationships/hyperlink" Target="http://www.sec.gov/cgi-bin/browse-edgar?action=getcompany&amp;CIK=0001430606" TargetMode="External"/><Relationship Id="rId14" Type="http://schemas.openxmlformats.org/officeDocument/2006/relationships/hyperlink" Target="http://www.sec.gov/cgi-bin/browse-edgar?action=getcompany&amp;CIK=0001608856" TargetMode="External"/><Relationship Id="rId15" Type="http://schemas.openxmlformats.org/officeDocument/2006/relationships/hyperlink" Target="http://www.sec.gov/cgi-bin/browse-edgar?action=getcompany&amp;CIK=0001407645" TargetMode="External"/><Relationship Id="rId16" Type="http://schemas.openxmlformats.org/officeDocument/2006/relationships/hyperlink" Target="http://www.sec.gov/cgi-bin/browse-edgar?action=getcompany&amp;CIK=0001640667" TargetMode="External"/><Relationship Id="rId18" Type="http://schemas.openxmlformats.org/officeDocument/2006/relationships/hyperlink" Target="http://www.sec.gov/cgi-bin/browse-edgar?action=getcompany&amp;CIK=0001608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2021-05-25T19:36:19Z</dcterms:created>
  <dcterms:modified xsi:type="dcterms:W3CDTF">2021-05-25T19:36:19Z</dcterms:modified>
</cp:coreProperties>
</file>