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Finkelstein Alex</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220" w:type="dxa"/>
            <w:vAlign w:val="bottom"/>
            <w:gridSpan w:val="3"/>
          </w:tcPr>
          <w:p>
            <w:pPr>
              <w:ind w:left="80"/>
              <w:spacing w:after="0"/>
              <w:rPr>
                <w:sz w:val="20"/>
                <w:szCs w:val="20"/>
                <w:color w:val="auto"/>
              </w:rPr>
            </w:pPr>
            <w:r>
              <w:rPr>
                <w:rFonts w:ascii="Arial" w:cs="Arial" w:eastAsia="Arial" w:hAnsi="Arial"/>
                <w:sz w:val="17"/>
                <w:szCs w:val="17"/>
                <w:color w:val="0000FF"/>
              </w:rPr>
              <w:t>11/09/2023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right"/>
              <w:ind w:right="277"/>
              <w:spacing w:after="0"/>
              <w:rPr>
                <w:sz w:val="20"/>
                <w:szCs w:val="20"/>
                <w:color w:val="auto"/>
              </w:rPr>
            </w:pPr>
            <w:r>
              <w:rPr>
                <w:rFonts w:ascii="Arial" w:cs="Arial" w:eastAsia="Arial" w:hAnsi="Arial"/>
                <w:sz w:val="17"/>
                <w:szCs w:val="17"/>
                <w:color w:val="0000FF"/>
              </w:rPr>
              <w:t>226,230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11/09/2023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27,309</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(1)</w:t>
            </w:r>
          </w:p>
        </w:tc>
        <w:tc>
          <w:tcPr>
            <w:tcW w:w="480" w:type="dxa"/>
            <w:vAlign w:val="bottom"/>
          </w:tcPr>
          <w:p>
            <w:pPr>
              <w:spacing w:after="0"/>
              <w:rPr>
                <w:sz w:val="22"/>
                <w:szCs w:val="22"/>
                <w:color w:val="auto"/>
              </w:rPr>
            </w:pPr>
          </w:p>
        </w:tc>
        <w:tc>
          <w:tcPr>
            <w:tcW w:w="700" w:type="dxa"/>
            <w:vAlign w:val="bottom"/>
            <w:vMerge w:val="restart"/>
          </w:tcPr>
          <w:p>
            <w:pPr>
              <w:jc w:val="right"/>
              <w:ind w:right="51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distribution, and not a purchase or sale, without additional consideration by Spark Capital Partners, LLC ("SCP") to certain of its members.</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Alex Finkelstein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11/13/2023</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2023-11-13T20:20:35Z</dcterms:created>
  <dcterms:modified xsi:type="dcterms:W3CDTF">2023-11-13T20:20:35Z</dcterms:modified>
</cp:coreProperties>
</file>