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905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Agarwal Ajay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940" w:type="dxa"/>
            <w:vAlign w:val="bottom"/>
            <w:gridSpan w:val="2"/>
            <w:vMerge w:val="restart"/>
          </w:tcPr>
          <w:p>
            <w:pPr>
              <w:ind w:left="400"/>
              <w:spacing w:after="0"/>
              <w:rPr>
                <w:sz w:val="20"/>
                <w:szCs w:val="20"/>
                <w:color w:val="auto"/>
              </w:rPr>
            </w:pPr>
            <w:r>
              <w:rPr>
                <w:rFonts w:ascii="Arial" w:cs="Arial" w:eastAsia="Arial" w:hAnsi="Arial"/>
                <w:sz w:val="18"/>
                <w:szCs w:val="18"/>
                <w:color w:val="0000FF"/>
              </w:rPr>
              <w:t>05/11/2023</w:t>
            </w:r>
          </w:p>
        </w:tc>
        <w:tc>
          <w:tcPr>
            <w:tcW w:w="72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0000FF"/>
                <w:w w:val="84"/>
              </w:rPr>
              <w:t>2,850,000</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29.51</w:t>
            </w:r>
          </w:p>
        </w:tc>
        <w:tc>
          <w:tcPr>
            <w:tcW w:w="16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8,795,388</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3"/>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8"/>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9" w:lineRule="exact"/>
        <w:rPr>
          <w:rFonts w:ascii="Arial" w:cs="Arial" w:eastAsia="Arial" w:hAnsi="Arial"/>
          <w:sz w:val="12"/>
          <w:szCs w:val="12"/>
          <w:color w:val="008000"/>
        </w:rPr>
      </w:pPr>
    </w:p>
    <w:p>
      <w:pPr>
        <w:jc w:val="both"/>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Agarwal is a member of the Executive Committee and a Partner of BCVI. By virtue of the relationships described in this footnote, Mr. Agarwal may be deemed to share voting and dispositive power with respect to the securities held by the Bain Capital Venture Entities. Mr. Agarwal disclaims beneficial ownership of such securities except to the extent of his pecuniary interest therein.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1"/>
              </w:rPr>
              <w:t>/s/ Ajay Agarwal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05/15/2023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876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2023-05-15T19:54:44Z</dcterms:created>
  <dcterms:modified xsi:type="dcterms:W3CDTF">2023-05-15T19:54:44Z</dcterms:modified>
</cp:coreProperties>
</file>