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4"/>
        <w:gridCol w:w="915"/>
        <w:gridCol w:w="785"/>
        <w:gridCol w:w="608"/>
        <w:gridCol w:w="344"/>
        <w:gridCol w:w="1059"/>
        <w:gridCol w:w="433"/>
        <w:gridCol w:w="657"/>
        <w:gridCol w:w="1133"/>
        <w:gridCol w:w="978"/>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03/02/2024</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140,608</w:t>
            </w:r>
            <w:r>
              <w:rPr>
                <w:rFonts w:ascii="Times;serif" w:hAnsi="Times;serif"/>
                <w:color w:val="008000"/>
                <w:position w:val="7"/>
                <w:sz w:val="16"/>
                <w:sz w:val="20"/>
                <w:shd w:fill="FFFFFF" w:val="clear"/>
              </w:rPr>
              <w:t>(1)</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630,934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 time-based restricted stock unit award (RSU). The RSU vests with respect to 25% of the shares on March 1, 2025, with the remainder vesting in equal quarterly installments over the following three years, provided that the Reporting Person has provided continuous service to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3763</Characters>
  <CharactersWithSpaces>4397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