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3920" w:right="2760" w:hanging="3899"/>
        <w:spacing w:after="0" w:line="291"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5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001-40430</w:t>
      </w:r>
    </w:p>
    <w:p>
      <w:pPr>
        <w:spacing w:after="0" w:line="62" w:lineRule="exact"/>
        <w:rPr>
          <w:sz w:val="24"/>
          <w:szCs w:val="24"/>
          <w:color w:val="auto"/>
        </w:rPr>
      </w:pPr>
    </w:p>
    <w:p>
      <w:pPr>
        <w:jc w:val="center"/>
        <w:ind w:right="40"/>
        <w:spacing w:after="0"/>
        <w:rPr>
          <w:sz w:val="20"/>
          <w:szCs w:val="20"/>
          <w:color w:val="auto"/>
        </w:rPr>
      </w:pPr>
      <w:r>
        <w:rPr>
          <w:rFonts w:ascii="Arial" w:cs="Arial" w:eastAsia="Arial" w:hAnsi="Arial"/>
          <w:sz w:val="40"/>
          <w:szCs w:val="40"/>
          <w:b w:val="1"/>
          <w:bCs w:val="1"/>
          <w:color w:val="auto"/>
        </w:rPr>
        <w:t>FLYWIRE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-278765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p>
      <w:pPr>
        <w:spacing w:after="0" w:line="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Delaware</w:t>
      </w:r>
    </w:p>
    <w:p>
      <w:pPr>
        <w:ind w:left="1960"/>
        <w:spacing w:after="0" w:line="216" w:lineRule="auto"/>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27-0690799</w:t>
      </w:r>
    </w:p>
    <w:p>
      <w:pPr>
        <w:jc w:val="center"/>
        <w:ind w:right="2280"/>
        <w:spacing w:after="0" w:line="237" w:lineRule="auto"/>
        <w:rPr>
          <w:sz w:val="20"/>
          <w:szCs w:val="20"/>
          <w:color w:val="auto"/>
        </w:rPr>
      </w:pPr>
      <w:r>
        <w:rPr>
          <w:rFonts w:ascii="Arial" w:cs="Arial" w:eastAsia="Arial" w:hAnsi="Arial"/>
          <w:sz w:val="13"/>
          <w:szCs w:val="13"/>
          <w:b w:val="1"/>
          <w:bCs w:val="1"/>
          <w:color w:val="auto"/>
        </w:rPr>
        <w:t>(I.R.S. Employer</w:t>
      </w:r>
    </w:p>
    <w:p>
      <w:pPr>
        <w:spacing w:after="0" w:line="1"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660" w:space="240"/>
            <w:col w:w="3340"/>
          </w:cols>
          <w:pgMar w:left="320" w:top="578" w:right="339" w:bottom="1440" w:gutter="0" w:footer="0" w:header="0"/>
          <w:type w:val="continuous"/>
        </w:sectPr>
      </w:pPr>
    </w:p>
    <w:tbl>
      <w:tblPr>
        <w:tblLayout w:type="fixed"/>
        <w:tblInd w:w="1640" w:type="dxa"/>
        <w:tblCellMar>
          <w:top w:w="0" w:type="dxa"/>
          <w:left w:w="0" w:type="dxa"/>
          <w:bottom w:w="0" w:type="dxa"/>
          <w:right w:w="0" w:type="dxa"/>
        </w:tblCellMar>
      </w:tblPr>
      <w:tr>
        <w:trPr>
          <w:trHeight w:val="165"/>
        </w:trPr>
        <w:tc>
          <w:tcPr>
            <w:tcW w:w="4420" w:type="dxa"/>
            <w:vAlign w:val="bottom"/>
          </w:tcPr>
          <w:p>
            <w:pPr>
              <w:jc w:val="center"/>
              <w:ind w:right="1985"/>
              <w:spacing w:after="0" w:line="165" w:lineRule="exact"/>
              <w:rPr>
                <w:sz w:val="20"/>
                <w:szCs w:val="20"/>
                <w:color w:val="auto"/>
              </w:rPr>
            </w:pPr>
            <w:r>
              <w:rPr>
                <w:rFonts w:ascii="Arial" w:cs="Arial" w:eastAsia="Arial" w:hAnsi="Arial"/>
                <w:sz w:val="16"/>
                <w:szCs w:val="16"/>
                <w:b w:val="1"/>
                <w:bCs w:val="1"/>
                <w:color w:val="auto"/>
              </w:rPr>
              <w:t>141 Tremont St #10</w:t>
            </w:r>
          </w:p>
        </w:tc>
        <w:tc>
          <w:tcPr>
            <w:tcW w:w="2680" w:type="dxa"/>
            <w:vAlign w:val="bottom"/>
            <w:vMerge w:val="restart"/>
          </w:tcPr>
          <w:p>
            <w:pPr>
              <w:jc w:val="right"/>
              <w:ind w:right="28"/>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98"/>
        </w:trPr>
        <w:tc>
          <w:tcPr>
            <w:tcW w:w="4420" w:type="dxa"/>
            <w:vAlign w:val="bottom"/>
          </w:tcPr>
          <w:p>
            <w:pPr>
              <w:jc w:val="center"/>
              <w:ind w:right="2005"/>
              <w:spacing w:after="0"/>
              <w:rPr>
                <w:sz w:val="20"/>
                <w:szCs w:val="20"/>
                <w:color w:val="auto"/>
              </w:rPr>
            </w:pPr>
            <w:r>
              <w:rPr>
                <w:rFonts w:ascii="Arial" w:cs="Arial" w:eastAsia="Arial" w:hAnsi="Arial"/>
                <w:sz w:val="16"/>
                <w:szCs w:val="16"/>
                <w:b w:val="1"/>
                <w:bCs w:val="1"/>
                <w:color w:val="auto"/>
              </w:rPr>
              <w:t>Boston, MA</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420" w:type="dxa"/>
            <w:vAlign w:val="bottom"/>
          </w:tcPr>
          <w:p>
            <w:pPr>
              <w:jc w:val="center"/>
              <w:ind w:right="1985"/>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8"/>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329-4524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8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2220" w:type="dxa"/>
            <w:vAlign w:val="bottom"/>
          </w:tcPr>
          <w:p>
            <w:pPr>
              <w:jc w:val="center"/>
              <w:ind w:right="28"/>
              <w:spacing w:after="0"/>
              <w:rPr>
                <w:sz w:val="20"/>
                <w:szCs w:val="20"/>
                <w:color w:val="auto"/>
              </w:rPr>
            </w:pPr>
            <w:r>
              <w:rPr>
                <w:rFonts w:ascii="Arial" w:cs="Arial" w:eastAsia="Arial" w:hAnsi="Arial"/>
                <w:sz w:val="14"/>
                <w:szCs w:val="14"/>
                <w:b w:val="1"/>
                <w:bCs w:val="1"/>
                <w:color w:val="auto"/>
              </w:rPr>
              <w:t>Trading</w:t>
            </w:r>
          </w:p>
        </w:tc>
        <w:tc>
          <w:tcPr>
            <w:tcW w:w="48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18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Symbol(s)</w:t>
            </w:r>
          </w:p>
        </w:tc>
        <w:tc>
          <w:tcPr>
            <w:tcW w:w="4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8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Voting common stock, $0.0001 par value per share</w:t>
            </w:r>
          </w:p>
        </w:tc>
        <w:tc>
          <w:tcPr>
            <w:tcW w:w="2220" w:type="dxa"/>
            <w:vAlign w:val="bottom"/>
          </w:tcPr>
          <w:p>
            <w:pPr>
              <w:jc w:val="center"/>
              <w:ind w:right="28"/>
              <w:spacing w:after="0" w:line="160" w:lineRule="exact"/>
              <w:rPr>
                <w:sz w:val="20"/>
                <w:szCs w:val="20"/>
                <w:color w:val="auto"/>
              </w:rPr>
            </w:pPr>
            <w:r>
              <w:rPr>
                <w:rFonts w:ascii="Arial" w:cs="Arial" w:eastAsia="Arial" w:hAnsi="Arial"/>
                <w:sz w:val="14"/>
                <w:szCs w:val="14"/>
                <w:b w:val="1"/>
                <w:bCs w:val="1"/>
                <w:color w:val="auto"/>
              </w:rPr>
              <w:t>FLYW</w:t>
            </w:r>
          </w:p>
        </w:tc>
        <w:tc>
          <w:tcPr>
            <w:tcW w:w="4840" w:type="dxa"/>
            <w:vAlign w:val="bottom"/>
          </w:tcPr>
          <w:p>
            <w:pPr>
              <w:jc w:val="center"/>
              <w:ind w:right="128"/>
              <w:spacing w:after="0" w:line="160" w:lineRule="exact"/>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840" w:type="dxa"/>
            <w:vAlign w:val="bottom"/>
          </w:tcPr>
          <w:p>
            <w:pPr>
              <w:jc w:val="center"/>
              <w:ind w:right="128"/>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5" w:lineRule="exact"/>
        <w:rPr>
          <w:sz w:val="24"/>
          <w:szCs w:val="24"/>
          <w:color w:val="auto"/>
        </w:rPr>
      </w:pPr>
    </w:p>
    <w:p>
      <w:pPr>
        <w:ind w:right="2800"/>
        <w:spacing w:after="0" w:line="22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68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8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40"/>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8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60" w:type="dxa"/>
            <w:vAlign w:val="bottom"/>
          </w:tcPr>
          <w:p>
            <w:pPr>
              <w:ind w:left="310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7" w:lineRule="exact"/>
        <w:rPr>
          <w:sz w:val="24"/>
          <w:szCs w:val="24"/>
          <w:color w:val="auto"/>
        </w:rPr>
      </w:pPr>
    </w:p>
    <w:p>
      <w:pPr>
        <w:ind w:right="3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420"/>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78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50" w:lineRule="auto"/>
        <w:rPr>
          <w:sz w:val="20"/>
          <w:szCs w:val="20"/>
          <w:color w:val="auto"/>
        </w:rPr>
      </w:pPr>
      <w:r>
        <w:rPr>
          <w:rFonts w:ascii="Arial" w:cs="Arial" w:eastAsia="Arial" w:hAnsi="Arial"/>
          <w:sz w:val="14"/>
          <w:szCs w:val="14"/>
          <w:color w:val="auto"/>
        </w:rPr>
        <w:t>As of June 30, 2021, the last business day of the registrant’s mostly recently completed second fiscal quarter, the aggregate market value of the voting and non-voting common stock held by non-affiliates of the registrant was $2,418,170,478 based upon the closing sale price of our voting common stock of $36.74 on that date. The voting and non-voting common stock held by each officer and director and by each person known to own in excess of 5% of aggregate outstanding shares of our voting and non-voting common stock has been excluded in that such persons may be deemed to be affiliates. The determination of affiliate status in not necessarily a conclusive determination for other purposes. As of March 25, 2022, the registrant had 101,017,602 shares of voting common stock, $0.0001 par value per share, outstanding and 5,988,378 shares of non-voting common stock $0.0001 par value per share, outstanding.</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type w:val="continuous"/>
        </w:sectPr>
      </w:pPr>
    </w:p>
    <w:bookmarkStart w:id="1" w:name="page2"/>
    <w:bookmarkEnd w:id="1"/>
    <w:p>
      <w:pPr>
        <w:spacing w:after="0" w:line="285" w:lineRule="auto"/>
        <w:rPr>
          <w:sz w:val="20"/>
          <w:szCs w:val="20"/>
          <w:color w:val="auto"/>
        </w:rPr>
      </w:pPr>
      <w:r>
        <w:rPr>
          <w:rFonts w:ascii="Arial" w:cs="Arial" w:eastAsia="Arial" w:hAnsi="Arial"/>
          <w:sz w:val="14"/>
          <w:szCs w:val="14"/>
          <w:color w:val="auto"/>
        </w:rPr>
        <w:t>Portions of the registrant’s proxy statement for the 2022 annual meeting of stockholders to be filed pursuant to Regulation 14A within 120 days after the registrant’s fiscal year ended December 31, 2021, are incorporated by reference in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384810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980" w:type="dxa"/>
            <w:vAlign w:val="bottom"/>
            <w:gridSpan w:val="10"/>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0"/>
        </w:trPr>
        <w:tc>
          <w:tcPr>
            <w:tcW w:w="1240" w:type="dxa"/>
            <w:vAlign w:val="bottom"/>
            <w:vMerge w:val="continue"/>
          </w:tcPr>
          <w:p>
            <w:pPr>
              <w:spacing w:after="0"/>
              <w:rPr>
                <w:sz w:val="13"/>
                <w:szCs w:val="13"/>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9200" w:type="dxa"/>
            <w:vAlign w:val="bottom"/>
            <w:gridSpan w:val="2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29">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180" w:type="dxa"/>
            <w:vAlign w:val="bottom"/>
            <w:gridSpan w:val="18"/>
            <w:vMerge w:val="restart"/>
          </w:tcPr>
          <w:p>
            <w:pPr>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020" w:type="dxa"/>
            <w:vAlign w:val="bottom"/>
            <w:gridSpan w:val="5"/>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Unresolved</w:t>
              </w:r>
            </w:hyperlink>
          </w:p>
        </w:tc>
        <w:tc>
          <w:tcPr>
            <w:tcW w:w="8180" w:type="dxa"/>
            <w:vAlign w:val="bottom"/>
            <w:gridSpan w:val="18"/>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260" w:type="dxa"/>
            <w:vAlign w:val="bottom"/>
            <w:gridSpan w:val="11"/>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Properties</w:t>
              </w:r>
            </w:hyperlink>
          </w:p>
        </w:tc>
        <w:tc>
          <w:tcPr>
            <w:tcW w:w="9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240" w:type="dxa"/>
            <w:vAlign w:val="bottom"/>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9200" w:type="dxa"/>
            <w:vAlign w:val="bottom"/>
            <w:gridSpan w:val="2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880" w:type="dxa"/>
            <w:vAlign w:val="bottom"/>
            <w:gridSpan w:val="22"/>
          </w:tcPr>
          <w:p>
            <w:pPr>
              <w:spacing w:after="0" w:line="169" w:lineRule="exact"/>
              <w:rPr>
                <w:rFonts w:ascii="Arial" w:cs="Arial" w:eastAsia="Arial" w:hAnsi="Arial"/>
                <w:sz w:val="18"/>
                <w:szCs w:val="18"/>
                <w:color w:val="0000FF"/>
              </w:rPr>
            </w:pPr>
            <w:hyperlink w:anchor="page72">
              <w:r>
                <w:rPr>
                  <w:rFonts w:ascii="Arial" w:cs="Arial" w:eastAsia="Arial" w:hAnsi="Arial"/>
                  <w:sz w:val="18"/>
                  <w:szCs w:val="18"/>
                  <w:color w:val="0000FF"/>
                </w:rPr>
                <w:t>[Reserved]</w:t>
              </w:r>
            </w:hyperlink>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73">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080" w:type="dxa"/>
            <w:vAlign w:val="bottom"/>
            <w:gridSpan w:val="19"/>
          </w:tcPr>
          <w:p>
            <w:pPr>
              <w:spacing w:after="0" w:line="169" w:lineRule="exact"/>
              <w:rPr>
                <w:rFonts w:ascii="Arial" w:cs="Arial" w:eastAsia="Arial" w:hAnsi="Arial"/>
                <w:sz w:val="18"/>
                <w:szCs w:val="18"/>
                <w:color w:val="0000FF"/>
              </w:rPr>
            </w:pPr>
            <w:hyperlink w:anchor="page96">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720" w:type="dxa"/>
            <w:vAlign w:val="bottom"/>
            <w:gridSpan w:val="16"/>
          </w:tcPr>
          <w:p>
            <w:pPr>
              <w:spacing w:after="0" w:line="169" w:lineRule="exact"/>
              <w:rPr>
                <w:rFonts w:ascii="Arial" w:cs="Arial" w:eastAsia="Arial" w:hAnsi="Arial"/>
                <w:sz w:val="18"/>
                <w:szCs w:val="18"/>
                <w:color w:val="0000FF"/>
              </w:rPr>
            </w:pPr>
            <w:hyperlink w:anchor="page97">
              <w:r>
                <w:rPr>
                  <w:rFonts w:ascii="Arial" w:cs="Arial" w:eastAsia="Arial" w:hAnsi="Arial"/>
                  <w:sz w:val="18"/>
                  <w:szCs w:val="18"/>
                  <w:color w:val="0000FF"/>
                </w:rPr>
                <w:t>Financial Statements and Supplementary Data</w:t>
              </w:r>
            </w:hyperlink>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460" w:type="dxa"/>
            <w:vAlign w:val="bottom"/>
            <w:gridSpan w:val="9"/>
            <w:vMerge w:val="restart"/>
          </w:tcPr>
          <w:p>
            <w:pPr>
              <w:ind w:left="240"/>
              <w:spacing w:after="0" w:line="189" w:lineRule="exact"/>
              <w:rPr>
                <w:rFonts w:ascii="Arial" w:cs="Arial" w:eastAsia="Arial" w:hAnsi="Arial"/>
                <w:sz w:val="18"/>
                <w:szCs w:val="18"/>
                <w:color w:val="0000FF"/>
              </w:rPr>
            </w:pPr>
            <w:hyperlink w:anchor="page141">
              <w:r>
                <w:rPr>
                  <w:rFonts w:ascii="Arial" w:cs="Arial" w:eastAsia="Arial" w:hAnsi="Arial"/>
                  <w:sz w:val="18"/>
                  <w:szCs w:val="18"/>
                  <w:color w:val="0000FF"/>
                </w:rPr>
                <w:t>on Accounting and Financial Disclosure</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3740" w:type="dxa"/>
            <w:vAlign w:val="bottom"/>
            <w:gridSpan w:val="14"/>
          </w:tcPr>
          <w:p>
            <w:pPr>
              <w:spacing w:after="0" w:line="169" w:lineRule="exact"/>
              <w:rPr>
                <w:rFonts w:ascii="Arial" w:cs="Arial" w:eastAsia="Arial" w:hAnsi="Arial"/>
                <w:sz w:val="18"/>
                <w:szCs w:val="18"/>
                <w:color w:val="0000FF"/>
                <w:w w:val="94"/>
              </w:rPr>
            </w:pPr>
            <w:hyperlink w:anchor="page141">
              <w:r>
                <w:rPr>
                  <w:rFonts w:ascii="Arial" w:cs="Arial" w:eastAsia="Arial" w:hAnsi="Arial"/>
                  <w:sz w:val="18"/>
                  <w:szCs w:val="18"/>
                  <w:color w:val="0000FF"/>
                  <w:w w:val="94"/>
                </w:rPr>
                <w:t>Changes in and Disagreements with Accountants</w:t>
              </w:r>
            </w:hyperlink>
          </w:p>
        </w:tc>
        <w:tc>
          <w:tcPr>
            <w:tcW w:w="5460" w:type="dxa"/>
            <w:vAlign w:val="bottom"/>
            <w:gridSpan w:val="9"/>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140" w:type="dxa"/>
            <w:vAlign w:val="bottom"/>
            <w:gridSpan w:val="20"/>
          </w:tcPr>
          <w:p>
            <w:pPr>
              <w:spacing w:after="0" w:line="169" w:lineRule="exact"/>
              <w:rPr>
                <w:rFonts w:ascii="Arial" w:cs="Arial" w:eastAsia="Arial" w:hAnsi="Arial"/>
                <w:sz w:val="18"/>
                <w:szCs w:val="18"/>
                <w:color w:val="0000FF"/>
              </w:rPr>
            </w:pPr>
            <w:hyperlink w:anchor="page141">
              <w:r>
                <w:rPr>
                  <w:rFonts w:ascii="Arial" w:cs="Arial" w:eastAsia="Arial" w:hAnsi="Arial"/>
                  <w:sz w:val="18"/>
                  <w:szCs w:val="18"/>
                  <w:color w:val="0000FF"/>
                </w:rPr>
                <w:t>Controls and Procedures</w:t>
              </w:r>
            </w:hyperlink>
          </w:p>
        </w:tc>
        <w:tc>
          <w:tcPr>
            <w:tcW w:w="8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gridSpan w:val="2"/>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00" w:type="dxa"/>
            <w:vAlign w:val="bottom"/>
            <w:gridSpan w:val="10"/>
          </w:tcPr>
          <w:p>
            <w:pPr>
              <w:spacing w:after="0" w:line="169" w:lineRule="exact"/>
              <w:rPr>
                <w:rFonts w:ascii="Arial" w:cs="Arial" w:eastAsia="Arial" w:hAnsi="Arial"/>
                <w:sz w:val="18"/>
                <w:szCs w:val="18"/>
                <w:color w:val="0000FF"/>
              </w:rPr>
            </w:pPr>
            <w:hyperlink w:anchor="page141">
              <w:r>
                <w:rPr>
                  <w:rFonts w:ascii="Arial" w:cs="Arial" w:eastAsia="Arial" w:hAnsi="Arial"/>
                  <w:sz w:val="18"/>
                  <w:szCs w:val="18"/>
                  <w:color w:val="0000FF"/>
                </w:rPr>
                <w:t>Other Information</w:t>
              </w:r>
            </w:hyperlink>
          </w:p>
        </w:tc>
        <w:tc>
          <w:tcPr>
            <w:tcW w:w="118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141">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III</w:t>
            </w:r>
          </w:p>
        </w:tc>
        <w:tc>
          <w:tcPr>
            <w:tcW w:w="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240" w:type="dxa"/>
            <w:vAlign w:val="bottom"/>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Directors, Executive Officers and Corporate Governance</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9200" w:type="dxa"/>
            <w:vAlign w:val="bottom"/>
            <w:gridSpan w:val="2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20" w:type="dxa"/>
            <w:vAlign w:val="bottom"/>
            <w:shd w:val="clear" w:color="auto" w:fill="0000EE"/>
          </w:tcPr>
          <w:p>
            <w:pPr>
              <w:spacing w:after="0" w:line="20" w:lineRule="exact"/>
              <w:rPr>
                <w:sz w:val="1"/>
                <w:szCs w:val="1"/>
                <w:color w:val="auto"/>
              </w:rPr>
            </w:pPr>
          </w:p>
        </w:tc>
        <w:tc>
          <w:tcPr>
            <w:tcW w:w="168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3"/>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500" w:type="dxa"/>
            <w:vAlign w:val="bottom"/>
            <w:gridSpan w:val="15"/>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Executive Compensation</w:t>
              </w:r>
            </w:hyperlink>
          </w:p>
        </w:tc>
        <w:tc>
          <w:tcPr>
            <w:tcW w:w="158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20" w:type="dxa"/>
            <w:vAlign w:val="bottom"/>
            <w:shd w:val="clear" w:color="auto" w:fill="0000EE"/>
          </w:tcPr>
          <w:p>
            <w:pPr>
              <w:spacing w:after="0" w:line="20" w:lineRule="exact"/>
              <w:rPr>
                <w:sz w:val="1"/>
                <w:szCs w:val="1"/>
                <w:color w:val="auto"/>
              </w:rPr>
            </w:pPr>
          </w:p>
        </w:tc>
        <w:tc>
          <w:tcPr>
            <w:tcW w:w="168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Security Ownership of Certain Beneficial Owners and Management and Related Stockholder Matters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168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20" w:type="dxa"/>
            <w:vAlign w:val="bottom"/>
            <w:gridSpan w:val="21"/>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Certain Relationships and Related Transactions, and Director Independence</w:t>
              </w:r>
            </w:hyperlink>
          </w:p>
        </w:tc>
        <w:tc>
          <w:tcPr>
            <w:tcW w:w="11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168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2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080" w:type="dxa"/>
            <w:vAlign w:val="bottom"/>
            <w:gridSpan w:val="18"/>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Principal Accounting Fees and Services</w:t>
              </w:r>
            </w:hyperlink>
          </w:p>
        </w:tc>
        <w:tc>
          <w:tcPr>
            <w:tcW w:w="312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240" w:type="dxa"/>
            <w:vAlign w:val="bottom"/>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Exhibits,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9200" w:type="dxa"/>
            <w:vAlign w:val="bottom"/>
            <w:gridSpan w:val="2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20" w:type="dxa"/>
            <w:vAlign w:val="bottom"/>
            <w:shd w:val="clear" w:color="auto" w:fill="0000EE"/>
          </w:tcPr>
          <w:p>
            <w:pPr>
              <w:spacing w:after="0" w:line="20" w:lineRule="exact"/>
              <w:rPr>
                <w:sz w:val="1"/>
                <w:szCs w:val="1"/>
                <w:color w:val="auto"/>
              </w:rPr>
            </w:pPr>
          </w:p>
        </w:tc>
        <w:tc>
          <w:tcPr>
            <w:tcW w:w="1680" w:type="dxa"/>
            <w:vAlign w:val="bottom"/>
            <w:tcBorders>
              <w:right w:val="single" w:sz="8" w:color="0000FF"/>
            </w:tcBorders>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9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143</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3220" w:type="dxa"/>
            <w:vAlign w:val="bottom"/>
            <w:gridSpan w:val="13"/>
          </w:tcPr>
          <w:p>
            <w:pPr>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Form 10-K Summary</w:t>
              </w:r>
            </w:hyperlink>
          </w:p>
        </w:tc>
        <w:tc>
          <w:tcPr>
            <w:tcW w:w="598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This Annual Report on Form 10-K,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72" w:lineRule="exact"/>
        <w:rPr>
          <w:sz w:val="20"/>
          <w:szCs w:val="20"/>
          <w:color w:val="auto"/>
        </w:rPr>
      </w:pPr>
    </w:p>
    <w:p>
      <w:pPr>
        <w:ind w:left="1020" w:right="4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cash and cash equivalents to meet our liquidity needs;</w:t>
      </w:r>
    </w:p>
    <w:p>
      <w:pPr>
        <w:spacing w:after="0" w:line="102"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legal, social and health risks, including the COVID-19 pandemic and subsequent public health measures that may affect our business or the global economy;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beliefs and objectives for future operations;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and protect our brand;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strategic partners;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including our relatively new B2B sector;</w:t>
      </w:r>
    </w:p>
    <w:p>
      <w:pPr>
        <w:spacing w:after="0" w:line="102"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02"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voting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 w:name="page5"/>
    <w:bookmarkEnd w:id="4"/>
    <w:p>
      <w:pPr>
        <w:ind w:right="2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10-K. Other sections of this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6"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Annual Report on Form 10-K to our “common stock” refers to our voting common stock.</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mission is to deliver the most important and complex payments. In an increasingly digital world, getting paid means Flywire.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our integrated solutions that are both global and local, combine tailored invoicing with flexible payment options, and deliver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38"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 sectors of our global economy—including education, healthcare, travel, and business to business (B2B) payments—are still in the early stages of digital transformation. We estimate the annual addressable volume for these sectors alone to be approximately $11.7 trillion, as more fully described in “Our Market Opportunity”. We believe Flywire is well-positioned to capture a meaningful share of this global payment volume given our ability to provide deeply-integrated digital solutions that address both domestic and cross-border payments.</w:t>
      </w:r>
    </w:p>
    <w:p>
      <w:pPr>
        <w:spacing w:after="0" w:line="13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58"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3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38"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3" w:right="4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1905635</wp:posOffset>
            </wp:positionH>
            <wp:positionV relativeFrom="page">
              <wp:posOffset>346075</wp:posOffset>
            </wp:positionV>
            <wp:extent cx="3703320" cy="3745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70332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3" w:right="80" w:hanging="503"/>
        <w:spacing w:after="0" w:line="239"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Next-Gen Payments Platform. </w:t>
      </w:r>
      <w:r>
        <w:rPr>
          <w:rFonts w:ascii="Arial" w:cs="Arial" w:eastAsia="Arial" w:hAnsi="Arial"/>
          <w:sz w:val="18"/>
          <w:szCs w:val="18"/>
          <w:color w:val="auto"/>
        </w:rPr>
        <w:t>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59" w:lineRule="exact"/>
        <w:rPr>
          <w:rFonts w:ascii="Times New Roman" w:cs="Times New Roman" w:eastAsia="Times New Roman" w:hAnsi="Times New Roman"/>
          <w:sz w:val="18"/>
          <w:szCs w:val="18"/>
          <w:color w:val="auto"/>
        </w:rPr>
      </w:pPr>
    </w:p>
    <w:p>
      <w:pPr>
        <w:ind w:left="503" w:right="80" w:hanging="503"/>
        <w:spacing w:after="0" w:line="256" w:lineRule="auto"/>
        <w:tabs>
          <w:tab w:leader="none" w:pos="503"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Proprietary Global Payment Network. </w:t>
      </w:r>
      <w:r>
        <w:rPr>
          <w:rFonts w:ascii="Arial" w:cs="Arial" w:eastAsia="Arial" w:hAnsi="Arial"/>
          <w:sz w:val="17"/>
          <w:szCs w:val="17"/>
          <w:color w:val="auto"/>
        </w:rPr>
        <w:t>At the core of our business is our network of global, regional and local banking</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140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26" w:lineRule="exact"/>
        <w:rPr>
          <w:rFonts w:ascii="Times New Roman" w:cs="Times New Roman" w:eastAsia="Times New Roman" w:hAnsi="Times New Roman"/>
          <w:sz w:val="17"/>
          <w:szCs w:val="17"/>
          <w:color w:val="auto"/>
        </w:rPr>
      </w:pPr>
    </w:p>
    <w:p>
      <w:pPr>
        <w:ind w:left="503" w:hanging="503"/>
        <w:spacing w:after="0" w:line="239" w:lineRule="auto"/>
        <w:tabs>
          <w:tab w:leader="none" w:pos="503"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Vertical-Specific Software Backed by Deep Industry Expertise</w:t>
      </w:r>
      <w:r>
        <w:rPr>
          <w:rFonts w:ascii="Arial" w:cs="Arial" w:eastAsia="Arial" w:hAnsi="Arial"/>
          <w:sz w:val="18"/>
          <w:szCs w:val="18"/>
          <w:color w:val="auto"/>
        </w:rPr>
        <w:t>. We go beyond payments by offering seamless 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7,000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w:t>
      </w:r>
    </w:p>
    <w:p>
      <w:pPr>
        <w:spacing w:after="0" w:line="78"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440" w:right="419" w:bottom="1440" w:gutter="0" w:footer="0" w:header="0"/>
        </w:sectPr>
      </w:pPr>
    </w:p>
    <w:bookmarkStart w:id="7" w:name="page8"/>
    <w:bookmarkEnd w:id="7"/>
    <w:p>
      <w:pPr>
        <w:ind w:left="1020"/>
        <w:spacing w:after="0"/>
        <w:rPr>
          <w:sz w:val="20"/>
          <w:szCs w:val="20"/>
          <w:color w:val="auto"/>
        </w:rPr>
      </w:pPr>
      <w:r>
        <w:rPr>
          <w:rFonts w:ascii="Arial" w:cs="Arial" w:eastAsia="Arial" w:hAnsi="Arial"/>
          <w:sz w:val="18"/>
          <w:szCs w:val="18"/>
          <w:color w:val="auto"/>
        </w:rPr>
        <w:t>enables us to be a hub of omni-channel connectivity, augmenting the relationship between our clients and their customers.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231775</wp:posOffset>
            </wp:positionV>
            <wp:extent cx="4363085" cy="393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63085"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2,500 clients around the world. In education alone, we serve more than 2,000 institutions and 2.0 million students globally. In healthcare, we serve more than 80 healthcare systems, including four of the top 10 healthcare systems in the United States ranked by hospital size. In our newer payment verticals of travel and B2B, we have a growing portfolio of more than 300 clients.</w:t>
      </w:r>
    </w:p>
    <w:p>
      <w:pPr>
        <w:spacing w:after="0" w:line="14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customers with favorable unit economics. For the year ended December 31, 2021, we enabled over $13.2 billion of total payment volume across more than 140 currencies. For the year ended December 31, 2020, we enabled over $7.5 billion of total payment volume across more than 130 currencies.</w:t>
      </w:r>
    </w:p>
    <w:p>
      <w:pPr>
        <w:spacing w:after="0" w:line="133"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Adyen N.V.; and software companies that serve as the core systems in our verticals such as Ellucian Company, L.P. in education and Cerner Corporation in healthcare. These partnerships promote organic referral and lead generation opportunities and enhance our indirect sales strategy.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 w:name="page9"/>
    <w:bookmarkEnd w:id="8"/>
    <w:p>
      <w:pPr>
        <w:ind w:firstLine="509"/>
        <w:spacing w:after="0"/>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For the year ended December 31, 2021, our annual net dollar-based retention rate was approximately 140%. For the year ended December 31, 2020, despite the impact of the COVID-19 pandemic on our clients and the industries we serve, our annual net dollar-based retention rate was approximately 100%. For the year ended December 31, 2019, our annual net dollar-based retention rate was approximately 128%. In addition, our client and customer service combines high-tech and high-touch functions backed by 24x7 multilingual customer support, resulting in high client and customer satisfaction. For the year ended December 31, 2020, we had a net promoter score (NPS) of 64, which exceeds the average NPS of traditional financial institutions.</w:t>
      </w:r>
    </w:p>
    <w:p>
      <w:pPr>
        <w:spacing w:after="0" w:line="15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chart below illustrates the year-over-year increases in aggregate revenue less ancillary services from our clients by cohorts that consist of (1) all clients as of December 31, 2017, which we refer to as the pre-2018 cohort, and (2) new clients that we added during the particular year ended December 31 for each year thereafter, which comprise the cohort for that particular year. We believe that this analysis illustrates that our services can continue to provide value to our clients on an ongoing basis and also demonstrates our ability to grow our business with clients over time. A client is included in a particular cohort based on the year in which a client first receives a payment from their customer using our services. We expect cohort revenue less ancillary services will fluctuate from one period to another depending on, among other factors, our ability to increase revenue less ancillary services from our clients within a given cohort and other changes to products and services we offer to such clients. While we believe these cohorts are a fair representation of our overall client base, there is no assurance that they will be representative of any future group of clients 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231140</wp:posOffset>
            </wp:positionV>
            <wp:extent cx="4251960" cy="3282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196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80" w:firstLine="509"/>
        <w:spacing w:after="0" w:line="259" w:lineRule="auto"/>
        <w:rPr>
          <w:sz w:val="20"/>
          <w:szCs w:val="20"/>
          <w:color w:val="auto"/>
        </w:rPr>
      </w:pPr>
      <w:r>
        <w:rPr>
          <w:rFonts w:ascii="Arial" w:cs="Arial" w:eastAsia="Arial" w:hAnsi="Arial"/>
          <w:sz w:val="17"/>
          <w:szCs w:val="17"/>
          <w:color w:val="auto"/>
        </w:rPr>
        <w:t>We have grown rapidly since our founding. We generated revenue of $201.1 million, $131.8 million and $94.9 million for the years ended December 31, 2021, 2020 and 2019, respectively, and incurred net losses of $28.1 million, $11.1 million and $20.1 million, respectively for those same years. In December 2021, we acquired WPM Group Ltd. (WPM), a leading software provider that enables seamless and secure payment experiences for universities and colleges across the U.K. In February 2020, we acquired Simplificare Inc. (Simplee), a provider of healthcare payment and collections software. Pro forma revenue and pro forma net loss for the year ended December 31, 2020, as if our acquisition of Simplee had occurred on January 1, 2020, was $136.3 million and $13.4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Flywire sits in between our clients, which include educational institutions, hospitals, travel providers, businesses, and their customers: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students, patients, travelers, and businesses. We believe this two-sided relationship makes us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9" w:name="page10"/>
    <w:bookmarkEnd w:id="9"/>
    <w:p>
      <w:pPr>
        <w:ind w:right="40"/>
        <w:spacing w:after="0" w:line="271" w:lineRule="auto"/>
        <w:rPr>
          <w:sz w:val="20"/>
          <w:szCs w:val="20"/>
          <w:color w:val="auto"/>
        </w:rPr>
      </w:pPr>
      <w:r>
        <w:rPr>
          <w:rFonts w:ascii="Arial" w:cs="Arial" w:eastAsia="Arial" w:hAnsi="Arial"/>
          <w:sz w:val="18"/>
          <w:szCs w:val="18"/>
          <w:color w:val="auto"/>
        </w:rPr>
        <w:t>strategically important for our clients–who rely on us for their complex accounts receivable needs, and for our clients’ customers–who rely on us to deliver their most important payments.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69"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28" w:lineRule="exact"/>
        <w:rPr>
          <w:sz w:val="20"/>
          <w:szCs w:val="20"/>
          <w:color w:val="auto"/>
        </w:rPr>
      </w:pPr>
    </w:p>
    <w:p>
      <w:pPr>
        <w:ind w:left="900" w:right="60" w:hanging="263"/>
        <w:spacing w:after="0" w:line="243"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Modern customer-focused payment experience. </w:t>
      </w:r>
      <w:r>
        <w:rPr>
          <w:rFonts w:ascii="Arial" w:cs="Arial" w:eastAsia="Arial" w:hAnsi="Arial"/>
          <w:sz w:val="18"/>
          <w:szCs w:val="18"/>
          <w:color w:val="auto"/>
        </w:rPr>
        <w:t>We enable a convenient and secure online payment experience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configured by country, currency, client, and vertical. Our personalization engine leverages our data and applies artificial intelligence (AI) and machine learning (ML)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52" w:lineRule="exact"/>
        <w:rPr>
          <w:rFonts w:ascii="Times New Roman" w:cs="Times New Roman" w:eastAsia="Times New Roman" w:hAnsi="Times New Roman"/>
          <w:sz w:val="18"/>
          <w:szCs w:val="18"/>
          <w:color w:val="auto"/>
        </w:rPr>
      </w:pPr>
    </w:p>
    <w:p>
      <w:pPr>
        <w:jc w:val="both"/>
        <w:ind w:left="900" w:right="200" w:hanging="263"/>
        <w:spacing w:after="0" w:line="246"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Simplify payments complexity. </w:t>
      </w:r>
      <w:r>
        <w:rPr>
          <w:rFonts w:ascii="Arial" w:cs="Arial" w:eastAsia="Arial" w:hAnsi="Arial"/>
          <w:sz w:val="18"/>
          <w:szCs w:val="18"/>
          <w:color w:val="auto"/>
        </w:rPr>
        <w:t>We address complexity in payments by providing our clients with a “one-stop shop”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36" w:lineRule="exact"/>
        <w:rPr>
          <w:rFonts w:ascii="Times New Roman" w:cs="Times New Roman" w:eastAsia="Times New Roman" w:hAnsi="Times New Roman"/>
          <w:sz w:val="18"/>
          <w:szCs w:val="18"/>
          <w:color w:val="auto"/>
        </w:rPr>
      </w:pPr>
    </w:p>
    <w:p>
      <w:pPr>
        <w:ind w:left="900" w:right="140" w:hanging="263"/>
        <w:spacing w:after="0" w:line="242"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Processing cost savings and enhanced payments yield. </w:t>
      </w:r>
      <w:r>
        <w:rPr>
          <w:rFonts w:ascii="Arial" w:cs="Arial" w:eastAsia="Arial" w:hAnsi="Arial"/>
          <w:sz w:val="18"/>
          <w:szCs w:val="18"/>
          <w:color w:val="auto"/>
        </w:rPr>
        <w:t>We leverage our significant global volume and in-house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37" w:lineRule="exact"/>
        <w:rPr>
          <w:rFonts w:ascii="Times New Roman" w:cs="Times New Roman" w:eastAsia="Times New Roman" w:hAnsi="Times New Roman"/>
          <w:sz w:val="18"/>
          <w:szCs w:val="18"/>
          <w:color w:val="auto"/>
        </w:rPr>
      </w:pPr>
    </w:p>
    <w:p>
      <w:pPr>
        <w:ind w:left="900" w:hanging="263"/>
        <w:spacing w:after="0" w:line="246"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Ease of integration. </w:t>
      </w:r>
      <w:r>
        <w:rPr>
          <w:rFonts w:ascii="Arial" w:cs="Arial" w:eastAsia="Arial" w:hAnsi="Arial"/>
          <w:sz w:val="18"/>
          <w:szCs w:val="18"/>
          <w:color w:val="auto"/>
        </w:rPr>
        <w:t>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49" w:lineRule="exact"/>
        <w:rPr>
          <w:rFonts w:ascii="Times New Roman" w:cs="Times New Roman" w:eastAsia="Times New Roman" w:hAnsi="Times New Roman"/>
          <w:sz w:val="18"/>
          <w:szCs w:val="18"/>
          <w:color w:val="auto"/>
        </w:rPr>
      </w:pPr>
    </w:p>
    <w:p>
      <w:pPr>
        <w:ind w:left="900" w:hanging="263"/>
        <w:spacing w:after="0" w:line="242" w:lineRule="auto"/>
        <w:tabs>
          <w:tab w:leader="none" w:pos="9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Trusted expertise and a trusted brand. </w:t>
      </w:r>
      <w:r>
        <w:rPr>
          <w:rFonts w:ascii="Arial" w:cs="Arial" w:eastAsia="Arial" w:hAnsi="Arial"/>
          <w:sz w:val="18"/>
          <w:szCs w:val="18"/>
          <w:color w:val="auto"/>
        </w:rPr>
        <w:t>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169"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27" w:lineRule="exact"/>
        <w:rPr>
          <w:sz w:val="20"/>
          <w:szCs w:val="20"/>
          <w:color w:val="auto"/>
        </w:rPr>
      </w:pPr>
    </w:p>
    <w:p>
      <w:pPr>
        <w:ind w:left="900" w:hanging="263"/>
        <w:spacing w:after="0" w:line="243"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Superior and simple payment experiences. </w:t>
      </w:r>
      <w:r>
        <w:rPr>
          <w:rFonts w:ascii="Arial" w:cs="Arial" w:eastAsia="Arial" w:hAnsi="Arial"/>
          <w:sz w:val="18"/>
          <w:szCs w:val="18"/>
          <w:color w:val="auto"/>
        </w:rPr>
        <w:t>Our customer value proposition is simple: we provide a fast and nearly</w:t>
      </w:r>
      <w:r>
        <w:rPr>
          <w:rFonts w:ascii="Arial" w:cs="Arial" w:eastAsia="Arial" w:hAnsi="Arial"/>
          <w:sz w:val="18"/>
          <w:szCs w:val="18"/>
          <w:b w:val="1"/>
          <w:bCs w:val="1"/>
          <w:color w:val="auto"/>
        </w:rPr>
        <w:t xml:space="preserve"> </w:t>
      </w:r>
      <w:r>
        <w:rPr>
          <w:rFonts w:ascii="Arial" w:cs="Arial" w:eastAsia="Arial" w:hAnsi="Arial"/>
          <w:sz w:val="18"/>
          <w:szCs w:val="18"/>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39" w:lineRule="exact"/>
        <w:rPr>
          <w:rFonts w:ascii="Times New Roman" w:cs="Times New Roman" w:eastAsia="Times New Roman" w:hAnsi="Times New Roman"/>
          <w:sz w:val="18"/>
          <w:szCs w:val="18"/>
          <w:color w:val="auto"/>
        </w:rPr>
      </w:pPr>
    </w:p>
    <w:p>
      <w:pPr>
        <w:ind w:left="900" w:right="80" w:hanging="263"/>
        <w:spacing w:after="0" w:line="246"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 preference. </w:t>
      </w:r>
      <w:r>
        <w:rPr>
          <w:rFonts w:ascii="Arial" w:cs="Arial" w:eastAsia="Arial" w:hAnsi="Arial"/>
          <w:sz w:val="18"/>
          <w:szCs w:val="18"/>
          <w:color w:val="auto"/>
        </w:rPr>
        <w:t>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140 currencies, so our clients’ customers can choose the way they pay using local payment methods that they are most comfortable using.</w:t>
      </w:r>
    </w:p>
    <w:p>
      <w:pPr>
        <w:spacing w:after="0" w:line="136" w:lineRule="exact"/>
        <w:rPr>
          <w:rFonts w:ascii="Times New Roman" w:cs="Times New Roman" w:eastAsia="Times New Roman" w:hAnsi="Times New Roman"/>
          <w:sz w:val="18"/>
          <w:szCs w:val="18"/>
          <w:color w:val="auto"/>
        </w:rPr>
      </w:pPr>
    </w:p>
    <w:p>
      <w:pPr>
        <w:ind w:left="900" w:right="500" w:hanging="263"/>
        <w:spacing w:after="0" w:line="270" w:lineRule="auto"/>
        <w:tabs>
          <w:tab w:leader="none" w:pos="9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Flexible on-demand payment options. </w:t>
      </w:r>
      <w:r>
        <w:rPr>
          <w:rFonts w:ascii="Arial" w:cs="Arial" w:eastAsia="Arial" w:hAnsi="Arial"/>
          <w:sz w:val="18"/>
          <w:szCs w:val="18"/>
          <w:color w:val="auto"/>
        </w:rPr>
        <w:t>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0" w:name="page11"/>
    <w:bookmarkEnd w:id="10"/>
    <w:p>
      <w:pPr>
        <w:ind w:left="900" w:right="220"/>
        <w:spacing w:after="0" w:line="271" w:lineRule="auto"/>
        <w:rPr>
          <w:sz w:val="20"/>
          <w:szCs w:val="20"/>
          <w:color w:val="auto"/>
        </w:rPr>
      </w:pPr>
      <w:r>
        <w:rPr>
          <w:rFonts w:ascii="Arial" w:cs="Arial" w:eastAsia="Arial" w:hAnsi="Arial"/>
          <w:sz w:val="18"/>
          <w:szCs w:val="18"/>
          <w:color w:val="auto"/>
        </w:rPr>
        <w:t>can spread expenses across smaller, easier-to-manage payments. Our payments platform also enables our clients to offer their customers the choice to either front-load payment plans or provide extension options beyond service delivery.</w:t>
      </w:r>
    </w:p>
    <w:p>
      <w:pPr>
        <w:spacing w:after="0" w:line="127" w:lineRule="exact"/>
        <w:rPr>
          <w:sz w:val="20"/>
          <w:szCs w:val="20"/>
          <w:color w:val="auto"/>
        </w:rPr>
      </w:pPr>
    </w:p>
    <w:p>
      <w:pPr>
        <w:ind w:left="900" w:right="620" w:hanging="263"/>
        <w:spacing w:after="0" w:line="252" w:lineRule="auto"/>
        <w:tabs>
          <w:tab w:leader="none" w:pos="9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Customer confidence. </w:t>
      </w:r>
      <w:r>
        <w:rPr>
          <w:rFonts w:ascii="Arial" w:cs="Arial" w:eastAsia="Arial" w:hAnsi="Arial"/>
          <w:sz w:val="18"/>
          <w:szCs w:val="18"/>
          <w:color w:val="auto"/>
        </w:rPr>
        <w:t>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experience including around the clock multilingual support, we believe that we give customers the confidence that their payments are delivered securely, accurately, and on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Flywire Advantage Works</w:t>
      </w:r>
    </w:p>
    <w:p>
      <w:pPr>
        <w:spacing w:after="0" w:line="1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4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69" w:lineRule="exact"/>
        <w:rPr>
          <w:sz w:val="20"/>
          <w:szCs w:val="20"/>
          <w:color w:val="auto"/>
        </w:rPr>
      </w:pPr>
    </w:p>
    <w:p>
      <w:pPr>
        <w:ind w:right="500" w:firstLine="509"/>
        <w:spacing w:after="0" w:line="253" w:lineRule="auto"/>
        <w:rPr>
          <w:sz w:val="20"/>
          <w:szCs w:val="20"/>
          <w:color w:val="auto"/>
        </w:rPr>
      </w:pPr>
      <w:r>
        <w:rPr>
          <w:rFonts w:ascii="Arial" w:cs="Arial" w:eastAsia="Arial" w:hAnsi="Arial"/>
          <w:sz w:val="18"/>
          <w:szCs w:val="18"/>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4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For the years ended December 31, 2021 and 2020, we enabled over $13.2 billion and $ 7.5 billion, respectively in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designed our next-gen payments platform to be:</w:t>
      </w:r>
    </w:p>
    <w:p>
      <w:pPr>
        <w:spacing w:after="0" w:line="171" w:lineRule="exact"/>
        <w:rPr>
          <w:sz w:val="20"/>
          <w:szCs w:val="20"/>
          <w:color w:val="auto"/>
        </w:rPr>
      </w:pPr>
    </w:p>
    <w:p>
      <w:pPr>
        <w:ind w:left="900" w:right="220" w:hanging="263"/>
        <w:spacing w:after="0" w:line="270"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Integrated</w:t>
      </w:r>
      <w:r>
        <w:rPr>
          <w:rFonts w:ascii="Arial" w:cs="Arial" w:eastAsia="Arial" w:hAnsi="Arial"/>
          <w:sz w:val="18"/>
          <w:szCs w:val="18"/>
          <w:color w:val="auto"/>
        </w:rPr>
        <w:t>. Fully unified and seamlessly connected to a broad range of core operating systems, facilitating easy data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compatibility across a broad range of solutions;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Flexible</w:t>
      </w:r>
      <w:r>
        <w:rPr>
          <w:rFonts w:ascii="Arial" w:cs="Arial" w:eastAsia="Arial" w:hAnsi="Arial"/>
          <w:sz w:val="18"/>
          <w:szCs w:val="18"/>
          <w:color w:val="auto"/>
        </w:rPr>
        <w:t>.  Supports complex workflows and payment experiences for both in-country domestic and cross-border payments; and</w:t>
      </w:r>
    </w:p>
    <w:p>
      <w:pPr>
        <w:spacing w:after="0" w:line="170" w:lineRule="exact"/>
        <w:rPr>
          <w:rFonts w:ascii="Times New Roman" w:cs="Times New Roman" w:eastAsia="Times New Roman" w:hAnsi="Times New Roman"/>
          <w:sz w:val="18"/>
          <w:szCs w:val="18"/>
          <w:color w:val="auto"/>
        </w:rPr>
      </w:pPr>
    </w:p>
    <w:p>
      <w:pPr>
        <w:ind w:left="900" w:right="700" w:hanging="263"/>
        <w:spacing w:after="0" w:line="270" w:lineRule="auto"/>
        <w:tabs>
          <w:tab w:leader="none" w:pos="9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Secure</w:t>
      </w:r>
      <w:r>
        <w:rPr>
          <w:rFonts w:ascii="Arial" w:cs="Arial" w:eastAsia="Arial" w:hAnsi="Arial"/>
          <w:sz w:val="18"/>
          <w:szCs w:val="18"/>
          <w:color w:val="auto"/>
        </w:rPr>
        <w:t>. Leverages Payment Card Industry-validated Point-to-Point Encryption tokenization and other best-in-class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regulatory-compliant security measures.</w:t>
      </w:r>
    </w:p>
    <w:p>
      <w:pPr>
        <w:spacing w:after="0" w:line="11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By utilizing predictive analytics, ML and AI, we handle the complexities of money movement across borders while providing fast, compliant, and transparent receipt of payments. Our AI and ML enabled fraud detection risk engine has trained against millions of automated clearing House (ACH), check, card, and wire transactions. As a result, the enhanced power of our risk engine enables us to mitigate fraud.</w:t>
      </w:r>
    </w:p>
    <w:p>
      <w:pPr>
        <w:spacing w:after="0" w:line="142"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128" w:lineRule="exact"/>
        <w:rPr>
          <w:sz w:val="20"/>
          <w:szCs w:val="20"/>
          <w:color w:val="auto"/>
        </w:rPr>
      </w:pPr>
    </w:p>
    <w:p>
      <w:pPr>
        <w:ind w:left="900" w:right="140" w:hanging="26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13" w:lineRule="exact"/>
        <w:rPr>
          <w:rFonts w:ascii="Times New Roman" w:cs="Times New Roman" w:eastAsia="Times New Roman" w:hAnsi="Times New Roman"/>
          <w:sz w:val="18"/>
          <w:szCs w:val="18"/>
          <w:color w:val="auto"/>
        </w:rPr>
      </w:pPr>
    </w:p>
    <w:p>
      <w:pPr>
        <w:ind w:left="900" w:right="3540" w:hanging="263"/>
        <w:spacing w:after="0" w:line="471" w:lineRule="auto"/>
        <w:tabs>
          <w:tab w:leader="none" w:pos="896"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end-to-end processing, from authorization to clearing to settlement and reconciliation; turnkey solution for enhanced and secure single sign-on and checkout;</w:t>
      </w:r>
    </w:p>
    <w:p>
      <w:pPr>
        <w:ind w:left="900" w:right="600" w:hanging="263"/>
        <w:spacing w:after="0" w:line="270" w:lineRule="auto"/>
        <w:tabs>
          <w:tab w:leader="none" w:pos="9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1" w:name="page12"/>
    <w:bookmarkEnd w:id="11"/>
    <w:p>
      <w:pPr>
        <w:ind w:left="900" w:hanging="263"/>
        <w:spacing w:after="0"/>
        <w:tabs>
          <w:tab w:leader="none" w:pos="9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8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225425</wp:posOffset>
            </wp:positionV>
            <wp:extent cx="5074920" cy="2288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7492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addition to international expansion, we are accelerating the growth of our in-country domestic accounts receivable business, both by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3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4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 reconciles all their customer payments made via Flywire from around the globe —across approximately 3,400 geographic corridors for 2021 representing transaction flows between payers and payees. The illustration below shows our top payment corridors, with a scale of connections denoting the relative payment volume originating from the applicable country.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6635115" cy="4415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5115" cy="441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right="180" w:hanging="372"/>
        <w:spacing w:after="0" w:line="285"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chart above represents relative payment volume based on the country from which our client’s customer’s payment originates. Revenue is recognized by the entity providing the service. As a result, payment volume by originating geography does not correlate with revenue recognition.</w:t>
      </w:r>
    </w:p>
    <w:p>
      <w:pPr>
        <w:spacing w:after="0" w:line="121"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13" w:lineRule="exact"/>
        <w:rPr>
          <w:sz w:val="20"/>
          <w:szCs w:val="20"/>
          <w:color w:val="auto"/>
        </w:rPr>
      </w:pPr>
    </w:p>
    <w:p>
      <w:pPr>
        <w:ind w:left="900" w:hanging="263"/>
        <w:spacing w:after="0" w:line="246"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Transaction routing optimized for cost, risk and compliance management</w:t>
      </w:r>
      <w:r>
        <w:rPr>
          <w:rFonts w:ascii="Arial" w:cs="Arial" w:eastAsia="Arial" w:hAnsi="Arial"/>
          <w:sz w:val="18"/>
          <w:szCs w:val="18"/>
          <w:color w:val="auto"/>
        </w:rPr>
        <w:t>. We leverage the “plug and play” configuration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36" w:lineRule="exact"/>
        <w:rPr>
          <w:rFonts w:ascii="Times New Roman" w:cs="Times New Roman" w:eastAsia="Times New Roman" w:hAnsi="Times New Roman"/>
          <w:sz w:val="18"/>
          <w:szCs w:val="18"/>
          <w:color w:val="auto"/>
        </w:rPr>
      </w:pPr>
    </w:p>
    <w:p>
      <w:pPr>
        <w:ind w:left="900" w:right="120" w:hanging="263"/>
        <w:spacing w:after="0" w:line="243"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Local clearing capabilities</w:t>
      </w:r>
      <w:r>
        <w:rPr>
          <w:rFonts w:ascii="Arial" w:cs="Arial" w:eastAsia="Arial" w:hAnsi="Arial"/>
          <w:sz w:val="18"/>
          <w:szCs w:val="18"/>
          <w:color w:val="auto"/>
        </w:rPr>
        <w:t>. Our clients’ customers have the ability to authorize and clear transactions in over 240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52" w:lineRule="exact"/>
        <w:rPr>
          <w:rFonts w:ascii="Times New Roman" w:cs="Times New Roman" w:eastAsia="Times New Roman" w:hAnsi="Times New Roman"/>
          <w:sz w:val="18"/>
          <w:szCs w:val="18"/>
          <w:color w:val="auto"/>
        </w:rPr>
      </w:pPr>
    </w:p>
    <w:p>
      <w:pPr>
        <w:ind w:left="900" w:right="200" w:hanging="263"/>
        <w:spacing w:after="0" w:line="252"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Ecosystem of alternative payment methods</w:t>
      </w:r>
      <w:r>
        <w:rPr>
          <w:rFonts w:ascii="Arial" w:cs="Arial" w:eastAsia="Arial" w:hAnsi="Arial"/>
          <w:sz w:val="18"/>
          <w:szCs w:val="18"/>
          <w:color w:val="auto"/>
        </w:rPr>
        <w:t>. We offer a myriad of alternative payment methods, such as Alipay, Boleto,</w:t>
      </w:r>
      <w:r>
        <w:rPr>
          <w:rFonts w:ascii="Arial" w:cs="Arial" w:eastAsia="Arial" w:hAnsi="Arial"/>
          <w:sz w:val="18"/>
          <w:szCs w:val="18"/>
          <w:b w:val="1"/>
          <w:bCs w:val="1"/>
          <w:color w:val="auto"/>
        </w:rPr>
        <w:t xml:space="preserve"> </w:t>
      </w:r>
      <w:r>
        <w:rPr>
          <w:rFonts w:ascii="Arial" w:cs="Arial" w:eastAsia="Arial" w:hAnsi="Arial"/>
          <w:sz w:val="18"/>
          <w:szCs w:val="18"/>
          <w:color w:val="auto"/>
        </w:rPr>
        <w:t>PayPal / Venmo, and Trustly, to allow customers to choose how they pay. We believe this helps promote greater adoption of our payments platform, higher levels of engagement and satisfaction, and increased value across our ecosystem.</w:t>
      </w:r>
    </w:p>
    <w:p>
      <w:pPr>
        <w:spacing w:after="0" w:line="130" w:lineRule="exact"/>
        <w:rPr>
          <w:rFonts w:ascii="Times New Roman" w:cs="Times New Roman" w:eastAsia="Times New Roman" w:hAnsi="Times New Roman"/>
          <w:sz w:val="18"/>
          <w:szCs w:val="18"/>
          <w:color w:val="auto"/>
        </w:rPr>
      </w:pPr>
    </w:p>
    <w:p>
      <w:pPr>
        <w:ind w:left="900" w:right="20" w:hanging="263"/>
        <w:spacing w:after="0" w:line="252" w:lineRule="auto"/>
        <w:tabs>
          <w:tab w:leader="none" w:pos="9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Global pay-out</w:t>
      </w:r>
      <w:r>
        <w:rPr>
          <w:rFonts w:ascii="Arial" w:cs="Arial" w:eastAsia="Arial" w:hAnsi="Arial"/>
          <w:sz w:val="18"/>
          <w:szCs w:val="18"/>
          <w:color w:val="auto"/>
        </w:rPr>
        <w:t>. We enable our clients to automate disbursements and seamlessly settle in over 140 currencies via pay-out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local currency bank deposits. We believe we are able to settle pay-out more quickly given our end-to-end control and visibility of the transaction process.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900" w:right="200" w:hanging="263"/>
        <w:spacing w:after="0" w:line="243" w:lineRule="auto"/>
        <w:tabs>
          <w:tab w:leader="none" w:pos="9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Tailored and scalable regulatory and compliance infrastructure</w:t>
      </w:r>
      <w:r>
        <w:rPr>
          <w:rFonts w:ascii="Arial" w:cs="Arial" w:eastAsia="Arial" w:hAnsi="Arial"/>
          <w:sz w:val="18"/>
          <w:szCs w:val="18"/>
          <w:color w:val="auto"/>
        </w:rPr>
        <w:t>. This foundational element underpins our global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We have fraud and transaction monitoring tools designed to accommodate multiple industry verticals. We combine this with the application of know-your customer (KYC) and anti-money laundering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28"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application programming interfaces (APIs), include some of the largest and most recognized accounting and enterprise resource planning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171" w:lineRule="exact"/>
        <w:rPr>
          <w:sz w:val="20"/>
          <w:szCs w:val="20"/>
          <w:color w:val="auto"/>
        </w:rPr>
      </w:pPr>
    </w:p>
    <w:p>
      <w:pPr>
        <w:ind w:left="900" w:right="60" w:hanging="263"/>
        <w:spacing w:after="0" w:line="242" w:lineRule="auto"/>
        <w:tabs>
          <w:tab w:leader="none" w:pos="9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Vertical-specific digital workflows</w:t>
      </w:r>
      <w:r>
        <w:rPr>
          <w:rFonts w:ascii="Arial" w:cs="Arial" w:eastAsia="Arial" w:hAnsi="Arial"/>
          <w:sz w:val="18"/>
          <w:szCs w:val="18"/>
          <w:color w:val="auto"/>
        </w:rPr>
        <w:t>. We help our clients automate the accounts receivable process from creation of an invoice,</w:t>
      </w:r>
      <w:r>
        <w:rPr>
          <w:rFonts w:ascii="Arial" w:cs="Arial" w:eastAsia="Arial" w:hAnsi="Arial"/>
          <w:sz w:val="18"/>
          <w:szCs w:val="18"/>
          <w:b w:val="1"/>
          <w:bCs w:val="1"/>
          <w:color w:val="auto"/>
        </w:rPr>
        <w:t xml:space="preserve"> </w:t>
      </w:r>
      <w:r>
        <w:rPr>
          <w:rFonts w:ascii="Arial" w:cs="Arial" w:eastAsia="Arial" w:hAnsi="Arial"/>
          <w:sz w:val="18"/>
          <w:szCs w:val="18"/>
          <w:color w:val="auto"/>
        </w:rPr>
        <w:t>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137" w:lineRule="exact"/>
        <w:rPr>
          <w:rFonts w:ascii="Times New Roman" w:cs="Times New Roman" w:eastAsia="Times New Roman" w:hAnsi="Times New Roman"/>
          <w:sz w:val="18"/>
          <w:szCs w:val="18"/>
          <w:color w:val="auto"/>
        </w:rPr>
      </w:pPr>
    </w:p>
    <w:p>
      <w:pPr>
        <w:ind w:left="900" w:right="340" w:hanging="263"/>
        <w:spacing w:after="0" w:line="252" w:lineRule="auto"/>
        <w:tabs>
          <w:tab w:leader="none" w:pos="9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Integration and synchronization to core and industry specific systems</w:t>
      </w:r>
      <w:r>
        <w:rPr>
          <w:rFonts w:ascii="Arial" w:cs="Arial" w:eastAsia="Arial" w:hAnsi="Arial"/>
          <w:sz w:val="18"/>
          <w:szCs w:val="18"/>
          <w:color w:val="auto"/>
        </w:rPr>
        <w:t>. Our software is designed to automate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reconciliation by synchronizing customer transactions with our client’s accounting and ERP systems. Our synchronization capabilities substantially reduce double data-entry and increase efficiency.</w:t>
      </w:r>
    </w:p>
    <w:p>
      <w:pPr>
        <w:spacing w:after="0" w:line="143"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Real-time access</w:t>
      </w:r>
      <w:r>
        <w:rPr>
          <w:rFonts w:ascii="Arial" w:cs="Arial" w:eastAsia="Arial" w:hAnsi="Arial"/>
          <w:sz w:val="18"/>
          <w:szCs w:val="18"/>
          <w:color w:val="auto"/>
        </w:rPr>
        <w:t>. By leveraging our data, our clients can access real-time invoice and payment status updates,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communication with customers and easily track payments from their customers.</w:t>
      </w:r>
    </w:p>
    <w:p>
      <w:pPr>
        <w:spacing w:after="0" w:line="113" w:lineRule="exact"/>
        <w:rPr>
          <w:rFonts w:ascii="Times New Roman" w:cs="Times New Roman" w:eastAsia="Times New Roman" w:hAnsi="Times New Roman"/>
          <w:sz w:val="18"/>
          <w:szCs w:val="18"/>
          <w:color w:val="auto"/>
        </w:rPr>
      </w:pPr>
    </w:p>
    <w:p>
      <w:pPr>
        <w:ind w:left="900" w:right="280" w:hanging="263"/>
        <w:spacing w:after="0" w:line="246" w:lineRule="auto"/>
        <w:tabs>
          <w:tab w:leader="none" w:pos="9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Predictive analytics</w:t>
      </w:r>
      <w:r>
        <w:rPr>
          <w:rFonts w:ascii="Arial" w:cs="Arial" w:eastAsia="Arial" w:hAnsi="Arial"/>
          <w:sz w:val="18"/>
          <w:szCs w:val="18"/>
          <w:color w:val="auto"/>
        </w:rPr>
        <w:t>. We have robust predictive analytics capabilities to assess payment transactions across our client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intelligently determine the appropriate pricing or 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36" w:lineRule="exact"/>
        <w:rPr>
          <w:sz w:val="20"/>
          <w:szCs w:val="20"/>
          <w:color w:val="auto"/>
        </w:rPr>
      </w:pPr>
    </w:p>
    <w:p>
      <w:pPr>
        <w:ind w:right="40" w:firstLine="559"/>
        <w:spacing w:after="0" w:line="244" w:lineRule="auto"/>
        <w:rPr>
          <w:sz w:val="20"/>
          <w:szCs w:val="20"/>
          <w:color w:val="auto"/>
        </w:rPr>
      </w:pPr>
      <w:r>
        <w:rPr>
          <w:rFonts w:ascii="Arial" w:cs="Arial" w:eastAsia="Arial" w:hAnsi="Arial"/>
          <w:sz w:val="18"/>
          <w:szCs w:val="18"/>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1656715</wp:posOffset>
            </wp:positionH>
            <wp:positionV relativeFrom="page">
              <wp:posOffset>217805</wp:posOffset>
            </wp:positionV>
            <wp:extent cx="4200525" cy="2820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420052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85"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3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Globalization—and the rise of a “borderless” economy—requires global, cross-border and local payment and regulatory expertise</w:t>
      </w:r>
    </w:p>
    <w:p>
      <w:pPr>
        <w:spacing w:after="0" w:line="181"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58"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shift to software-integrated digital payments is accelerating</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Additionally, we believe the COVID-19 pandemic will serve as a catalyst in accelerating digital transaction volumes as customer preferences continue to shift to contactless, online and mobile. We expect these trends will impact all industries and force many businesses to accept new digital payment methods. We believe fully integrated payments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ind w:right="260"/>
        <w:spacing w:after="0" w:line="271" w:lineRule="auto"/>
        <w:rPr>
          <w:sz w:val="20"/>
          <w:szCs w:val="20"/>
          <w:color w:val="auto"/>
        </w:rPr>
      </w:pPr>
      <w:r>
        <w:rPr>
          <w:rFonts w:ascii="Arial" w:cs="Arial" w:eastAsia="Arial" w:hAnsi="Arial"/>
          <w:sz w:val="18"/>
          <w:szCs w:val="18"/>
          <w:color w:val="auto"/>
        </w:rPr>
        <w:t>and software solutions, including those provided by us, enable businesses to offer seamless payment experiences, minimize friction at the point-of-sale and respond to evolving customer preferences.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payment and accounts receivable management infrastructure has significant limitations and is ripe for innovation</w:t>
      </w:r>
    </w:p>
    <w:p>
      <w:pPr>
        <w:spacing w:after="0" w:line="1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spacing w:after="0" w:line="128" w:lineRule="exact"/>
        <w:rPr>
          <w:sz w:val="20"/>
          <w:szCs w:val="20"/>
          <w:color w:val="auto"/>
        </w:rPr>
      </w:pPr>
    </w:p>
    <w:p>
      <w:pPr>
        <w:ind w:left="900" w:right="80" w:hanging="263"/>
        <w:spacing w:after="0" w:line="242"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Paper-based. </w:t>
      </w:r>
      <w:r>
        <w:rPr>
          <w:rFonts w:ascii="Arial" w:cs="Arial" w:eastAsia="Arial" w:hAnsi="Arial"/>
          <w:sz w:val="18"/>
          <w:szCs w:val="18"/>
          <w:color w:val="auto"/>
        </w:rPr>
        <w:t>The accounts receivable process, from creation of an invoice to delivery to the customer, is most often still</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paper. This paper-based workflow not only results in payment flows that are slow, error-prone, and less secure, but is also costly for businesses. Organizations that process substantially all of their accounts receivable by automated or electronic means report half the accounts receivable processing costs of those that do not, according to survey data from the American Productivity and Quality Center (APQC). We digitize and automate the accounts receivable process from start to finish, allowing clients to rely on our solutions and save on their accounts receivable transaction and processing costs.</w:t>
      </w:r>
    </w:p>
    <w:p>
      <w:pPr>
        <w:spacing w:after="0" w:line="150" w:lineRule="exact"/>
        <w:rPr>
          <w:rFonts w:ascii="Times New Roman" w:cs="Times New Roman" w:eastAsia="Times New Roman" w:hAnsi="Times New Roman"/>
          <w:sz w:val="18"/>
          <w:szCs w:val="18"/>
          <w:color w:val="auto"/>
        </w:rPr>
      </w:pPr>
    </w:p>
    <w:p>
      <w:pPr>
        <w:ind w:left="900" w:right="100" w:hanging="263"/>
        <w:spacing w:after="0" w:line="242"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Manual. </w:t>
      </w:r>
      <w:r>
        <w:rPr>
          <w:rFonts w:ascii="Arial" w:cs="Arial" w:eastAsia="Arial" w:hAnsi="Arial"/>
          <w:sz w:val="18"/>
          <w:szCs w:val="18"/>
          <w:color w:val="auto"/>
        </w:rPr>
        <w:t>Legacy workflows require manual input of employees at every stage of the accounts receivable process: from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APQC. Our clients can easily leverage our solutions for traditional back-office tasks, with less manual labor involved from start to finish.</w:t>
      </w:r>
    </w:p>
    <w:p>
      <w:pPr>
        <w:spacing w:after="0" w:line="137" w:lineRule="exact"/>
        <w:rPr>
          <w:rFonts w:ascii="Times New Roman" w:cs="Times New Roman" w:eastAsia="Times New Roman" w:hAnsi="Times New Roman"/>
          <w:sz w:val="18"/>
          <w:szCs w:val="18"/>
          <w:color w:val="auto"/>
        </w:rPr>
      </w:pPr>
    </w:p>
    <w:p>
      <w:pPr>
        <w:ind w:left="900" w:hanging="263"/>
        <w:spacing w:after="0" w:line="243"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Disparate. </w:t>
      </w:r>
      <w:r>
        <w:rPr>
          <w:rFonts w:ascii="Arial" w:cs="Arial" w:eastAsia="Arial" w:hAnsi="Arial"/>
          <w:sz w:val="18"/>
          <w:szCs w:val="18"/>
          <w:color w:val="auto"/>
        </w:rPr>
        <w:t>Many businesses deal with multiple accounting and reconciliation systems to process a single transaction flow.</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APQC survey data, inefficient processing of receivables requires almost 2.5 times as many FTE resources compared to top-performing 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39" w:lineRule="exact"/>
        <w:rPr>
          <w:rFonts w:ascii="Times New Roman" w:cs="Times New Roman" w:eastAsia="Times New Roman" w:hAnsi="Times New Roman"/>
          <w:sz w:val="18"/>
          <w:szCs w:val="18"/>
          <w:color w:val="auto"/>
        </w:rPr>
      </w:pPr>
    </w:p>
    <w:p>
      <w:pPr>
        <w:ind w:left="900" w:right="2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Lacking functionality and capabilities that drive value. </w:t>
      </w:r>
      <w:r>
        <w:rPr>
          <w:rFonts w:ascii="Arial" w:cs="Arial" w:eastAsia="Arial" w:hAnsi="Arial"/>
          <w:sz w:val="18"/>
          <w:szCs w:val="18"/>
          <w:color w:val="auto"/>
        </w:rPr>
        <w:t>A large number of businesses attempt to use their current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Accelerating digitization of B2B payments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the B2B payments market remains one of the largest untapped opportunities in the payments industry. For the year ended December 31, 2021, only 51% of invoices were electronic according to Ardent Partners, and more than one-third of B2B / government to business payments were made by cash or check according to Mastercard.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Market Opportunity</w:t>
      </w:r>
    </w:p>
    <w:p>
      <w:pPr>
        <w:spacing w:after="0" w:line="185"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p>
      <w:pPr>
        <w:ind w:right="260" w:firstLine="509"/>
        <w:spacing w:after="0" w:line="253" w:lineRule="auto"/>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4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These inefficiencies are costly. According to a study by Deloitte, middle-market businesses incur $ 3.3 trillion in operational costs when reconciling invoices as a result of inadequate legacy solutions, such as disparate file formats and lack of back-office support for automated remittances.</w:t>
      </w:r>
    </w:p>
    <w:p>
      <w:pPr>
        <w:spacing w:after="0" w:line="12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 approximately $1.7 trillion in global payment volume, including education ($660 billion)</w:t>
      </w:r>
      <w:r>
        <w:rPr>
          <w:rFonts w:ascii="Arial" w:cs="Arial" w:eastAsia="Arial" w:hAnsi="Arial"/>
          <w:sz w:val="20"/>
          <w:szCs w:val="20"/>
          <w:color w:val="auto"/>
          <w:vertAlign w:val="superscript"/>
        </w:rPr>
        <w:t>(1)</w:t>
      </w:r>
      <w:r>
        <w:rPr>
          <w:rFonts w:ascii="Arial" w:cs="Arial" w:eastAsia="Arial" w:hAnsi="Arial"/>
          <w:sz w:val="18"/>
          <w:szCs w:val="18"/>
          <w:color w:val="auto"/>
        </w:rPr>
        <w:t>, healthcare ($500 billion)</w:t>
      </w:r>
      <w:r>
        <w:rPr>
          <w:rFonts w:ascii="Arial" w:cs="Arial" w:eastAsia="Arial" w:hAnsi="Arial"/>
          <w:sz w:val="20"/>
          <w:szCs w:val="20"/>
          <w:color w:val="auto"/>
          <w:vertAlign w:val="superscript"/>
        </w:rPr>
        <w:t>(2)</w:t>
      </w:r>
      <w:r>
        <w:rPr>
          <w:rFonts w:ascii="Arial" w:cs="Arial" w:eastAsia="Arial" w:hAnsi="Arial"/>
          <w:sz w:val="18"/>
          <w:szCs w:val="18"/>
          <w:color w:val="auto"/>
        </w:rPr>
        <w:t xml:space="preserve"> and travel (approximately $530 billion).</w:t>
      </w:r>
      <w:r>
        <w:rPr>
          <w:rFonts w:ascii="Arial" w:cs="Arial" w:eastAsia="Arial" w:hAnsi="Arial"/>
          <w:sz w:val="20"/>
          <w:szCs w:val="20"/>
          <w:color w:val="auto"/>
          <w:vertAlign w:val="superscript"/>
        </w:rPr>
        <w:t>(3)</w:t>
      </w:r>
    </w:p>
    <w:p>
      <w:pPr>
        <w:spacing w:after="0" w:line="108"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 $10 trillion in addressable B2B payment volume</w:t>
      </w:r>
      <w:r>
        <w:rPr>
          <w:rFonts w:ascii="Arial" w:cs="Arial" w:eastAsia="Arial" w:hAnsi="Arial"/>
          <w:sz w:val="20"/>
          <w:szCs w:val="20"/>
          <w:color w:val="auto"/>
          <w:vertAlign w:val="superscript"/>
        </w:rPr>
        <w:t>(4)</w:t>
      </w:r>
      <w:r>
        <w:rPr>
          <w:rFonts w:ascii="Arial" w:cs="Arial" w:eastAsia="Arial" w:hAnsi="Arial"/>
          <w:sz w:val="18"/>
          <w:szCs w:val="18"/>
          <w:color w:val="auto"/>
        </w:rPr>
        <w:t>.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183" w:lineRule="exact"/>
        <w:rPr>
          <w:sz w:val="20"/>
          <w:szCs w:val="20"/>
          <w:color w:val="auto"/>
        </w:rPr>
      </w:pPr>
    </w:p>
    <w:p>
      <w:pPr>
        <w:ind w:left="900" w:right="60" w:hanging="263"/>
        <w:spacing w:after="0" w:line="243"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Grow with existing clients. </w:t>
      </w:r>
      <w:r>
        <w:rPr>
          <w:rFonts w:ascii="Arial" w:cs="Arial" w:eastAsia="Arial" w:hAnsi="Arial"/>
          <w:sz w:val="18"/>
          <w:szCs w:val="18"/>
          <w:color w:val="auto"/>
        </w:rPr>
        <w:t>We intend to continue to become a more integral part of our clients’ businesses as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customers who utilize our solutions increases. Our track record of organic growth with our clients is demonstrated by our three-year average annual net dollar-based retention rate, which was approximately 123% for the years ended December 31, 2019 through December 31, 2021. As our clients transform and digitize their operational workflows, we plan to encourage them to add additional solutions, such as tailored invoicing, payment plans, and eStore marketplace.</w:t>
      </w:r>
    </w:p>
    <w:p>
      <w:pPr>
        <w:spacing w:after="0" w:line="139" w:lineRule="exact"/>
        <w:rPr>
          <w:rFonts w:ascii="Times New Roman" w:cs="Times New Roman" w:eastAsia="Times New Roman" w:hAnsi="Times New Roman"/>
          <w:sz w:val="18"/>
          <w:szCs w:val="18"/>
          <w:color w:val="auto"/>
        </w:rPr>
      </w:pPr>
    </w:p>
    <w:p>
      <w:pPr>
        <w:jc w:val="both"/>
        <w:ind w:left="900" w:right="280" w:hanging="263"/>
        <w:spacing w:after="0" w:line="252"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Continue to win new clients. </w:t>
      </w:r>
      <w:r>
        <w:rPr>
          <w:rFonts w:ascii="Arial" w:cs="Arial" w:eastAsia="Arial" w:hAnsi="Arial"/>
          <w:sz w:val="18"/>
          <w:szCs w:val="18"/>
          <w:color w:val="auto"/>
        </w:rPr>
        <w:t>We plan to expand our sales and marketing efforts to increase brand awareness and highlight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our solutions. We believe this will attract new clients to Flywire and as we add more clients, we can accelerate the effects of our flywheel.</w:t>
      </w:r>
    </w:p>
    <w:p>
      <w:pPr>
        <w:spacing w:after="0" w:line="130" w:lineRule="exact"/>
        <w:rPr>
          <w:rFonts w:ascii="Times New Roman" w:cs="Times New Roman" w:eastAsia="Times New Roman" w:hAnsi="Times New Roman"/>
          <w:sz w:val="18"/>
          <w:szCs w:val="18"/>
          <w:color w:val="auto"/>
        </w:rPr>
      </w:pPr>
    </w:p>
    <w:p>
      <w:pPr>
        <w:ind w:left="900" w:right="40" w:hanging="263"/>
        <w:spacing w:after="0" w:line="246"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Increase payments platform monetization. </w:t>
      </w:r>
      <w:r>
        <w:rPr>
          <w:rFonts w:ascii="Arial" w:cs="Arial" w:eastAsia="Arial" w:hAnsi="Arial"/>
          <w:sz w:val="18"/>
          <w:szCs w:val="18"/>
          <w:color w:val="auto"/>
        </w:rPr>
        <w:t>We have the opportunity to offer additional complementary payment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49" w:lineRule="exact"/>
        <w:rPr>
          <w:rFonts w:ascii="Times New Roman" w:cs="Times New Roman" w:eastAsia="Times New Roman" w:hAnsi="Times New Roman"/>
          <w:sz w:val="18"/>
          <w:szCs w:val="18"/>
          <w:color w:val="auto"/>
        </w:rPr>
      </w:pPr>
    </w:p>
    <w:p>
      <w:pPr>
        <w:ind w:left="900" w:right="60" w:hanging="263"/>
        <w:spacing w:after="0" w:line="246"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 our solution portfolio. </w:t>
      </w:r>
      <w:r>
        <w:rPr>
          <w:rFonts w:ascii="Arial" w:cs="Arial" w:eastAsia="Arial" w:hAnsi="Arial"/>
          <w:sz w:val="18"/>
          <w:szCs w:val="18"/>
          <w:color w:val="auto"/>
        </w:rPr>
        <w:t>We expect to continue investing in our solution portfolio by expanding the breadth and depth of</w:t>
      </w:r>
      <w:r>
        <w:rPr>
          <w:rFonts w:ascii="Arial" w:cs="Arial" w:eastAsia="Arial" w:hAnsi="Arial"/>
          <w:sz w:val="18"/>
          <w:szCs w:val="18"/>
          <w:b w:val="1"/>
          <w:bCs w:val="1"/>
          <w:color w:val="auto"/>
        </w:rPr>
        <w:t xml:space="preserve"> </w:t>
      </w:r>
      <w:r>
        <w:rPr>
          <w:rFonts w:ascii="Arial" w:cs="Arial" w:eastAsia="Arial" w:hAnsi="Arial"/>
          <w:sz w:val="18"/>
          <w:szCs w:val="18"/>
          <w:color w:val="auto"/>
        </w:rPr>
        <w:t>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69"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23742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26" w:lineRule="exact"/>
        <w:rPr>
          <w:sz w:val="20"/>
          <w:szCs w:val="20"/>
          <w:color w:val="auto"/>
        </w:rPr>
      </w:pPr>
    </w:p>
    <w:p>
      <w:pPr>
        <w:ind w:left="520" w:right="280" w:hanging="377"/>
        <w:spacing w:after="0" w:line="251" w:lineRule="auto"/>
        <w:tabs>
          <w:tab w:leader="none" w:pos="520" w:val="left"/>
        </w:tabs>
        <w:numPr>
          <w:ilvl w:val="0"/>
          <w:numId w:val="17"/>
        </w:numPr>
        <w:rPr>
          <w:rFonts w:ascii="Arial" w:cs="Arial" w:eastAsia="Arial" w:hAnsi="Arial"/>
          <w:sz w:val="8"/>
          <w:szCs w:val="8"/>
          <w:color w:val="auto"/>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spacing w:after="0" w:line="1" w:lineRule="exact"/>
        <w:rPr>
          <w:rFonts w:ascii="Arial" w:cs="Arial" w:eastAsia="Arial" w:hAnsi="Arial"/>
          <w:sz w:val="8"/>
          <w:szCs w:val="8"/>
          <w:color w:val="auto"/>
        </w:rPr>
      </w:pPr>
    </w:p>
    <w:p>
      <w:pPr>
        <w:ind w:left="520" w:right="280" w:hanging="377"/>
        <w:spacing w:after="0" w:line="264" w:lineRule="auto"/>
        <w:tabs>
          <w:tab w:leader="none" w:pos="520" w:val="left"/>
        </w:tabs>
        <w:numPr>
          <w:ilvl w:val="0"/>
          <w:numId w:val="17"/>
        </w:numPr>
        <w:rPr>
          <w:rFonts w:ascii="Arial" w:cs="Arial" w:eastAsia="Arial" w:hAnsi="Arial"/>
          <w:sz w:val="8"/>
          <w:szCs w:val="8"/>
          <w:color w:val="auto"/>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ind w:left="520" w:right="280" w:hanging="377"/>
        <w:spacing w:after="0" w:line="251" w:lineRule="auto"/>
        <w:tabs>
          <w:tab w:leader="none" w:pos="520" w:val="left"/>
        </w:tabs>
        <w:numPr>
          <w:ilvl w:val="0"/>
          <w:numId w:val="18"/>
        </w:numPr>
        <w:rPr>
          <w:rFonts w:ascii="Arial" w:cs="Arial" w:eastAsia="Arial" w:hAnsi="Arial"/>
          <w:sz w:val="8"/>
          <w:szCs w:val="8"/>
          <w:color w:val="auto"/>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spacing w:after="0" w:line="1" w:lineRule="exact"/>
        <w:rPr>
          <w:rFonts w:ascii="Arial" w:cs="Arial" w:eastAsia="Arial" w:hAnsi="Arial"/>
          <w:sz w:val="8"/>
          <w:szCs w:val="8"/>
          <w:color w:val="auto"/>
        </w:rPr>
      </w:pPr>
    </w:p>
    <w:p>
      <w:pPr>
        <w:ind w:left="520" w:right="380" w:hanging="377"/>
        <w:spacing w:after="0" w:line="264" w:lineRule="auto"/>
        <w:tabs>
          <w:tab w:leader="none" w:pos="520" w:val="left"/>
        </w:tabs>
        <w:numPr>
          <w:ilvl w:val="0"/>
          <w:numId w:val="18"/>
        </w:numPr>
        <w:rPr>
          <w:rFonts w:ascii="Arial" w:cs="Arial" w:eastAsia="Arial" w:hAnsi="Arial"/>
          <w:sz w:val="8"/>
          <w:szCs w:val="8"/>
          <w:color w:val="auto"/>
        </w:rPr>
      </w:pPr>
      <w:r>
        <w:rPr>
          <w:rFonts w:ascii="Arial" w:cs="Arial" w:eastAsia="Arial" w:hAnsi="Arial"/>
          <w:sz w:val="14"/>
          <w:szCs w:val="14"/>
          <w:color w:val="auto"/>
        </w:rPr>
        <w:t>Based on cross-border B2B inflows revenue in 2020 according to Juniper and management’s estimates that at least 75% of total B2B payment volume is made by medium to large businesses and is potentially addressable by our solutions.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 Additionally, there are other industries, including real estate and government taxes, that we believe are poorly digitized and could benefit from our solutions.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nearly all of the clients and employees from our UniPay, OnPlan, and Simplee acquisitions. We believe our approach and breadth of experience in integrating culturally-aligned businesses position us to maximize the value we derive from future acquisitions.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Flywire Culture and Team</w:t>
      </w:r>
    </w:p>
    <w:p>
      <w:pPr>
        <w:spacing w:after="0" w:line="17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an organization, our culture is founded on our shared experiences, unique and diverse backgrounds, and belief in our mission to deliver on the most important and complex payments. As a collective team of 665 FlyMates, we strive for excellence as one team, guided by our core values, including:</w:t>
      </w:r>
    </w:p>
    <w:p>
      <w:pPr>
        <w:spacing w:after="0" w:line="128" w:lineRule="exact"/>
        <w:rPr>
          <w:sz w:val="20"/>
          <w:szCs w:val="20"/>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never compromise on integrity, honesty, and kindness.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strive for personal and professional satisfaction.</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color w:val="auto"/>
        </w:rPr>
        <w:t>We accomplish our goals through collective support and accountability.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to deliver more and new value to all our constituents.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We believe in new challenges and constant growth.</w:t>
      </w:r>
    </w:p>
    <w:p>
      <w:pPr>
        <w:spacing w:after="0" w:line="170" w:lineRule="exact"/>
        <w:rPr>
          <w:sz w:val="20"/>
          <w:szCs w:val="20"/>
          <w:color w:val="auto"/>
        </w:rPr>
      </w:pPr>
    </w:p>
    <w:p>
      <w:pPr>
        <w:jc w:val="both"/>
        <w:ind w:right="340" w:firstLine="509"/>
        <w:spacing w:after="0" w:line="247" w:lineRule="auto"/>
        <w:rPr>
          <w:sz w:val="20"/>
          <w:szCs w:val="20"/>
          <w:color w:val="auto"/>
        </w:rPr>
      </w:pPr>
      <w:r>
        <w:rPr>
          <w:rFonts w:ascii="Arial" w:cs="Arial" w:eastAsia="Arial" w:hAnsi="Arial"/>
          <w:sz w:val="18"/>
          <w:szCs w:val="18"/>
          <w:color w:val="auto"/>
        </w:rPr>
        <w:t>Our leadership team defines our culture and strategy and collectively has decades of experience leading companies through rapid growth at scale. Representing approximately 40 nationalities and spoken languages, our diverse team of FlyMates deliver critical domain expertise and regionally tailored skill sets to our clients 24x7. We believe our team’s relentless client focus and adherence to our shared values are evident in our 2020 NPS of 64, and will continue to define our future success.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derive revenue from transactions and platform and usage-based fees. Each new student tuition bill, patient visit, travel journey and business invoice, is an opportunity for us to generate fees.</w:t>
      </w:r>
    </w:p>
    <w:p>
      <w:pPr>
        <w:spacing w:after="0" w:line="11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Illustration of Our Solution</w:t>
      </w:r>
    </w:p>
    <w:p>
      <w:pPr>
        <w:spacing w:after="0" w:line="17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illustrations below depict how Flywire manages both international and domestic payments for a representative education client.</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b w:val="1"/>
          <w:bCs w:val="1"/>
          <w:i w:val="1"/>
          <w:iCs w:val="1"/>
          <w:color w:val="auto"/>
        </w:rPr>
        <w:t>International Payment Example</w:t>
      </w:r>
      <w:r>
        <w:rPr>
          <w:rFonts w:ascii="Arial" w:cs="Arial" w:eastAsia="Arial" w:hAnsi="Arial"/>
          <w:sz w:val="18"/>
          <w:szCs w:val="18"/>
          <w:color w:val="auto"/>
        </w:rPr>
        <w:t>: In the first example below, a Chinese student paying their tuition to a Canadian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 seamless process from start to finish—choosing their 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exposure, please see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b w:val="1"/>
          <w:bCs w:val="1"/>
          <w:i w:val="1"/>
          <w:iCs w:val="1"/>
          <w:color w:val="auto"/>
        </w:rPr>
        <w:t>Domestic Payment Example</w:t>
      </w:r>
      <w:r>
        <w:rPr>
          <w:rFonts w:ascii="Arial" w:cs="Arial" w:eastAsia="Arial" w:hAnsi="Arial"/>
          <w:sz w:val="18"/>
          <w:szCs w:val="18"/>
          <w:color w:val="auto"/>
        </w:rPr>
        <w:t>: The example below illustrates the process of offering payment plans to domestic students, which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220980</wp:posOffset>
            </wp:positionV>
            <wp:extent cx="4131945" cy="2717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3194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9" w:name="page20"/>
    <w:bookmarkEnd w:id="19"/>
    <w:p>
      <w:pPr>
        <w:ind w:right="320" w:firstLine="509"/>
        <w:spacing w:after="0" w:line="271" w:lineRule="auto"/>
        <w:rPr>
          <w:sz w:val="20"/>
          <w:szCs w:val="20"/>
          <w:color w:val="auto"/>
        </w:rPr>
      </w:pPr>
      <w:r>
        <w:rPr>
          <w:rFonts w:ascii="Arial" w:cs="Arial" w:eastAsia="Arial" w:hAnsi="Arial"/>
          <w:sz w:val="18"/>
          <w:szCs w:val="18"/>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44"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4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3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also reach clients indirectly through our channel partnerships, integrations with workflow software, and other technology providers. Our channel partners include financial institutions, such as Bank of America Corporation, as well as a number of referral partners such as Tribal Group and Cerner Corporation. Additionally, Flywire has integrations with leading accounting and ERP systems, such as Oracle Corporation, Ellucian Company, L.P., Epic Systems Corporation and Rezdy Pty Ltd.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and Architecture</w:t>
      </w:r>
    </w:p>
    <w:p>
      <w:pPr>
        <w:spacing w:after="0" w:line="185"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 xml:space="preserve">Our unified technology is at the core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33"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128905</wp:posOffset>
            </wp:positionV>
            <wp:extent cx="4457700" cy="3077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5770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Payments-as-a-Service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next-gen payments platform includes the infrastructure required to support more than just simple money flows:</w:t>
      </w:r>
    </w:p>
    <w:p>
      <w:pPr>
        <w:spacing w:after="0" w:line="185" w:lineRule="exact"/>
        <w:rPr>
          <w:sz w:val="20"/>
          <w:szCs w:val="20"/>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Payment services</w:t>
      </w:r>
      <w:r>
        <w:rPr>
          <w:rFonts w:ascii="Arial" w:cs="Arial" w:eastAsia="Arial" w:hAnsi="Arial"/>
          <w:sz w:val="18"/>
          <w:szCs w:val="18"/>
          <w:color w:val="auto"/>
        </w:rPr>
        <w:t>.  Our technology to capture the payment from our clients’ customers.</w:t>
      </w:r>
    </w:p>
    <w:p>
      <w:pPr>
        <w:spacing w:after="0" w:line="170"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Enabling services</w:t>
      </w:r>
      <w:r>
        <w:rPr>
          <w:rFonts w:ascii="Arial" w:cs="Arial" w:eastAsia="Arial" w:hAnsi="Arial"/>
          <w:sz w:val="18"/>
          <w:szCs w:val="18"/>
          <w:color w:val="auto"/>
        </w:rPr>
        <w:t>. Our proprietary pricing engine, foreign currency exchange hedging infrastructure, and ML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fraud and AML risk.</w:t>
      </w:r>
    </w:p>
    <w:p>
      <w:pPr>
        <w:spacing w:after="0" w:line="11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Transaction processing services</w:t>
      </w:r>
      <w:r>
        <w:rPr>
          <w:rFonts w:ascii="Arial" w:cs="Arial" w:eastAsia="Arial" w:hAnsi="Arial"/>
          <w:sz w:val="18"/>
          <w:szCs w:val="18"/>
          <w:color w:val="auto"/>
        </w:rPr>
        <w:t>. Our routing capabilities enabled by our automated technology to deliver on-time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appropriate destination.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Software-as-a-Service</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delivered as a software solution and leverages our AI and ML and deep analytics systems.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Application Programming Interface (API)</w:t>
      </w:r>
    </w:p>
    <w:p>
      <w:pPr>
        <w:spacing w:after="0" w:line="18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We recently launched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3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Amazon Web Services (AWS) for our cloud redundancy, and tools such as Site24x7, Pingdom, Cloudflare, and PagerDuty for an uninterrupted experience for our clients.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Our Compliance and Risk Management Foundation</w:t>
      </w:r>
    </w:p>
    <w:p>
      <w:pPr>
        <w:spacing w:after="0" w:line="18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Payment Card Industry Data Security Standard (PCI DSS), and Americans with Disabilities Act (ADA) compliance, as well as systems and processes designed to ensure compliance with the General Data Protection Regulation (GDPR) in Europe, the Data Security Law and Personal Information Protection Law in China, the California Consumer Protection Act (CCPA), the Personal Information Protection and Electronic Documents Act in Canada, Family Educational Rights and Privacy Act (FERPA), and Health Insurance Portability and Accountability Act (HIPAA), among others.</w:t>
      </w:r>
    </w:p>
    <w:p>
      <w:pPr>
        <w:spacing w:after="0" w:line="14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experienced team, coupled with our advanced technology and software tools, helps us navigate the challenges of global payments in a compliant manner:</w:t>
      </w:r>
    </w:p>
    <w:p>
      <w:pPr>
        <w:spacing w:after="0" w:line="113" w:lineRule="exact"/>
        <w:rPr>
          <w:sz w:val="20"/>
          <w:szCs w:val="20"/>
          <w:color w:val="auto"/>
        </w:rPr>
      </w:pPr>
    </w:p>
    <w:p>
      <w:pPr>
        <w:ind w:left="900" w:hanging="263"/>
        <w:spacing w:after="0" w:line="252"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Local and global regulatory regimes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are able to react nimbly to global and local regulatory changes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For example, we managed potential Brexit implications and were able to obtain additional licensing in Europe so that our critical services to our clients and their customers would not be impacted.</w:t>
      </w:r>
    </w:p>
    <w:p>
      <w:pPr>
        <w:spacing w:after="0" w:line="143" w:lineRule="exact"/>
        <w:rPr>
          <w:rFonts w:ascii="Times New Roman" w:cs="Times New Roman" w:eastAsia="Times New Roman" w:hAnsi="Times New Roman"/>
          <w:sz w:val="18"/>
          <w:szCs w:val="18"/>
          <w:color w:val="auto"/>
        </w:rPr>
      </w:pPr>
    </w:p>
    <w:p>
      <w:pPr>
        <w:ind w:left="900" w:right="220"/>
        <w:spacing w:after="0" w:line="247" w:lineRule="auto"/>
        <w:rPr>
          <w:rFonts w:ascii="Times New Roman" w:cs="Times New Roman" w:eastAsia="Times New Roman" w:hAnsi="Times New Roman"/>
          <w:sz w:val="18"/>
          <w:szCs w:val="18"/>
          <w:color w:val="auto"/>
        </w:rPr>
      </w:pPr>
      <w:r>
        <w:rPr>
          <w:rFonts w:ascii="Arial" w:cs="Arial" w:eastAsia="Arial" w:hAnsi="Arial"/>
          <w:sz w:val="18"/>
          <w:szCs w:val="18"/>
          <w:color w:val="auto"/>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33" w:lineRule="exact"/>
        <w:rPr>
          <w:rFonts w:ascii="Times New Roman" w:cs="Times New Roman" w:eastAsia="Times New Roman" w:hAnsi="Times New Roman"/>
          <w:sz w:val="18"/>
          <w:szCs w:val="18"/>
          <w:color w:val="auto"/>
        </w:rPr>
      </w:pPr>
    </w:p>
    <w:p>
      <w:pPr>
        <w:ind w:left="900" w:right="260" w:hanging="263"/>
        <w:spacing w:after="0" w:line="252"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Currency controls and exemptions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robust controls to comply with the requirements of handling cross-border payments. For example, in certain jurisdictions where it is required, we are able to help track and prove purpose-driven payments through digital document collection and verification integrated with our clients’ systems.</w:t>
      </w:r>
    </w:p>
    <w:p>
      <w:pPr>
        <w:spacing w:after="0" w:line="130" w:lineRule="exact"/>
        <w:rPr>
          <w:rFonts w:ascii="Times New Roman" w:cs="Times New Roman" w:eastAsia="Times New Roman" w:hAnsi="Times New Roman"/>
          <w:sz w:val="18"/>
          <w:szCs w:val="18"/>
          <w:color w:val="auto"/>
        </w:rPr>
      </w:pPr>
    </w:p>
    <w:p>
      <w:pPr>
        <w:ind w:left="900" w:right="240" w:hanging="263"/>
        <w:spacing w:after="0" w:line="243"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Transaction-level risks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payments platform subjects payments to a series of controls, to mitigate the risk of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53" w:lineRule="exact"/>
        <w:rPr>
          <w:sz w:val="20"/>
          <w:szCs w:val="20"/>
          <w:color w:val="auto"/>
        </w:rPr>
      </w:pPr>
    </w:p>
    <w:p>
      <w:pPr>
        <w:ind w:right="20" w:firstLine="559"/>
        <w:spacing w:after="0" w:line="271" w:lineRule="auto"/>
        <w:rPr>
          <w:sz w:val="20"/>
          <w:szCs w:val="20"/>
          <w:color w:val="auto"/>
        </w:rPr>
      </w:pPr>
      <w:r>
        <w:rPr>
          <w:rFonts w:ascii="Arial" w:cs="Arial" w:eastAsia="Arial" w:hAnsi="Arial"/>
          <w:sz w:val="18"/>
          <w:szCs w:val="18"/>
          <w:color w:val="auto"/>
        </w:rPr>
        <w:t>In addition, we have FlyMates in the compliance and risk management function located around the world where we have operations to address the needs of the business in real-time.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42"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128" w:lineRule="exact"/>
        <w:rPr>
          <w:sz w:val="20"/>
          <w:szCs w:val="20"/>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friction in client and customer experiences;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lack of a scaled global network;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2" w:name="page23"/>
    <w:bookmarkEnd w:id="22"/>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limited software and payments offerings;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adapt to new technology; and</w:t>
      </w:r>
    </w:p>
    <w:p>
      <w:pPr>
        <w:spacing w:after="0" w:line="170" w:lineRule="exact"/>
        <w:rPr>
          <w:rFonts w:ascii="Times New Roman" w:cs="Times New Roman" w:eastAsia="Times New Roman" w:hAnsi="Times New Roman"/>
          <w:sz w:val="18"/>
          <w:szCs w:val="18"/>
          <w:color w:val="auto"/>
        </w:rPr>
      </w:pPr>
    </w:p>
    <w:p>
      <w:pPr>
        <w:ind w:left="520" w:right="5320" w:firstLine="117"/>
        <w:spacing w:after="0" w:line="471" w:lineRule="auto"/>
        <w:tabs>
          <w:tab w:leader="none" w:pos="895"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unsophisticated fraud prevention and risk management tools. We believe that we compete favorably on the basis of these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w:t>
      </w:r>
    </w:p>
    <w:p>
      <w:pPr>
        <w:spacing w:after="0" w:line="136"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actively pursue registration of our trademarks, logos, service marks, trade dress, and domain names in the United States and in other jurisdictions. As of December 31, 2021, we had 106 registered trademarks and trademark applications, and were the registered holder of a variety of U.S. and international domain names.</w:t>
      </w:r>
    </w:p>
    <w:p>
      <w:pPr>
        <w:spacing w:after="0" w:line="142" w:lineRule="exact"/>
        <w:rPr>
          <w:sz w:val="20"/>
          <w:szCs w:val="20"/>
          <w:color w:val="auto"/>
        </w:rPr>
      </w:pPr>
    </w:p>
    <w:p>
      <w:pPr>
        <w:ind w:right="140" w:firstLine="509"/>
        <w:spacing w:after="0" w:line="301" w:lineRule="auto"/>
        <w:rPr>
          <w:sz w:val="20"/>
          <w:szCs w:val="20"/>
          <w:color w:val="auto"/>
        </w:rPr>
      </w:pPr>
      <w:r>
        <w:rPr>
          <w:rFonts w:ascii="Arial" w:cs="Arial" w:eastAsia="Arial" w:hAnsi="Arial"/>
          <w:sz w:val="17"/>
          <w:szCs w:val="17"/>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9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Regulation and Industry Standards</w:t>
      </w:r>
    </w:p>
    <w:p>
      <w:pPr>
        <w:spacing w:after="0" w:line="18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33"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We are registered as a Money Service Business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3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BSA is the primary compendium of U.S. laws and regulations regarding AML and countering the financing of terrorism (CFT). As required under the BSA, we have implemented and continue to expand an AML and 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 and 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45" w:lineRule="exact"/>
        <w:rPr>
          <w:sz w:val="20"/>
          <w:szCs w:val="20"/>
          <w:color w:val="auto"/>
        </w:rPr>
      </w:pPr>
    </w:p>
    <w:p>
      <w:pPr>
        <w:ind w:right="480" w:firstLine="509"/>
        <w:spacing w:after="0" w:line="247" w:lineRule="auto"/>
        <w:rPr>
          <w:sz w:val="20"/>
          <w:szCs w:val="20"/>
          <w:color w:val="auto"/>
        </w:rPr>
      </w:pPr>
      <w:r>
        <w:rPr>
          <w:rFonts w:ascii="Arial" w:cs="Arial" w:eastAsia="Arial" w:hAnsi="Arial"/>
          <w:sz w:val="18"/>
          <w:szCs w:val="18"/>
          <w:color w:val="auto"/>
        </w:rPr>
        <w:t>If our compliance programs are found to be deficient, we could lose key relationships with banks, merchant acquirers, and other payment partners on which we rely to carry out our business. Fines, penalties or sanctions for the violation of AML and CFT laws and regulations may be severe and our efforts to remediate issues may be costly, may result in diversion of management and staff time and effort, and may still not guarantee compliance.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3" w:name="page24"/>
    <w:bookmarkEnd w:id="23"/>
    <w:p>
      <w:pPr>
        <w:ind w:right="40" w:firstLine="509"/>
        <w:spacing w:after="0" w:line="238" w:lineRule="auto"/>
        <w:rPr>
          <w:sz w:val="20"/>
          <w:szCs w:val="20"/>
          <w:color w:val="auto"/>
        </w:rPr>
      </w:pPr>
      <w:r>
        <w:rPr>
          <w:rFonts w:ascii="Arial" w:cs="Arial" w:eastAsia="Arial" w:hAnsi="Arial"/>
          <w:sz w:val="18"/>
          <w:szCs w:val="18"/>
          <w:color w:val="auto"/>
        </w:rPr>
        <w:t>Most states in the United States require a license to offer money transmission services. We have taken the position that Flywire’s business to date is exempt from licensure under various state money 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 and CFT programs. The adoption of new money transmitter or MSB statutes, or changes in regulators’ interpretation of existing state and federal money transmitter or MSB statutes or regulations, could subject Flywire to new registration, licensing or other requirements. Any determination that Flywire is in fact required to be licensed under such state money transmission or MSB statutes may require substantial expenditures of time and money and could lead to liability in the nature of penalties or fines, as well as cause us to be required to cease operations in some of the U.S. jurisdictions we serve.</w:t>
      </w:r>
    </w:p>
    <w:p>
      <w:pPr>
        <w:spacing w:after="0" w:line="15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in the process of procuring money transmitter licenses (or the statutory equivalent) in those U.S. jurisdictions that require them in order to be able to offer additional business lines in the future. We have procured and maintain money transmitter licenses in 41 U.S. jurisdictions, and actively work to comply with new license requirements as they arise. These licenses subject us, among other things, to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44" w:lineRule="exact"/>
        <w:rPr>
          <w:sz w:val="20"/>
          <w:szCs w:val="20"/>
          <w:color w:val="auto"/>
        </w:rPr>
      </w:pPr>
    </w:p>
    <w:p>
      <w:pPr>
        <w:ind w:right="60" w:firstLine="509"/>
        <w:spacing w:after="0" w:line="256" w:lineRule="auto"/>
        <w:rPr>
          <w:sz w:val="20"/>
          <w:szCs w:val="20"/>
          <w:color w:val="auto"/>
        </w:rPr>
      </w:pPr>
      <w:r>
        <w:rPr>
          <w:rFonts w:ascii="Arial" w:cs="Arial" w:eastAsia="Arial" w:hAnsi="Arial"/>
          <w:sz w:val="17"/>
          <w:szCs w:val="17"/>
          <w:color w:val="auto"/>
        </w:rPr>
        <w:t>Similar regulatory requirements exist in other markets where we do business. For example, local Flywire entities are licensed as Authorised Payments Institutions in each of the United Kingdom (U.K.) (regulated by the Financial Conduct Authority (FCA)) and Lithuania (regulated by the Bank of Lithuania (BOL)), and Australia (regulated by the Australian Securities &amp; Investments Commission (ASIC)). When serving clients in these regulated markets, we are generally required to implement governance structures, AML and 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27"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4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4" w:name="page25"/>
    <w:bookmarkEnd w:id="24"/>
    <w:p>
      <w:pPr>
        <w:ind w:right="20" w:firstLine="509"/>
        <w:spacing w:after="0"/>
        <w:rPr>
          <w:sz w:val="20"/>
          <w:szCs w:val="20"/>
          <w:color w:val="auto"/>
        </w:rPr>
      </w:pPr>
      <w:r>
        <w:rPr>
          <w:rFonts w:ascii="Arial" w:cs="Arial" w:eastAsia="Arial" w:hAnsi="Arial"/>
          <w:sz w:val="18"/>
          <w:szCs w:val="18"/>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spacing w:after="0" w:line="158"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38"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2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Visa, Mastercard and other card networks set complex and evolving rules and standards with which we must comply—often referred to as “card network rules”. We also have relationships with American Express, Japan Credit Bureau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56" w:lineRule="exact"/>
        <w:rPr>
          <w:sz w:val="20"/>
          <w:szCs w:val="20"/>
          <w:color w:val="auto"/>
        </w:rPr>
      </w:pPr>
    </w:p>
    <w:p>
      <w:pPr>
        <w:ind w:right="460" w:firstLine="509"/>
        <w:spacing w:after="0" w:line="244" w:lineRule="auto"/>
        <w:rPr>
          <w:sz w:val="20"/>
          <w:szCs w:val="20"/>
          <w:color w:val="auto"/>
        </w:rPr>
      </w:pPr>
      <w:r>
        <w:rPr>
          <w:rFonts w:ascii="Arial" w:cs="Arial" w:eastAsia="Arial" w:hAnsi="Arial"/>
          <w:sz w:val="18"/>
          <w:szCs w:val="18"/>
          <w:color w:val="auto"/>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3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33"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4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also subject to the National Automated Clearing House Association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144"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Similarly, our ACH sponsor banks have the right to audit our compliance with NACHA’s rules and guidelines and are given wide discretion to approve certain aspects of our business practices. Like the payment networks, NACHA may</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5" w:name="page26"/>
    <w:bookmarkEnd w:id="25"/>
    <w:p>
      <w:pPr>
        <w:ind w:right="200"/>
        <w:spacing w:after="0" w:line="244" w:lineRule="auto"/>
        <w:rPr>
          <w:sz w:val="20"/>
          <w:szCs w:val="20"/>
          <w:color w:val="auto"/>
        </w:rPr>
      </w:pPr>
      <w:r>
        <w:rPr>
          <w:rFonts w:ascii="Arial" w:cs="Arial" w:eastAsia="Arial" w:hAnsi="Arial"/>
          <w:sz w:val="18"/>
          <w:szCs w:val="18"/>
          <w:color w:val="auto"/>
        </w:rPr>
        <w:t>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spacing w:after="0" w:line="149"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We collect and use a wide variety of information (including personal information) for various purposes in our business, including: (i) to help ensure the integrity of our services, (ii) to meet KYC, transaction monitoring, AML and 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2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Colorado, Virginia and Utah have recently joined California in enacting privacy and data protection legislation that impose additional obligations on businesses related to the collection, storage and utilization of third party information, as well as the reporting of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4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Many of the foreign jurisdictions where we or our customers do business, including the European Union (E.U.),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5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 xml:space="preserve">Recent legal developments have created compliance uncertainty regarding some transfers of personal information from the U.K. and EEA to locations where we or our customers operate or conduct business, including the United States and potentially Singapore.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customers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related enforcement actions or other legal developments in this area could subject us to</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6" w:name="page27"/>
    <w:bookmarkEnd w:id="26"/>
    <w:p>
      <w:pPr>
        <w:ind w:right="140"/>
        <w:spacing w:after="0" w:line="271" w:lineRule="auto"/>
        <w:rPr>
          <w:sz w:val="20"/>
          <w:szCs w:val="20"/>
          <w:color w:val="auto"/>
        </w:rPr>
      </w:pPr>
      <w:r>
        <w:rPr>
          <w:rFonts w:ascii="Arial" w:cs="Arial" w:eastAsia="Arial" w:hAnsi="Arial"/>
          <w:sz w:val="18"/>
          <w:szCs w:val="18"/>
          <w:color w:val="auto"/>
        </w:rPr>
        <w:t>negative financial consequences, such as fines, penalties, loss of customers, and the need to engage in costly restructuring of our business and IT operations and restructuring of our relationships with service providers and other partners.</w:t>
      </w:r>
    </w:p>
    <w:p>
      <w:pPr>
        <w:spacing w:after="0" w:line="127"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Asia, there has been an increase in both regulation and enforcement of privacy laws. The Act on Protection of Personal Information originally enacted in June 2020 by the Japanese government, was amended and will come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w:t>
      </w:r>
    </w:p>
    <w:p>
      <w:pPr>
        <w:spacing w:after="0" w:line="13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China passed its new Data Security Law (DSL) in June 2021 and its new Personal Information Protection Law (PIPL) in August 2021. Both new laws impact every business operating in or doing business with China, coupling extensive obligations with respect to the processing of all types of data, with potentially significant penalties for noncompliance. With the promulgation of the DSL and PIPL, China has tightened up regulation on collection, processing, sharing and cross-border transfer of personal data and important data such as financial data. The new data security regime has an extraterritorial effect and imposes additional compliance obligations with respect to processing (in and outside China) of personal data of Chinese individuals and other data which may be viewed sensitive or important. These regulations apply not only to our client’s payers who are Chinese nationals (such as students seeking to study abroad) but also China-based employees as well as third party business partners.</w:t>
      </w:r>
    </w:p>
    <w:p>
      <w:pPr>
        <w:spacing w:after="0" w:line="14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and PIPL but cannot assure you that such steps will be effective, and we may face the risk of increased costs, liability and loss of business.</w:t>
      </w:r>
    </w:p>
    <w:p>
      <w:pPr>
        <w:spacing w:after="0" w:line="12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World Wide Web Consortium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and Employees</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of December 31, 2021, we had 665 full-time employees. We also engage part-time and temporary employees, as well as consultants as needed to support our operations. As an organization, our culture is founded on our shared experiences, unique and diverse backgrounds, and belief in our mission to deliver on the most important and complex payments. We strive for excellence as one team, guided by our core values, including, global collaboration, authenticity, fulfillment, execution, ambitious innovation and evolved learning. Representing approximately 40 nationalities and spoken languages, our diverse team of FlyMates deliver critical domain expertise and regionally tailored skill sets to our clients 24x7. Our leadership team defines our culture and strategy and collectively has decades of experience leading companies through rapid growth at scale.</w:t>
      </w:r>
    </w:p>
    <w:p>
      <w:pPr>
        <w:spacing w:after="0" w:line="158"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None of our employees are represented by a labor union or covered by a collective bargaining agreement. We have not experienced any work stoppages and we consider our relations with our employees to be good.</w:t>
      </w:r>
    </w:p>
    <w:p>
      <w:pPr>
        <w:spacing w:after="0" w:line="113" w:lineRule="exact"/>
        <w:rPr>
          <w:sz w:val="20"/>
          <w:szCs w:val="20"/>
          <w:color w:val="auto"/>
        </w:rPr>
      </w:pPr>
    </w:p>
    <w:p>
      <w:pPr>
        <w:ind w:right="620" w:firstLine="509"/>
        <w:spacing w:after="0" w:line="24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5" w:lineRule="exact"/>
        <w:rPr>
          <w:sz w:val="20"/>
          <w:szCs w:val="20"/>
          <w:color w:val="auto"/>
        </w:rPr>
      </w:pPr>
    </w:p>
    <w:p>
      <w:pPr>
        <w:ind w:right="400" w:firstLine="509"/>
        <w:spacing w:after="0" w:line="266" w:lineRule="auto"/>
        <w:rPr>
          <w:sz w:val="20"/>
          <w:szCs w:val="20"/>
          <w:color w:val="auto"/>
        </w:rPr>
      </w:pPr>
      <w:r>
        <w:rPr>
          <w:rFonts w:ascii="Arial" w:cs="Arial" w:eastAsia="Arial" w:hAnsi="Arial"/>
          <w:sz w:val="17"/>
          <w:szCs w:val="17"/>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internet address is www.flywire.com. The information contained on, or that can be accessed through, our website is not a part of this Annual Report on Form 10-K. We have included our website address as an inactive textual reference only.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ind w:right="20" w:firstLine="509"/>
        <w:spacing w:after="0"/>
        <w:rPr>
          <w:sz w:val="20"/>
          <w:szCs w:val="20"/>
          <w:color w:val="auto"/>
        </w:rPr>
      </w:pPr>
      <w:r>
        <w:rPr>
          <w:rFonts w:ascii="Arial" w:cs="Arial" w:eastAsia="Arial" w:hAnsi="Arial"/>
          <w:sz w:val="18"/>
          <w:szCs w:val="18"/>
          <w:color w:val="auto"/>
        </w:rPr>
        <w:t>Flywire, the Flywire logo, and other registered or common law trade names, trademarks, or service marks of Flywire appearing in this Annual Report on Form 10-K are the property of Flywire. This Annual Report on Form 10-K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Annual Report on Form 10-K are the property of their respective holders.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our website are not incorporated into this filing. We have included our investor relations website address only as an inactive textual reference and do not intend it to be an active link to our website.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w:t>
      </w:r>
    </w:p>
    <w:p>
      <w:pPr>
        <w:spacing w:after="0" w:line="18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Annual Report on Form 10-K, including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69" w:lineRule="exact"/>
        <w:rPr>
          <w:sz w:val="20"/>
          <w:szCs w:val="20"/>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83"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affected by the COVID-19 global pandemic and related responsive actions.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attract new clients may be unsuccessful.</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unable to expand our direct and channel sales capabilities, grow our marketing reach and increase sales productivity.</w:t>
      </w:r>
    </w:p>
    <w:p>
      <w:pPr>
        <w:spacing w:after="0" w:line="181"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margin and results of operations.</w:t>
      </w:r>
    </w:p>
    <w:p>
      <w:pPr>
        <w:spacing w:after="0" w:line="170" w:lineRule="exact"/>
        <w:rPr>
          <w:rFonts w:ascii="Times New Roman" w:cs="Times New Roman" w:eastAsia="Times New Roman" w:hAnsi="Times New Roman"/>
          <w:sz w:val="18"/>
          <w:szCs w:val="18"/>
          <w:color w:val="auto"/>
        </w:rPr>
      </w:pPr>
    </w:p>
    <w:p>
      <w:pPr>
        <w:ind w:left="900" w:right="86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70" w:lineRule="exact"/>
        <w:rPr>
          <w:rFonts w:ascii="Times New Roman" w:cs="Times New Roman" w:eastAsia="Times New Roman" w:hAnsi="Times New Roman"/>
          <w:sz w:val="18"/>
          <w:szCs w:val="18"/>
          <w:color w:val="auto"/>
        </w:rPr>
      </w:pPr>
    </w:p>
    <w:p>
      <w:pPr>
        <w:ind w:left="900" w:right="90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27" w:lineRule="exact"/>
        <w:rPr>
          <w:rFonts w:ascii="Times New Roman" w:cs="Times New Roman" w:eastAsia="Times New Roman" w:hAnsi="Times New Roman"/>
          <w:sz w:val="18"/>
          <w:szCs w:val="18"/>
          <w:color w:val="auto"/>
        </w:rPr>
      </w:pPr>
    </w:p>
    <w:p>
      <w:pPr>
        <w:ind w:left="900" w:right="58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13" w:lineRule="exact"/>
        <w:rPr>
          <w:rFonts w:ascii="Times New Roman" w:cs="Times New Roman" w:eastAsia="Times New Roman" w:hAnsi="Times New Roman"/>
          <w:sz w:val="18"/>
          <w:szCs w:val="18"/>
          <w:color w:val="auto"/>
        </w:rPr>
      </w:pPr>
    </w:p>
    <w:p>
      <w:pPr>
        <w:ind w:left="900" w:right="20" w:hanging="263"/>
        <w:spacing w:after="0" w:line="27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including our relatively new B2B payment vertical.</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83" w:lineRule="exact"/>
        <w:rPr>
          <w:sz w:val="20"/>
          <w:szCs w:val="20"/>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w:t>
      </w:r>
    </w:p>
    <w:p>
      <w:pPr>
        <w:spacing w:after="0" w:line="170"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69" w:lineRule="exact"/>
        <w:rPr>
          <w:sz w:val="20"/>
          <w:szCs w:val="20"/>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8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MSB.</w:t>
      </w:r>
    </w:p>
    <w:p>
      <w:pPr>
        <w:spacing w:after="0" w:line="113" w:lineRule="exact"/>
        <w:rPr>
          <w:rFonts w:ascii="Times New Roman" w:cs="Times New Roman" w:eastAsia="Times New Roman" w:hAnsi="Times New Roman"/>
          <w:sz w:val="18"/>
          <w:szCs w:val="18"/>
          <w:color w:val="auto"/>
        </w:rPr>
      </w:pPr>
    </w:p>
    <w:p>
      <w:pPr>
        <w:ind w:left="900" w:right="62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83" w:lineRule="exact"/>
        <w:rPr>
          <w:sz w:val="20"/>
          <w:szCs w:val="20"/>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69" w:lineRule="exact"/>
        <w:rPr>
          <w:sz w:val="20"/>
          <w:szCs w:val="20"/>
          <w:color w:val="auto"/>
        </w:rPr>
      </w:pPr>
    </w:p>
    <w:p>
      <w:pPr>
        <w:ind w:left="900" w:right="120" w:hanging="26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$28.1 million, $11.1 million and $20.1 million for the years ended December 31, 2021, 2020 and 2019, respectively. In addition, as of December 31, 2021, we had an accumulated deficit of $125.9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30" w:name="page31"/>
    <w:bookmarkEnd w:id="30"/>
    <w:p>
      <w:pPr>
        <w:spacing w:after="0" w:line="242" w:lineRule="auto"/>
        <w:rPr>
          <w:sz w:val="20"/>
          <w:szCs w:val="20"/>
          <w:color w:val="auto"/>
        </w:rPr>
      </w:pPr>
      <w:r>
        <w:rPr>
          <w:rFonts w:ascii="Arial" w:cs="Arial" w:eastAsia="Arial" w:hAnsi="Arial"/>
          <w:sz w:val="18"/>
          <w:szCs w:val="18"/>
          <w:color w:val="auto"/>
        </w:rPr>
        <w:t>payment methods, such as credit cards, are higher than other payment methods accepted by our solutions, such as bank transfers.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5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volume of payments processed.</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71" w:lineRule="exact"/>
        <w:rPr>
          <w:sz w:val="20"/>
          <w:szCs w:val="20"/>
          <w:color w:val="auto"/>
        </w:rPr>
      </w:pPr>
    </w:p>
    <w:p>
      <w:pPr>
        <w:ind w:left="900" w:right="18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70"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70"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30"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1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7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and retain existing clients;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withstand the impacts of the COVID-19 pandemic;</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market share;</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99" w:right="419" w:bottom="1440" w:gutter="0" w:footer="0" w:header="0"/>
        </w:sectPr>
      </w:pPr>
    </w:p>
    <w:bookmarkStart w:id="31" w:name="page32"/>
    <w:bookmarkEnd w:id="31"/>
    <w:p>
      <w:pPr>
        <w:ind w:left="1020" w:right="2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macroeconomic changes;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70"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27"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1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15"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margins, and other operating results, and accordingly, on the trading price of our common stock.</w:t>
      </w:r>
    </w:p>
    <w:p>
      <w:pPr>
        <w:spacing w:after="0" w:line="14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4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ind w:right="80" w:firstLine="509"/>
        <w:spacing w:after="0"/>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60"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9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33"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4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in spending on information technology (IT) and software by our current and/or prospective clients;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170" w:lineRule="exact"/>
        <w:rPr>
          <w:rFonts w:ascii="Times New Roman" w:cs="Times New Roman" w:eastAsia="Times New Roman" w:hAnsi="Times New Roman"/>
          <w:sz w:val="18"/>
          <w:szCs w:val="18"/>
          <w:color w:val="auto"/>
        </w:rPr>
      </w:pPr>
    </w:p>
    <w:p>
      <w:pPr>
        <w:ind w:left="1020" w:right="8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of our business;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failure to successfully manage or integrate any acquisitions, including our acquisition of Simplee and recent acquisition of WPM;</w:t>
      </w:r>
    </w:p>
    <w:p>
      <w:pPr>
        <w:spacing w:after="0" w:line="18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33" w:name="page34"/>
    <w:bookmarkEnd w:id="33"/>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or geopolitical events; and</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continuing effects of the COVID-19 pandemic and the responses thereto.</w:t>
      </w:r>
    </w:p>
    <w:p>
      <w:pPr>
        <w:spacing w:after="0" w:line="170"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2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The COVID -19 global pandemic and related government, private sector and individual consumer responsive actions may adversely impact our employees, strategic partners, and clients, which could adversely and materially impact our business, financial condition and results of operations.</w:t>
      </w:r>
    </w:p>
    <w:p>
      <w:pPr>
        <w:spacing w:after="0" w:line="11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global impacts of the COVID-19 pandemic and related government actions taken to reduce the spread of the virus, including the variants of the virus, have significantly increased economic uncertainty and reduced economic activity. The pandemic has resulted in authorities implementing numerous measures to try to contain the virus, such as travel bans and restrictions, quarantines, shelter-in-place or total lock-down orders and business limitations and shutdowns that began in the second quarter of fiscal year 2020.</w:t>
      </w:r>
    </w:p>
    <w:p>
      <w:pPr>
        <w:spacing w:after="0" w:line="13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In addition, the spread of COVID-19 has caused us to modify our business practices, including restricting employee travel, implementing office closures, having our employees, who we call FlyMates, work remotely and cancelling physical participation in meetings, events and conferences. We may take further actions in response to the continuing effects of the global pandemic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p>
    <w:p>
      <w:pPr>
        <w:spacing w:after="0" w:line="1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During the year ended December 31, 2020, we experienced periods of reduced payment volume in some of the industries we serve, including travel and education. Cross-border payment volumes were heavily impacted by the decline in travel as a result of the COVID-19 pandemic. During the year ended December 31, 2021 we observed a recovery in payment volumes in the industries we serve, including travel and education. The introduction of COVID-19 vaccines allowed for reopening of many higher education institutions to foreign students, and borders began to open for travel. The emergence of variants (most notably Delta and Omicron) and sub-variants has periodically slowed the reopening, and we will monitor new strains of COVID-19 as they are discovered. International cross-border transaction revenue represents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p>
    <w:p>
      <w:pPr>
        <w:spacing w:after="0" w:line="143"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or delays in shipment;</w:t>
      </w:r>
    </w:p>
    <w:p>
      <w:pPr>
        <w:spacing w:after="0" w:line="183"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130" w:lineRule="exact"/>
        <w:rPr>
          <w:rFonts w:ascii="Times New Roman" w:cs="Times New Roman" w:eastAsia="Times New Roman" w:hAnsi="Times New Roman"/>
          <w:sz w:val="18"/>
          <w:szCs w:val="18"/>
          <w:color w:val="auto"/>
        </w:rPr>
      </w:pPr>
    </w:p>
    <w:p>
      <w:pPr>
        <w:ind w:left="1020" w:right="160" w:hanging="503"/>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pandemic; and</w:t>
      </w:r>
    </w:p>
    <w:p>
      <w:pPr>
        <w:spacing w:after="0" w:line="130"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regulatory requirements, including, for example, government initiatives or requests to reduce or eliminate payment fees or other costs.</w:t>
      </w:r>
    </w:p>
    <w:p>
      <w:pPr>
        <w:spacing w:after="0" w:line="12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while in effect, may have slowed our growth. Although we began increasing our operating expenses since such time, the impact from the COVID-19 pandemic on our business, results of operations and financial condition in the longer term remains difficult to predict.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4" w:name="page35"/>
    <w:bookmarkEnd w:id="34"/>
    <w:p>
      <w:pPr>
        <w:ind w:right="60" w:firstLine="509"/>
        <w:spacing w:after="0" w:line="244" w:lineRule="auto"/>
        <w:rPr>
          <w:sz w:val="20"/>
          <w:szCs w:val="20"/>
          <w:color w:val="auto"/>
        </w:rPr>
      </w:pPr>
      <w:r>
        <w:rPr>
          <w:rFonts w:ascii="Arial" w:cs="Arial" w:eastAsia="Arial" w:hAnsi="Arial"/>
          <w:sz w:val="18"/>
          <w:szCs w:val="18"/>
          <w:color w:val="auto"/>
        </w:rPr>
        <w:t>Our offices are currently open for optional use by FlyMates, in some instances at limited capacity, as allowed under national, state and local orders. While we have implemented what we believe to be a comprehensive protocol to ensure the safety and wellbeing of employees returning to the office, including as required health screenings, physical changes to our floor layout, periodic testing and required proper personal protection equipment, these protocols may not be sufficient to mitigate the risks posed by the virus or otherwise be satisfactory to government authorities.</w:t>
      </w:r>
    </w:p>
    <w:p>
      <w:pPr>
        <w:spacing w:after="0" w:line="14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 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the client has gone out of business, we may be unable to collect on the chargeback and will bear the economic loss, which will negatively impact our business.</w:t>
      </w:r>
    </w:p>
    <w:p>
      <w:pPr>
        <w:spacing w:after="0" w:line="143"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As a result, we may continue to experience materially adverse impacts to our business as a result of the global economic impact of the COVID-19 pandemic, including lower domestic and cross border spending trends, the availability of credit, adverse impacts on our liquidity, and any recessionary conditions that persist, and exacerbate many of the other known risks described in this section titled “Risk Factors”.</w:t>
      </w:r>
    </w:p>
    <w:p>
      <w:pPr>
        <w:spacing w:after="0" w:line="11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4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margin and results of operations.</w:t>
      </w:r>
    </w:p>
    <w:p>
      <w:pPr>
        <w:spacing w:after="0" w:line="169"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margins and results of operations could be affected by changes in revenue mix and costs, together with numerous other factors, including payment methods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5" w:name="page36"/>
    <w:bookmarkEnd w:id="35"/>
    <w:p>
      <w:pPr>
        <w:ind w:right="160"/>
        <w:spacing w:after="0" w:line="242" w:lineRule="auto"/>
        <w:rPr>
          <w:sz w:val="20"/>
          <w:szCs w:val="20"/>
          <w:color w:val="auto"/>
        </w:rPr>
      </w:pPr>
      <w:r>
        <w:rPr>
          <w:rFonts w:ascii="Arial" w:cs="Arial" w:eastAsia="Arial" w:hAnsi="Arial"/>
          <w:sz w:val="18"/>
          <w:szCs w:val="18"/>
          <w:color w:val="auto"/>
        </w:rPr>
        <w:t>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54" w:lineRule="exact"/>
        <w:rPr>
          <w:sz w:val="20"/>
          <w:szCs w:val="20"/>
          <w:color w:val="auto"/>
        </w:rPr>
      </w:pPr>
    </w:p>
    <w:p>
      <w:pPr>
        <w:ind w:right="110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8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increase in availability of vaccines, educational institutions have, for the most part, returned to their normal billing cycles and payment due dates. Many higher education institutions are mandating full vaccination to promote normal operations and allowing students from abroad to return to their facilities. Similarly, subsectors of our travel client portfolio will experience increased seasonality as many of our travel clients depend upon advance planning for vacation or holiday travel, which has been hampered by the ongoing COVID-19 pandemic and related governmental and regulatory responses.</w:t>
      </w:r>
    </w:p>
    <w:p>
      <w:pPr>
        <w:spacing w:after="0" w:line="14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9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KYC</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6" w:name="page37"/>
    <w:bookmarkEnd w:id="36"/>
    <w:p>
      <w:pPr>
        <w:jc w:val="both"/>
        <w:ind w:right="220"/>
        <w:spacing w:after="0" w:line="253" w:lineRule="auto"/>
        <w:rPr>
          <w:sz w:val="20"/>
          <w:szCs w:val="20"/>
          <w:color w:val="auto"/>
        </w:rPr>
      </w:pPr>
      <w:r>
        <w:rPr>
          <w:rFonts w:ascii="Arial" w:cs="Arial" w:eastAsia="Arial" w:hAnsi="Arial"/>
          <w:sz w:val="18"/>
          <w:szCs w:val="18"/>
          <w:color w:val="auto"/>
        </w:rPr>
        <w:t>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4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69"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6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47"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1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7" w:name="page38"/>
    <w:bookmarkEnd w:id="37"/>
    <w:p>
      <w:pPr>
        <w:ind w:right="360"/>
        <w:spacing w:after="0" w:line="253" w:lineRule="auto"/>
        <w:rPr>
          <w:sz w:val="20"/>
          <w:szCs w:val="20"/>
          <w:color w:val="auto"/>
        </w:rPr>
      </w:pPr>
      <w:r>
        <w:rPr>
          <w:rFonts w:ascii="Arial" w:cs="Arial" w:eastAsia="Arial" w:hAnsi="Arial"/>
          <w:sz w:val="18"/>
          <w:szCs w:val="18"/>
          <w:color w:val="auto"/>
        </w:rPr>
        <w:t>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4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9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28" w:lineRule="exact"/>
        <w:rPr>
          <w:sz w:val="20"/>
          <w:szCs w:val="20"/>
          <w:color w:val="auto"/>
        </w:rPr>
      </w:pPr>
    </w:p>
    <w:p>
      <w:pPr>
        <w:ind w:left="900" w:right="100" w:hanging="263"/>
        <w:spacing w:after="0" w:line="252"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Significant reductions in student funding, through grants or loans, may reduce enrollments and decrease the payment volume we process. Potential students may also be deterred by increases in the cost of attendance.</w:t>
      </w:r>
    </w:p>
    <w:p>
      <w:pPr>
        <w:spacing w:after="0" w:line="143" w:lineRule="exact"/>
        <w:rPr>
          <w:rFonts w:ascii="Times New Roman" w:cs="Times New Roman" w:eastAsia="Times New Roman" w:hAnsi="Times New Roman"/>
          <w:sz w:val="18"/>
          <w:szCs w:val="18"/>
          <w:color w:val="auto"/>
        </w:rPr>
      </w:pPr>
    </w:p>
    <w:p>
      <w:pPr>
        <w:ind w:left="900" w:right="36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13"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the ongoing COVID-19 pandemic or a lower price point for online classes.</w:t>
      </w:r>
    </w:p>
    <w:p>
      <w:pPr>
        <w:spacing w:after="0" w:line="130"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27" w:lineRule="exact"/>
        <w:rPr>
          <w:rFonts w:ascii="Times New Roman" w:cs="Times New Roman" w:eastAsia="Times New Roman" w:hAnsi="Times New Roman"/>
          <w:sz w:val="18"/>
          <w:szCs w:val="18"/>
          <w:color w:val="auto"/>
        </w:rPr>
      </w:pPr>
    </w:p>
    <w:p>
      <w:pPr>
        <w:ind w:left="900" w:right="400" w:hanging="263"/>
        <w:spacing w:after="0" w:line="252"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w:t>
      </w:r>
    </w:p>
    <w:p>
      <w:pPr>
        <w:spacing w:after="0" w:line="130" w:lineRule="exact"/>
        <w:rPr>
          <w:rFonts w:ascii="Times New Roman" w:cs="Times New Roman" w:eastAsia="Times New Roman" w:hAnsi="Times New Roman"/>
          <w:sz w:val="18"/>
          <w:szCs w:val="18"/>
          <w:color w:val="auto"/>
        </w:rPr>
      </w:pPr>
    </w:p>
    <w:p>
      <w:pPr>
        <w:jc w:val="both"/>
        <w:ind w:left="900" w:right="580" w:hanging="263"/>
        <w:spacing w:after="0" w:line="252"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3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5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1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0" w:lineRule="exact"/>
        <w:rPr>
          <w:sz w:val="20"/>
          <w:szCs w:val="20"/>
          <w:color w:val="auto"/>
        </w:rPr>
      </w:pPr>
    </w:p>
    <w:p>
      <w:pPr>
        <w:ind w:right="500" w:firstLine="509"/>
        <w:spacing w:after="0" w:line="247"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integration partners may also decide to develop and offer their own patient engagement solutions that are similar to our solutions.</w:t>
      </w:r>
    </w:p>
    <w:p>
      <w:pPr>
        <w:spacing w:after="0" w:line="18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4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43"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4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Many of these companies may offer products and services similar to ours. If successful, their development efforts could render our solutions less desirable, resulting in the loss of our existing clients or a reduction in the fees we generate from our solutions.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6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Events like regional or larger scale conflicts, war or other military conflict, including an escalation of the conflict between Russia and Ukraine,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18"/>
          <w:szCs w:val="18"/>
          <w:color w:val="auto"/>
        </w:rPr>
        <w:t>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4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 addition, the U.K’s withdrawal from the E.U. (Brexit), including uncertainty, delays or practical difficulties in the implementation of Brexit, could continue to lead to economic uncertainty, sluggish growth or economic retraction,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3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During the year ended December 31, 2021, we witnessed recoveries in our financial results and growth in revenue and payment volumes in our travel payment vertical. While improvements have been noted, we are still experiencing impacts to our travel clients. We expect the continued effects of the COVID-19 pandemic, including the emergence and spread of variants or sub-variants of COVID-19, will continue to negatively impact our business into 2022,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14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3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43"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2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55"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9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0" w:name="page41"/>
    <w:bookmarkEnd w:id="40"/>
    <w:p>
      <w:pPr>
        <w:ind w:right="340"/>
        <w:spacing w:after="0" w:line="253" w:lineRule="auto"/>
        <w:rPr>
          <w:sz w:val="20"/>
          <w:szCs w:val="20"/>
          <w:color w:val="auto"/>
        </w:rPr>
      </w:pPr>
      <w:r>
        <w:rPr>
          <w:rFonts w:ascii="Arial" w:cs="Arial" w:eastAsia="Arial" w:hAnsi="Arial"/>
          <w:sz w:val="18"/>
          <w:szCs w:val="18"/>
          <w:color w:val="auto"/>
        </w:rPr>
        <w:t>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3"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assistance to clients’ customers and risk and compliance operations, to serve our growing client base.</w:t>
      </w:r>
    </w:p>
    <w:p>
      <w:pPr>
        <w:spacing w:after="0" w:line="14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45"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For the year ended December 31, 2021, we processed over $13.2 billion in payments on our solutions, compared to approximately $7.5 billion for the year ended December 31, 2020. For the year ended December 31, 2020, we processed over $7.5 billion in payments on our solutions, compared to approximately $5.8 billion for the year ended December 31, 2019.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158" w:lineRule="exact"/>
        <w:rPr>
          <w:sz w:val="20"/>
          <w:szCs w:val="20"/>
          <w:color w:val="auto"/>
        </w:rPr>
      </w:pPr>
    </w:p>
    <w:p>
      <w:pPr>
        <w:jc w:val="both"/>
        <w:ind w:right="600" w:firstLine="509"/>
        <w:spacing w:after="0" w:line="247"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33" w:lineRule="exact"/>
        <w:rPr>
          <w:sz w:val="20"/>
          <w:szCs w:val="20"/>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170" w:lineRule="exact"/>
        <w:rPr>
          <w:rFonts w:ascii="Times New Roman" w:cs="Times New Roman" w:eastAsia="Times New Roman" w:hAnsi="Times New Roman"/>
          <w:sz w:val="18"/>
          <w:szCs w:val="18"/>
          <w:color w:val="auto"/>
        </w:rPr>
      </w:pPr>
    </w:p>
    <w:p>
      <w:pPr>
        <w:ind w:left="900" w:right="520" w:hanging="263"/>
        <w:spacing w:after="0" w:line="270"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2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1" w:name="page42"/>
    <w:bookmarkEnd w:id="41"/>
    <w:p>
      <w:pPr>
        <w:ind w:right="24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3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4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profits, and operating results.</w:t>
      </w:r>
    </w:p>
    <w:p>
      <w:pPr>
        <w:spacing w:after="0" w:line="128"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6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1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3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5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42" w:name="page43"/>
    <w:bookmarkEnd w:id="42"/>
    <w:p>
      <w:pPr>
        <w:ind w:right="180"/>
        <w:spacing w:after="0" w:line="247" w:lineRule="auto"/>
        <w:rPr>
          <w:sz w:val="20"/>
          <w:szCs w:val="20"/>
          <w:color w:val="auto"/>
        </w:rPr>
      </w:pPr>
      <w:r>
        <w:rPr>
          <w:rFonts w:ascii="Arial" w:cs="Arial" w:eastAsia="Arial" w:hAnsi="Arial"/>
          <w:sz w:val="18"/>
          <w:szCs w:val="18"/>
          <w:color w:val="auto"/>
        </w:rPr>
        <w:t>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47"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4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5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this is a relatively recent event, and the scope of the attack is still undetermined. Therefore, there is residual risk that we could experience a security breach arising from the SolarWinds supply chain attack.</w:t>
      </w:r>
    </w:p>
    <w:p>
      <w:pPr>
        <w:spacing w:after="0" w:line="133"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3" w:name="page44"/>
    <w:bookmarkEnd w:id="43"/>
    <w:p>
      <w:pPr>
        <w:ind w:right="80"/>
        <w:spacing w:after="0" w:line="237" w:lineRule="auto"/>
        <w:rPr>
          <w:sz w:val="20"/>
          <w:szCs w:val="20"/>
          <w:color w:val="auto"/>
        </w:rPr>
      </w:pPr>
      <w:r>
        <w:rPr>
          <w:rFonts w:ascii="Arial" w:cs="Arial" w:eastAsia="Arial" w:hAnsi="Arial"/>
          <w:sz w:val="18"/>
          <w:szCs w:val="18"/>
          <w:color w:val="auto"/>
        </w:rPr>
        <w:t>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6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4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38"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employees or other third parties, which could expose us to material financial losses and liability and otherwise harm our business.</w:t>
      </w:r>
    </w:p>
    <w:p>
      <w:pPr>
        <w:spacing w:after="0" w:line="112"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employees and payment partners or third parties.</w:t>
      </w:r>
    </w:p>
    <w:p>
      <w:pPr>
        <w:spacing w:after="0" w:line="13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teams to investigate and remediate, or prompt us to reimburse our clients for such losses in order to maintain client business relationships.</w:t>
      </w:r>
    </w:p>
    <w:p>
      <w:pPr>
        <w:spacing w:after="0" w:line="18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6"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9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including the recent depreciation of the Russian ruble, could result in the dollar equivalent of our expenses being higher which may not be offset by additional revenue earned in the local currency. This could have a negative impact on our reported results of operations.</w:t>
      </w:r>
    </w:p>
    <w:p>
      <w:pPr>
        <w:spacing w:after="0" w:line="153"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3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3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3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7"/>
          <w:szCs w:val="17"/>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2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and Tel Aviv, Israel),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5" w:name="page46"/>
    <w:bookmarkEnd w:id="45"/>
    <w:p>
      <w:pPr>
        <w:ind w:left="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83"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1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47" w:lineRule="exact"/>
        <w:rPr>
          <w:sz w:val="20"/>
          <w:szCs w:val="20"/>
          <w:color w:val="auto"/>
        </w:rPr>
      </w:pPr>
    </w:p>
    <w:p>
      <w:pPr>
        <w:jc w:val="both"/>
        <w:ind w:right="540" w:firstLine="509"/>
        <w:spacing w:after="0" w:line="253"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28"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38"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17"/>
          <w:szCs w:val="17"/>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27"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that further developing, maintaining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46" w:name="page47"/>
    <w:bookmarkEnd w:id="46"/>
    <w:p>
      <w:pPr>
        <w:ind w:right="20"/>
        <w:spacing w:after="0" w:line="271" w:lineRule="auto"/>
        <w:rPr>
          <w:sz w:val="20"/>
          <w:szCs w:val="20"/>
          <w:color w:val="auto"/>
        </w:rPr>
      </w:pPr>
      <w:r>
        <w:rPr>
          <w:rFonts w:ascii="Arial" w:cs="Arial" w:eastAsia="Arial" w:hAnsi="Arial"/>
          <w:sz w:val="18"/>
          <w:szCs w:val="18"/>
          <w:color w:val="auto"/>
        </w:rPr>
        <w:t>and even if they do, any increased revenue may not offset the expenses we incur in building our brand. If we fail to successfully promote and maintain our brand, our business could suffer.</w:t>
      </w:r>
    </w:p>
    <w:p>
      <w:pPr>
        <w:spacing w:after="0" w:line="129"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4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1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69" w:lineRule="exact"/>
        <w:rPr>
          <w:sz w:val="20"/>
          <w:szCs w:val="20"/>
          <w:color w:val="auto"/>
        </w:rPr>
      </w:pPr>
    </w:p>
    <w:p>
      <w:pPr>
        <w:ind w:right="280" w:firstLine="509"/>
        <w:spacing w:after="0" w:line="301"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9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As a result of the ongoing COVID-19 pandemic, many enterprises have limited travel, prohibited in person meetings and implemented other restrictions that could make the sales process more lengthy and difficult.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Finally,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7" w:name="page48"/>
    <w:bookmarkEnd w:id="47"/>
    <w:p>
      <w:pPr>
        <w:ind w:right="400"/>
        <w:spacing w:after="0" w:line="271" w:lineRule="auto"/>
        <w:rPr>
          <w:sz w:val="20"/>
          <w:szCs w:val="20"/>
          <w:color w:val="auto"/>
        </w:rPr>
      </w:pPr>
      <w:r>
        <w:rPr>
          <w:rFonts w:ascii="Arial" w:cs="Arial" w:eastAsia="Arial" w:hAnsi="Arial"/>
          <w:sz w:val="18"/>
          <w:szCs w:val="18"/>
          <w:color w:val="auto"/>
        </w:rPr>
        <w:t>to realize an expected sale from a large end-client in a particular quarter or at all, our business, operating results, and financial condition could be materially and adversely affected.</w:t>
      </w:r>
    </w:p>
    <w:p>
      <w:pPr>
        <w:spacing w:after="0" w:line="127"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36" w:lineRule="exact"/>
        <w:rPr>
          <w:sz w:val="20"/>
          <w:szCs w:val="20"/>
          <w:color w:val="auto"/>
        </w:rPr>
      </w:pPr>
    </w:p>
    <w:p>
      <w:pPr>
        <w:ind w:right="320" w:firstLine="509"/>
        <w:spacing w:after="0" w:line="244"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3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1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45"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9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56"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35"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8" w:name="page49"/>
    <w:bookmarkEnd w:id="48"/>
    <w:p>
      <w:pPr>
        <w:ind w:right="60"/>
        <w:spacing w:after="0" w:line="247" w:lineRule="auto"/>
        <w:rPr>
          <w:sz w:val="20"/>
          <w:szCs w:val="20"/>
          <w:color w:val="auto"/>
        </w:rPr>
      </w:pPr>
      <w:r>
        <w:rPr>
          <w:rFonts w:ascii="Arial" w:cs="Arial" w:eastAsia="Arial" w:hAnsi="Arial"/>
          <w:sz w:val="18"/>
          <w:szCs w:val="18"/>
          <w:color w:val="auto"/>
        </w:rPr>
        <w:t>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acquisitions we undertake or have recently completed, including the acquisition of WPM in December 2021 and Simplee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2020, will likely be accompanied by business risks which may include, among other things:</w:t>
      </w:r>
    </w:p>
    <w:p>
      <w:pPr>
        <w:spacing w:after="0" w:line="167" w:lineRule="exact"/>
        <w:rPr>
          <w:sz w:val="20"/>
          <w:szCs w:val="20"/>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170"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13" w:lineRule="exact"/>
        <w:rPr>
          <w:rFonts w:ascii="Times New Roman" w:cs="Times New Roman" w:eastAsia="Times New Roman" w:hAnsi="Times New Roman"/>
          <w:sz w:val="18"/>
          <w:szCs w:val="18"/>
          <w:color w:val="auto"/>
        </w:rPr>
      </w:pPr>
    </w:p>
    <w:p>
      <w:pPr>
        <w:ind w:left="900" w:right="102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70" w:lineRule="exact"/>
        <w:rPr>
          <w:rFonts w:ascii="Times New Roman" w:cs="Times New Roman" w:eastAsia="Times New Roman" w:hAnsi="Times New Roman"/>
          <w:sz w:val="18"/>
          <w:szCs w:val="18"/>
          <w:color w:val="auto"/>
        </w:rPr>
      </w:pPr>
    </w:p>
    <w:p>
      <w:pPr>
        <w:ind w:left="900" w:right="46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13" w:lineRule="exact"/>
        <w:rPr>
          <w:rFonts w:ascii="Times New Roman" w:cs="Times New Roman" w:eastAsia="Times New Roman" w:hAnsi="Times New Roman"/>
          <w:sz w:val="18"/>
          <w:szCs w:val="18"/>
          <w:color w:val="auto"/>
        </w:rPr>
      </w:pPr>
    </w:p>
    <w:p>
      <w:pPr>
        <w:ind w:left="900" w:right="58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83"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war or other military conflict, including an escalation of the conflict between Russia and Ukraine, power losses, disruptions in telecommunications services, fraud, computer viruses or other malware, or other events. Some of our systems are not fully redundant, and our disaster recovery planning may not be sufficient for all</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9" w:name="page50"/>
    <w:bookmarkEnd w:id="49"/>
    <w:p>
      <w:pPr>
        <w:ind w:right="60"/>
        <w:spacing w:after="0" w:line="247" w:lineRule="auto"/>
        <w:rPr>
          <w:sz w:val="20"/>
          <w:szCs w:val="20"/>
          <w:color w:val="auto"/>
        </w:rPr>
      </w:pPr>
      <w:r>
        <w:rPr>
          <w:rFonts w:ascii="Arial" w:cs="Arial" w:eastAsia="Arial" w:hAnsi="Arial"/>
          <w:sz w:val="18"/>
          <w:szCs w:val="18"/>
          <w:color w:val="auto"/>
        </w:rPr>
        <w:t>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4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38"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3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15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28"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36"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0" w:name="page51"/>
    <w:bookmarkEnd w:id="50"/>
    <w:p>
      <w:pPr>
        <w:spacing w:after="0" w:line="271" w:lineRule="auto"/>
        <w:rPr>
          <w:sz w:val="20"/>
          <w:szCs w:val="20"/>
          <w:color w:val="auto"/>
        </w:rPr>
      </w:pPr>
      <w:r>
        <w:rPr>
          <w:rFonts w:ascii="Arial" w:cs="Arial" w:eastAsia="Arial" w:hAnsi="Arial"/>
          <w:sz w:val="18"/>
          <w:szCs w:val="18"/>
          <w:color w:val="auto"/>
        </w:rPr>
        <w:t>systems and technologies do not operate as intended, this could have an adverse impact on our business, internal controls (including internal controls over financial reporting),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73"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5"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and the recent escalation of the conflict between Russia and Ukraine,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56" w:lineRule="exact"/>
        <w:rPr>
          <w:sz w:val="20"/>
          <w:szCs w:val="20"/>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government regulation or required compliance with local laws;</w:t>
      </w:r>
    </w:p>
    <w:p>
      <w:pPr>
        <w:spacing w:after="0" w:line="170" w:lineRule="exact"/>
        <w:rPr>
          <w:rFonts w:ascii="Times New Roman" w:cs="Times New Roman" w:eastAsia="Times New Roman" w:hAnsi="Times New Roman"/>
          <w:sz w:val="18"/>
          <w:szCs w:val="18"/>
          <w:color w:val="auto"/>
        </w:rPr>
      </w:pPr>
    </w:p>
    <w:p>
      <w:pPr>
        <w:ind w:left="900" w:right="10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70" w:lineRule="exact"/>
        <w:rPr>
          <w:rFonts w:ascii="Times New Roman" w:cs="Times New Roman" w:eastAsia="Times New Roman" w:hAnsi="Times New Roman"/>
          <w:sz w:val="18"/>
          <w:szCs w:val="18"/>
          <w:color w:val="auto"/>
        </w:rPr>
      </w:pPr>
    </w:p>
    <w:p>
      <w:pPr>
        <w:ind w:left="900" w:right="700" w:hanging="263"/>
        <w:spacing w:after="0" w:line="300" w:lineRule="auto"/>
        <w:tabs>
          <w:tab w:leader="none" w:pos="90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90"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and changes in trade regulations;</w:t>
      </w:r>
    </w:p>
    <w:p>
      <w:pPr>
        <w:spacing w:after="0" w:line="183"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the sanctions recently announced by the U.S. and other countries against Russia;</w:t>
      </w:r>
    </w:p>
    <w:p>
      <w:pPr>
        <w:spacing w:after="0" w:line="113"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83" w:lineRule="exact"/>
        <w:rPr>
          <w:rFonts w:ascii="Times New Roman" w:cs="Times New Roman" w:eastAsia="Times New Roman" w:hAnsi="Times New Roman"/>
          <w:sz w:val="18"/>
          <w:szCs w:val="18"/>
          <w:color w:val="auto"/>
        </w:rPr>
      </w:pPr>
    </w:p>
    <w:p>
      <w:pPr>
        <w:ind w:left="900" w:right="32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13" w:lineRule="exact"/>
        <w:rPr>
          <w:rFonts w:ascii="Times New Roman" w:cs="Times New Roman" w:eastAsia="Times New Roman" w:hAnsi="Times New Roman"/>
          <w:sz w:val="18"/>
          <w:szCs w:val="18"/>
          <w:color w:val="auto"/>
        </w:rPr>
      </w:pPr>
    </w:p>
    <w:p>
      <w:pPr>
        <w:ind w:left="900" w:right="76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3" w:lineRule="exact"/>
        <w:rPr>
          <w:rFonts w:ascii="Times New Roman" w:cs="Times New Roman" w:eastAsia="Times New Roman" w:hAnsi="Times New Roman"/>
          <w:sz w:val="18"/>
          <w:szCs w:val="18"/>
          <w:color w:val="auto"/>
        </w:rPr>
      </w:pPr>
    </w:p>
    <w:p>
      <w:pPr>
        <w:ind w:left="900" w:right="40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1" w:name="page52"/>
    <w:bookmarkEnd w:id="51"/>
    <w:p>
      <w:pPr>
        <w:ind w:left="900" w:right="2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70" w:lineRule="exact"/>
        <w:rPr>
          <w:rFonts w:ascii="Times New Roman" w:cs="Times New Roman" w:eastAsia="Times New Roman" w:hAnsi="Times New Roman"/>
          <w:sz w:val="18"/>
          <w:szCs w:val="18"/>
          <w:color w:val="auto"/>
        </w:rPr>
      </w:pPr>
    </w:p>
    <w:p>
      <w:pPr>
        <w:ind w:left="900" w:right="300" w:hanging="263"/>
        <w:spacing w:after="0" w:line="252"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w:t>
      </w:r>
    </w:p>
    <w:p>
      <w:pPr>
        <w:spacing w:after="0" w:line="13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70"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38"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41"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38"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2" w:name="page53"/>
    <w:bookmarkEnd w:id="52"/>
    <w:p>
      <w:pPr>
        <w:ind w:right="80" w:firstLine="509"/>
        <w:spacing w:after="0" w:line="239" w:lineRule="auto"/>
        <w:rPr>
          <w:sz w:val="20"/>
          <w:szCs w:val="20"/>
          <w:color w:val="auto"/>
        </w:rPr>
      </w:pPr>
      <w:r>
        <w:rPr>
          <w:rFonts w:ascii="Arial" w:cs="Arial" w:eastAsia="Arial" w:hAnsi="Arial"/>
          <w:sz w:val="18"/>
          <w:szCs w:val="18"/>
          <w:color w:val="auto"/>
        </w:rPr>
        <w:t>Certain of our subsidiaries are registered with FinCEN. Our subsidiary Flywire Global Corp. has obtained licenses to operate as a money transmitter (or the statutory equivalent) in 41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5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4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27"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Government agencies may impose new or additional rules on money transmission, including regulations that:</w:t>
      </w:r>
    </w:p>
    <w:p>
      <w:pPr>
        <w:spacing w:after="0" w:line="171" w:lineRule="exact"/>
        <w:rPr>
          <w:sz w:val="20"/>
          <w:szCs w:val="20"/>
          <w:color w:val="auto"/>
        </w:rPr>
      </w:pPr>
    </w:p>
    <w:p>
      <w:pPr>
        <w:ind w:left="900" w:right="26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3" w:name="page54"/>
    <w:bookmarkEnd w:id="53"/>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70" w:lineRule="exact"/>
        <w:rPr>
          <w:rFonts w:ascii="Times New Roman" w:cs="Times New Roman" w:eastAsia="Times New Roman" w:hAnsi="Times New Roman"/>
          <w:sz w:val="18"/>
          <w:szCs w:val="18"/>
          <w:color w:val="auto"/>
        </w:rPr>
      </w:pPr>
    </w:p>
    <w:p>
      <w:pPr>
        <w:ind w:left="900" w:right="80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83" w:lineRule="exact"/>
        <w:rPr>
          <w:rFonts w:ascii="Times New Roman" w:cs="Times New Roman" w:eastAsia="Times New Roman" w:hAnsi="Times New Roman"/>
          <w:sz w:val="18"/>
          <w:szCs w:val="18"/>
          <w:color w:val="auto"/>
        </w:rPr>
      </w:pPr>
    </w:p>
    <w:p>
      <w:pPr>
        <w:ind w:left="900" w:right="420" w:hanging="263"/>
        <w:spacing w:after="0" w:line="252"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3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70" w:lineRule="exact"/>
        <w:rPr>
          <w:rFonts w:ascii="Times New Roman" w:cs="Times New Roman" w:eastAsia="Times New Roman" w:hAnsi="Times New Roman"/>
          <w:sz w:val="18"/>
          <w:szCs w:val="18"/>
          <w:color w:val="auto"/>
        </w:rPr>
      </w:pPr>
    </w:p>
    <w:p>
      <w:pPr>
        <w:ind w:left="900" w:right="28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27"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13" w:lineRule="exact"/>
        <w:rPr>
          <w:rFonts w:ascii="Times New Roman" w:cs="Times New Roman" w:eastAsia="Times New Roman" w:hAnsi="Times New Roman"/>
          <w:sz w:val="18"/>
          <w:szCs w:val="18"/>
          <w:color w:val="auto"/>
        </w:rPr>
      </w:pPr>
    </w:p>
    <w:p>
      <w:pPr>
        <w:ind w:left="900" w:right="52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16"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currently required to comply with U.S. economic and trade sanctions administered by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4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business operations in other parts of the world such as the U.K., Lithuania, Australia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February and March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4" w:name="page55"/>
    <w:bookmarkEnd w:id="54"/>
    <w:p>
      <w:pPr>
        <w:ind w:right="34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3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3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w:t>
      </w:r>
    </w:p>
    <w:p>
      <w:pPr>
        <w:spacing w:after="0" w:line="147"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5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will take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will take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For example, the Utah state legislature passed the Utah Consumer Privacy Act in March 2022. The Utah legislation most closely mirrors Virginia’s CDPA, and if signed the law will go into effect on December 31, 2023.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1" w:right="359" w:bottom="1440" w:gutter="0" w:footer="0" w:header="0"/>
        </w:sectPr>
      </w:pPr>
    </w:p>
    <w:bookmarkStart w:id="55" w:name="page56"/>
    <w:bookmarkEnd w:id="55"/>
    <w:p>
      <w:pPr>
        <w:ind w:right="20" w:firstLine="509"/>
        <w:spacing w:after="0" w:line="238"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5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4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currently in effect must be replaced with the New SCCs by late December 2022.</w:t>
      </w:r>
    </w:p>
    <w:p>
      <w:pPr>
        <w:spacing w:after="0" w:line="14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5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6" w:name="page57"/>
    <w:bookmarkEnd w:id="56"/>
    <w:p>
      <w:pPr>
        <w:ind w:right="100"/>
        <w:spacing w:after="0" w:line="244" w:lineRule="auto"/>
        <w:rPr>
          <w:sz w:val="20"/>
          <w:szCs w:val="20"/>
          <w:color w:val="auto"/>
        </w:rPr>
      </w:pPr>
      <w:r>
        <w:rPr>
          <w:rFonts w:ascii="Arial" w:cs="Arial" w:eastAsia="Arial" w:hAnsi="Arial"/>
          <w:sz w:val="18"/>
          <w:szCs w:val="18"/>
          <w:color w:val="auto"/>
        </w:rPr>
        <w:t>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49"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38"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3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Asia, there has been an increase in both regulation and enforcement of privacy laws. The Act on Protection of Personal Information originally enacted in June 2020 by the Japanese government, was amended and will come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5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People’s Republic of China (home to the most online users in the world), is one of the latest countries to pass a new omnibus privacy law. China passed its new Data Security Law (DSL) in June 2021 and its new Personal Information Protection Law (PIPL) in August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w:t>
      </w:r>
    </w:p>
    <w:p>
      <w:pPr>
        <w:spacing w:after="0" w:line="144"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and PIPL but cannot assure you that such steps will be effective, and we may face the risk of increased costs, liability and loss of business.</w:t>
      </w:r>
    </w:p>
    <w:p>
      <w:pPr>
        <w:spacing w:after="0" w:line="11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7" w:name="page58"/>
    <w:bookmarkEnd w:id="57"/>
    <w:p>
      <w:pPr>
        <w:ind w:right="600"/>
        <w:spacing w:after="0" w:line="271" w:lineRule="auto"/>
        <w:rPr>
          <w:sz w:val="20"/>
          <w:szCs w:val="20"/>
          <w:color w:val="auto"/>
        </w:rPr>
      </w:pPr>
      <w:r>
        <w:rPr>
          <w:rFonts w:ascii="Arial" w:cs="Arial" w:eastAsia="Arial" w:hAnsi="Arial"/>
          <w:sz w:val="18"/>
          <w:szCs w:val="18"/>
          <w:color w:val="auto"/>
        </w:rPr>
        <w:t>partners, or end users for the use and disclosure of such information could require us to incur additional costs or modify our solutions, possibly in a material manner, and could limit our ability to develop new functionality.</w:t>
      </w:r>
    </w:p>
    <w:p>
      <w:pPr>
        <w:spacing w:after="0" w:line="12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40"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59"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0"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announced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5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9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8" w:name="page59"/>
    <w:bookmarkEnd w:id="58"/>
    <w:p>
      <w:pPr>
        <w:ind w:right="840"/>
        <w:spacing w:after="0" w:line="271" w:lineRule="auto"/>
        <w:rPr>
          <w:sz w:val="20"/>
          <w:szCs w:val="20"/>
          <w:color w:val="auto"/>
        </w:rPr>
      </w:pPr>
      <w:r>
        <w:rPr>
          <w:rFonts w:ascii="Arial" w:cs="Arial" w:eastAsia="Arial" w:hAnsi="Arial"/>
          <w:sz w:val="18"/>
          <w:szCs w:val="18"/>
          <w:color w:val="auto"/>
        </w:rPr>
        <w:t>information not previously relevant or regularly produced. Future changes in enacted tax rates could negatively affect our results of operations.</w:t>
      </w:r>
    </w:p>
    <w:p>
      <w:pPr>
        <w:spacing w:after="0" w:line="12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39"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Relevant foreign taxing authorities may disagree with our determinations as to the income and expenses attributable to specific jurisdictions.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5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39"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5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endeavor to enter into agreements with our employees,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employees, consultants, contractors clients, their customers, or strategic partners and others will be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59" w:name="page60"/>
    <w:bookmarkEnd w:id="59"/>
    <w:p>
      <w:pPr>
        <w:ind w:right="120"/>
        <w:spacing w:after="0" w:line="244" w:lineRule="auto"/>
        <w:rPr>
          <w:sz w:val="20"/>
          <w:szCs w:val="20"/>
          <w:color w:val="auto"/>
        </w:rPr>
      </w:pPr>
      <w:r>
        <w:rPr>
          <w:rFonts w:ascii="Arial" w:cs="Arial" w:eastAsia="Arial" w:hAnsi="Arial"/>
          <w:sz w:val="18"/>
          <w:szCs w:val="18"/>
          <w:color w:val="auto"/>
        </w:rPr>
        <w:t>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61"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4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0" w:name="page61"/>
    <w:bookmarkEnd w:id="60"/>
    <w:p>
      <w:pPr>
        <w:ind w:right="360"/>
        <w:spacing w:after="0" w:line="271" w:lineRule="auto"/>
        <w:rPr>
          <w:sz w:val="20"/>
          <w:szCs w:val="20"/>
          <w:color w:val="auto"/>
        </w:rPr>
      </w:pPr>
      <w:r>
        <w:rPr>
          <w:rFonts w:ascii="Arial" w:cs="Arial" w:eastAsia="Arial" w:hAnsi="Arial"/>
          <w:sz w:val="18"/>
          <w:szCs w:val="18"/>
          <w:color w:val="auto"/>
        </w:rPr>
        <w:t>incorporation of open source software into our solutions, we cannot be certain that we have not incorporated open source software in our solutions in a manner that is inconsistent with such policies.</w:t>
      </w:r>
    </w:p>
    <w:p>
      <w:pPr>
        <w:spacing w:after="0" w:line="129"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U.K.’s departure from the E.U. could adversely affect us.</w:t>
      </w:r>
    </w:p>
    <w:p>
      <w:pPr>
        <w:spacing w:after="0" w:line="183"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continues to be a significant lack of clarity over the terms of the U.K.’s future relationship with the E.U. in the future.</w:t>
      </w:r>
    </w:p>
    <w:p>
      <w:pPr>
        <w:spacing w:after="0" w:line="12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144"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142" w:lineRule="exact"/>
        <w:rPr>
          <w:sz w:val="20"/>
          <w:szCs w:val="20"/>
          <w:color w:val="auto"/>
        </w:rPr>
      </w:pPr>
    </w:p>
    <w:p>
      <w:pPr>
        <w:ind w:left="900" w:right="180" w:hanging="263"/>
        <w:spacing w:after="0" w:line="252"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130" w:lineRule="exact"/>
        <w:rPr>
          <w:rFonts w:ascii="Times New Roman" w:cs="Times New Roman" w:eastAsia="Times New Roman" w:hAnsi="Times New Roman"/>
          <w:sz w:val="18"/>
          <w:szCs w:val="18"/>
          <w:color w:val="auto"/>
        </w:rPr>
      </w:pPr>
    </w:p>
    <w:p>
      <w:pPr>
        <w:ind w:left="900" w:right="340" w:hanging="263"/>
        <w:spacing w:after="0" w:line="252"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130" w:lineRule="exact"/>
        <w:rPr>
          <w:rFonts w:ascii="Times New Roman" w:cs="Times New Roman" w:eastAsia="Times New Roman" w:hAnsi="Times New Roman"/>
          <w:sz w:val="18"/>
          <w:szCs w:val="18"/>
          <w:color w:val="auto"/>
        </w:rPr>
      </w:pPr>
    </w:p>
    <w:p>
      <w:pPr>
        <w:ind w:left="900" w:right="46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27" w:lineRule="exact"/>
        <w:rPr>
          <w:rFonts w:ascii="Times New Roman" w:cs="Times New Roman" w:eastAsia="Times New Roman" w:hAnsi="Times New Roman"/>
          <w:sz w:val="18"/>
          <w:szCs w:val="18"/>
          <w:color w:val="auto"/>
        </w:rPr>
      </w:pPr>
    </w:p>
    <w:p>
      <w:pPr>
        <w:ind w:left="900" w:right="72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11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8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As of December 31, 2021, we had U.S. federal net operating loss (NOL) carryforwards of approximately $122.1 million and state NOL carryforwards of approximately $164.9 million. The federal and material state NOL carryforwards will begin to expire in 2030 and 2022, respectively. In general, under Sections 382 and 383 of the United States Internal</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1" w:name="page62"/>
    <w:bookmarkEnd w:id="61"/>
    <w:p>
      <w:pPr>
        <w:ind w:right="60"/>
        <w:spacing w:after="0" w:line="239" w:lineRule="auto"/>
        <w:rPr>
          <w:sz w:val="20"/>
          <w:szCs w:val="20"/>
          <w:color w:val="auto"/>
        </w:rPr>
      </w:pPr>
      <w:r>
        <w:rPr>
          <w:rFonts w:ascii="Arial" w:cs="Arial" w:eastAsia="Arial" w:hAnsi="Arial"/>
          <w:sz w:val="18"/>
          <w:szCs w:val="18"/>
          <w:color w:val="auto"/>
        </w:rPr>
        <w:t>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or if we undergo one or more ownership changes as a result of our initial public offering (IPO) or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We are in the process of completing a Section 382 study. Furthermore, our ability to utilize NOLs of companies that we may acquire in the future may be subject to limitations. For these reasons, we may not be able to utilize a material portion of the NOLs, even if we were to achieve profitability.</w:t>
      </w:r>
    </w:p>
    <w:p>
      <w:pPr>
        <w:spacing w:after="0" w:line="15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3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a public company, we are required, pursuant to Section 404 of the Sarbanes-Oxley Act (Section 404), to furnish a report by management on, among other things, the effectiveness of our internal control over financial reporting commencing with our Annual Report on Form 10-K for the year ending December 31, 2022.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44" w:lineRule="exact"/>
        <w:rPr>
          <w:sz w:val="20"/>
          <w:szCs w:val="20"/>
          <w:color w:val="auto"/>
        </w:rPr>
      </w:pPr>
    </w:p>
    <w:p>
      <w:pPr>
        <w:jc w:val="both"/>
        <w:ind w:right="20" w:firstLine="509"/>
        <w:spacing w:after="0" w:line="244" w:lineRule="auto"/>
        <w:rPr>
          <w:sz w:val="20"/>
          <w:szCs w:val="20"/>
          <w:color w:val="auto"/>
        </w:rPr>
      </w:pPr>
      <w:r>
        <w:rPr>
          <w:rFonts w:ascii="Arial" w:cs="Arial" w:eastAsia="Arial" w:hAnsi="Arial"/>
          <w:sz w:val="18"/>
          <w:szCs w:val="18"/>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62" w:name="page63"/>
    <w:bookmarkEnd w:id="62"/>
    <w:p>
      <w:pPr>
        <w:ind w:right="220"/>
        <w:spacing w:after="0" w:line="244" w:lineRule="auto"/>
        <w:rPr>
          <w:sz w:val="20"/>
          <w:szCs w:val="20"/>
          <w:color w:val="auto"/>
        </w:rPr>
      </w:pPr>
      <w:r>
        <w:rPr>
          <w:rFonts w:ascii="Arial" w:cs="Arial" w:eastAsia="Arial" w:hAnsi="Arial"/>
          <w:sz w:val="18"/>
          <w:szCs w:val="18"/>
          <w:color w:val="auto"/>
        </w:rPr>
        <w:t>an “accelerated filer” or a “large accelerated filer,” each as defined in the Exchange Act, or the date we are no longer an emerging growth company, as defined in the JOBS Act, which could be as early as our annual report on Form 10-K for the year ending December 31, 2022. We expect to incur significant expenses and devote substantial management effort toward ensuring compliance with the auditor attestation requirements of Section 404. Furthermore, if and when we are deemed to be a “large accelerated filer”, we will also have to file a more expansive proxy statement and be subject to shorter filing deadlines, which will require additional time and expense as well.</w:t>
      </w:r>
    </w:p>
    <w:p>
      <w:pPr>
        <w:spacing w:after="0" w:line="14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have undertaken and may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38"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3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Increased scrutiny from investors and others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1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the environmental, social and governance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51"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1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which we expect to further increase after we are no longer an “emerging growth company.”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3" w:name="page64"/>
    <w:bookmarkEnd w:id="63"/>
    <w:p>
      <w:pPr>
        <w:jc w:val="both"/>
        <w:spacing w:after="0" w:line="253" w:lineRule="auto"/>
        <w:rPr>
          <w:sz w:val="20"/>
          <w:szCs w:val="20"/>
          <w:color w:val="auto"/>
        </w:rPr>
      </w:pPr>
      <w:r>
        <w:rPr>
          <w:rFonts w:ascii="Arial" w:cs="Arial" w:eastAsia="Arial" w:hAnsi="Arial"/>
          <w:sz w:val="18"/>
          <w:szCs w:val="18"/>
          <w:color w:val="auto"/>
        </w:rPr>
        <w:t>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9"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An active or liquid market in our common stock may not be sustainable. The market price of our common stock may fluctuate significantly in response to numerous factors, many of which are beyond our control, including:</w:t>
      </w:r>
    </w:p>
    <w:p>
      <w:pPr>
        <w:spacing w:after="0" w:line="12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83"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 including conditions resulting from the COVID-19 pandemic;</w:t>
      </w:r>
    </w:p>
    <w:p>
      <w:pPr>
        <w:spacing w:after="0" w:line="102"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effects of the ongoing United States-China trade war;</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expiration of market standoff or contractual lock-up agreements;</w:t>
      </w:r>
    </w:p>
    <w:p>
      <w:pPr>
        <w:spacing w:after="0" w:line="1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Annual Report on Form 10-K.</w:t>
      </w:r>
    </w:p>
    <w:p>
      <w:pPr>
        <w:spacing w:after="0" w:line="170"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13" w:lineRule="exact"/>
        <w:rPr>
          <w:sz w:val="20"/>
          <w:szCs w:val="20"/>
          <w:color w:val="auto"/>
        </w:rPr>
      </w:pPr>
    </w:p>
    <w:p>
      <w:pPr>
        <w:ind w:right="940" w:firstLine="509"/>
        <w:spacing w:after="0" w:line="271" w:lineRule="auto"/>
        <w:rPr>
          <w:sz w:val="20"/>
          <w:szCs w:val="20"/>
          <w:color w:val="auto"/>
        </w:rPr>
      </w:pPr>
      <w:r>
        <w:rPr>
          <w:rFonts w:ascii="Arial" w:cs="Arial" w:eastAsia="Arial" w:hAnsi="Arial"/>
          <w:sz w:val="18"/>
          <w:szCs w:val="18"/>
          <w:color w:val="auto"/>
        </w:rPr>
        <w:t>Concerns over economic recession, the COVID-19 pandemic, interest rate increases and inflation, supply chain delays and disruptions, policy priorities of the U.S. presidential administration, trade wars, unemployment, or prolonged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4" w:name="page65"/>
    <w:bookmarkEnd w:id="64"/>
    <w:p>
      <w:pPr>
        <w:ind w:right="20"/>
        <w:spacing w:after="0" w:line="242" w:lineRule="auto"/>
        <w:rPr>
          <w:sz w:val="20"/>
          <w:szCs w:val="20"/>
          <w:color w:val="auto"/>
        </w:rPr>
      </w:pPr>
      <w:r>
        <w:rPr>
          <w:rFonts w:ascii="Arial" w:cs="Arial" w:eastAsia="Arial" w:hAnsi="Arial"/>
          <w:sz w:val="18"/>
          <w:szCs w:val="18"/>
          <w:color w:val="auto"/>
        </w:rPr>
        <w:t>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w:t>
      </w:r>
    </w:p>
    <w:p>
      <w:pPr>
        <w:spacing w:after="0" w:line="15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3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99"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5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will remain an emerging growth company until the earliest of (i) December 31, 2026,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4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We cannot predict if investors will find our common stock less attractive if we continue to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3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65" w:name="page66"/>
    <w:bookmarkEnd w:id="65"/>
    <w:p>
      <w:pPr>
        <w:ind w:right="440" w:firstLine="509"/>
        <w:spacing w:after="0" w:line="271"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6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which could cause our stock price to decline.</w:t>
      </w:r>
    </w:p>
    <w:p>
      <w:pPr>
        <w:spacing w:after="0" w:line="17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38"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99"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100,454,177 shares of our voting common stock and 5,988,378 shares of our non-voting common stock outstanding as of December 31, 2021.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5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employee equity incentive plans. These shares will be able to be sold freely in the public market upon issuance, subject to securities laws.</w:t>
      </w:r>
    </w:p>
    <w:p>
      <w:pPr>
        <w:spacing w:after="0" w:line="133" w:lineRule="exact"/>
        <w:rPr>
          <w:sz w:val="20"/>
          <w:szCs w:val="20"/>
          <w:color w:val="auto"/>
        </w:rPr>
      </w:pPr>
    </w:p>
    <w:p>
      <w:pPr>
        <w:ind w:right="34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92" w:lineRule="exact"/>
        <w:rPr>
          <w:sz w:val="20"/>
          <w:szCs w:val="20"/>
          <w:color w:val="auto"/>
        </w:rPr>
      </w:pPr>
    </w:p>
    <w:p>
      <w:pPr>
        <w:ind w:right="72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12"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As of December 31, 2021, our executive officers, directors and the holders of more than 5% of our outstanding voting and non-voting common stock, in the aggregate, beneficially owned approximately 46.9% of our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6" w:name="page67"/>
    <w:bookmarkEnd w:id="66"/>
    <w:p>
      <w:pPr>
        <w:ind w:right="340"/>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1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2"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49" w:lineRule="exact"/>
        <w:rPr>
          <w:sz w:val="20"/>
          <w:szCs w:val="20"/>
          <w:color w:val="auto"/>
        </w:rPr>
      </w:pPr>
    </w:p>
    <w:p>
      <w:pPr>
        <w:ind w:left="900" w:right="68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13" w:lineRule="exact"/>
        <w:rPr>
          <w:rFonts w:ascii="Times New Roman" w:cs="Times New Roman" w:eastAsia="Times New Roman" w:hAnsi="Times New Roman"/>
          <w:sz w:val="18"/>
          <w:szCs w:val="18"/>
          <w:color w:val="auto"/>
        </w:rPr>
      </w:pPr>
    </w:p>
    <w:p>
      <w:pPr>
        <w:jc w:val="both"/>
        <w:ind w:left="900" w:right="12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30" w:lineRule="exact"/>
        <w:rPr>
          <w:rFonts w:ascii="Times New Roman" w:cs="Times New Roman" w:eastAsia="Times New Roman" w:hAnsi="Times New Roman"/>
          <w:sz w:val="18"/>
          <w:szCs w:val="18"/>
          <w:color w:val="auto"/>
        </w:rPr>
      </w:pPr>
    </w:p>
    <w:p>
      <w:pPr>
        <w:ind w:left="90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3" w:lineRule="exact"/>
        <w:rPr>
          <w:rFonts w:ascii="Times New Roman" w:cs="Times New Roman" w:eastAsia="Times New Roman" w:hAnsi="Times New Roman"/>
          <w:sz w:val="18"/>
          <w:szCs w:val="18"/>
          <w:color w:val="auto"/>
        </w:rPr>
      </w:pPr>
    </w:p>
    <w:p>
      <w:pPr>
        <w:ind w:left="900" w:right="2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3" w:lineRule="exact"/>
        <w:rPr>
          <w:rFonts w:ascii="Times New Roman" w:cs="Times New Roman" w:eastAsia="Times New Roman" w:hAnsi="Times New Roman"/>
          <w:sz w:val="18"/>
          <w:szCs w:val="18"/>
          <w:color w:val="auto"/>
        </w:rPr>
      </w:pPr>
    </w:p>
    <w:p>
      <w:pPr>
        <w:ind w:left="900" w:right="22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30" w:lineRule="exact"/>
        <w:rPr>
          <w:rFonts w:ascii="Times New Roman" w:cs="Times New Roman" w:eastAsia="Times New Roman" w:hAnsi="Times New Roman"/>
          <w:sz w:val="18"/>
          <w:szCs w:val="18"/>
          <w:color w:val="auto"/>
        </w:rPr>
      </w:pPr>
    </w:p>
    <w:p>
      <w:pPr>
        <w:ind w:left="900" w:right="200" w:hanging="263"/>
        <w:spacing w:after="0" w:line="246"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49" w:lineRule="exact"/>
        <w:rPr>
          <w:rFonts w:ascii="Times New Roman" w:cs="Times New Roman" w:eastAsia="Times New Roman" w:hAnsi="Times New Roman"/>
          <w:sz w:val="18"/>
          <w:szCs w:val="18"/>
          <w:color w:val="auto"/>
        </w:rPr>
      </w:pPr>
    </w:p>
    <w:p>
      <w:pPr>
        <w:ind w:left="900" w:right="20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0"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3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67" w:name="page68"/>
    <w:bookmarkEnd w:id="67"/>
    <w:p>
      <w:pPr>
        <w:ind w:right="20"/>
        <w:spacing w:after="0" w:line="271" w:lineRule="auto"/>
        <w:rPr>
          <w:sz w:val="20"/>
          <w:szCs w:val="20"/>
          <w:color w:val="auto"/>
        </w:rPr>
      </w:pPr>
      <w:r>
        <w:rPr>
          <w:rFonts w:ascii="Arial" w:cs="Arial" w:eastAsia="Arial" w:hAnsi="Arial"/>
          <w:sz w:val="18"/>
          <w:szCs w:val="18"/>
          <w:color w:val="auto"/>
        </w:rPr>
        <w:t>tender offer or proxy contest involving our company. The existence of these provisions could negatively affect the price of our common stock and limit opportunities for you to realize value in a corporate transaction.</w:t>
      </w:r>
    </w:p>
    <w:p>
      <w:pPr>
        <w:spacing w:after="0" w:line="129"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2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99" w:right="419" w:bottom="1440" w:gutter="0" w:footer="0" w:header="0"/>
        </w:sectPr>
      </w:pPr>
    </w:p>
    <w:bookmarkStart w:id="68" w:name="page69"/>
    <w:bookmarkEnd w:id="68"/>
    <w:p>
      <w:pPr>
        <w:jc w:val="center"/>
        <w:ind w:right="8020"/>
        <w:spacing w:after="0"/>
        <w:rPr>
          <w:sz w:val="20"/>
          <w:szCs w:val="20"/>
          <w:color w:val="auto"/>
        </w:rPr>
      </w:pPr>
      <w:r>
        <w:rPr>
          <w:rFonts w:ascii="Arial" w:cs="Arial" w:eastAsia="Arial" w:hAnsi="Arial"/>
          <w:sz w:val="17"/>
          <w:szCs w:val="17"/>
          <w:b w:val="1"/>
          <w:bCs w:val="1"/>
          <w:color w:val="auto"/>
        </w:rPr>
        <w:t>Item 1B. Unresolved Staff Comments</w:t>
      </w:r>
    </w:p>
    <w:p>
      <w:pPr>
        <w:spacing w:after="0" w:line="196" w:lineRule="exact"/>
        <w:rPr>
          <w:sz w:val="20"/>
          <w:szCs w:val="20"/>
          <w:color w:val="auto"/>
        </w:rPr>
      </w:pPr>
    </w:p>
    <w:p>
      <w:pPr>
        <w:jc w:val="center"/>
        <w:ind w:right="968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9660"/>
        <w:spacing w:after="0"/>
        <w:rPr>
          <w:sz w:val="20"/>
          <w:szCs w:val="20"/>
          <w:color w:val="auto"/>
        </w:rPr>
      </w:pPr>
      <w:r>
        <w:rPr>
          <w:rFonts w:ascii="Arial" w:cs="Arial" w:eastAsia="Arial" w:hAnsi="Arial"/>
          <w:sz w:val="18"/>
          <w:szCs w:val="18"/>
          <w:b w:val="1"/>
          <w:bCs w:val="1"/>
          <w:color w:val="auto"/>
        </w:rPr>
        <w:t>Item 2. Properties</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corporate headquarters are located in Boston, Massachusetts, where we occupy facilities totaling approximately 16,419 square feet under a lease that expires in March 2024. We use these facilities for administration, finance, legal, compliance, human resources, global payments, IT, sales and marketing, engineering, and customer success.</w:t>
      </w:r>
    </w:p>
    <w:p>
      <w:pPr>
        <w:spacing w:after="0" w:line="14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maintain other leased locations in the U.S. and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7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69" w:name="page70"/>
    <w:bookmarkEnd w:id="69"/>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Our voting common stock began trading on the Nasdaq Global Select Market under the symbol “FLYW” on May 26, 2021. Prior to that date, there was no public trading market for our common stock.</w:t>
      </w:r>
    </w:p>
    <w:p>
      <w:pPr>
        <w:spacing w:after="0" w:line="113" w:lineRule="exact"/>
        <w:rPr>
          <w:sz w:val="20"/>
          <w:szCs w:val="20"/>
          <w:color w:val="auto"/>
        </w:rPr>
      </w:pPr>
    </w:p>
    <w:p>
      <w:pPr>
        <w:ind w:right="2660" w:firstLine="509"/>
        <w:spacing w:after="0" w:line="446" w:lineRule="auto"/>
        <w:rPr>
          <w:sz w:val="20"/>
          <w:szCs w:val="20"/>
          <w:color w:val="auto"/>
        </w:rPr>
      </w:pPr>
      <w:r>
        <w:rPr>
          <w:rFonts w:ascii="Arial" w:cs="Arial" w:eastAsia="Arial" w:hAnsi="Arial"/>
          <w:sz w:val="18"/>
          <w:szCs w:val="18"/>
          <w:color w:val="auto"/>
        </w:rPr>
        <w:t xml:space="preserve">Our non-voting common stock is not listed on any stock exchange nor traded on any public market.de </w:t>
      </w:r>
      <w:r>
        <w:rPr>
          <w:rFonts w:ascii="Arial" w:cs="Arial" w:eastAsia="Arial" w:hAnsi="Arial"/>
          <w:sz w:val="18"/>
          <w:szCs w:val="18"/>
          <w:b w:val="1"/>
          <w:bCs w:val="1"/>
          <w:color w:val="auto"/>
        </w:rPr>
        <w:t>Holders of Record</w:t>
      </w:r>
    </w:p>
    <w:p>
      <w:pPr>
        <w:ind w:right="200" w:firstLine="509"/>
        <w:spacing w:after="0" w:line="301" w:lineRule="auto"/>
        <w:rPr>
          <w:sz w:val="20"/>
          <w:szCs w:val="20"/>
          <w:color w:val="auto"/>
        </w:rPr>
      </w:pPr>
      <w:r>
        <w:rPr>
          <w:rFonts w:ascii="Arial" w:cs="Arial" w:eastAsia="Arial" w:hAnsi="Arial"/>
          <w:sz w:val="17"/>
          <w:szCs w:val="17"/>
          <w:color w:val="auto"/>
        </w:rPr>
        <w:t>As of March 25, 2022, there were 71 holders of record of our voting common stock. This number does not include beneficial owners whose shares are held by nominees in street name. As of March 25, 2022, there were 2 holders of record of our non-voting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the terms of our Revolving Credit Agreement restrict our ability to pay dividends.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1"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The following table provides information as of December 31, 2021, with respect to shares of our common stock that may be issued, subject to certain vesting requirements, under our existing equity compensation plans, including our 2009 Equity Incentive Plan, which was adopted in 2009 and amended and restated in 2011 (as amended and restated, the 2009 Plan), our 2018 Stock Incentive Plan (2018 Plan), 2021 Equity Incentive Plan (2021 Plan) and Employee Stock Purchase Plan (ESPP).</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w:t>
            </w:r>
          </w:p>
        </w:tc>
        <w:tc>
          <w:tcPr>
            <w:tcW w:w="2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2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shd w:val="clear" w:color="auto" w:fill="CFF0FC"/>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shd w:val="clear" w:color="auto" w:fill="CFF0FC"/>
          </w:tcPr>
          <w:p>
            <w:pPr>
              <w:jc w:val="center"/>
              <w:spacing w:after="0" w:line="162" w:lineRule="exact"/>
              <w:rPr>
                <w:sz w:val="20"/>
                <w:szCs w:val="20"/>
                <w:color w:val="auto"/>
              </w:rPr>
            </w:pPr>
            <w:r>
              <w:rPr>
                <w:rFonts w:ascii="Arial" w:cs="Arial" w:eastAsia="Arial" w:hAnsi="Arial"/>
                <w:sz w:val="18"/>
                <w:szCs w:val="18"/>
                <w:color w:val="auto"/>
                <w:w w:val="99"/>
              </w:rPr>
              <w:t>Number of</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Remaining</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8"/>
              </w:rPr>
              <w:t>Available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216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Number of</w:t>
            </w:r>
          </w:p>
        </w:tc>
        <w:tc>
          <w:tcPr>
            <w:tcW w:w="240" w:type="dxa"/>
            <w:vAlign w:val="bottom"/>
          </w:tcPr>
          <w:p>
            <w:pPr>
              <w:spacing w:after="0"/>
              <w:rPr>
                <w:sz w:val="15"/>
                <w:szCs w:val="15"/>
                <w:color w:val="auto"/>
              </w:rPr>
            </w:pPr>
          </w:p>
        </w:tc>
        <w:tc>
          <w:tcPr>
            <w:tcW w:w="214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7"/>
              </w:rPr>
              <w:t>Weighted-</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for Future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160" w:type="dxa"/>
            <w:vAlign w:val="bottom"/>
            <w:vMerge w:val="continue"/>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vMerge w:val="continue"/>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Issuance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1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rPr>
              <w:t>Securities to</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rPr>
              <w:t>Average</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Under Equity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160" w:type="dxa"/>
            <w:vAlign w:val="bottom"/>
            <w:shd w:val="clear" w:color="auto" w:fill="CFF0FC"/>
          </w:tcPr>
          <w:p>
            <w:pPr>
              <w:jc w:val="center"/>
              <w:ind w:right="12"/>
              <w:spacing w:after="0" w:line="176" w:lineRule="exact"/>
              <w:rPr>
                <w:sz w:val="20"/>
                <w:szCs w:val="20"/>
                <w:color w:val="auto"/>
              </w:rPr>
            </w:pPr>
            <w:r>
              <w:rPr>
                <w:rFonts w:ascii="Arial" w:cs="Arial" w:eastAsia="Arial" w:hAnsi="Arial"/>
                <w:sz w:val="18"/>
                <w:szCs w:val="18"/>
                <w:color w:val="auto"/>
                <w:w w:val="99"/>
              </w:rPr>
              <w:t>be Issued</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rPr>
              <w:t>Exercise Price of</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Compensation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1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Upon Exercise</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8"/>
              </w:rPr>
              <w:t>Outstanding</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Plans (Excluding</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1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of Outstanding</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rPr>
              <w:t>Options,</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216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8"/>
              </w:rPr>
              <w:t>Options, Warrants,</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w w:val="99"/>
              </w:rPr>
              <w:t>Warrants, and</w:t>
            </w:r>
          </w:p>
        </w:tc>
        <w:tc>
          <w:tcPr>
            <w:tcW w:w="240" w:type="dxa"/>
            <w:vAlign w:val="bottom"/>
          </w:tcPr>
          <w:p>
            <w:pPr>
              <w:spacing w:after="0"/>
              <w:rPr>
                <w:sz w:val="15"/>
                <w:szCs w:val="15"/>
                <w:color w:val="auto"/>
              </w:rPr>
            </w:pPr>
          </w:p>
        </w:tc>
        <w:tc>
          <w:tcPr>
            <w:tcW w:w="2140" w:type="dxa"/>
            <w:vAlign w:val="bottom"/>
            <w:shd w:val="clear" w:color="auto" w:fill="CFF0FC"/>
          </w:tcPr>
          <w:p>
            <w:pPr>
              <w:jc w:val="center"/>
              <w:spacing w:after="0" w:line="176" w:lineRule="exact"/>
              <w:rPr>
                <w:sz w:val="20"/>
                <w:szCs w:val="20"/>
                <w:color w:val="auto"/>
              </w:rPr>
            </w:pPr>
            <w:r>
              <w:rPr>
                <w:rFonts w:ascii="Arial" w:cs="Arial" w:eastAsia="Arial" w:hAnsi="Arial"/>
                <w:sz w:val="18"/>
                <w:szCs w:val="18"/>
                <w:color w:val="auto"/>
              </w:rPr>
              <w:t>Reflected in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2160" w:type="dxa"/>
            <w:vAlign w:val="bottom"/>
            <w:shd w:val="clear" w:color="auto" w:fill="CFF0FC"/>
          </w:tcPr>
          <w:p>
            <w:pPr>
              <w:jc w:val="center"/>
              <w:ind w:right="12"/>
              <w:spacing w:after="0" w:line="197" w:lineRule="exact"/>
              <w:rPr>
                <w:sz w:val="20"/>
                <w:szCs w:val="20"/>
                <w:color w:val="auto"/>
              </w:rPr>
            </w:pPr>
            <w:r>
              <w:rPr>
                <w:rFonts w:ascii="Arial" w:cs="Arial" w:eastAsia="Arial" w:hAnsi="Arial"/>
                <w:sz w:val="18"/>
                <w:szCs w:val="18"/>
                <w:color w:val="auto"/>
                <w:w w:val="99"/>
              </w:rPr>
              <w:t>and Rights</w:t>
            </w:r>
          </w:p>
        </w:tc>
        <w:tc>
          <w:tcPr>
            <w:tcW w:w="240" w:type="dxa"/>
            <w:vAlign w:val="bottom"/>
          </w:tcPr>
          <w:p>
            <w:pPr>
              <w:spacing w:after="0"/>
              <w:rPr>
                <w:sz w:val="18"/>
                <w:szCs w:val="18"/>
                <w:color w:val="auto"/>
              </w:rPr>
            </w:pPr>
          </w:p>
        </w:tc>
        <w:tc>
          <w:tcPr>
            <w:tcW w:w="2140" w:type="dxa"/>
            <w:vAlign w:val="bottom"/>
            <w:shd w:val="clear" w:color="auto" w:fill="CFF0FC"/>
          </w:tcPr>
          <w:p>
            <w:pPr>
              <w:jc w:val="center"/>
              <w:spacing w:after="0" w:line="197" w:lineRule="exact"/>
              <w:rPr>
                <w:sz w:val="20"/>
                <w:szCs w:val="20"/>
                <w:color w:val="auto"/>
              </w:rPr>
            </w:pPr>
            <w:r>
              <w:rPr>
                <w:rFonts w:ascii="Arial" w:cs="Arial" w:eastAsia="Arial" w:hAnsi="Arial"/>
                <w:sz w:val="18"/>
                <w:szCs w:val="18"/>
                <w:color w:val="auto"/>
              </w:rPr>
              <w:t>Rights</w:t>
            </w:r>
          </w:p>
        </w:tc>
        <w:tc>
          <w:tcPr>
            <w:tcW w:w="240" w:type="dxa"/>
            <w:vAlign w:val="bottom"/>
          </w:tcPr>
          <w:p>
            <w:pPr>
              <w:spacing w:after="0"/>
              <w:rPr>
                <w:sz w:val="18"/>
                <w:szCs w:val="18"/>
                <w:color w:val="auto"/>
              </w:rPr>
            </w:pPr>
          </w:p>
        </w:tc>
        <w:tc>
          <w:tcPr>
            <w:tcW w:w="2140" w:type="dxa"/>
            <w:vAlign w:val="bottom"/>
            <w:shd w:val="clear" w:color="auto" w:fill="CFF0FC"/>
          </w:tcPr>
          <w:p>
            <w:pPr>
              <w:jc w:val="center"/>
              <w:spacing w:after="0" w:line="197" w:lineRule="exact"/>
              <w:rPr>
                <w:sz w:val="20"/>
                <w:szCs w:val="20"/>
                <w:color w:val="auto"/>
              </w:rPr>
            </w:pPr>
            <w:r>
              <w:rPr>
                <w:rFonts w:ascii="Arial" w:cs="Arial" w:eastAsia="Arial" w:hAnsi="Arial"/>
                <w:sz w:val="18"/>
                <w:szCs w:val="18"/>
                <w:color w:val="auto"/>
              </w:rPr>
              <w:t>Column (A)</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line="162" w:lineRule="exact"/>
              <w:rPr>
                <w:sz w:val="20"/>
                <w:szCs w:val="20"/>
                <w:color w:val="auto"/>
              </w:rPr>
            </w:pPr>
            <w:r>
              <w:rPr>
                <w:rFonts w:ascii="Arial" w:cs="Arial" w:eastAsia="Arial" w:hAnsi="Arial"/>
                <w:sz w:val="18"/>
                <w:szCs w:val="18"/>
                <w:color w:val="auto"/>
              </w:rPr>
              <w:t>Equity compensation plans</w:t>
            </w:r>
          </w:p>
        </w:tc>
        <w:tc>
          <w:tcPr>
            <w:tcW w:w="24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 xml:space="preserve">15,068,413  </w:t>
            </w:r>
            <w:r>
              <w:rPr>
                <w:rFonts w:ascii="Arial" w:cs="Arial" w:eastAsia="Arial" w:hAnsi="Arial"/>
                <w:sz w:val="10"/>
                <w:szCs w:val="10"/>
                <w:color w:val="auto"/>
              </w:rPr>
              <w:t>(1)</w:t>
            </w:r>
          </w:p>
        </w:tc>
        <w:tc>
          <w:tcPr>
            <w:tcW w:w="2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 xml:space="preserve">5.40  </w:t>
            </w:r>
            <w:r>
              <w:rPr>
                <w:rFonts w:ascii="Arial" w:cs="Arial" w:eastAsia="Arial" w:hAnsi="Arial"/>
                <w:sz w:val="10"/>
                <w:szCs w:val="10"/>
                <w:color w:val="auto"/>
              </w:rPr>
              <w:t>(2)</w:t>
            </w:r>
          </w:p>
        </w:tc>
        <w:tc>
          <w:tcPr>
            <w:tcW w:w="2320" w:type="dxa"/>
            <w:vAlign w:val="bottom"/>
            <w:gridSpan w:val="2"/>
            <w:vMerge w:val="restart"/>
          </w:tcPr>
          <w:p>
            <w:pPr>
              <w:jc w:val="right"/>
              <w:spacing w:after="0"/>
              <w:rPr>
                <w:sz w:val="20"/>
                <w:szCs w:val="20"/>
                <w:color w:val="auto"/>
              </w:rPr>
            </w:pPr>
            <w:r>
              <w:rPr>
                <w:rFonts w:ascii="Arial" w:cs="Arial" w:eastAsia="Arial" w:hAnsi="Arial"/>
                <w:sz w:val="18"/>
                <w:szCs w:val="18"/>
                <w:color w:val="auto"/>
              </w:rPr>
              <w:t xml:space="preserve">11,060,080  </w:t>
            </w: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39"/>
        </w:trPr>
        <w:tc>
          <w:tcPr>
            <w:tcW w:w="4060" w:type="dxa"/>
            <w:vAlign w:val="bottom"/>
          </w:tcPr>
          <w:p>
            <w:pPr>
              <w:ind w:left="160"/>
              <w:spacing w:after="0"/>
              <w:rPr>
                <w:sz w:val="20"/>
                <w:szCs w:val="20"/>
                <w:color w:val="auto"/>
              </w:rPr>
            </w:pPr>
            <w:r>
              <w:rPr>
                <w:rFonts w:ascii="Arial" w:cs="Arial" w:eastAsia="Arial" w:hAnsi="Arial"/>
                <w:sz w:val="18"/>
                <w:szCs w:val="18"/>
                <w:color w:val="auto"/>
              </w:rPr>
              <w:t>approved by security holders</w:t>
            </w:r>
          </w:p>
        </w:tc>
        <w:tc>
          <w:tcPr>
            <w:tcW w:w="2400" w:type="dxa"/>
            <w:vAlign w:val="bottom"/>
            <w:gridSpan w:val="2"/>
            <w:vMerge w:val="continue"/>
          </w:tcPr>
          <w:p>
            <w:pPr>
              <w:spacing w:after="0"/>
              <w:rPr>
                <w:sz w:val="20"/>
                <w:szCs w:val="20"/>
                <w:color w:val="auto"/>
              </w:rPr>
            </w:pPr>
          </w:p>
        </w:tc>
        <w:tc>
          <w:tcPr>
            <w:tcW w:w="2380" w:type="dxa"/>
            <w:vAlign w:val="bottom"/>
            <w:gridSpan w:val="2"/>
            <w:vMerge w:val="continue"/>
          </w:tcPr>
          <w:p>
            <w:pPr>
              <w:spacing w:after="0"/>
              <w:rPr>
                <w:sz w:val="20"/>
                <w:szCs w:val="20"/>
                <w:color w:val="auto"/>
              </w:rPr>
            </w:pPr>
          </w:p>
        </w:tc>
        <w:tc>
          <w:tcPr>
            <w:tcW w:w="2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 Of these shares, 161,470 were underlying then outstanding restricted stock units and 507,050 were subject to options then outstanding under the 2021 Plan; 51,651 were</w:t>
      </w:r>
      <w:r>
        <w:rPr>
          <w:rFonts w:ascii="Arial" w:cs="Arial" w:eastAsia="Arial" w:hAnsi="Arial"/>
          <w:sz w:val="16"/>
          <w:szCs w:val="16"/>
          <w:color w:val="auto"/>
        </w:rPr>
        <w:t xml:space="preserve"> </w:t>
      </w:r>
      <w:r>
        <w:rPr>
          <w:rFonts w:ascii="Arial" w:cs="Arial" w:eastAsia="Arial" w:hAnsi="Arial"/>
          <w:sz w:val="14"/>
          <w:szCs w:val="14"/>
          <w:color w:val="auto"/>
        </w:rPr>
        <w:t>underlying then outstanding restricted stock awards and 4,216,996 were subject to options then outstanding under the 2009 Plan; and 10,131,246 were subject to options then outstanding under the 2018 Plan.</w:t>
      </w:r>
    </w:p>
    <w:p>
      <w:pPr>
        <w:spacing w:after="0" w:line="1"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Does not take into account restricted stock units, which have no exercise price.</w:t>
      </w:r>
    </w:p>
    <w:p>
      <w:pPr>
        <w:spacing w:after="0" w:line="1" w:lineRule="exact"/>
        <w:rPr>
          <w:rFonts w:ascii="Arial" w:cs="Arial" w:eastAsia="Arial" w:hAnsi="Arial"/>
          <w:sz w:val="14"/>
          <w:szCs w:val="14"/>
          <w:color w:val="auto"/>
        </w:rPr>
      </w:pPr>
    </w:p>
    <w:p>
      <w:pPr>
        <w:ind w:right="60" w:firstLine="8"/>
        <w:spacing w:after="0" w:line="244" w:lineRule="auto"/>
        <w:tabs>
          <w:tab w:leader="none" w:pos="2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9,420,270 shares of common stock available for issuance under our 2021 Plan and 1,639,810 shares of common stock available for issuance under our ESPP. No shares are available for future issuance under our 2009 Plan or 2018 Plan. Our 2021 Plan provides for annual increases in the number of shares available for issuance thereunder on the first day of each fiscal year equal to the lower of: (a) 5% of the total number of shares of common stock and non-voting common stock outstanding on the last business day of the prior fiscal year; or (b) such other amount as our board of directors may determine. Our ESPP provides for annual increases in the number of shares available for issuance thereunder on the first day of each fiscal year equal to the least of: (x) 2,000,000 shares; (y) 1% of the shares of common stock and non-voting common stock issued and outstanding on the last business day of the prior fiscal year; or (z) the number of shares determined by our board of directors. On January 1, 2022, an additional 5,322,128 shares became available for future issuance under the 2021 Plan and an additional 1,064,426 shares became available for future issuance under the ESPP. The additional shares from the annual increase on January 1, 2022 are not included in the table above.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Stock Performance Graph</w:t>
      </w:r>
    </w:p>
    <w:p>
      <w:pPr>
        <w:spacing w:after="0" w:line="185"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for purposes of Section 18 of the Exchange Act,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3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following graph depicts the total cumulative stockholder return on our common stock from May 26, 2021, the first day of trading of our common stock on the Nasdaq Global Select Market, through December 31, 2021, relative to the performance of the S&amp;P 500 Index and S&amp;P 500 IT Index. The graph assumes an initial investment of $ 100.00 at the close of trading on May 26, 2021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98425</wp:posOffset>
            </wp:positionV>
            <wp:extent cx="3137535" cy="20148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3753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1"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following sets forth information regarding all unregistered securities sold by us during the year ended December 31, 2021.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28" w:lineRule="exact"/>
        <w:rPr>
          <w:sz w:val="20"/>
          <w:szCs w:val="20"/>
          <w:color w:val="auto"/>
        </w:rPr>
      </w:pPr>
    </w:p>
    <w:p>
      <w:pPr>
        <w:ind w:right="60" w:firstLine="517"/>
        <w:spacing w:after="0" w:line="271" w:lineRule="auto"/>
        <w:tabs>
          <w:tab w:leader="none" w:pos="11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granted stock options to employees, directors, and other service providers to purchase an aggregate of 4,434,200 shares of common stock under our 2018 Plan, with weighted average per share exercise price of $12.59.</w:t>
      </w:r>
    </w:p>
    <w:p>
      <w:pPr>
        <w:spacing w:after="0" w:line="126" w:lineRule="exact"/>
        <w:rPr>
          <w:rFonts w:ascii="Arial" w:cs="Arial" w:eastAsia="Arial" w:hAnsi="Arial"/>
          <w:sz w:val="18"/>
          <w:szCs w:val="18"/>
          <w:color w:val="auto"/>
        </w:rPr>
      </w:pPr>
    </w:p>
    <w:p>
      <w:pPr>
        <w:ind w:left="1180" w:hanging="663"/>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issued 5,910,974 shares of common stock upon exercise of stock options under our 2009 Plan and 2018 Plan.</w:t>
      </w:r>
    </w:p>
    <w:p>
      <w:pPr>
        <w:spacing w:after="0" w:line="171" w:lineRule="exact"/>
        <w:rPr>
          <w:rFonts w:ascii="Arial" w:cs="Arial" w:eastAsia="Arial" w:hAnsi="Arial"/>
          <w:sz w:val="18"/>
          <w:szCs w:val="18"/>
          <w:color w:val="auto"/>
        </w:rPr>
      </w:pPr>
    </w:p>
    <w:p>
      <w:pPr>
        <w:ind w:firstLine="517"/>
        <w:spacing w:after="0" w:line="253" w:lineRule="auto"/>
        <w:tabs>
          <w:tab w:leader="none" w:pos="11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February 2021, we issued and sold an aggregate of 2,571,936 shares of our Series F preferred stock at a purchase price of approximately $23.3287 per share for an aggregate purchase price of approximately $60 million to 14 purchasers that each represented to the Registrant that it was an accredited investor.</w:t>
      </w:r>
    </w:p>
    <w:p>
      <w:pPr>
        <w:spacing w:after="0" w:line="128" w:lineRule="exact"/>
        <w:rPr>
          <w:rFonts w:ascii="Arial" w:cs="Arial" w:eastAsia="Arial" w:hAnsi="Arial"/>
          <w:sz w:val="18"/>
          <w:szCs w:val="18"/>
          <w:color w:val="auto"/>
        </w:rPr>
      </w:pPr>
    </w:p>
    <w:p>
      <w:pPr>
        <w:ind w:right="500" w:firstLine="517"/>
        <w:spacing w:after="0" w:line="271" w:lineRule="auto"/>
        <w:tabs>
          <w:tab w:leader="none" w:pos="11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May 2021, we issued 182,467 shares of our Series C convertible preferred stock upon the net exercise of warrants to purchase shares of Series C convertible preferred stock.</w:t>
      </w:r>
    </w:p>
    <w:p>
      <w:pPr>
        <w:spacing w:after="0" w:line="12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offers, sales and issuances of the securities described in Items (1) and (2) above were exempt from registration under the Securities Act under either (1) Rule 701 in that the transactions were under compensatory benefit plans and contracts relating to compensation as provided under Rule 701 or (2) Section 4(a)(2) of the Securities Act or Regulation D promulgated thereunder as transactions by an issuer not involving any public offering. The recipients of such securities were the registrant’s directors, officers, employees, consultants or other service providers and received the securities under our 2009 Plan or 2018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71" w:name="page72"/>
    <w:bookmarkEnd w:id="71"/>
    <w:p>
      <w:pPr>
        <w:ind w:right="20" w:firstLine="509"/>
        <w:spacing w:after="0" w:line="242" w:lineRule="auto"/>
        <w:rPr>
          <w:sz w:val="20"/>
          <w:szCs w:val="20"/>
          <w:color w:val="auto"/>
        </w:rPr>
      </w:pPr>
      <w:r>
        <w:rPr>
          <w:rFonts w:ascii="Arial" w:cs="Arial" w:eastAsia="Arial" w:hAnsi="Arial"/>
          <w:sz w:val="18"/>
          <w:szCs w:val="18"/>
          <w:color w:val="auto"/>
        </w:rPr>
        <w:t>The offers, sales and issuances of the securities described in Items (3) and (4)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IPO</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May 2021, we closed our IPO in which we issued and sold 12,006,000 shares of our voting common stock, including 1,566,000 shares of voting common stock sold pursuant to the underwriters’ full exercise of their option to purchase additional shares, at a public offering price of $ 24.00 per share, for aggregate net proceeds of $263.8 million, after deducting underwriting discounts and commissions of $19.4 million and other offering costs of $4.9 million. Goldman Sachs &amp; Co. LLC, J.P. Morgan Securities LLC and Citigroup Global Markets Inc. acted as representatives of the underwriters for our IPO. No payments for such expenses were made directly or indirectly to (i) any of our officers or directors or their associates, (ii) any persons owning 10% or more of any class of our equity securities or (iii) any of our affiliates. All of the shares issued and sold in the IPO were registered under the Securities Act pursuant to a Registration Statement on Form S-1 (File No. 333- 255706), which was declared effective by the SEC on May 25, 2021, and a Registration Statement on Form S-1 MEF (File No. 333-256471) filed pursuant to Rule 462(b) of the Securities Act.</w:t>
      </w:r>
    </w:p>
    <w:p>
      <w:pPr>
        <w:spacing w:after="0" w:line="143"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The IPO terminated after the sale of all securities registered pursuant to the Registration Statements. As of December 31, 2021, the net proceeds of our IPO are in non-interest bearing accounts, but are expected to be invested in investment grade, interest-bearing instruments in the second quarter of 2022. There has been no material change in the expected use of the net proceeds from our IPO as described in our final prospectus, dated May 25, 2021, filed with the SEC pursuant to Rule 424(b) relating to our IPO.</w:t>
      </w:r>
    </w:p>
    <w:p>
      <w:pPr>
        <w:spacing w:after="0" w:line="147" w:lineRule="exact"/>
        <w:rPr>
          <w:sz w:val="20"/>
          <w:szCs w:val="20"/>
          <w:color w:val="auto"/>
        </w:rPr>
      </w:pPr>
    </w:p>
    <w:p>
      <w:pPr>
        <w:jc w:val="center"/>
        <w:ind w:right="8020"/>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83" w:lineRule="exact"/>
        <w:rPr>
          <w:sz w:val="20"/>
          <w:szCs w:val="20"/>
          <w:color w:val="auto"/>
        </w:rPr>
      </w:pPr>
    </w:p>
    <w:p>
      <w:pPr>
        <w:jc w:val="center"/>
        <w:ind w:right="97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9680"/>
        <w:spacing w:after="0"/>
        <w:rPr>
          <w:sz w:val="20"/>
          <w:szCs w:val="20"/>
          <w:color w:val="auto"/>
        </w:rPr>
      </w:pPr>
      <w:r>
        <w:rPr>
          <w:rFonts w:ascii="Arial" w:cs="Arial" w:eastAsia="Arial" w:hAnsi="Arial"/>
          <w:sz w:val="18"/>
          <w:szCs w:val="18"/>
          <w:b w:val="1"/>
          <w:bCs w:val="1"/>
          <w:color w:val="auto"/>
        </w:rPr>
        <w:t>Item 6. [Reserved]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Annual Report on Form 10-K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5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38"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 xml:space="preserve">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w:t>
      </w:r>
      <w:r>
        <w:rPr>
          <w:rFonts w:ascii="Arial" w:cs="Arial" w:eastAsia="Arial" w:hAnsi="Arial"/>
          <w:sz w:val="18"/>
          <w:szCs w:val="18"/>
          <w:i w:val="1"/>
          <w:iCs w:val="1"/>
          <w:color w:val="auto"/>
        </w:rPr>
        <w:t>Flywire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Advantage </w:t>
      </w:r>
      <w:r>
        <w:rPr>
          <w:rFonts w:ascii="Arial" w:cs="Arial" w:eastAsia="Arial" w:hAnsi="Arial"/>
          <w:sz w:val="18"/>
          <w:szCs w:val="18"/>
          <w:color w:val="auto"/>
        </w:rPr>
        <w:t>has been recognized, with global financial institutions and technology providers choosing to form channel partnerships with us.</w:t>
      </w:r>
      <w:r>
        <w:rPr>
          <w:rFonts w:ascii="Arial" w:cs="Arial" w:eastAsia="Arial" w:hAnsi="Arial"/>
          <w:sz w:val="18"/>
          <w:szCs w:val="18"/>
          <w:i w:val="1"/>
          <w:iCs w:val="1"/>
          <w:color w:val="auto"/>
        </w:rPr>
        <w:t xml:space="preserve"> </w:t>
      </w:r>
      <w:r>
        <w:rPr>
          <w:rFonts w:ascii="Arial" w:cs="Arial" w:eastAsia="Arial" w:hAnsi="Arial"/>
          <w:sz w:val="18"/>
          <w:szCs w:val="18"/>
          <w:color w:val="auto"/>
        </w:rPr>
        <w:t>These partnerships promote organic referral and lead generation opportunities and enhance our indirect sales strategy.</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346075</wp:posOffset>
            </wp:positionV>
            <wp:extent cx="4989195" cy="3488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4989195"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04" w:lineRule="exact"/>
        <w:rPr>
          <w:sz w:val="20"/>
          <w:szCs w:val="20"/>
          <w:color w:val="auto"/>
        </w:rPr>
      </w:pPr>
    </w:p>
    <w:p>
      <w:pPr>
        <w:ind w:left="1020" w:right="100" w:hanging="503"/>
        <w:spacing w:after="0" w:line="243"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76.0% period-over-period from approximately $7.5 billion during the year ended December 31, 2020 to over $13.2 billion during the year ended December 31, 2021. We grew our total payment volume by approximately 30.5% period-over-period from approximately $5.8 billion during the year ended December 31, 2019 to over $7.5 billion during the year ended December 31, 2020.</w:t>
      </w:r>
    </w:p>
    <w:p>
      <w:pPr>
        <w:spacing w:after="0" w:line="71"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NPS score of 64 in fiscal year 2020 demonstrates a strong affinity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clients for our platform.</w:t>
      </w:r>
    </w:p>
    <w:p>
      <w:pPr>
        <w:spacing w:after="0" w:line="46" w:lineRule="exact"/>
        <w:rPr>
          <w:rFonts w:ascii="Times New Roman" w:cs="Times New Roman" w:eastAsia="Times New Roman" w:hAnsi="Times New Roman"/>
          <w:sz w:val="18"/>
          <w:szCs w:val="18"/>
          <w:color w:val="auto"/>
        </w:rPr>
      </w:pPr>
    </w:p>
    <w:p>
      <w:pPr>
        <w:ind w:left="1020" w:right="100" w:hanging="503"/>
        <w:spacing w:after="0" w:line="239"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2021,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140%. For the year ended December 31, 2020, despite the impact of the COVID-19 pandemic on our clients and the industries we serve, our annual net dollar-based retention rate was approximately 100%. For the year ended December 31, 2019, our annual net dollar-based retention rate was approximately 128%.We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56"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As of December 31, 2021, we serve over 2,500 clients around the world. In education, we serve more than 2,000 institutions and 2.0 million students globally. In healthcare, we power more than 80 healthcare systems, including four of the top 10 healthcare systems in the United States ranked by hospital size as of December 31, 2021. In our newer payment verticals of travel and B2B payments, we have a growing portfolio of more than 300 clients as of December 31, 2021.</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ind w:right="20" w:firstLine="509"/>
        <w:spacing w:after="0" w:line="242"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more than $13.2 billion in TPV during the year ended December 31, 2021 and 7.5 billion in TPV during the year ended December 31, 2020. We generated revenue of $201.1 million, $131.8 million and $94.9 million for the years ended December 31, 2021, 2020 and 2019, respectively, and incurred net losses of $28.1 million, $11.1 million, and $20.1 million for those same years. Pro forma revenue and pro forma net loss for the year ended December 31, 2020, as if our acquisition of Simplee had occurred on January 1, 2020, was $136.3 million and $13.4 million, respectively.</w:t>
      </w:r>
    </w:p>
    <w:p>
      <w:pPr>
        <w:spacing w:after="0" w:line="15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8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On May 28, 2021, we completed our IPO, in which we issued and sold 12,006,000 shares of common stock at a public offering price of $24.00 per share, which included 1,566,000 shares of common stock issued pursuant to the exercise in full of the underwriters' option to purchase additional shares. We received $263.8 million in net proceeds from the IPO, after deducting underwriting discounts and commissions of $19.4 million and other offering costs of $4.9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17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December 2021, we acquired all of the issued and outstanding shares of WPM for a purchase price of $59.6 million including $56.1 million of cash consideration, net of cash acquired and the estimated fair value of contingent consideration of $3.5 million. Contingent consideration represents additional payments that we may be required to make in the future in the form of restricted stock units, which totals up to $7.9 million depending on our achievement of specified minimum payment volume targets and integration targets established for the years ended December 31, 2022 and 2023. WPM is a leading software provider that enables seamless and secure payment experiences for universities and colleges across the U.K. The acquisition of WPM is intended to build on our existing education payments business and is expected to further accelerate our market share in the U.K. education sector. WPM contributed $0.3 million in platform revenue during the year ended December 31, 2021.</w:t>
      </w:r>
    </w:p>
    <w:p>
      <w:pPr>
        <w:spacing w:after="0" w:line="15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February 2020, we acquired all of the issued and outstanding shares of Simplee for a purchase price of $ 86.5 million including $79.4 million of cash consideration, net of cash acquired and the estimated fair value of contingent consideration of $ 7.1 million. Contingent consideration represents additional payments that we may be required to make in the future, which totals up to $20.0 million, depending on our reaching certain revenue and integration targets established for the years ended December 31, 2020 and 2021, as well as retaining key clients. Simplee is a provider of healthcare payment and collection software. The Simplee acquisition brings a highly complementary client base with whom we can further expand our capabilities, and additional platform and healthcare specific software capabilities with which we believe we can acquire additional clients in the healthcare market.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85"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 consists</w:t>
      </w:r>
      <w:r>
        <w:rPr>
          <w:rFonts w:ascii="Arial" w:cs="Arial" w:eastAsia="Arial" w:hAnsi="Arial"/>
          <w:sz w:val="18"/>
          <w:szCs w:val="18"/>
          <w:i w:val="1"/>
          <w:iCs w:val="1"/>
          <w:color w:val="auto"/>
        </w:rPr>
        <w:t xml:space="preserve"> </w:t>
      </w:r>
      <w:r>
        <w:rPr>
          <w:rFonts w:ascii="Arial" w:cs="Arial" w:eastAsia="Arial" w:hAnsi="Arial"/>
          <w:sz w:val="18"/>
          <w:szCs w:val="18"/>
          <w:color w:val="auto"/>
        </w:rPr>
        <w:t>of a rate applied to the total payment value of the transaction, which can vary based on the payment method currency pair conversion and the geographic region in which our client and the clients’ customer resides. We also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5" w:name="page76"/>
    <w:bookmarkEnd w:id="75"/>
    <w:p>
      <w:pPr>
        <w:ind w:right="480"/>
        <w:spacing w:after="0" w:line="271" w:lineRule="auto"/>
        <w:rPr>
          <w:sz w:val="20"/>
          <w:szCs w:val="20"/>
          <w:color w:val="auto"/>
        </w:rPr>
      </w:pPr>
      <w:r>
        <w:rPr>
          <w:rFonts w:ascii="Arial" w:cs="Arial" w:eastAsia="Arial" w:hAnsi="Arial"/>
          <w:sz w:val="18"/>
          <w:szCs w:val="18"/>
          <w:color w:val="auto"/>
        </w:rPr>
        <w:t>earn revenue from marketing fees from credit card service providers for marketing arrangements in which we perform certain marketing activities which we consider to be ancillary to the solutions we provide to our clients.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 collections,</w:t>
      </w:r>
    </w:p>
    <w:p>
      <w:pPr>
        <w:spacing w:after="0" w:line="14" w:lineRule="exact"/>
        <w:rPr>
          <w:sz w:val="20"/>
          <w:szCs w:val="20"/>
          <w:color w:val="auto"/>
        </w:rPr>
      </w:pPr>
    </w:p>
    <w:p>
      <w:pPr>
        <w:ind w:right="120" w:firstLine="8"/>
        <w:spacing w:after="0" w:line="250" w:lineRule="auto"/>
        <w:tabs>
          <w:tab w:leader="none" w:pos="2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collected on payment plans established by our clients on our payment platform, (iii) subscription fees and (iv) fees related to printing and mailing services which we consider to be ancillary to the solutions we provide to our clients.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key operating metrics and non-GAAP measures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For the Year Ended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Payment Volume</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13,201.3</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7,513.3</w:t>
            </w:r>
          </w:p>
        </w:tc>
        <w:tc>
          <w:tcPr>
            <w:tcW w:w="3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5,756.9</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201.1</w:t>
            </w:r>
          </w:p>
        </w:tc>
        <w:tc>
          <w:tcPr>
            <w:tcW w:w="200" w:type="dxa"/>
            <w:vAlign w:val="bottom"/>
          </w:tcPr>
          <w:p>
            <w:pPr>
              <w:spacing w:after="0"/>
              <w:rPr>
                <w:sz w:val="17"/>
                <w:szCs w:val="17"/>
                <w:color w:val="auto"/>
              </w:rPr>
            </w:pPr>
          </w:p>
        </w:tc>
        <w:tc>
          <w:tcPr>
            <w:tcW w:w="46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c>
          <w:tcPr>
            <w:tcW w:w="3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Less Ancillary Services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181.1</w:t>
            </w: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114.6</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62.3 %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60.3 %</w:t>
            </w:r>
          </w:p>
        </w:tc>
        <w:tc>
          <w:tcPr>
            <w:tcW w:w="28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Gross Margin</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69.2 %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69.4 %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03"/>
        </w:trPr>
        <w:tc>
          <w:tcPr>
            <w:tcW w:w="6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(28.1 )</w:t>
            </w:r>
          </w:p>
        </w:tc>
        <w:tc>
          <w:tcPr>
            <w:tcW w:w="46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(11.1 )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w:t>
            </w: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2021, transaction revenue and platform and usage-based fee revenue represented 73.6%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26.4% of our revenue, respectively. For the year ended December 31, 2021 transaction revenue and platform and usage-based fee revenue</w:t>
      </w:r>
    </w:p>
    <w:p>
      <w:pPr>
        <w:spacing w:after="0"/>
        <w:rPr>
          <w:sz w:val="20"/>
          <w:szCs w:val="20"/>
          <w:color w:val="auto"/>
        </w:rPr>
      </w:pPr>
      <w:r>
        <w:rPr>
          <w:rFonts w:ascii="Arial" w:cs="Arial" w:eastAsia="Arial" w:hAnsi="Arial"/>
          <w:sz w:val="18"/>
          <w:szCs w:val="18"/>
          <w:color w:val="auto"/>
        </w:rPr>
        <w:t>represented 80.7% and 19.3% of our total revenue less ancillary services, respectively.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2020, transaction revenue and platform and usage-based fee revenue represented 68.0%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32.0% of our revenue, respectively. For the year ended December 31, 2020, transaction revenue and platform and usage-based fee revenue</w:t>
      </w:r>
    </w:p>
    <w:p>
      <w:pPr>
        <w:spacing w:after="0"/>
        <w:rPr>
          <w:sz w:val="20"/>
          <w:szCs w:val="20"/>
          <w:color w:val="auto"/>
        </w:rPr>
      </w:pPr>
      <w:r>
        <w:rPr>
          <w:rFonts w:ascii="Arial" w:cs="Arial" w:eastAsia="Arial" w:hAnsi="Arial"/>
          <w:sz w:val="18"/>
          <w:szCs w:val="18"/>
          <w:color w:val="auto"/>
        </w:rPr>
        <w:t>represented 77.0% and 23.0% of our total revenue less ancillary services, respectively.</w:t>
      </w:r>
    </w:p>
    <w:p>
      <w:pPr>
        <w:spacing w:after="0" w:line="16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For the year ended December 31, 2019, transaction revenue and platform and usage-based fee revenue represented 91.3% and 8.7% of our revenue, respectively. For the year ended December 31, 2019 transaction revenue and platform and usage-based fee revenue represented 92.0% and 8.0% of our total revenue less ancillary services, respectively.</w:t>
      </w:r>
    </w:p>
    <w:p>
      <w:pPr>
        <w:spacing w:after="0" w:line="12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For the year ended December 31, 2021, our total payment volume was approximately $13.2 billion, consisting of $8.4 billion of total payment volume from transactions included in transaction revenue and $4.8 billion of total payment volume from transactions included in platform and usage-based fee revenue. For the year ended December 31, 2020, our total payment volume was approximately $7.5 billion, consisting of $4.7 billion of total payment volume from transactions included in transaction revenue and $2.8 billion of total payment volume from transactions included in platform and usage-based fee revenue. For the year ended December 31, 2019, our total payment volume was approximately $5.8 billion, consisting of $4.7 billion of total payment volume from transactions included in transaction revenue and $1.1 billion of total payment volume from transactions included in platform and usage-based fee revenue.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8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Less Ancillary Services, Adjusted Gross Margin and Adjusted EBITDA</w:t>
      </w:r>
    </w:p>
    <w:p>
      <w:pPr>
        <w:spacing w:after="0" w:line="169"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6" w:name="page77"/>
    <w:bookmarkEnd w:id="76"/>
    <w:p>
      <w:pPr>
        <w:ind w:right="20"/>
        <w:spacing w:after="0" w:line="244" w:lineRule="auto"/>
        <w:rPr>
          <w:sz w:val="20"/>
          <w:szCs w:val="20"/>
          <w:color w:val="auto"/>
        </w:rPr>
      </w:pPr>
      <w:r>
        <w:rPr>
          <w:rFonts w:ascii="Arial" w:cs="Arial" w:eastAsia="Arial" w:hAnsi="Arial"/>
          <w:sz w:val="18"/>
          <w:szCs w:val="18"/>
          <w:color w:val="auto"/>
        </w:rPr>
        <w:t>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9"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28" w:lineRule="exact"/>
        <w:rPr>
          <w:sz w:val="20"/>
          <w:szCs w:val="20"/>
          <w:color w:val="auto"/>
        </w:rPr>
      </w:pPr>
    </w:p>
    <w:p>
      <w:pPr>
        <w:jc w:val="both"/>
        <w:ind w:left="900" w:right="320" w:hanging="263"/>
        <w:spacing w:after="0" w:line="252"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represents our consolidated revenue in accordance with GAAP less (i) pass-through cost for</w:t>
      </w:r>
      <w:r>
        <w:rPr>
          <w:rFonts w:ascii="Arial" w:cs="Arial" w:eastAsia="Arial" w:hAnsi="Arial"/>
          <w:sz w:val="18"/>
          <w:szCs w:val="18"/>
          <w:i w:val="1"/>
          <w:iCs w:val="1"/>
          <w:color w:val="auto"/>
        </w:rPr>
        <w:t xml:space="preserve"> </w:t>
      </w:r>
      <w:r>
        <w:rPr>
          <w:rFonts w:ascii="Arial" w:cs="Arial" w:eastAsia="Arial" w:hAnsi="Arial"/>
          <w:sz w:val="18"/>
          <w:szCs w:val="18"/>
          <w:color w:val="auto"/>
        </w:rPr>
        <w:t>printing and mailing services and (ii) marketing fees we receive. We exclude these amounts to arrive at this supplemental non-GAAP financial measure as we view these services as ancillary to the primary services we provide to our clients.</w:t>
      </w:r>
    </w:p>
    <w:p>
      <w:pPr>
        <w:spacing w:after="0" w:line="130" w:lineRule="exact"/>
        <w:rPr>
          <w:rFonts w:ascii="Times New Roman" w:cs="Times New Roman" w:eastAsia="Times New Roman" w:hAnsi="Times New Roman"/>
          <w:sz w:val="18"/>
          <w:szCs w:val="18"/>
          <w:color w:val="auto"/>
        </w:rPr>
      </w:pPr>
    </w:p>
    <w:p>
      <w:pPr>
        <w:ind w:left="900" w:right="80" w:hanging="263"/>
        <w:spacing w:after="0" w:line="243"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Margin - </w:t>
      </w:r>
      <w:r>
        <w:rPr>
          <w:rFonts w:ascii="Arial" w:cs="Arial" w:eastAsia="Arial" w:hAnsi="Arial"/>
          <w:sz w:val="18"/>
          <w:szCs w:val="18"/>
          <w:color w:val="auto"/>
        </w:rPr>
        <w:t>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152" w:lineRule="exact"/>
        <w:rPr>
          <w:rFonts w:ascii="Times New Roman" w:cs="Times New Roman" w:eastAsia="Times New Roman" w:hAnsi="Times New Roman"/>
          <w:sz w:val="18"/>
          <w:szCs w:val="18"/>
          <w:color w:val="auto"/>
        </w:rPr>
      </w:pPr>
    </w:p>
    <w:p>
      <w:pPr>
        <w:ind w:left="900" w:hanging="263"/>
        <w:spacing w:after="0" w:line="242"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 </w:t>
      </w:r>
      <w:r>
        <w:rPr>
          <w:rFonts w:ascii="Arial" w:cs="Arial" w:eastAsia="Arial" w:hAnsi="Arial"/>
          <w:sz w:val="18"/>
          <w:szCs w:val="18"/>
          <w:color w:val="auto"/>
        </w:rPr>
        <w:t>Adjusted EBITDA represents EBITDA further adjusted by excluding (i) stock-based compensation expense, (ii)</w:t>
      </w:r>
      <w:r>
        <w:rPr>
          <w:rFonts w:ascii="Arial" w:cs="Arial" w:eastAsia="Arial" w:hAnsi="Arial"/>
          <w:sz w:val="18"/>
          <w:szCs w:val="18"/>
          <w:i w:val="1"/>
          <w:iCs w:val="1"/>
          <w:color w:val="auto"/>
        </w:rPr>
        <w:t xml:space="preserve"> </w:t>
      </w:r>
      <w:r>
        <w:rPr>
          <w:rFonts w:ascii="Arial" w:cs="Arial" w:eastAsia="Arial" w:hAnsi="Arial"/>
          <w:sz w:val="18"/>
          <w:szCs w:val="18"/>
          <w:color w:val="auto"/>
        </w:rPr>
        <w:t>the impact from the change in fair value measurement for contingent consideration associated with acquisitions, (iii) the impact from the change in fair value measurement of our preferred stock warrants prior to our IPO, (iv) other income (expense), net,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29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69"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tables below provide reconciliations of Revenue Less Ancillary Services, Adjusted Gross Margin and Adjusted EBITDA to the most comparable GAAP figure on a consolidated basis for the periods presented.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Revenue Less Ancillary Services and Adjusted Gross Margin: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201.1</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131.8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94.9</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Adjusted to exclude gross up for: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(18.2 )</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(15.8 )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3"/>
        </w:trPr>
        <w:tc>
          <w:tcPr>
            <w:tcW w:w="62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Marketing fees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(1.8 )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(1.4 )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181.1</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114.6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88.2</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2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Payment processing services costs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70.2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47.8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36.7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Hosting and amortization costs within technology and development expenses</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Adjusted to:</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Exclude printing and mailing costs</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(18.2 )</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(15.8 )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3"/>
        </w:trPr>
        <w:tc>
          <w:tcPr>
            <w:tcW w:w="62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Offset marketing fees against related costs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(1.8 )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(1.4 )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196"/>
        </w:trPr>
        <w:tc>
          <w:tcPr>
            <w:tcW w:w="62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Costs of revenue less ancillary services</w:t>
            </w:r>
          </w:p>
        </w:tc>
        <w:tc>
          <w:tcPr>
            <w:tcW w:w="220" w:type="dxa"/>
            <w:vAlign w:val="bottom"/>
            <w:gridSpan w:val="2"/>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55.9</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35.1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Gross Profit</w:t>
            </w:r>
          </w:p>
        </w:tc>
        <w:tc>
          <w:tcPr>
            <w:tcW w:w="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79.5</w:t>
            </w:r>
          </w:p>
        </w:tc>
        <w:tc>
          <w:tcPr>
            <w:tcW w:w="240" w:type="dxa"/>
            <w:vAlign w:val="bottom"/>
          </w:tcPr>
          <w:p>
            <w:pPr>
              <w:spacing w:after="0"/>
              <w:rPr>
                <w:sz w:val="17"/>
                <w:szCs w:val="17"/>
                <w:color w:val="auto"/>
              </w:rPr>
            </w:pPr>
          </w:p>
        </w:tc>
        <w:tc>
          <w:tcPr>
            <w:tcW w:w="3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2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5"/>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62.3 %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60.3 %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183"/>
        </w:trPr>
        <w:tc>
          <w:tcPr>
            <w:tcW w:w="6220" w:type="dxa"/>
            <w:vAlign w:val="bottom"/>
            <w:tcBorders>
              <w:top w:val="single" w:sz="8" w:color="CFF0FC"/>
            </w:tcBorders>
            <w:gridSpan w:val="2"/>
          </w:tcPr>
          <w:p>
            <w:pPr>
              <w:ind w:left="20"/>
              <w:spacing w:after="0" w:line="183" w:lineRule="exact"/>
              <w:rPr>
                <w:sz w:val="20"/>
                <w:szCs w:val="20"/>
                <w:color w:val="auto"/>
              </w:rPr>
            </w:pPr>
            <w:r>
              <w:rPr>
                <w:rFonts w:ascii="Arial" w:cs="Arial" w:eastAsia="Arial" w:hAnsi="Arial"/>
                <w:sz w:val="18"/>
                <w:szCs w:val="18"/>
                <w:color w:val="auto"/>
              </w:rPr>
              <w:t>Adjusted Gross Profit</w:t>
            </w:r>
          </w:p>
        </w:tc>
        <w:tc>
          <w:tcPr>
            <w:tcW w:w="220" w:type="dxa"/>
            <w:vAlign w:val="bottom"/>
            <w:tcBorders>
              <w:top w:val="single" w:sz="8" w:color="CFF0FC"/>
            </w:tcBorders>
            <w:gridSpan w:val="2"/>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8"/>
                <w:szCs w:val="18"/>
                <w:color w:val="auto"/>
              </w:rPr>
              <w:t>125.3</w:t>
            </w:r>
          </w:p>
        </w:tc>
        <w:tc>
          <w:tcPr>
            <w:tcW w:w="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20"/>
              <w:spacing w:after="0" w:line="183" w:lineRule="exact"/>
              <w:rPr>
                <w:sz w:val="20"/>
                <w:szCs w:val="20"/>
                <w:color w:val="auto"/>
              </w:rPr>
            </w:pPr>
            <w:r>
              <w:rPr>
                <w:rFonts w:ascii="Arial" w:cs="Arial" w:eastAsia="Arial" w:hAnsi="Arial"/>
                <w:sz w:val="18"/>
                <w:szCs w:val="18"/>
                <w:color w:val="auto"/>
              </w:rPr>
              <w:t>79.5</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55.7</w:t>
            </w:r>
          </w:p>
        </w:tc>
        <w:tc>
          <w:tcPr>
            <w:tcW w:w="2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Gross Margin</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5"/>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69.2 %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69.4 %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673"/>
        </w:trPr>
        <w:tc>
          <w:tcPr>
            <w:tcW w:w="60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Twelve Months</w:t>
            </w: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Platform and</w:t>
            </w:r>
          </w:p>
        </w:tc>
        <w:tc>
          <w:tcPr>
            <w:tcW w:w="156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rPr>
              <w:t>Ended December</w:t>
            </w:r>
          </w:p>
        </w:tc>
        <w:tc>
          <w:tcPr>
            <w:tcW w:w="0" w:type="dxa"/>
            <w:vAlign w:val="bottom"/>
          </w:tcPr>
          <w:p>
            <w:pPr>
              <w:spacing w:after="0"/>
              <w:rPr>
                <w:sz w:val="1"/>
                <w:szCs w:val="1"/>
                <w:color w:val="auto"/>
              </w:rPr>
            </w:pPr>
          </w:p>
        </w:tc>
      </w:tr>
      <w:tr>
        <w:trPr>
          <w:trHeight w:val="148"/>
        </w:trPr>
        <w:tc>
          <w:tcPr>
            <w:tcW w:w="6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Transaction</w:t>
            </w:r>
          </w:p>
        </w:tc>
        <w:tc>
          <w:tcPr>
            <w:tcW w:w="16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2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6"/>
            <w:vMerge w:val="continue"/>
          </w:tcPr>
          <w:p>
            <w:pPr>
              <w:spacing w:after="0"/>
              <w:rPr>
                <w:sz w:val="16"/>
                <w:szCs w:val="16"/>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Usage-Based Fee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148.0</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201.1</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Adjusted to exclude gross up for: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(18.2 )</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3"/>
        </w:trPr>
        <w:tc>
          <w:tcPr>
            <w:tcW w:w="62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Marketing fees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(1.8 )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220" w:type="dxa"/>
            <w:vAlign w:val="bottom"/>
            <w:tcBorders>
              <w:top w:val="single" w:sz="8" w:color="auto"/>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146.2</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34.9</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181.1</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2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Percentage of Revenue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73.6 %</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200"/>
              <w:spacing w:after="0" w:line="183" w:lineRule="exact"/>
              <w:rPr>
                <w:sz w:val="20"/>
                <w:szCs w:val="20"/>
                <w:color w:val="auto"/>
              </w:rPr>
            </w:pPr>
            <w:r>
              <w:rPr>
                <w:rFonts w:ascii="Arial" w:cs="Arial" w:eastAsia="Arial" w:hAnsi="Arial"/>
                <w:sz w:val="18"/>
                <w:szCs w:val="18"/>
                <w:color w:val="auto"/>
              </w:rPr>
              <w:t>26.4 %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62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80.7 %</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19.3 %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706"/>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Platform and</w:t>
            </w:r>
          </w:p>
        </w:tc>
        <w:tc>
          <w:tcPr>
            <w:tcW w:w="120" w:type="dxa"/>
            <w:vAlign w:val="bottom"/>
          </w:tcPr>
          <w:p>
            <w:pPr>
              <w:spacing w:after="0"/>
              <w:rPr>
                <w:sz w:val="24"/>
                <w:szCs w:val="24"/>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December</w:t>
            </w:r>
          </w:p>
        </w:tc>
        <w:tc>
          <w:tcPr>
            <w:tcW w:w="0" w:type="dxa"/>
            <w:vAlign w:val="bottom"/>
          </w:tcPr>
          <w:p>
            <w:pPr>
              <w:spacing w:after="0"/>
              <w:rPr>
                <w:sz w:val="1"/>
                <w:szCs w:val="1"/>
                <w:color w:val="auto"/>
              </w:rPr>
            </w:pPr>
          </w:p>
        </w:tc>
      </w:tr>
      <w:tr>
        <w:trPr>
          <w:trHeight w:val="148"/>
        </w:trPr>
        <w:tc>
          <w:tcPr>
            <w:tcW w:w="6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Transaction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rPr>
              <w:t>Usage-Based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433"/>
              <w:spacing w:after="0" w:line="149" w:lineRule="exact"/>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2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Fee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2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gridSpan w:val="2"/>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89.6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42.2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Adjusted to exclude gross up for: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(15.8 )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03"/>
        </w:trPr>
        <w:tc>
          <w:tcPr>
            <w:tcW w:w="62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Marketing fees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(1.4 )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380" w:type="dxa"/>
            <w:vAlign w:val="bottom"/>
            <w:tcBorders>
              <w:bottom w:val="single" w:sz="8" w:color="CFF0FC"/>
            </w:tcBorders>
            <w:gridSpan w:val="3"/>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88.2</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26.4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114.6</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2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Percentage of Revenue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5"/>
          </w:tcPr>
          <w:p>
            <w:pPr>
              <w:jc w:val="right"/>
              <w:ind w:right="36"/>
              <w:spacing w:after="0" w:line="183" w:lineRule="exact"/>
              <w:rPr>
                <w:sz w:val="20"/>
                <w:szCs w:val="20"/>
                <w:color w:val="auto"/>
              </w:rPr>
            </w:pPr>
            <w:r>
              <w:rPr>
                <w:rFonts w:ascii="Arial" w:cs="Arial" w:eastAsia="Arial" w:hAnsi="Arial"/>
                <w:sz w:val="18"/>
                <w:szCs w:val="18"/>
                <w:color w:val="auto"/>
              </w:rPr>
              <w:t>68.0 %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line="183" w:lineRule="exact"/>
              <w:rPr>
                <w:sz w:val="20"/>
                <w:szCs w:val="20"/>
                <w:color w:val="auto"/>
              </w:rPr>
            </w:pPr>
            <w:r>
              <w:rPr>
                <w:rFonts w:ascii="Arial" w:cs="Arial" w:eastAsia="Arial" w:hAnsi="Arial"/>
                <w:sz w:val="18"/>
                <w:szCs w:val="18"/>
                <w:color w:val="auto"/>
              </w:rPr>
              <w:t>32.0 %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62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5"/>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77.0 %</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23.0 %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530"/>
        </w:trPr>
        <w:tc>
          <w:tcPr>
            <w:tcW w:w="6060" w:type="dxa"/>
            <w:vAlign w:val="bottom"/>
          </w:tcPr>
          <w:p>
            <w:pPr>
              <w:ind w:left="552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-5168265</wp:posOffset>
            </wp:positionV>
            <wp:extent cx="154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-5151120</wp:posOffset>
            </wp:positionV>
            <wp:extent cx="154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-5168265</wp:posOffset>
            </wp:positionV>
            <wp:extent cx="1454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-5151120</wp:posOffset>
            </wp:positionV>
            <wp:extent cx="1454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-5168265</wp:posOffset>
            </wp:positionV>
            <wp:extent cx="1454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-5151120</wp:posOffset>
            </wp:positionV>
            <wp:extent cx="1454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-4105275</wp:posOffset>
            </wp:positionV>
            <wp:extent cx="1543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-4088130</wp:posOffset>
            </wp:positionV>
            <wp:extent cx="154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-4105275</wp:posOffset>
            </wp:positionV>
            <wp:extent cx="1454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-4088130</wp:posOffset>
            </wp:positionV>
            <wp:extent cx="1454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-4105275</wp:posOffset>
            </wp:positionV>
            <wp:extent cx="1454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-4088130</wp:posOffset>
            </wp:positionV>
            <wp:extent cx="1454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-3822700</wp:posOffset>
            </wp:positionV>
            <wp:extent cx="1543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-3805555</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-3822700</wp:posOffset>
            </wp:positionV>
            <wp:extent cx="1454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-3805555</wp:posOffset>
            </wp:positionV>
            <wp:extent cx="1454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-3822700</wp:posOffset>
            </wp:positionV>
            <wp:extent cx="145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-3805555</wp:posOffset>
            </wp:positionV>
            <wp:extent cx="1454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-2390775</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-2373630</wp:posOffset>
            </wp:positionV>
            <wp:extent cx="154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-2390775</wp:posOffset>
            </wp:positionV>
            <wp:extent cx="1543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-2373630</wp:posOffset>
            </wp:positionV>
            <wp:extent cx="154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-2390775</wp:posOffset>
            </wp:positionV>
            <wp:extent cx="1454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-2373630</wp:posOffset>
            </wp:positionV>
            <wp:extent cx="145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-693420</wp:posOffset>
            </wp:positionV>
            <wp:extent cx="154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-676275</wp:posOffset>
            </wp:positionV>
            <wp:extent cx="154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-693420</wp:posOffset>
            </wp:positionV>
            <wp:extent cx="1454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-676275</wp:posOffset>
            </wp:positionV>
            <wp:extent cx="145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-693420</wp:posOffset>
            </wp:positionV>
            <wp:extent cx="1454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-676275</wp:posOffset>
            </wp:positionV>
            <wp:extent cx="1454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Platform and</w:t>
            </w:r>
          </w:p>
        </w:tc>
        <w:tc>
          <w:tcPr>
            <w:tcW w:w="280" w:type="dxa"/>
            <w:vAlign w:val="bottom"/>
          </w:tcPr>
          <w:p>
            <w:pPr>
              <w:spacing w:after="0"/>
              <w:rPr>
                <w:sz w:val="12"/>
                <w:szCs w:val="12"/>
                <w:color w:val="auto"/>
              </w:rPr>
            </w:pPr>
          </w:p>
        </w:tc>
        <w:tc>
          <w:tcPr>
            <w:tcW w:w="1640" w:type="dxa"/>
            <w:vAlign w:val="bottom"/>
            <w:gridSpan w:val="6"/>
          </w:tcPr>
          <w:p>
            <w:pPr>
              <w:jc w:val="right"/>
              <w:ind w:right="270"/>
              <w:spacing w:after="0" w:line="149" w:lineRule="exact"/>
              <w:rPr>
                <w:sz w:val="20"/>
                <w:szCs w:val="20"/>
                <w:color w:val="auto"/>
              </w:rPr>
            </w:pPr>
            <w:r>
              <w:rPr>
                <w:rFonts w:ascii="Arial" w:cs="Arial" w:eastAsia="Arial" w:hAnsi="Arial"/>
                <w:sz w:val="14"/>
                <w:szCs w:val="14"/>
                <w:b w:val="1"/>
                <w:bCs w:val="1"/>
                <w:color w:val="auto"/>
              </w:rPr>
              <w:t>Ended December</w:t>
            </w:r>
          </w:p>
        </w:tc>
        <w:tc>
          <w:tcPr>
            <w:tcW w:w="0" w:type="dxa"/>
            <w:vAlign w:val="bottom"/>
          </w:tcPr>
          <w:p>
            <w:pPr>
              <w:spacing w:after="0"/>
              <w:rPr>
                <w:sz w:val="1"/>
                <w:szCs w:val="1"/>
                <w:color w:val="auto"/>
              </w:rPr>
            </w:pPr>
          </w:p>
        </w:tc>
      </w:tr>
      <w:tr>
        <w:trPr>
          <w:trHeight w:val="148"/>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restart"/>
          </w:tcPr>
          <w:p>
            <w:pPr>
              <w:jc w:val="right"/>
              <w:ind w:right="175"/>
              <w:spacing w:after="0"/>
              <w:rPr>
                <w:sz w:val="20"/>
                <w:szCs w:val="20"/>
                <w:color w:val="auto"/>
              </w:rPr>
            </w:pPr>
            <w:r>
              <w:rPr>
                <w:rFonts w:ascii="Arial" w:cs="Arial" w:eastAsia="Arial" w:hAnsi="Arial"/>
                <w:sz w:val="14"/>
                <w:szCs w:val="14"/>
                <w:b w:val="1"/>
                <w:bCs w:val="1"/>
                <w:color w:val="auto"/>
              </w:rPr>
              <w:t>Transaction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Usage-Based Fee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86.6</w:t>
            </w:r>
          </w:p>
        </w:tc>
        <w:tc>
          <w:tcPr>
            <w:tcW w:w="400" w:type="dxa"/>
            <w:vAlign w:val="bottom"/>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gross up for:</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440" w:type="dxa"/>
            <w:vAlign w:val="bottom"/>
            <w:gridSpan w:val="2"/>
            <w:shd w:val="clear" w:color="auto" w:fill="CFF0FC"/>
          </w:tcPr>
          <w:p>
            <w:pPr>
              <w:ind w:left="3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(1.2 )</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80"/>
              <w:spacing w:after="0" w:line="202" w:lineRule="exact"/>
              <w:rPr>
                <w:sz w:val="20"/>
                <w:szCs w:val="20"/>
                <w:color w:val="auto"/>
              </w:rPr>
            </w:pPr>
            <w:r>
              <w:rPr>
                <w:rFonts w:ascii="Arial" w:cs="Arial" w:eastAsia="Arial" w:hAnsi="Arial"/>
                <w:sz w:val="18"/>
                <w:szCs w:val="18"/>
                <w:color w:val="auto"/>
              </w:rPr>
              <w:t>Marketing fees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4"/>
          </w:tcPr>
          <w:p>
            <w:pPr>
              <w:jc w:val="right"/>
              <w:ind w:right="230"/>
              <w:spacing w:after="0" w:line="202" w:lineRule="exact"/>
              <w:rPr>
                <w:sz w:val="20"/>
                <w:szCs w:val="20"/>
                <w:color w:val="auto"/>
              </w:rPr>
            </w:pPr>
            <w:r>
              <w:rPr>
                <w:rFonts w:ascii="Arial" w:cs="Arial" w:eastAsia="Arial" w:hAnsi="Arial"/>
                <w:sz w:val="18"/>
                <w:szCs w:val="18"/>
                <w:color w:val="auto"/>
              </w:rPr>
              <w:t>(5.5 )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Less Ancillary Services</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81.1</w:t>
            </w:r>
          </w:p>
        </w:tc>
        <w:tc>
          <w:tcPr>
            <w:tcW w:w="4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w:t>
            </w: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88.2</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20" w:type="dxa"/>
            <w:vAlign w:val="bottom"/>
          </w:tcPr>
          <w:p>
            <w:pPr>
              <w:ind w:left="20"/>
              <w:spacing w:after="0" w:line="183" w:lineRule="exact"/>
              <w:rPr>
                <w:sz w:val="20"/>
                <w:szCs w:val="20"/>
                <w:color w:val="auto"/>
              </w:rPr>
            </w:pPr>
            <w:r>
              <w:rPr>
                <w:rFonts w:ascii="Arial" w:cs="Arial" w:eastAsia="Arial" w:hAnsi="Arial"/>
                <w:sz w:val="18"/>
                <w:szCs w:val="18"/>
                <w:color w:val="auto"/>
              </w:rPr>
              <w:t>Percentage of Revenue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jc w:val="right"/>
              <w:ind w:right="130"/>
              <w:spacing w:after="0" w:line="183" w:lineRule="exact"/>
              <w:rPr>
                <w:sz w:val="20"/>
                <w:szCs w:val="20"/>
                <w:color w:val="auto"/>
              </w:rPr>
            </w:pPr>
            <w:r>
              <w:rPr>
                <w:rFonts w:ascii="Arial" w:cs="Arial" w:eastAsia="Arial" w:hAnsi="Arial"/>
                <w:sz w:val="18"/>
                <w:szCs w:val="18"/>
                <w:color w:val="auto"/>
              </w:rPr>
              <w:t>91.3 %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ind w:right="90"/>
              <w:spacing w:after="0" w:line="183" w:lineRule="exact"/>
              <w:rPr>
                <w:sz w:val="20"/>
                <w:szCs w:val="20"/>
                <w:color w:val="auto"/>
              </w:rPr>
            </w:pPr>
            <w:r>
              <w:rPr>
                <w:rFonts w:ascii="Arial" w:cs="Arial" w:eastAsia="Arial" w:hAnsi="Arial"/>
                <w:sz w:val="18"/>
                <w:szCs w:val="18"/>
                <w:color w:val="auto"/>
              </w:rPr>
              <w:t>8.7 %</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right"/>
              <w:spacing w:after="0" w:line="183"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gridSpan w:val="4"/>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92.0 %</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8.0 %</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96"/>
        </w:trPr>
        <w:tc>
          <w:tcPr>
            <w:tcW w:w="6020" w:type="dxa"/>
            <w:vAlign w:val="bottom"/>
          </w:tcPr>
          <w:p>
            <w:pPr>
              <w:spacing w:after="0"/>
              <w:rPr>
                <w:sz w:val="20"/>
                <w:szCs w:val="20"/>
                <w:color w:val="auto"/>
              </w:rPr>
            </w:pPr>
            <w:r>
              <w:rPr>
                <w:rFonts w:ascii="Arial" w:cs="Arial" w:eastAsia="Arial" w:hAnsi="Arial"/>
                <w:sz w:val="18"/>
                <w:szCs w:val="18"/>
                <w:i w:val="1"/>
                <w:iCs w:val="1"/>
                <w:color w:val="auto"/>
              </w:rPr>
              <w:t>EBITDA and Adjusted EBITDA:</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15"/>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(11.1</w:t>
            </w: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5"/>
              </w:rPr>
              <w:t>2.5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4"/>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(7.2 )</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6.8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EBITDA</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5"/>
              </w:rPr>
              <w:t>3.8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5.4</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 of preferred stock liability, prior to IPO</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5"/>
              </w:rPr>
              <w:t>0.7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(0.1 )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4"/>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(0.7 )</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Indirect taxes related to transfer price arrangement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Acquisition related transaction costs </w:t>
            </w:r>
            <w:r>
              <w:rPr>
                <w:rFonts w:ascii="Arial" w:cs="Arial" w:eastAsia="Arial" w:hAnsi="Arial"/>
                <w:sz w:val="23"/>
                <w:szCs w:val="23"/>
                <w:color w:val="auto"/>
                <w:vertAlign w:val="superscript"/>
              </w:rPr>
              <w:t>(2)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1.5</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Acquisition related employee retention costs </w:t>
            </w:r>
            <w:r>
              <w:rPr>
                <w:rFonts w:ascii="Arial" w:cs="Arial" w:eastAsia="Arial" w:hAnsi="Arial"/>
                <w:sz w:val="23"/>
                <w:szCs w:val="23"/>
                <w:color w:val="auto"/>
                <w:vertAlign w:val="superscript"/>
              </w:rPr>
              <w:t>(3)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5"/>
              </w:rPr>
              <w:t>4.5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715"/>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22.8</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6.2</w:t>
            </w: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-2682240</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-2665095</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-2682240</wp:posOffset>
            </wp:positionV>
            <wp:extent cx="1460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-2665095</wp:posOffset>
            </wp:positionV>
            <wp:extent cx="146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-2682240</wp:posOffset>
            </wp:positionV>
            <wp:extent cx="1454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-2665095</wp:posOffset>
            </wp:positionV>
            <wp:extent cx="1454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23742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ind w:left="520" w:hanging="377"/>
        <w:spacing w:after="0" w:line="246"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the year ended December 31, 2021, other (income) expense consisted of gains of ($0.1) million from the remeasurement of foreign currency transactions into their functional currency. For the year ended December 31, 2020, other (income) expense consisted of interest income of $0.1 million and gains from the remeasurement of foreign currency transactions into their functional currency of ($0.6) million. For the year ended December 31, 2019, other (income) expense consisted of interest income of $0.6 million and losses from remeasurement of foreign currency transactions into their functional currency of $0.1 million.</w:t>
      </w:r>
    </w:p>
    <w:p>
      <w:pPr>
        <w:spacing w:after="0" w:line="1" w:lineRule="exact"/>
        <w:rPr>
          <w:rFonts w:ascii="Arial" w:cs="Arial" w:eastAsia="Arial" w:hAnsi="Arial"/>
          <w:sz w:val="14"/>
          <w:szCs w:val="14"/>
          <w:color w:val="auto"/>
        </w:rPr>
      </w:pPr>
    </w:p>
    <w:p>
      <w:pPr>
        <w:ind w:left="520" w:hanging="377"/>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Acquisition related costs consisted of legal and advisory fees incurred in connection with the Simplee and WPM acquisitions.</w:t>
      </w:r>
    </w:p>
    <w:p>
      <w:pPr>
        <w:spacing w:after="0" w:line="1" w:lineRule="exact"/>
        <w:rPr>
          <w:rFonts w:ascii="Arial" w:cs="Arial" w:eastAsia="Arial" w:hAnsi="Arial"/>
          <w:sz w:val="14"/>
          <w:szCs w:val="14"/>
          <w:color w:val="auto"/>
        </w:rPr>
      </w:pPr>
    </w:p>
    <w:p>
      <w:pPr>
        <w:ind w:left="520" w:right="140" w:hanging="377"/>
        <w:spacing w:after="0" w:line="264"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Simplee and WPM's employees in connection with integration of the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8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29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69"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and the number of payment plans initiated by our clients’ customers. For example, we recognize more transaction revenue as our</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9" w:name="page80"/>
    <w:bookmarkEnd w:id="79"/>
    <w:p>
      <w:pPr>
        <w:ind w:right="260"/>
        <w:spacing w:after="0" w:line="253" w:lineRule="auto"/>
        <w:rPr>
          <w:sz w:val="20"/>
          <w:szCs w:val="20"/>
          <w:color w:val="auto"/>
        </w:rPr>
      </w:pPr>
      <w:r>
        <w:rPr>
          <w:rFonts w:ascii="Arial" w:cs="Arial" w:eastAsia="Arial" w:hAnsi="Arial"/>
          <w:sz w:val="18"/>
          <w:szCs w:val="18"/>
          <w:color w:val="auto"/>
        </w:rPr>
        <w:t>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33"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including adjusting spending levels as needed in response to changes in the economic environment.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6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8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pandemic, could affect the amounts of volumes processed on our platform, thus resulting in fluctuations to our revenue streams.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unprecedented and rapid spread of COVID-19 in 2020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quarterly and annual net dollar-based retention rate remained strong. For the year ended December 31, 2021, our annual net dollar-based retention rate was approximately 140%. For the year ended December 31, 2020, despite the impact of the COVID-19 pandemic on our clients and the industries we serve, our annual net dollar-based retention rate was approximately 100%. For the year ended December 31, 2019, our annual net dollar-based retention rate was approximately 128%. During the year ended December 31, 2021, we added an additional 300 clients and have observed a recovery in payment volumes and growth in clients. As a result of the payment volume growth, client growth and public company complexities, we have increased hiring. As variants (most notably Delta and Omicron) or sub-variants of COVID-19 emerge, we will continue to evaluate the nature and extent of these potential impacts to our business, consolidated financial statements, and liquidity.</w:t>
      </w:r>
    </w:p>
    <w:p>
      <w:pPr>
        <w:spacing w:after="0" w:line="15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did not have a material impact on our consolidated financial statements for the years ended December 31, 2020 and 2021. We continue to monitor any effects that may result from the CARES Act or other government relief programs that are made available.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69"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Following the onset of the COVID-19 pandemic, payment volumes and revenue from education clients relying on international enrollments declined significantly, but we saw significant strength in revenue from healthcare clients, particularly as out-of-pocket costs for our clients’ customers continued to remain high. There can be no assurance that such trends or that the levels of total revenue that we generate from our healthcare clients will continue.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0" w:name="page81"/>
    <w:bookmarkEnd w:id="80"/>
    <w:p>
      <w:pPr>
        <w:ind w:right="1460" w:firstLine="509"/>
        <w:spacing w:after="0" w:line="446" w:lineRule="auto"/>
        <w:rPr>
          <w:sz w:val="20"/>
          <w:szCs w:val="20"/>
          <w:color w:val="auto"/>
        </w:rPr>
      </w:pPr>
      <w:r>
        <w:rPr>
          <w:rFonts w:ascii="Arial" w:cs="Arial" w:eastAsia="Arial" w:hAnsi="Arial"/>
          <w:sz w:val="18"/>
          <w:szCs w:val="18"/>
          <w:color w:val="auto"/>
        </w:rPr>
        <w:t xml:space="preserve">During the year ended December 31, 2021, we have observed a recovery in payment volumes and growth in clients. </w:t>
      </w:r>
      <w:r>
        <w:rPr>
          <w:rFonts w:ascii="Arial" w:cs="Arial" w:eastAsia="Arial" w:hAnsi="Arial"/>
          <w:sz w:val="18"/>
          <w:szCs w:val="18"/>
          <w:b w:val="1"/>
          <w:bCs w:val="1"/>
          <w:i w:val="1"/>
          <w:iCs w:val="1"/>
          <w:color w:val="auto"/>
        </w:rPr>
        <w:t>Dynamic Changes to Client Communication and Product Solutions</w:t>
      </w:r>
    </w:p>
    <w:p>
      <w:pPr>
        <w:ind w:right="20" w:firstLine="509"/>
        <w:spacing w:after="0" w:line="255" w:lineRule="auto"/>
        <w:rPr>
          <w:sz w:val="20"/>
          <w:szCs w:val="20"/>
          <w:color w:val="auto"/>
        </w:rPr>
      </w:pPr>
      <w:r>
        <w:rPr>
          <w:rFonts w:ascii="Arial" w:cs="Arial" w:eastAsia="Arial" w:hAnsi="Arial"/>
          <w:sz w:val="17"/>
          <w:szCs w:val="17"/>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8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response to COVID-19 developments, we implemented measures to focus on the safety of our employees and support of our clients, while at the same time seeking to mitigate the impact on our financial position and operations. We have implemented remote working capabilities for our entire organization and to date, there has been minimal disruption to our operations. During the spring of 2020, due to initial COVID-19 uncertainty, we reduced our workforce by approximately 12%. By the end of 2020, and throughout 2021, we had an aggressive hiring plan to meet the demand of customers and life as a public company. As vaccination rates have increased, our offices have reopened in limited capacity. We have also increased our hiring plan to address key roles with the goal of ensuring continuity and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169" w:lineRule="exact"/>
        <w:rPr>
          <w:sz w:val="20"/>
          <w:szCs w:val="20"/>
          <w:color w:val="auto"/>
        </w:rPr>
      </w:pPr>
    </w:p>
    <w:p>
      <w:pPr>
        <w:ind w:right="540" w:firstLine="509"/>
        <w:spacing w:after="0" w:line="247"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w:t>
      </w:r>
    </w:p>
    <w:p>
      <w:pPr>
        <w:spacing w:after="0" w:line="13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and Usage-Based Fee Revenue</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83"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employees who facilitate these payments and personnel related expenses for our employees who provide implementation services to our clients. We expect that payment processing services costs will increase in absolute dollars but may</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1" w:name="page82"/>
    <w:bookmarkEnd w:id="81"/>
    <w:p>
      <w:pPr>
        <w:ind w:right="160"/>
        <w:spacing w:after="0" w:line="271" w:lineRule="auto"/>
        <w:rPr>
          <w:sz w:val="20"/>
          <w:szCs w:val="20"/>
          <w:color w:val="auto"/>
        </w:rPr>
      </w:pPr>
      <w:r>
        <w:rPr>
          <w:rFonts w:ascii="Arial" w:cs="Arial" w:eastAsia="Arial" w:hAnsi="Arial"/>
          <w:sz w:val="18"/>
          <w:szCs w:val="18"/>
          <w:color w:val="auto"/>
        </w:rPr>
        <w:t>fluctuate as a percentage of total revenue from period to period, as we continue to invest in scaling our processing operations and grow our revenue base.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38"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 assets, marketing program expenses, travel-related expenses and costs to market and promote our solutions through advertisements, marketing events, partnership arrangements, and direct customer acquisition.</w:t>
      </w:r>
    </w:p>
    <w:p>
      <w:pPr>
        <w:spacing w:after="0" w:line="13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focus our sales and marketing efforts on generating awareness of our Company,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Interest expense consists of interest previously incurred on our Loan and Security Agreement (LSA) and interest on a new Revolving Credit Facility. During 2018, we borrowed $25.0 million under the LSA to complete the acquisition of OnPlan Holdings LLC. On April 25, 2020, we entered into a Joinder and Second Amendment to the LSA to refinance the LSA. As part of the refinancing, the lender re-advanced $4.2 million of principal paid on the loan through May 1, 2020. The LSA was interest only until May 2023 and carried annual interest at a rate equal to the greater of (i) 5.25% above the prime rate or (ii) 8.50%. In July 2021, we refinanced the LSA by entering into a $50.0 million Revolving Credit Facility. The Revolving Credit Facility has an adjustable rate of interest based on the type of loan requested, either at an annual rate based on the Alternate Base Rate (ABR), which references the prime rate plus an applicable margin or LIBOR plus an applicable margin. Loans based on ABR bear interest at a rate between ABR plus 0.75% and ABR plus 1.25%, and loans based on LIBOR bear interest at a rate between LIBOR plus 1.75% and LIBOR plus 2.25%, depending on our liquidity.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our consolidated balance sheets as these were free standing instruments that may have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2" w:name="page83"/>
    <w:bookmarkEnd w:id="82"/>
    <w:p>
      <w:pPr>
        <w:ind w:right="40"/>
        <w:spacing w:after="0" w:line="244" w:lineRule="auto"/>
        <w:rPr>
          <w:sz w:val="20"/>
          <w:szCs w:val="20"/>
          <w:color w:val="auto"/>
        </w:rPr>
      </w:pPr>
      <w:r>
        <w:rPr>
          <w:rFonts w:ascii="Arial" w:cs="Arial" w:eastAsia="Arial" w:hAnsi="Arial"/>
          <w:sz w:val="18"/>
          <w:szCs w:val="18"/>
          <w:color w:val="auto"/>
        </w:rPr>
        <w:t>required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all preferred stock warrants were either fully exercised or converted to warrants to purchase common stock and no longer require liability classification. As a result, we no longer recognize the change in fair value of preferred stock warrant liability in our consolidated statements of operations and comprehensive loss.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9" w:lineRule="exact"/>
        <w:rPr>
          <w:sz w:val="20"/>
          <w:szCs w:val="20"/>
          <w:color w:val="auto"/>
        </w:rPr>
      </w:pPr>
    </w:p>
    <w:p>
      <w:pPr>
        <w:ind w:right="980" w:firstLine="509"/>
        <w:spacing w:after="0" w:line="271"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w:t>
      </w:r>
    </w:p>
    <w:p>
      <w:pPr>
        <w:spacing w:after="0" w:line="183"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Provision for (benefit from) income taxes largely consists of foreign and state income taxes. We have generated NOL carryforwards for U.S. Federal and state tax purposes as we expand the scale of our operations. Any changes in the U.S. and foreign taxation of such activities may increase our overall provision for income taxes in the future.</w:t>
      </w:r>
    </w:p>
    <w:p>
      <w:pPr>
        <w:spacing w:after="0" w:line="12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years ended December 31, 2021 and 2020</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statements of operations for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40" w:type="dxa"/>
            <w:vAlign w:val="bottom"/>
            <w:gridSpan w:val="2"/>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201.1</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69.3</w:t>
            </w:r>
          </w:p>
        </w:tc>
        <w:tc>
          <w:tcPr>
            <w:tcW w:w="20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w:t>
            </w:r>
          </w:p>
        </w:tc>
        <w:tc>
          <w:tcPr>
            <w:tcW w:w="3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Payment processing services costs</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20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02"/>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20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Total costs and operating expenses</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214.4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66.8</w:t>
            </w:r>
          </w:p>
        </w:tc>
        <w:tc>
          <w:tcPr>
            <w:tcW w:w="20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(13.3 )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(15.8 )</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(2.0 )</w:t>
            </w:r>
          </w:p>
        </w:tc>
        <w:tc>
          <w:tcPr>
            <w:tcW w:w="2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(2.5 )</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(10.8 )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(0.7 )</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(10.1 )</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1442.9 %</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(0.6 )</w:t>
            </w: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(85.7 )%</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Total other expenses, net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(12.7 )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(2.5 )</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(10.2 )</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408.0 %</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(25.9 )</w:t>
            </w:r>
          </w:p>
        </w:tc>
        <w:tc>
          <w:tcPr>
            <w:tcW w:w="2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(18.3 )</w:t>
            </w:r>
          </w:p>
        </w:tc>
        <w:tc>
          <w:tcPr>
            <w:tcW w:w="1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(7.6 )</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(7.2 )</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(130.6 )%</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(28.1 )</w:t>
            </w:r>
          </w:p>
        </w:tc>
        <w:tc>
          <w:tcPr>
            <w:tcW w:w="2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(11.1 )</w:t>
            </w:r>
          </w:p>
        </w:tc>
        <w:tc>
          <w:tcPr>
            <w:tcW w:w="18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(17.0 )</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153.2 %</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(0.2 )</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(0.3 )</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(28.3 )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(11.4 )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(16.9 )</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148.2 %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-159385</wp:posOffset>
            </wp:positionV>
            <wp:extent cx="603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wp:posOffset>
            </wp:positionV>
            <wp:extent cx="603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514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-159385</wp:posOffset>
            </wp:positionV>
            <wp:extent cx="2057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3" w:lineRule="exact"/>
        <w:rPr>
          <w:sz w:val="20"/>
          <w:szCs w:val="20"/>
          <w:color w:val="auto"/>
        </w:rPr>
      </w:pPr>
    </w:p>
    <w:p>
      <w:pPr>
        <w:jc w:val="both"/>
        <w:ind w:right="320" w:firstLine="509"/>
        <w:spacing w:after="0" w:line="253" w:lineRule="auto"/>
        <w:rPr>
          <w:sz w:val="20"/>
          <w:szCs w:val="20"/>
          <w:color w:val="auto"/>
        </w:rPr>
      </w:pPr>
      <w:r>
        <w:rPr>
          <w:rFonts w:ascii="Arial" w:cs="Arial" w:eastAsia="Arial" w:hAnsi="Arial"/>
          <w:sz w:val="18"/>
          <w:szCs w:val="18"/>
          <w:color w:val="auto"/>
        </w:rPr>
        <w:t>Revenue was $201.1 million for the year ended December 31, 2021, compared to $131.8 million for the year ended December 31, 2020, an increase of $69.3 million or 52.6%. Revenue is comprised of transaction revenue and platform and usage-based fee revenue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26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Transaction revenue</w:t>
            </w: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148.0</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89.6</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58.4</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65.2</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Platform and usage-based fee revenue</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CFF0FC"/>
            </w:tcBorders>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201.1</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69.3</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43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3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Transaction revenue was $148.0 million for the year ended December 31, 2021, compared to $89.6 million for the year ended December 31, 2020, an increase of $58.4 million or 65.2%. The increase in transaction revenue was primarily driven by growth in transaction payment volumes from both our existing clients and new clients added during the year</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3" w:name="page84"/>
    <w:bookmarkEnd w:id="83"/>
    <w:p>
      <w:pPr>
        <w:ind w:right="40"/>
        <w:spacing w:after="0" w:line="253" w:lineRule="auto"/>
        <w:rPr>
          <w:sz w:val="20"/>
          <w:szCs w:val="20"/>
          <w:color w:val="auto"/>
        </w:rPr>
      </w:pPr>
      <w:r>
        <w:rPr>
          <w:rFonts w:ascii="Arial" w:cs="Arial" w:eastAsia="Arial" w:hAnsi="Arial"/>
          <w:sz w:val="18"/>
          <w:szCs w:val="18"/>
          <w:color w:val="auto"/>
        </w:rPr>
        <w:t>ended December 31, 2021. We experienced strong growth in payment volume across all regions during the period. Total payment volume increased 76.0% during the year ended December 31, 2021 to $13.2 billion. Our marketing services revenue remained consistent in the year ended December 31, 2021, compared to the year ended December 31, 2020.</w:t>
      </w:r>
    </w:p>
    <w:p>
      <w:pPr>
        <w:spacing w:after="0" w:line="14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Platform and usage-based fee revenue was $53.1 million for the year ended December 31, 2021, compared to $42.2 million for the year ended December 31, 2020, an increase of $10.9 million or 25.8%. The increase in platform and usage-based fee revenue was driven by the full year of revenue from Simplee, increased usage by our clients and new clients signed during the year ended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Payment processing services costs were $ 70.2 million for the year ended December 31, 2021, compared to $47.8 million for the year ended December 31, 2020, an increase of $22.4 million or 46.9%. The increase in payment processing services costs is correlated with the increase in total payment volume of 76.0% over the same period, and was offset by lower processing costs related to bank, credit card and alternative payment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8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Technology and development expenses were $31.3 million for the year ended December 31, 2021, compared to $ 24.5 million for the year ended December 31, 2020, an increase of $6.8 million or 27.8%. The increase in technology and development cost was primarily driven by an increase in personnel costs, stock-based compensation expense, software and hosting expenses and amortization expense. Personnel costs were $18.6 million for the year ended December 31, 2021, compared to $16.1 million for the year ended December 31, 2020, an increase of $2.5 million or 15.5%. The increase in personnel costs was primarily driven by an increase in headcount within our technology and development teams. Stock-based compensation expense was $2.5 million for year ended December 31, 2021, compared to $0.9 million for the year ended December 31, 2020, an increase of $1.6 million. The increase in stock-based compensation is attributable to grants awarded to existing and new employees and the additional compensation charges taken in relation to a secondary sale during the period that involved stockholders who were also employees. Software and hosting expenses was $3.9 million for the year ended December 31, 2021, compared to $2.9 million for the year ended December 31, 2021, and increase of $1.0 million. The increase is primarily related to increased hosting fees based on growth in payment volumes and additional software needs based on headcount growth. Amortization of intangible assets was $4.1 million for the year ended December 31, 2021, compared to $3.2 million for the year ended December 31, 2020, an increase of $0.9 million or 28.1%. The increase in amortization expense is attributable to the full year of amortization expense for acquired Simplee intangible assets in 2021 versus a partial year in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Selling and marketing expenses were $51.3 million for the year ended December 31, 2021, compared to $32.6 million for the year ended December 31, 2020, an increase of $18.7 million or 57.4%. The increase in selling and marketing expenses was primarily driven by an increase in personnel costs, stock-based compensation, professional fees, and marketing costs. Personnel costs were $31.7 million for the year ended December 31, 2021, compared to $23.1 million for the year ended December 31, 2020, an increase of $8.6 million or 37.2%. The increase in personnel costs was primarily driven by an increase in headcount within our selling and marketing teams and commissions earned on sales during the period. Stock-based compensation was $5.2 million for year ended December 31, 2021, compared to $1.3 million for the year ended December 31, 2020, an increase of $3.9 million. The increase in stock-based compensation is attributable to grants awarded to existing and new employees and the additional compensation charges taken in relation to a secondary sale during the period that involved stockholders who were also employees Professional fee expenses were $4.9 million for the year ended December 31, 2021, compared to $1.5 million for the year ended December 31, 2020, an increase of $3.4 million. The increase in professional fees was due to increases in third party commissions, expenses incurred related to our public offering and consulting fees. Marketing costs were $4.0 million during the year ended December 31, 2021, compared to $2.0 million for the year ended December 31, 2020, an increase of $2.0 million or 100%. The increase in marketing costs was due to increased marketing initiatives and hosted events.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General and administrative expenses were $61.6 million for the year ended December 31, 2021, compared to $42.7 million for the year ended December 31, 2020, an increase of $18.9 million or 44.3%. The increase in general and administrative expenses was primarily driven by an increase in stock-based compensation, personnel costs, professional fees, general and administrative and other costs offset by a change in the fair value of contingent consideration and acquisition related expenses. Stock-based compensation was $11.3 million for year ended December 31, 2021, compared to $1.7 million for the year ended December 31, 2020, an increase of $9.6 million. The increase in stock-compensation is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4" w:name="page85"/>
    <w:bookmarkEnd w:id="84"/>
    <w:p>
      <w:pPr>
        <w:spacing w:after="0" w:line="238" w:lineRule="auto"/>
        <w:rPr>
          <w:sz w:val="20"/>
          <w:szCs w:val="20"/>
          <w:color w:val="auto"/>
        </w:rPr>
      </w:pPr>
      <w:r>
        <w:rPr>
          <w:rFonts w:ascii="Arial" w:cs="Arial" w:eastAsia="Arial" w:hAnsi="Arial"/>
          <w:sz w:val="18"/>
          <w:szCs w:val="18"/>
          <w:color w:val="auto"/>
        </w:rPr>
        <w:t>attributable to grants awarded to existing and new employees, and the additional compensation charges taken in relation to a secondary sale during the period that involved stockholders who were also employees. Personnel costs were $23.9 million for the year ended December 31, 2021, compared to $19.6 million for the year ended December 31, 2020, an increase of $4.3 million or 21.9% primarily due to increased headcount. Professional fees were $7.1 million for the year ended December 31, 2021, compared to $4.2 million for the year ended December 31, 2020, an increase of $2.9 million or 69.0%. The increase in professional fees was due to increased legal and audit fees. General and administrative costs were $3.8 million for the year ended December 31, 2021, compared to $1.0 million for the year ended December 31, 2020, an increase of $2.8 million. The increase in general and administrative costs was primarily due to increased insurance costs as a public company. Other costs were $3.0 million for the year ended December 31, 2021, compared to $ 2.0 million for the year ended December 31, 2020, an increase of $1.1 million or 55.0%. The increase in other costs is primarily due to indirect taxes recorded during the period and increased hedging fees related to increase in total payment volume. The fair value change of contingent consideration was $2.2 million for the year ended December 31, 2021 compared to $5.4 million for the year ended December 31, 2020, a decrease of $3.2 million. Acquisition related expenses were $0.5 million for the year ended December 31, 2021 compared to $1.5 million for the year ended December 31, 2020, a decrease of $1.0 million.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3"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Interest expense was $2.0 million for the year ended December 31, 2021, compared to $2.5 million for the year ended December 31, 2020, a decrease of 0.5 million or 20.%. During July 2021, we entered into a Revolving Credit Facility with three banks for a total commitment of $50.0 million. We drew $25.9 million on the Revolving Credit Facility and used the proceeds to early prepay our existing LSA of $25.0 million, which resulted in a new interest rate per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69"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Change in fair value of preferred stock warrant liability was $10.8 million for the year ended December 31, 2021, compared to $0.7 million for the year ended December 31, 2020, an increase of $10.1 million. The increase in preferred stock warrant liability was the result of an increase in the value of our preferred stock. Upon the completion of the IPO, all preferred stock warrants were either fully exercised or converted to warrants to purchase common stock. As a result, we no longer recognize the change in fair value of preferred stock warrant liability in our consolidated statements of operations and comprehensive loss.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Other income (expense), net, was $0.1 million for the year ended December 31, 2021, compared to $0.7 million for the year ended December 31, 2020, a decrease of $0.6 million or 85.7%. Gains from the remeasurement of foreign currency transactions into their functional currencies were $0.1 million for the year ended December 31, 2021, compared to $0.6 million for the year ended December 31, 2020, a decrease of $0.5 million or 83.3%. The decrease was the result of the changes in foreign exchange rates against the U.S. Dollar, our financial reporting currency.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8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Provision for income taxes was $2.2 million during the year ended December 31, 2021, compared to a tax benefit of $ 7.2 million during the year ended December 31, 2020, an increase of 9.4 million. During the year ended December 31, 2021, we recorded an income tax expense of $2.2 million, which was primarily attributable to income taxes related to our profitable foreign subsidiaries and U.S. state taxes. During the year ended December 31, 2020, we recorded an income tax benefit of $7.2 million, which was primarily attributable to a non-recurring benefit of $8.4 million relating to the release of a portion of our valuation allowance. This release was due to taxable temporary differences recorded as part of the Simplee acquisition which were a source of income to realize certain pre-existing federal and state deferred tax assets. Our effective tax rate was 8.3% for the year ended December 31, 2021, compared to 39.3% for the year ended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years ended December 31, 2020 and 2019</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statements of operations for periods presented: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5"/>
        </w:trPr>
        <w:tc>
          <w:tcPr>
            <w:tcW w:w="5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20" w:type="dxa"/>
            <w:vAlign w:val="bottom"/>
            <w:gridSpan w:val="2"/>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94.9</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w:t>
            </w:r>
          </w:p>
        </w:tc>
        <w:tc>
          <w:tcPr>
            <w:tcW w:w="20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w:t>
            </w:r>
          </w:p>
        </w:tc>
        <w:tc>
          <w:tcPr>
            <w:tcW w:w="3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Payment processing services costs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63.3 %</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Total costs and operating expenses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147.6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20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(15.8 )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(17.5 )</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(2.5 )</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(2.5 )</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(0.7 )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(0.1 )</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(0.6 )</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600.0 %</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Total other expenses, net</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(2.5 )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(2.1 )</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(0.4 )</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(18.3 )</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(19.6 )</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(7.2 )</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(7.7 )</w:t>
            </w:r>
          </w:p>
        </w:tc>
        <w:tc>
          <w:tcPr>
            <w:tcW w:w="1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(1540.0 )%</w:t>
            </w:r>
          </w:p>
        </w:tc>
        <w:tc>
          <w:tcPr>
            <w:tcW w:w="0" w:type="dxa"/>
            <w:vAlign w:val="bottom"/>
          </w:tcPr>
          <w:p>
            <w:pPr>
              <w:spacing w:after="0"/>
              <w:rPr>
                <w:sz w:val="1"/>
                <w:szCs w:val="1"/>
                <w:color w:val="auto"/>
              </w:rPr>
            </w:pPr>
          </w:p>
        </w:tc>
      </w:tr>
      <w:tr>
        <w:trPr>
          <w:trHeight w:val="203"/>
        </w:trPr>
        <w:tc>
          <w:tcPr>
            <w:tcW w:w="5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(11.1 )</w:t>
            </w:r>
          </w:p>
        </w:tc>
        <w:tc>
          <w:tcPr>
            <w:tcW w:w="2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(20.1 )</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1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(0.3 )</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(0.4 )</w:t>
            </w:r>
          </w:p>
        </w:tc>
        <w:tc>
          <w:tcPr>
            <w:tcW w:w="1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(400.0 )%</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140" w:type="dxa"/>
            <w:vAlign w:val="bottom"/>
            <w:vMerge w:val="continue"/>
          </w:tcPr>
          <w:p>
            <w:pPr>
              <w:spacing w:after="0"/>
              <w:rPr>
                <w:sz w:val="17"/>
                <w:szCs w:val="17"/>
                <w:color w:val="auto"/>
              </w:rPr>
            </w:pP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(11.4 )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(20.0 )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12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(43.0 )%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-159385</wp:posOffset>
            </wp:positionV>
            <wp:extent cx="5969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-159385</wp:posOffset>
            </wp:positionV>
            <wp:extent cx="603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-159385</wp:posOffset>
            </wp:positionV>
            <wp:extent cx="2057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83"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Revenue was $131.8 million for the year ended December 31, 2020, compared to $94.9 million for the year ended December 31, 2019, an increase of $36.9 million or 38.9%. Revenue is comprised of transaction revenue and platform and usage-based fee revenue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26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Transaction revenue</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89.6</w:t>
            </w:r>
          </w:p>
        </w:tc>
        <w:tc>
          <w:tcPr>
            <w:tcW w:w="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86.6</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4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Platform and usage-based fee revenue</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408.4 %</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94.9</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36.9</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3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Transaction revenue was $89.6 million for the year ended December 31, 2020, compared to $86.6 million for the year ended December 31, 2019, an increase of $3.0 million or 3.5%. Although total payment volume from transactions included in transaction revenue were unchanged for the year ended December 31, 2020, as compared to the year ended December 31, 2019, the increase in transaction revenue was primarily driven by an increase in the relative percentage of our total payment volume originating in regions where we generate higher transaction revenue. This increase was offset by a $4.1 million or 74.5% decrease in marketing services revenue. Our marketing services revenue declined as a result of our payment partners using fewer of our marketing services for the year ended December 31, 2020, as compared to the year ended December 31, 2019.</w:t>
      </w:r>
    </w:p>
    <w:p>
      <w:pPr>
        <w:spacing w:after="0" w:line="15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Platform and usage-based fee revenue was $42.2 million for the year ended December 31, 2020, compared to $8.3 million for the year ended December 31, 2019, an increase of $33.9 million or 408.4%. The increase in platform and usage-based fee revenue was driven primarily by the Simplee acquisition contributing $34.1 million for the year ended December 31, 2020, of which $14.6 million was related to ancillary printing and mailing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Payment processing services costs were $47.8 million for the year ended December 31, 2020, compared to $36.7 million for the year ended December 31, 2019, an increase of $11.1 million or 30.2%. The increase in payment processing services costs is correlated with the increase in total payment volume of 30.5%, offset by lower processing costs incurred related to bank, credit card and alternative payment transactions.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69" w:lineRule="exact"/>
        <w:rPr>
          <w:sz w:val="20"/>
          <w:szCs w:val="20"/>
          <w:color w:val="auto"/>
        </w:rPr>
      </w:pPr>
    </w:p>
    <w:p>
      <w:pPr>
        <w:ind w:right="40" w:firstLine="559"/>
        <w:spacing w:after="0" w:line="259" w:lineRule="auto"/>
        <w:rPr>
          <w:sz w:val="20"/>
          <w:szCs w:val="20"/>
          <w:color w:val="auto"/>
        </w:rPr>
      </w:pPr>
      <w:r>
        <w:rPr>
          <w:rFonts w:ascii="Arial" w:cs="Arial" w:eastAsia="Arial" w:hAnsi="Arial"/>
          <w:sz w:val="17"/>
          <w:szCs w:val="17"/>
          <w:color w:val="auto"/>
        </w:rPr>
        <w:t>Technology and development expenses were $24.5 million for the year ended December 31, 2020, compared to $15.0 million for the year ended December 31, 2019, an increase of $ 9.5 million or 63.3%. The increase in technology and development cost was primarily driven by an increase in personnel cost and an increase in amortization expense. Personnel costs were $16.1 million for the year ended December 31, 2020, compared to $9.3 million for the year ended December 31, 2019, an increase of $6.8 million or 73.1%. The increase in personnel costs was primarily driven by an increase in headcount within our technology and development teams. Amortization of intangible assets was $3.2 million for the year ended December 31, 2020, compared to $1.8 million for the year ended December 31, 2019, an increase of</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both"/>
        <w:ind w:right="680"/>
        <w:spacing w:after="0" w:line="271" w:lineRule="auto"/>
        <w:rPr>
          <w:sz w:val="20"/>
          <w:szCs w:val="20"/>
          <w:color w:val="auto"/>
        </w:rPr>
      </w:pPr>
      <w:r>
        <w:rPr>
          <w:rFonts w:ascii="Arial" w:cs="Arial" w:eastAsia="Arial" w:hAnsi="Arial"/>
          <w:sz w:val="18"/>
          <w:szCs w:val="18"/>
          <w:color w:val="auto"/>
        </w:rPr>
        <w:t>$1.4 million or 77.8%. The increase in amortization expense was the result of the acquisition of Simplee which added $10.5 million of acquired developed technology in connection with this acquisition, which has a weighted-average amortization period of eight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1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Selling and marketing expenses were $32.6 million for the year ended December 31, 2020, compared to $26.6 million for the year ended December 31, 2019, an increase of $ 6.0 million or 22.6%. The increase in selling and marketing expenses was primarily driven by an increase in personnel costs and an increase in amortization expenses, offset by a decrease in travel related expenses. Personnel costs were $23.1 million for the year ended December 31, 2020, compared to $18.5 million for the year ended December 31, 2019, an increase of $4.6 million or 24.9%. The increase in personnel costs was primarily driven by an increase in headcount within our selling and marketing teams. Amortization of intangibles was $2.7 million for the year ended December 31, 2020, compared to $0.4 million for the year ended December 31, 2019, an increase of $ 2.3 million or 575.0%. The increase in amortization expense was the result of the acquisition of Simplee which added $48.3 million of acquired customer relationships, which have a weighted-average amortization period of 12 years. These increases were offset by reductions in travel-related expenses of $1.9 million due to COVID-19.</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and administrative expenses were $42.7 million for the year ended December 31, 2020, compared to $34.1 million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2019, an increase of $8.6 million or 25.2%. The increase in general and administrative expenses was primarily</w:t>
      </w:r>
    </w:p>
    <w:p>
      <w:pPr>
        <w:spacing w:after="0" w:line="234" w:lineRule="auto"/>
        <w:rPr>
          <w:sz w:val="20"/>
          <w:szCs w:val="20"/>
          <w:color w:val="auto"/>
        </w:rPr>
      </w:pPr>
      <w:r>
        <w:rPr>
          <w:rFonts w:ascii="Arial" w:cs="Arial" w:eastAsia="Arial" w:hAnsi="Arial"/>
          <w:sz w:val="18"/>
          <w:szCs w:val="18"/>
          <w:color w:val="auto"/>
        </w:rPr>
        <w:t>driven by the change in the fair value of contingent consideration, an increase personnel costs and an increase in professional services fees.</w:t>
      </w:r>
    </w:p>
    <w:p>
      <w:pPr>
        <w:spacing w:after="0" w:line="235" w:lineRule="auto"/>
        <w:rPr>
          <w:sz w:val="20"/>
          <w:szCs w:val="20"/>
          <w:color w:val="auto"/>
        </w:rPr>
      </w:pPr>
      <w:r>
        <w:rPr>
          <w:rFonts w:ascii="Arial" w:cs="Arial" w:eastAsia="Arial" w:hAnsi="Arial"/>
          <w:sz w:val="18"/>
          <w:szCs w:val="18"/>
          <w:color w:val="auto"/>
        </w:rPr>
        <w:t>The change in the fair value of contingent consideration related to acquisitions was $5.4 million for the year ended December 31, 2020,</w:t>
      </w:r>
    </w:p>
    <w:p>
      <w:pPr>
        <w:spacing w:after="0" w:line="235" w:lineRule="auto"/>
        <w:rPr>
          <w:sz w:val="20"/>
          <w:szCs w:val="20"/>
          <w:color w:val="auto"/>
        </w:rPr>
      </w:pPr>
      <w:r>
        <w:rPr>
          <w:rFonts w:ascii="Arial" w:cs="Arial" w:eastAsia="Arial" w:hAnsi="Arial"/>
          <w:sz w:val="18"/>
          <w:szCs w:val="18"/>
          <w:color w:val="auto"/>
        </w:rPr>
        <w:t>compared to $ 0.7 million in 2019, an increase of $4.7 million or 671.4%. Personnel costs were $ 19.6 million for the year ended December</w:t>
      </w:r>
    </w:p>
    <w:p>
      <w:pPr>
        <w:spacing w:after="0" w:line="235" w:lineRule="auto"/>
        <w:rPr>
          <w:sz w:val="20"/>
          <w:szCs w:val="20"/>
          <w:color w:val="auto"/>
        </w:rPr>
      </w:pPr>
      <w:r>
        <w:rPr>
          <w:rFonts w:ascii="Arial" w:cs="Arial" w:eastAsia="Arial" w:hAnsi="Arial"/>
          <w:sz w:val="18"/>
          <w:szCs w:val="18"/>
          <w:color w:val="auto"/>
        </w:rPr>
        <w:t>31, 2020, compared to $16.6 million for the year ended December 31, 2019, an increase of $3.0 million or 18.1%. The increase in personnel</w:t>
      </w:r>
    </w:p>
    <w:p>
      <w:pPr>
        <w:spacing w:after="0" w:line="235" w:lineRule="auto"/>
        <w:rPr>
          <w:sz w:val="20"/>
          <w:szCs w:val="20"/>
          <w:color w:val="auto"/>
        </w:rPr>
      </w:pPr>
      <w:r>
        <w:rPr>
          <w:rFonts w:ascii="Arial" w:cs="Arial" w:eastAsia="Arial" w:hAnsi="Arial"/>
          <w:sz w:val="18"/>
          <w:szCs w:val="18"/>
          <w:color w:val="auto"/>
        </w:rPr>
        <w:t>costs was primarily driven by retention bonuses offered to Simplee employees as a result of our acquisition of Simplee. Professional fees</w:t>
      </w:r>
    </w:p>
    <w:p>
      <w:pPr>
        <w:spacing w:after="0" w:line="234" w:lineRule="auto"/>
        <w:rPr>
          <w:sz w:val="20"/>
          <w:szCs w:val="20"/>
          <w:color w:val="auto"/>
        </w:rPr>
      </w:pPr>
      <w:r>
        <w:rPr>
          <w:rFonts w:ascii="Arial" w:cs="Arial" w:eastAsia="Arial" w:hAnsi="Arial"/>
          <w:sz w:val="18"/>
          <w:szCs w:val="18"/>
          <w:color w:val="auto"/>
        </w:rPr>
        <w:t>were $4.2 million for the year ended December 31, 2020, compared to $3.8 million for the year ended December 31, 2019, an increase of</w:t>
      </w:r>
    </w:p>
    <w:p>
      <w:pPr>
        <w:spacing w:after="0" w:line="235" w:lineRule="auto"/>
        <w:rPr>
          <w:sz w:val="20"/>
          <w:szCs w:val="20"/>
          <w:color w:val="auto"/>
        </w:rPr>
      </w:pPr>
      <w:r>
        <w:rPr>
          <w:rFonts w:ascii="Arial" w:cs="Arial" w:eastAsia="Arial" w:hAnsi="Arial"/>
          <w:sz w:val="18"/>
          <w:szCs w:val="18"/>
          <w:color w:val="auto"/>
        </w:rPr>
        <w:t>$0.4 million or 10.5%. This increase was also attributable to our acquisition of Simplee. These increases were offset by a reduction in various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due to COVID-19.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Interest expense was $2.5 million for each of the years ended December 31, 2020 and December 31, 2019. During March 2020, we refinanced our LSA which resulted in $4.2 million in net proceeds, and a new interest rate per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69"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Change in fair value of preferred stock warrant liability was $ 0.7 million for the year ended December 31, 2020, compared to $0.1 million for the year ended December 31, 2019, an increase of $0.6 million. The increase in preferred stock warrant liability was the result of an increase in the value of our preferred stock.</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18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Other income (expense), net, was $0.7 million for the year ended December 31, 2020, compared to $0.5 million for the year ended December 31, 2019, an increase of $ 0.2 million or 40.0%. Interest income was $0.1 million for the year ended December 31, 2020, compared to $0.6 million for the year ended December 31, 2019, a decrease of $0.5 million or 83.0% The decrease was attributable to lower interest rates on deposits, and a change in our investment policy due to the uncertainty caused by COVID-19. Gains from the remeasurement of foreign currency transactions into their functional currencies were $0.6 million for the year ended December 31, 2020, compared to losses of $0.1 million for the year ended December 31, 2019, an increase of $0.7 million. The increase was the result of the changes in foreign exchange rates against the U.S. Dollar, our financial reporting currency.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21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Provision for (benefit from) income taxes was ($ 7.2) million during the year ended December 31, 2020, compared to $0.5 million for the year ended December 31, 2019, an improvement of ($7.7) million or 1,540%. During the year ended December 31, 2020, we recorded an income tax benefit of $7.2 million, which was primarily attributable to a non-recurring benefit of $ 8.4 million relating to the release of a portion of our valuation allowance. This release was due to taxable temporary differences recorded as part of the Simplee acquisition which are a source of income to realize certain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7" w:name="page88"/>
    <w:bookmarkEnd w:id="87"/>
    <w:p>
      <w:pPr>
        <w:ind w:right="400"/>
        <w:spacing w:after="0" w:line="271" w:lineRule="auto"/>
        <w:rPr>
          <w:sz w:val="20"/>
          <w:szCs w:val="20"/>
          <w:color w:val="auto"/>
        </w:rPr>
      </w:pPr>
      <w:r>
        <w:rPr>
          <w:rFonts w:ascii="Arial" w:cs="Arial" w:eastAsia="Arial" w:hAnsi="Arial"/>
          <w:sz w:val="18"/>
          <w:szCs w:val="18"/>
          <w:color w:val="auto"/>
        </w:rPr>
        <w:t>pre-existing federal and state deferred tax assets. Our effective tax rate was 39.3% for the year ended December 31, 2020, compared to (3.0%) for the year ended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83"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1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 May 2021, we completed our IPO which resulted in aggregate net proceeds of $ 263.8 million, after underwriting discounts of $19.4 million and issuance costs of $4.9 million. As of December 31, 2021, our principal source of liquidity is cash of $389.4 million.</w:t>
      </w:r>
    </w:p>
    <w:p>
      <w:pPr>
        <w:spacing w:after="0" w:line="11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believe that our existing cash will be sufficient to support our working capital and material cash requirements for at least the next 12 months.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6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Contractual obligations consist of outstanding indebtedness under the Revolving Credit Facility and operating leases that relate to real estate for our primary facilities.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Payments Due by Year</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1 to 3</w:t>
            </w:r>
          </w:p>
        </w:tc>
        <w:tc>
          <w:tcPr>
            <w:tcW w:w="200" w:type="dxa"/>
            <w:vAlign w:val="bottom"/>
          </w:tcPr>
          <w:p>
            <w:pPr>
              <w:spacing w:after="0"/>
              <w:rPr>
                <w:sz w:val="11"/>
                <w:szCs w:val="11"/>
                <w:color w:val="auto"/>
              </w:rPr>
            </w:pPr>
          </w:p>
        </w:tc>
        <w:tc>
          <w:tcPr>
            <w:tcW w:w="840" w:type="dxa"/>
            <w:vAlign w:val="bottom"/>
          </w:tcPr>
          <w:p>
            <w:pPr>
              <w:jc w:val="right"/>
              <w:ind w:right="257"/>
              <w:spacing w:after="0" w:line="133" w:lineRule="exact"/>
              <w:rPr>
                <w:sz w:val="20"/>
                <w:szCs w:val="20"/>
                <w:color w:val="auto"/>
              </w:rPr>
            </w:pPr>
            <w:r>
              <w:rPr>
                <w:rFonts w:ascii="Arial" w:cs="Arial" w:eastAsia="Arial" w:hAnsi="Arial"/>
                <w:sz w:val="14"/>
                <w:szCs w:val="14"/>
                <w:b w:val="1"/>
                <w:bCs w:val="1"/>
                <w:color w:val="auto"/>
              </w:rPr>
              <w:t>4 to 5</w:t>
            </w:r>
          </w:p>
        </w:tc>
        <w:tc>
          <w:tcPr>
            <w:tcW w:w="18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4,020</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1,848</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2,140</w:t>
            </w: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ind w:left="84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Debt obligations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25,939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25,939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tcBorders>
              <w:bottom w:val="single" w:sz="8" w:color="auto"/>
            </w:tcBorders>
          </w:tcPr>
          <w:p>
            <w:pPr>
              <w:ind w:left="84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tcBorders>
              <w:bottom w:val="single" w:sz="8" w:color="CFF0FC"/>
            </w:tcBorders>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29,959</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1,848</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28,079</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1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ind w:left="84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-25400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431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431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43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summary cash flow information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(62.9 )</w:t>
            </w:r>
          </w:p>
        </w:tc>
        <w:tc>
          <w:tcPr>
            <w:tcW w:w="140" w:type="dxa"/>
            <w:vAlign w:val="bottom"/>
          </w:tcPr>
          <w:p>
            <w:pPr>
              <w:spacing w:after="0"/>
              <w:rPr>
                <w:sz w:val="17"/>
                <w:szCs w:val="17"/>
                <w:color w:val="auto"/>
              </w:rPr>
            </w:pPr>
          </w:p>
        </w:tc>
        <w:tc>
          <w:tcPr>
            <w:tcW w:w="1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(81.5 )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3"/>
        </w:trPr>
        <w:tc>
          <w:tcPr>
            <w:tcW w:w="65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327.5</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3"/>
        </w:trPr>
        <w:tc>
          <w:tcPr>
            <w:tcW w:w="6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(1.4 )</w:t>
            </w:r>
          </w:p>
        </w:tc>
        <w:tc>
          <w:tcPr>
            <w:tcW w:w="140" w:type="dxa"/>
            <w:vAlign w:val="bottom"/>
          </w:tcPr>
          <w:p>
            <w:pPr>
              <w:spacing w:after="0"/>
              <w:rPr>
                <w:sz w:val="17"/>
                <w:szCs w:val="17"/>
                <w:color w:val="auto"/>
              </w:rPr>
            </w:pPr>
          </w:p>
        </w:tc>
        <w:tc>
          <w:tcPr>
            <w:tcW w:w="1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(0.3 )</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280.3</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Net cash provided by (used in) operating activities consists of net loss adjusted for certain non-cash items and changes in other assets and liabilities.</w:t>
      </w:r>
    </w:p>
    <w:p>
      <w:pPr>
        <w:spacing w:after="0" w:line="11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During 2021, cash provided by operating activities of $17.1 million was primarily the result of net loss of $28.1 million adjusted for non-cash expenses of $41.8 million, which primarily include stock-based compensation expense of $18.9 million, change in fair value of preferred stock warrant liability of $10.8 million, depreciation and amortization of $9.0 million, the revaluation of contingent consideration of $2.3 million, non-cash interest expense of $0.3 million, amortization of deferred contract costs of $0.2 million, bad debt expense of $0.2 million and deferred tax provision of $0.1 million, benefited by changes in operating assets and liabilities of $3.5 million.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88" w:name="page89"/>
    <w:bookmarkEnd w:id="88"/>
    <w:p>
      <w:pPr>
        <w:ind w:right="20" w:firstLine="509"/>
        <w:spacing w:after="0" w:line="247" w:lineRule="auto"/>
        <w:rPr>
          <w:sz w:val="20"/>
          <w:szCs w:val="20"/>
          <w:color w:val="auto"/>
        </w:rPr>
      </w:pPr>
      <w:r>
        <w:rPr>
          <w:rFonts w:ascii="Arial" w:cs="Arial" w:eastAsia="Arial" w:hAnsi="Arial"/>
          <w:sz w:val="18"/>
          <w:szCs w:val="18"/>
          <w:color w:val="auto"/>
        </w:rPr>
        <w:t>During 2020, cash used in operating activities of $14.2 million was primarily the result of net loss of $ 11.1 million adjusted for non-cash expenses of $9.0 million, which primarily include depreciation and amortization of $6.8 million, stock-based compensation expense of $3.8 million, revaluation of contingent consideration of $5.4 million and the change in fair value of preferred stock warrant liability of $0.7 million, offset by $8.5 million related to deferred taxes and $12.1 million related to changes in our operating assets and liabilities.</w:t>
      </w:r>
    </w:p>
    <w:p>
      <w:pPr>
        <w:spacing w:after="0" w:line="14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During 2019, cash provided by operating activities of $4.1 million was primarily the result of net loss of $20.1 million adjusted for non-cash expenses of $8.0 million, which primarily include depreciation and amortization of $3.7 million, stock-based compensation expense of $2.9 million, revaluation of contingent consideration of $0.7 million, and change in fair value of preferred stock warrant liability of $0.1 million, benefited by changes in operating assets and liabilities of $16.2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During 2021, cash used in investing activities of $62.9 million was the result of our acquisition of WPM for a purchase price of $56.1 million in cash, purchase of property and equipment for $6.7 million and asset acquisition of $0.1 million.</w:t>
      </w:r>
    </w:p>
    <w:p>
      <w:pPr>
        <w:spacing w:after="0" w:line="12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During 2020, cash used in investing activities of $81.5 million was the result of our acquisition of Simplee for a purchase price of $79.4 million in cash, and $2.1 million related to purchases of computer equipment and software.</w:t>
      </w:r>
    </w:p>
    <w:p>
      <w:pPr>
        <w:spacing w:after="0" w:line="11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During 2019, cash used in investing activities of $3.7 million was the result of leasehold improvements and purchases of computer equipment and software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During 2021, cash provided by financing activities of $327.5 million was primarily driven by the net proceeds received from our IPO of $263.8 million, net proceeds received from our sale of preferred stock of $59.7 million and proceeds from the exercise of stock options and warrants of $6.9 million, net proceeds from borrowings under our Revolving Credit facility of $25.9 million, offset by the payoff of our previously existing term loan of $25.0 million, payments for contingent consideration of $3.8 million related to our acquisition of Simplee and $0.4 million related to issuance costs associated with our revolving credit facility.</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2020, cash provided by financing activities of $119.0 million was the result of our sale of preferred stock for aggregate proceeds of $119.8 million and proceeds from the exercise of stock options of $ 0.8 million, primarily offset by payments for contingent consideration of $1.3 million related to our acquisition of OnPlan Holdings, LLC during 2018.</w:t>
      </w:r>
    </w:p>
    <w:p>
      <w:pPr>
        <w:spacing w:after="0" w:line="12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During 2019, cash used in financing activities of $3.9 million was the result of proceeds from issuance of long-term debt of $10.0 million and proceeds from the exercise of stock options of $0.5 million, primarily offset by payments for contingent and deferred consideration of $14.1 million related to our acquisition of OnPlan Holdings, LLC during 2018.</w:t>
      </w:r>
    </w:p>
    <w:p>
      <w:pPr>
        <w:spacing w:after="0" w:line="14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As of December 31, 2021, we had $ 25.9 million of outstanding indebtedness under the Revolving Credit Facility. The proceeds of the Revolving Credit Facility were used to pay off the existing loan of $25.0 million. The Revolving Credit Facility consists of ABR loans or Eurodollar Borrowings, at our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We have access to an additional $24.1 million of additional funds under the Revolving Credit Facility to draw in the future.</w:t>
      </w:r>
    </w:p>
    <w:p>
      <w:pPr>
        <w:spacing w:after="0" w:line="143"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As of December 31, 2020, we had $25.0 million of outstanding indebtedness under the LSA. The proceeds of the Term Loan were used to purchase OnPlan Holdings, LLC. The LSA was interest only until May 2023 and bore annual interest at a rate equal to the greater of</w:t>
      </w:r>
    </w:p>
    <w:p>
      <w:pPr>
        <w:ind w:left="5520" w:right="2640" w:hanging="5512"/>
        <w:spacing w:after="0" w:line="376" w:lineRule="auto"/>
        <w:tabs>
          <w:tab w:leader="none" w:pos="2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5.25% above the prime rate of (ii) 8.50%. Refer to </w:t>
      </w:r>
      <w:r>
        <w:rPr>
          <w:rFonts w:ascii="Arial" w:cs="Arial" w:eastAsia="Arial" w:hAnsi="Arial"/>
          <w:sz w:val="18"/>
          <w:szCs w:val="18"/>
          <w:i w:val="1"/>
          <w:iCs w:val="1"/>
          <w:color w:val="auto"/>
        </w:rPr>
        <w:t>Note 10 - Debt</w:t>
      </w:r>
      <w:r>
        <w:rPr>
          <w:rFonts w:ascii="Arial" w:cs="Arial" w:eastAsia="Arial" w:hAnsi="Arial"/>
          <w:sz w:val="18"/>
          <w:szCs w:val="18"/>
          <w:color w:val="auto"/>
        </w:rPr>
        <w:t xml:space="preserve"> for additional details related to the LSA.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xml:space="preserve"> to our consolidated financial statements included elsewhere in this Annual Report on Form 10-K. We believe that the following critical accounting policies are most important to the judgments and estimates used in the preparation of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Intangible assets consist of acquired developed technology, customer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2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customer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noncompete agreements using the with and without method. This method compares our projected discounted cash flows in two distinct scenarios: first, we assume that the covenant not-to-compete is in-place and, second, we assume that the covenant not-to-compete is not in-place. A probability adjustment factor is then applied to the difference between the two scenarios to determine the fair value of the noncompete agreement.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w:t>
      </w:r>
    </w:p>
    <w:p>
      <w:pPr>
        <w:spacing w:after="0" w:line="14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 The useful lives for noncompete agreements are determined based on the term of the related agreements.</w:t>
      </w:r>
    </w:p>
    <w:p>
      <w:pPr>
        <w:spacing w:after="0" w:line="149" w:lineRule="exact"/>
        <w:rPr>
          <w:sz w:val="20"/>
          <w:szCs w:val="20"/>
          <w:color w:val="auto"/>
        </w:rPr>
      </w:pPr>
    </w:p>
    <w:p>
      <w:pPr>
        <w:jc w:val="both"/>
        <w:ind w:right="440" w:firstLine="509"/>
        <w:spacing w:after="0" w:line="253" w:lineRule="auto"/>
        <w:rPr>
          <w:sz w:val="20"/>
          <w:szCs w:val="20"/>
          <w:color w:val="auto"/>
        </w:rPr>
      </w:pPr>
      <w:r>
        <w:rPr>
          <w:rFonts w:ascii="Arial" w:cs="Arial" w:eastAsia="Arial" w:hAnsi="Arial"/>
          <w:sz w:val="18"/>
          <w:szCs w:val="18"/>
          <w:color w:val="404040"/>
        </w:rPr>
        <w:t>In</w:t>
      </w:r>
      <w:r>
        <w:rPr>
          <w:rFonts w:ascii="Arial" w:cs="Arial" w:eastAsia="Arial" w:hAnsi="Arial"/>
          <w:sz w:val="18"/>
          <w:szCs w:val="18"/>
          <w:color w:val="000000"/>
        </w:rPr>
        <w:t>tangible assets are amortized using a method that reflects the pattern in which the economic benefits of the intangible asset are</w:t>
      </w:r>
      <w:r>
        <w:rPr>
          <w:rFonts w:ascii="Arial" w:cs="Arial" w:eastAsia="Arial" w:hAnsi="Arial"/>
          <w:sz w:val="18"/>
          <w:szCs w:val="18"/>
          <w:color w:val="404040"/>
        </w:rPr>
        <w:t xml:space="preserve"> </w:t>
      </w:r>
      <w:r>
        <w:rPr>
          <w:rFonts w:ascii="Arial" w:cs="Arial" w:eastAsia="Arial" w:hAnsi="Arial"/>
          <w:sz w:val="18"/>
          <w:szCs w:val="18"/>
          <w:color w:val="000000"/>
        </w:rPr>
        <w:t>expected to be realized over their estimated useful lives ranging from one to twelve years. No significant residual value is estimated for intangible assets.</w:t>
      </w:r>
    </w:p>
    <w:p>
      <w:pPr>
        <w:spacing w:after="0" w:line="128"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The estimated fair values of these intangible assets reflect various assumptions including discount rates, revenue growth rates, operating margins, terminal values, useful lives and other prospective financial information.</w:t>
      </w:r>
    </w:p>
    <w:p>
      <w:pPr>
        <w:spacing w:after="0" w:line="11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Contingent consideration in business combinations is recognized at fair value on the acquisition date.</w:t>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0" w:name="page91"/>
    <w:bookmarkEnd w:id="90"/>
    <w:p>
      <w:pPr>
        <w:ind w:firstLine="509"/>
        <w:spacing w:after="0" w:line="237" w:lineRule="auto"/>
        <w:rPr>
          <w:sz w:val="20"/>
          <w:szCs w:val="20"/>
          <w:color w:val="auto"/>
        </w:rPr>
      </w:pPr>
      <w:r>
        <w:rPr>
          <w:rFonts w:ascii="Arial" w:cs="Arial" w:eastAsia="Arial" w:hAnsi="Arial"/>
          <w:sz w:val="18"/>
          <w:szCs w:val="18"/>
          <w:color w:val="auto"/>
        </w:rPr>
        <w:t>In connection with the acquisition of WPM, we entered into an agreement to make certain earn-out payments based on the achievement of certain platform integration objectives as well as the achievement of minimum payment volume targets. The platform integration objectives are payable upon completion, and the payment volume targets are payable based on the results of the 15 month and subsequent 12 month periods after acquisition. The fair value of the contingent consideration related to the payment volume targets was determined using an option pricing model and the fair value of the contingent consideration related to the platform integration objectives was determined using a scenario based method that reflects our expectation about the probability of payment based on facts and circumstances that existed at the acquisition closing date. The option pricing model includes significant unobservable inputs such as expectations regarding payment volume, a market price of risk adjustment for revenue and revenue volatility. The scenario based method includes significant unobservable inputs such as the probability of completing certain platform integrations. Increases or decreases in any of the probabilities of success in which the platform integration objectives are expected to be achieved would result in higher or lower fair value measurement, respectively. Increases or decreases in expectations regarding the level at which payment volume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6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connection with the acquisition of Simplee, we entered into an agreement to make certain earn-out payments based on the achievement of applicable objectives as well as the achievement of certain revenue targets established for the years ended December 31, 2020 and 2021. The earn-outs related to the Simplee acquisition were payable at the one-year and two-year acquisition anniversary dates based on the prior year calendar revenue results. The fair value of the contingent consideration was determined using an option pricing model that reflects our expectation about the probability of payment based on facts and circumstances that existed at the acquisition closing date. The option pricing model includes significant unobservable inputs such as a discount rate that equals risk-free rate plus a spread to reflect the credit risk as estimated by our cost of debt, the probability of achieving established revenue, the probability of retaining key employees and the probability of completing certain platform integrations. Increases or decreases in any of the probabilities of success in which volume targets are expected to be achieved would result in a higher or lower liability, respectively. Increases or decreases in the discount rate would result in a lower or higher liability, respectively.</w:t>
      </w:r>
    </w:p>
    <w:p>
      <w:pPr>
        <w:spacing w:after="0" w:line="13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The maximum amount we would be required to pay related to WPM and Simplee acquisitions is $7.9 million and $20.0 million, respectively. The fair value of the contingent consideration at December 31, 2021 and 2020 was $11.3 and $12.5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 to Purchase Preferred Stock</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Prior to our IPO, we classified warrants to purchase shares of our convertible preferred stock as liabilities on our balance sheets as these were free standing instruments that may have required us to transfer assets upon exercise. The warrant liability associated with these warrants was recorded at fair value on the issuance date of each warrant and was subsequently marked to market each reporting period based on changes in the warrants’ fair value calculated using the Black-Scholes model. Inputs used in the fair value calculation included exercise price, risk-free interest rate, expected dividend yield, remaining contractual term and expected volatility. We determined the fair value per share of the underlying preferred stock by taking into consideration the most recent sales of our convertible preferred stock, results obtained from third-party valuations and additional factors that we deemed relevant. We were a private company and lacked company-specific historical and implied volatility information of our stock. Therefore, we estimated expected stock volatility based on the historical volatility of publicly traded peer companies for a term equal to the remaining contractual term of the warrants. The risk-free interest rate was determined by reference to the U.S. Treasury yield curve for time periods approximately equal to the remaining contractual term of the warrants. We estimated a 0% dividend yield based on the fact that we have never paid or declared dividends. Following our IPO, the preferred stock warrants were either fully exercised or converted to warrants to purchase common stock. As of December 31, 2021, there were no preferred stock warrants outstanding.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color w:val="auto"/>
        </w:rPr>
        <w:t>The table below quantifies the weighted average of the most significant inputs used for the warrants valuation:</w:t>
      </w:r>
    </w:p>
    <w:p>
      <w:pPr>
        <w:spacing w:after="0" w:line="19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of preferred stock</w:t>
            </w:r>
          </w:p>
        </w:tc>
        <w:tc>
          <w:tcPr>
            <w:tcW w:w="1020" w:type="dxa"/>
            <w:vAlign w:val="bottom"/>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6.48</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4.67</w:t>
            </w:r>
          </w:p>
        </w:tc>
        <w:tc>
          <w:tcPr>
            <w:tcW w:w="22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0.7 %</w:t>
            </w:r>
          </w:p>
        </w:tc>
        <w:tc>
          <w:tcPr>
            <w:tcW w:w="34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1.8 %</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42.5 %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44.0 %</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02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Remaining contractual term (in years)</w:t>
            </w: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7"/>
                <w:szCs w:val="17"/>
                <w:color w:val="auto"/>
              </w:rPr>
            </w:pPr>
          </w:p>
        </w:tc>
      </w:tr>
    </w:tbl>
    <w:p>
      <w:pPr>
        <w:spacing w:after="0" w:line="15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Changes in fair value of the warrants were recognized on the consolidated statements of operations and comprehensive loss. There were no warrants to purchase preferred stock issued during the year ended on December 31, 2021 and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16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transaction revenue is derived from fees charged for payment processing services provided to educational institutions, healthcare entities and other commercial entities.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 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56"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33" w:lineRule="exact"/>
        <w:rPr>
          <w:sz w:val="20"/>
          <w:szCs w:val="20"/>
          <w:color w:val="auto"/>
        </w:rPr>
      </w:pPr>
    </w:p>
    <w:p>
      <w:pPr>
        <w:jc w:val="both"/>
        <w:ind w:right="180" w:firstLine="509"/>
        <w:spacing w:after="0" w:line="244" w:lineRule="auto"/>
        <w:rPr>
          <w:sz w:val="20"/>
          <w:szCs w:val="20"/>
          <w:color w:val="auto"/>
        </w:rPr>
      </w:pPr>
      <w:r>
        <w:rPr>
          <w:rFonts w:ascii="Arial" w:cs="Arial" w:eastAsia="Arial" w:hAnsi="Arial"/>
          <w:sz w:val="18"/>
          <w:szCs w:val="18"/>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 costs line in the consolidated statements of operations and comprehensive loss.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and Usage-Based Fee Revenue</w:t>
      </w:r>
    </w:p>
    <w:p>
      <w:pPr>
        <w:spacing w:after="0" w:line="18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Our platform and usage -based fee revenue is derived from fees earned for utilizing our platform to collect accounts receivables on behalf of our clients from their customers, fees collected on payment plans established by a client for obligations due by a client’s customer, subscription fees and fees related to printing and mailing statements. Fees charged consist of a fixed fee and a variable fee determined based on volume of transaction processed through our platform.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69"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We use significant judgement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2" w:name="page93"/>
    <w:bookmarkEnd w:id="92"/>
    <w:p>
      <w:pPr>
        <w:ind w:right="320"/>
        <w:spacing w:after="0" w:line="271" w:lineRule="auto"/>
        <w:rPr>
          <w:sz w:val="20"/>
          <w:szCs w:val="20"/>
          <w:color w:val="auto"/>
        </w:rPr>
      </w:pPr>
      <w:r>
        <w:rPr>
          <w:rFonts w:ascii="Arial" w:cs="Arial" w:eastAsia="Arial" w:hAnsi="Arial"/>
          <w:sz w:val="18"/>
          <w:szCs w:val="18"/>
          <w:color w:val="auto"/>
        </w:rPr>
        <w:t>whether the arrangements contain a series of distinct services that are substantially the same and whether they have the same pattern of transfer.</w:t>
      </w:r>
    </w:p>
    <w:p>
      <w:pPr>
        <w:spacing w:after="0" w:line="127"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25"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1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Recognition Policies</w:t>
      </w:r>
    </w:p>
    <w:p>
      <w:pPr>
        <w:spacing w:after="0" w:line="183"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determine stock-based compensation expense associated with stock options based on the estimated grant date fair value method using the Black-Scholes option-pricing model. We recognize these compensation costs on a straight-line basis over the requisite service period of the award, which is generally the option vesting term of four years. We account for forfeitures as they occur.</w:t>
      </w:r>
    </w:p>
    <w:p>
      <w:pPr>
        <w:spacing w:after="0" w:line="142"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11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for option grants is determined using the simplified method. The simplified method deems the term to be the average of the time-to-vesting and the contractual life of the stock-based awards.</w:t>
      </w:r>
    </w:p>
    <w:p>
      <w:pPr>
        <w:spacing w:after="0" w:line="128"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a recent public company with limited trading history for our common stock, the expected volatility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average volatility for comparable publicly traded companies over a period equal to the expected term of the stock option grants. The comparable companies are chosen based on their similar size, stage in the lifecycle or area of specialty.</w:t>
      </w:r>
    </w:p>
    <w:p>
      <w:pPr>
        <w:spacing w:after="0" w:line="142"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1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non-voting common stock and have no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dividends on our common stock.</w:t>
      </w:r>
    </w:p>
    <w:p>
      <w:pPr>
        <w:spacing w:after="0" w:line="11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i w:val="1"/>
          <w:iCs w:val="1"/>
          <w:color w:val="auto"/>
        </w:rPr>
        <w:t>Common Stock Valuation</w:t>
      </w:r>
      <w:r>
        <w:rPr>
          <w:rFonts w:ascii="Arial" w:cs="Arial" w:eastAsia="Arial" w:hAnsi="Arial"/>
          <w:sz w:val="18"/>
          <w:szCs w:val="18"/>
          <w:color w:val="auto"/>
        </w:rPr>
        <w:t>—Given the absence of an active market for our common stock and non-voting common stock prior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IPO, the fair value of the shares of common stock underlying our share-based awards was estimated on</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93" w:name="page94"/>
    <w:bookmarkEnd w:id="93"/>
    <w:p>
      <w:pPr>
        <w:spacing w:after="0" w:line="237" w:lineRule="auto"/>
        <w:rPr>
          <w:sz w:val="20"/>
          <w:szCs w:val="20"/>
          <w:color w:val="auto"/>
        </w:rPr>
      </w:pPr>
      <w:r>
        <w:rPr>
          <w:rFonts w:ascii="Arial" w:cs="Arial" w:eastAsia="Arial" w:hAnsi="Arial"/>
          <w:sz w:val="18"/>
          <w:szCs w:val="18"/>
          <w:color w:val="auto"/>
        </w:rPr>
        <w:t>each grant date by our board of directors with input from management and contemporaneous third-party valuations. These third-party valuations were performed in accordance with the guidance outlined by the American Institute of Certified Public Accountants 2013 Practice Aid, Valuation of Privately-Held-Company Equity Securities Issued as Compensation using either an option-pricing method, or OPM, or a hybrid method, both of which used market approaches and income approaches to estimate our enterprise value.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a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redeemable convertible preferred stock as call options on an equity value, with exercise prices based on the liquidation preference of our redeemable convertible preferred stock. Under this method, our common stock has value only if the funds available for distribution to stockholders exceed the value of the liquidation preference at the time of a liquidity event, such as a merger or sale, assuming we have funds available to make a liquidation preference meaningful and collectible by the stockholders. The common stock is considered to be a call option with a claim at an exercise price equal to the remaining value immediately after the redeemable convertible preferred stock is liquidated.</w:t>
      </w:r>
    </w:p>
    <w:p>
      <w:pPr>
        <w:spacing w:after="0" w:line="15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 addition to considering the results of third-party valuations, our board of directors exercised reasonable judgment and considered various objective and subjective factors to determine the fair value of our common stock as of the date of each grant, including:</w:t>
      </w:r>
    </w:p>
    <w:p>
      <w:pPr>
        <w:spacing w:after="0" w:line="113" w:lineRule="exact"/>
        <w:rPr>
          <w:sz w:val="20"/>
          <w:szCs w:val="20"/>
          <w:color w:val="auto"/>
        </w:rPr>
      </w:pPr>
    </w:p>
    <w:p>
      <w:pPr>
        <w:ind w:left="900" w:hanging="263"/>
        <w:spacing w:after="0"/>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actual operating results and financial performance;</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conditions in the industry and economy in general;</w:t>
      </w:r>
    </w:p>
    <w:p>
      <w:pPr>
        <w:spacing w:after="0" w:line="183" w:lineRule="exact"/>
        <w:rPr>
          <w:rFonts w:ascii="Times New Roman" w:cs="Times New Roman" w:eastAsia="Times New Roman" w:hAnsi="Times New Roman"/>
          <w:sz w:val="18"/>
          <w:szCs w:val="18"/>
          <w:color w:val="auto"/>
        </w:rPr>
      </w:pPr>
    </w:p>
    <w:p>
      <w:pPr>
        <w:ind w:left="900" w:right="360" w:hanging="263"/>
        <w:spacing w:after="0" w:line="270" w:lineRule="auto"/>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redeemable convertible preferred stock and convertible preferred stock relative to those of our common stock;</w:t>
      </w:r>
    </w:p>
    <w:p>
      <w:pPr>
        <w:spacing w:after="0" w:line="113"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the holders of our common stock, such as an IPO or a sale of our company, given prevailing market conditions;</w:t>
      </w:r>
    </w:p>
    <w:p>
      <w:pPr>
        <w:spacing w:after="0" w:line="113"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equity market conditions affecting comparable public companies and the market performance of comparable publicly traded companies;</w:t>
      </w:r>
    </w:p>
    <w:p>
      <w:pPr>
        <w:spacing w:after="0" w:line="127"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U.S. and global capital market conditions; and</w:t>
      </w:r>
    </w:p>
    <w:p>
      <w:pPr>
        <w:spacing w:after="0" w:line="170"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and the results of independent third-party valuations.</w:t>
      </w:r>
    </w:p>
    <w:p>
      <w:pPr>
        <w:spacing w:after="0" w:line="170"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42" w:lineRule="exact"/>
        <w:rPr>
          <w:sz w:val="20"/>
          <w:szCs w:val="20"/>
          <w:color w:val="auto"/>
        </w:rPr>
      </w:pPr>
    </w:p>
    <w:p>
      <w:pPr>
        <w:ind w:right="500" w:firstLine="509"/>
        <w:spacing w:after="0" w:line="253" w:lineRule="auto"/>
        <w:rPr>
          <w:sz w:val="20"/>
          <w:szCs w:val="20"/>
          <w:color w:val="auto"/>
        </w:rPr>
      </w:pPr>
      <w:r>
        <w:rPr>
          <w:rFonts w:ascii="Arial" w:cs="Arial" w:eastAsia="Arial" w:hAnsi="Arial"/>
          <w:sz w:val="18"/>
          <w:szCs w:val="18"/>
          <w:color w:val="auto"/>
        </w:rPr>
        <w:t>Following our IPO, our board of directors no longer estimate the fair value of our common stock in connection with granted stock options and other granted equity awards as the fair value of our common stock is determined based on the quoted market price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4" w:name="page95"/>
    <w:bookmarkEnd w:id="94"/>
    <w:p>
      <w:pPr>
        <w:ind w:right="520"/>
        <w:spacing w:after="0" w:line="271" w:lineRule="auto"/>
        <w:rPr>
          <w:sz w:val="20"/>
          <w:szCs w:val="20"/>
          <w:color w:val="auto"/>
        </w:rPr>
      </w:pPr>
      <w:r>
        <w:rPr>
          <w:rFonts w:ascii="Arial" w:cs="Arial" w:eastAsia="Arial" w:hAnsi="Arial"/>
          <w:sz w:val="18"/>
          <w:szCs w:val="18"/>
          <w:color w:val="auto"/>
        </w:rPr>
        <w:t>effective dates. We may choose to early adopt any new or revised accounting standards whenever such early adoption is permitted for nonpublic companies.</w:t>
      </w:r>
    </w:p>
    <w:p>
      <w:pPr>
        <w:spacing w:after="0" w:line="12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revenues of $1.07 billion or more, (ii) December 31, 2026, (iii) the date on which we have issued more than $1.0 billion in nonconvertible debt during the previous three years or (iv) the date on which we are deemed to be a large accelerated filer under the rules of the SEC.</w:t>
      </w:r>
    </w:p>
    <w:p>
      <w:pPr>
        <w:spacing w:after="0" w:line="13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See “Risk Factors - Risks Related to Ownership of Our Common Stock - We are an emerging growth company,” and we cannot be certain if the reduced disclosure requirements applicable to emerging growth companies will make our common stock less attractive to investors.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Business Overview and Summary of Significant Accounting Policies</w:t>
      </w:r>
      <w:r>
        <w:rPr>
          <w:rFonts w:ascii="Arial" w:cs="Arial" w:eastAsia="Arial" w:hAnsi="Arial"/>
          <w:sz w:val="18"/>
          <w:szCs w:val="18"/>
          <w:color w:val="auto"/>
        </w:rPr>
        <w:t xml:space="preserve"> to our consolidated financial statements included elsewhere in this Annual Report on Form 10-K for recently adopted accounting pronouncements and recently issued accounting pronouncements not yet adopted as of December 31, 2021.</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95" w:name="page96"/>
    <w:bookmarkEnd w:id="95"/>
    <w:p>
      <w:pPr>
        <w:ind w:right="5380"/>
        <w:spacing w:after="0" w:line="446" w:lineRule="auto"/>
        <w:rPr>
          <w:sz w:val="20"/>
          <w:szCs w:val="20"/>
          <w:color w:val="auto"/>
        </w:rPr>
      </w:pPr>
      <w:r>
        <w:rPr>
          <w:rFonts w:ascii="Arial" w:cs="Arial" w:eastAsia="Arial" w:hAnsi="Arial"/>
          <w:sz w:val="18"/>
          <w:szCs w:val="18"/>
          <w:b w:val="1"/>
          <w:bCs w:val="1"/>
          <w:color w:val="auto"/>
        </w:rPr>
        <w:t>Item 7A. Quantitative and Qualitative Disclosures About Market Risk Quantitative and Qualitative Disclosures About Market Risk</w:t>
      </w:r>
    </w:p>
    <w:p>
      <w:pPr>
        <w:ind w:right="220" w:firstLine="509"/>
        <w:spacing w:after="0" w:line="253"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Revolving Credit Facility consists of ABR loans or Eurodollar Borrowings, at our option. ABR loans bear interest at the ABR plus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As of December 31, 2021, $25.9 million was outstanding under our Revolving Credit Facility. An immediate 10% increase or decrease in interest rates would not have a material effect on our financial position, results of operations or cash flows.</w:t>
      </w:r>
    </w:p>
    <w:p>
      <w:pPr>
        <w:spacing w:after="0" w:line="143" w:lineRule="exact"/>
        <w:rPr>
          <w:sz w:val="20"/>
          <w:szCs w:val="20"/>
          <w:color w:val="auto"/>
        </w:rPr>
      </w:pPr>
    </w:p>
    <w:p>
      <w:pPr>
        <w:ind w:right="100" w:firstLine="509"/>
        <w:spacing w:after="0" w:line="301" w:lineRule="auto"/>
        <w:rPr>
          <w:sz w:val="20"/>
          <w:szCs w:val="20"/>
          <w:color w:val="auto"/>
        </w:rPr>
      </w:pPr>
      <w:r>
        <w:rPr>
          <w:rFonts w:ascii="Arial" w:cs="Arial" w:eastAsia="Arial" w:hAnsi="Arial"/>
          <w:sz w:val="17"/>
          <w:szCs w:val="17"/>
          <w:color w:val="auto"/>
        </w:rPr>
        <w:t>Prior to our Revolving Credit Facility, we incurred borrowings under the LSA which accrued interest at a floating per annum rate equal to the greater of (i) 5.25% above the prime rate; or (ii) 8.50%. As of December 31, 2020, $24.3 million was outstanding under the LSA.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 As a result, to date foreign currency fluctuations with respect to our cross-border payments have not resulted in a materially unfavorable effect on our operating results, financial position or cash flows. In addition, our reporting currency is the U.S. Dollar. The financial statements of our foreign subsidiaries are translated from local currency into U.S. Dollars using the exchange rate at the balance sheet date for assets and liabilities, and the average exchange rate in effect during the period for revenue and expenses. Our functional currency and the functional currency of our subsidiaries, with the exception of our UK subsidiary, is the U.S. Dollar. The functional currency for our UK subsidiary is considered to be the local currency and, accordingly, translation adjustments for this entity are included as a component of accumulated other comprehensive loss in our consolidated balance sheets. Gains and losses from the remeasurement of foreign currency transactions into the functional currency are recognized as other income (expense), net in the consolidated statements of operations and comprehensive loss. We do not believe a 10% increase or decrease in current exchange rates would have a material impact on our operating results, financial position or cash flows.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7"/>
        </w:trPr>
        <w:tc>
          <w:tcPr>
            <w:tcW w:w="1060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highlight w:val="white"/>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000FF"/>
                  <w:highlight w:val="white"/>
                </w:rPr>
                <w:t>238)</w:t>
              </w:r>
            </w:hyperlink>
          </w:p>
        </w:tc>
        <w:tc>
          <w:tcPr>
            <w:tcW w:w="100" w:type="dxa"/>
            <w:vAlign w:val="bottom"/>
          </w:tcPr>
          <w:p>
            <w:pPr>
              <w:spacing w:after="0"/>
              <w:rPr>
                <w:sz w:val="24"/>
                <w:szCs w:val="2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59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99">
              <w:r>
                <w:rPr>
                  <w:rFonts w:ascii="Arial" w:cs="Arial" w:eastAsia="Arial" w:hAnsi="Arial"/>
                  <w:sz w:val="18"/>
                  <w:szCs w:val="18"/>
                  <w:color w:val="0000FF"/>
                </w:rPr>
                <w:t>Consolidated Balance Sheets</w:t>
              </w:r>
            </w:hyperlink>
          </w:p>
        </w:tc>
        <w:tc>
          <w:tcPr>
            <w:tcW w:w="4600" w:type="dxa"/>
            <w:vAlign w:val="bottom"/>
            <w:gridSpan w:val="2"/>
          </w:tcPr>
          <w:p>
            <w:pPr>
              <w:spacing w:after="0"/>
              <w:rPr>
                <w:sz w:val="17"/>
                <w:szCs w:val="17"/>
                <w:color w:val="auto"/>
              </w:rPr>
            </w:pPr>
          </w:p>
        </w:tc>
        <w:tc>
          <w:tcPr>
            <w:tcW w:w="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524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w:anchor="page101">
              <w:r>
                <w:rPr>
                  <w:rFonts w:ascii="Arial" w:cs="Arial" w:eastAsia="Arial" w:hAnsi="Arial"/>
                  <w:sz w:val="18"/>
                  <w:szCs w:val="18"/>
                  <w:color w:val="0000FF"/>
                  <w:w w:val="99"/>
                </w:rPr>
                <w:t>Consolidated Statements of Operations and Comprehensive Loss</w:t>
              </w:r>
            </w:hyperlink>
          </w:p>
        </w:tc>
        <w:tc>
          <w:tcPr>
            <w:tcW w:w="20" w:type="dxa"/>
            <w:vAlign w:val="bottom"/>
            <w:tcBorders>
              <w:bottom w:val="single" w:sz="8" w:color="0000EE"/>
            </w:tcBorders>
          </w:tcPr>
          <w:p>
            <w:pPr>
              <w:spacing w:after="0"/>
              <w:rPr>
                <w:sz w:val="17"/>
                <w:szCs w:val="17"/>
                <w:color w:val="auto"/>
              </w:rPr>
            </w:pPr>
          </w:p>
        </w:tc>
        <w:tc>
          <w:tcPr>
            <w:tcW w:w="5320" w:type="dxa"/>
            <w:vAlign w:val="bottom"/>
            <w:gridSpan w:val="3"/>
          </w:tcPr>
          <w:p>
            <w:pPr>
              <w:spacing w:after="0"/>
              <w:rPr>
                <w:sz w:val="17"/>
                <w:szCs w:val="17"/>
                <w:color w:val="auto"/>
              </w:rPr>
            </w:pPr>
          </w:p>
        </w:tc>
        <w:tc>
          <w:tcPr>
            <w:tcW w:w="6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580" w:type="dxa"/>
            <w:vAlign w:val="bottom"/>
            <w:gridSpan w:val="10"/>
          </w:tcPr>
          <w:p>
            <w:pPr>
              <w:spacing w:after="0" w:line="182" w:lineRule="exact"/>
              <w:rPr>
                <w:rFonts w:ascii="Arial" w:cs="Arial" w:eastAsia="Arial" w:hAnsi="Arial"/>
                <w:sz w:val="18"/>
                <w:szCs w:val="18"/>
                <w:color w:val="0000FF"/>
              </w:rPr>
            </w:pPr>
            <w:hyperlink w:anchor="page102">
              <w:r>
                <w:rPr>
                  <w:rFonts w:ascii="Arial" w:cs="Arial" w:eastAsia="Arial" w:hAnsi="Arial"/>
                  <w:sz w:val="18"/>
                  <w:szCs w:val="18"/>
                  <w:color w:val="0000FF"/>
                </w:rPr>
                <w:t>Consolidated Statements of Convertible Preferred Stock, Redeemable Convertible Preferred Stock and Stockholders’ Equity</w:t>
              </w:r>
            </w:hyperlink>
          </w:p>
        </w:tc>
        <w:tc>
          <w:tcPr>
            <w:tcW w:w="6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gridSpan w:val="2"/>
          </w:tcPr>
          <w:p>
            <w:pPr>
              <w:spacing w:after="0" w:line="162" w:lineRule="exact"/>
              <w:rPr>
                <w:rFonts w:ascii="Arial" w:cs="Arial" w:eastAsia="Arial" w:hAnsi="Arial"/>
                <w:sz w:val="18"/>
                <w:szCs w:val="18"/>
                <w:color w:val="0000FF"/>
                <w:highlight w:val="white"/>
                <w:w w:val="96"/>
              </w:rPr>
            </w:pPr>
            <w:hyperlink w:anchor="page102">
              <w:r>
                <w:rPr>
                  <w:rFonts w:ascii="Arial" w:cs="Arial" w:eastAsia="Arial" w:hAnsi="Arial"/>
                  <w:sz w:val="18"/>
                  <w:szCs w:val="18"/>
                  <w:color w:val="0000FF"/>
                  <w:highlight w:val="white"/>
                  <w:w w:val="96"/>
                </w:rPr>
                <w:t>(Deficit</w:t>
              </w:r>
              <w:r>
                <w:rPr>
                  <w:rFonts w:ascii="Arial" w:cs="Arial" w:eastAsia="Arial" w:hAnsi="Arial"/>
                  <w:sz w:val="18"/>
                  <w:szCs w:val="18"/>
                  <w:color w:val="000000"/>
                  <w:highlight w:val="white"/>
                  <w:w w:val="96"/>
                </w:rPr>
                <w:t>)</w:t>
              </w:r>
            </w:hyperlink>
          </w:p>
        </w:tc>
        <w:tc>
          <w:tcPr>
            <w:tcW w:w="2580" w:type="dxa"/>
            <w:vAlign w:val="bottom"/>
            <w:tcBorders>
              <w:top w:val="single" w:sz="8" w:color="0000FF"/>
            </w:tcBorders>
            <w:gridSpan w:val="2"/>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440" w:type="dxa"/>
            <w:vAlign w:val="bottom"/>
            <w:tcBorders>
              <w:top w:val="single" w:sz="8" w:color="0000FF"/>
            </w:tcBorders>
            <w:gridSpan w:val="4"/>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640" w:type="dxa"/>
            <w:vAlign w:val="bottom"/>
            <w:gridSpan w:val="4"/>
            <w:vMerge w:val="restart"/>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80" w:type="dxa"/>
            <w:vAlign w:val="bottom"/>
            <w:gridSpan w:val="10"/>
          </w:tcPr>
          <w:p>
            <w:pPr>
              <w:spacing w:after="0" w:line="182" w:lineRule="exact"/>
              <w:rPr>
                <w:rFonts w:ascii="Arial" w:cs="Arial" w:eastAsia="Arial" w:hAnsi="Arial"/>
                <w:sz w:val="18"/>
                <w:szCs w:val="18"/>
                <w:color w:val="0000FF"/>
              </w:rPr>
            </w:pPr>
            <w:hyperlink w:anchor="page104">
              <w:r>
                <w:rPr>
                  <w:rFonts w:ascii="Arial" w:cs="Arial" w:eastAsia="Arial" w:hAnsi="Arial"/>
                  <w:sz w:val="18"/>
                  <w:szCs w:val="18"/>
                  <w:color w:val="0000FF"/>
                </w:rPr>
                <w:t>Consolidated Statements of Cash Flows</w:t>
              </w:r>
            </w:hyperlink>
          </w:p>
        </w:tc>
        <w:tc>
          <w:tcPr>
            <w:tcW w:w="6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6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0"/>
          </w:tcPr>
          <w:p>
            <w:pPr>
              <w:spacing w:after="0" w:line="196" w:lineRule="exact"/>
              <w:rPr>
                <w:rFonts w:ascii="Arial" w:cs="Arial" w:eastAsia="Arial" w:hAnsi="Arial"/>
                <w:sz w:val="18"/>
                <w:szCs w:val="18"/>
                <w:color w:val="0000FF"/>
              </w:rPr>
            </w:pPr>
            <w:hyperlink w:anchor="page106">
              <w:r>
                <w:rPr>
                  <w:rFonts w:ascii="Arial" w:cs="Arial" w:eastAsia="Arial" w:hAnsi="Arial"/>
                  <w:sz w:val="18"/>
                  <w:szCs w:val="18"/>
                  <w:color w:val="0000FF"/>
                </w:rPr>
                <w:t>Notes to Consolidated Financial Statements</w:t>
              </w:r>
            </w:hyperlink>
          </w:p>
        </w:tc>
        <w:tc>
          <w:tcPr>
            <w:tcW w:w="6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3500" w:type="dxa"/>
            <w:vAlign w:val="bottom"/>
            <w:tcBorders>
              <w:top w:val="single" w:sz="8" w:color="0000FF"/>
            </w:tcBorders>
            <w:gridSpan w:val="5"/>
          </w:tcPr>
          <w:p>
            <w:pPr>
              <w:spacing w:after="0"/>
              <w:rPr>
                <w:sz w:val="24"/>
                <w:szCs w:val="24"/>
                <w:color w:val="auto"/>
              </w:rPr>
            </w:pP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95</w:t>
            </w:r>
          </w:p>
        </w:tc>
        <w:tc>
          <w:tcPr>
            <w:tcW w:w="3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7" w:name="page98"/>
    <w:bookmarkEnd w:id="97"/>
    <w:p>
      <w:pPr>
        <w:ind w:left="2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Flywire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Flywire Corporation and its subsidiaries (the “Company”) as of December 31, 2021 and 2020, and the related consolidated statements of operations and comprehensive loss, of convertible preferred stock, redeemable convertible preferred stock and stockholders’ equity (deficit),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6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U.S.A.</w:t>
      </w:r>
    </w:p>
    <w:p>
      <w:pPr>
        <w:spacing w:after="0"/>
        <w:rPr>
          <w:sz w:val="20"/>
          <w:szCs w:val="20"/>
          <w:color w:val="auto"/>
        </w:rPr>
      </w:pPr>
      <w:r>
        <w:rPr>
          <w:rFonts w:ascii="Arial" w:cs="Arial" w:eastAsia="Arial" w:hAnsi="Arial"/>
          <w:sz w:val="18"/>
          <w:szCs w:val="18"/>
          <w:color w:val="auto"/>
        </w:rPr>
        <w:t>March 29</w:t>
      </w:r>
      <w:r>
        <w:rPr>
          <w:rFonts w:ascii="Arial" w:cs="Arial" w:eastAsia="Arial" w:hAnsi="Arial"/>
          <w:sz w:val="18"/>
          <w:szCs w:val="18"/>
          <w:b w:val="1"/>
          <w:bCs w:val="1"/>
          <w:color w:val="auto"/>
        </w:rPr>
        <w:t>,</w:t>
      </w:r>
      <w:r>
        <w:rPr>
          <w:rFonts w:ascii="Arial" w:cs="Arial" w:eastAsia="Arial" w:hAnsi="Arial"/>
          <w:sz w:val="18"/>
          <w:szCs w:val="18"/>
          <w:color w:val="auto"/>
        </w:rPr>
        <w:t xml:space="preserve">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8" w:name="page99"/>
    <w:bookmarkEnd w:id="98"/>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385,360</w:t>
            </w:r>
          </w:p>
        </w:tc>
        <w:tc>
          <w:tcPr>
            <w:tcW w:w="6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104,052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4,000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receivable, net of allowance for doubtful accounts of $106 and $481, respectively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12,968</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3,340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Funds receivable from payment partners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28,286</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22,481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9,834</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443,788</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148,558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9,442</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93,598</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85,841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44,650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7,176</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4,922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20" w:type="dxa"/>
            <w:vAlign w:val="bottom"/>
          </w:tcPr>
          <w:p>
            <w:pPr>
              <w:ind w:left="520"/>
              <w:spacing w:after="0" w:line="196" w:lineRule="exact"/>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639,845</w:t>
            </w:r>
          </w:p>
        </w:tc>
        <w:tc>
          <w:tcPr>
            <w:tcW w:w="66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271,442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Liabilities, Convertible Preferred Stock, Redeemable Convertible</w:t>
            </w: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Preferred Stock and Stockholders’ Equity (Deficit)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10,242</w:t>
            </w:r>
          </w:p>
        </w:tc>
        <w:tc>
          <w:tcPr>
            <w:tcW w:w="6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5,436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Funds payable to clients</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71,302</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22,726</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14,991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5,488</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Contingent consideration</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7,719</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6,740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20" w:type="dxa"/>
            <w:vAlign w:val="bottom"/>
          </w:tcPr>
          <w:p>
            <w:pPr>
              <w:ind w:left="520"/>
              <w:spacing w:after="0" w:line="196" w:lineRule="exact"/>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117,477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88,380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8,401</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2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 net of current portion</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3,590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Preferred stock warrant liability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25,939</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24,352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2,237</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2,129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20" w:type="dxa"/>
            <w:vAlign w:val="bottom"/>
          </w:tcPr>
          <w:p>
            <w:pPr>
              <w:ind w:left="520"/>
              <w:spacing w:after="0" w:line="196" w:lineRule="exact"/>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157,644</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123,034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16)</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920" w:type="dxa"/>
            <w:vAlign w:val="bottom"/>
          </w:tcPr>
          <w:p>
            <w:pPr>
              <w:ind w:left="280"/>
              <w:spacing w:after="0" w:line="162" w:lineRule="exact"/>
              <w:rPr>
                <w:sz w:val="20"/>
                <w:szCs w:val="20"/>
                <w:color w:val="auto"/>
              </w:rPr>
            </w:pPr>
            <w:r>
              <w:rPr>
                <w:rFonts w:ascii="Arial" w:cs="Arial" w:eastAsia="Arial" w:hAnsi="Arial"/>
                <w:sz w:val="18"/>
                <w:szCs w:val="18"/>
                <w:color w:val="auto"/>
              </w:rPr>
              <w:t>Convertible preferred stock (Series A, B, B1, B1-NV, C and D), $0.0001</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20" w:type="dxa"/>
            <w:vAlign w:val="bottom"/>
          </w:tcPr>
          <w:p>
            <w:pPr>
              <w:ind w:left="420"/>
              <w:spacing w:after="0" w:line="176" w:lineRule="exact"/>
              <w:rPr>
                <w:sz w:val="20"/>
                <w:szCs w:val="20"/>
                <w:color w:val="auto"/>
              </w:rPr>
            </w:pPr>
            <w:r>
              <w:rPr>
                <w:rFonts w:ascii="Arial" w:cs="Arial" w:eastAsia="Arial" w:hAnsi="Arial"/>
                <w:sz w:val="18"/>
                <w:szCs w:val="18"/>
                <w:color w:val="auto"/>
              </w:rPr>
              <w:t>par value; 0 and 62,915,394 shares authorized at December 31, 2021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420"/>
              <w:spacing w:after="0" w:line="176" w:lineRule="exact"/>
              <w:rPr>
                <w:sz w:val="20"/>
                <w:szCs w:val="20"/>
                <w:color w:val="auto"/>
              </w:rPr>
            </w:pPr>
            <w:r>
              <w:rPr>
                <w:rFonts w:ascii="Arial" w:cs="Arial" w:eastAsia="Arial" w:hAnsi="Arial"/>
                <w:sz w:val="18"/>
                <w:szCs w:val="18"/>
                <w:color w:val="auto"/>
              </w:rPr>
              <w:t>and 2020, respectively; 0 and 54,208,461 shares issued and outstanding</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20" w:type="dxa"/>
            <w:vAlign w:val="bottom"/>
          </w:tcPr>
          <w:p>
            <w:pPr>
              <w:ind w:left="420"/>
              <w:spacing w:after="0" w:line="176" w:lineRule="exact"/>
              <w:rPr>
                <w:sz w:val="20"/>
                <w:szCs w:val="20"/>
                <w:color w:val="auto"/>
              </w:rPr>
            </w:pPr>
            <w:r>
              <w:rPr>
                <w:rFonts w:ascii="Arial" w:cs="Arial" w:eastAsia="Arial" w:hAnsi="Arial"/>
                <w:sz w:val="18"/>
                <w:szCs w:val="18"/>
                <w:color w:val="auto"/>
              </w:rPr>
              <w:t>at December 31, 2021 and 2020, respectively; liquidation preference of</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110,401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420"/>
              <w:spacing w:after="0"/>
              <w:rPr>
                <w:sz w:val="20"/>
                <w:szCs w:val="20"/>
                <w:color w:val="auto"/>
              </w:rPr>
            </w:pPr>
            <w:r>
              <w:rPr>
                <w:rFonts w:ascii="Arial" w:cs="Arial" w:eastAsia="Arial" w:hAnsi="Arial"/>
                <w:sz w:val="18"/>
                <w:szCs w:val="18"/>
                <w:color w:val="auto"/>
              </w:rPr>
              <w:t>$0 and $110,716 at December 31, 2021 and 2020, respectively</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20" w:type="dxa"/>
            <w:vAlign w:val="bottom"/>
            <w:shd w:val="clear" w:color="auto" w:fill="CFF0FC"/>
          </w:tcPr>
          <w:p>
            <w:pPr>
              <w:ind w:left="280"/>
              <w:spacing w:after="0" w:line="162" w:lineRule="exact"/>
              <w:rPr>
                <w:sz w:val="20"/>
                <w:szCs w:val="20"/>
                <w:color w:val="auto"/>
              </w:rPr>
            </w:pPr>
            <w:r>
              <w:rPr>
                <w:rFonts w:ascii="Arial" w:cs="Arial" w:eastAsia="Arial" w:hAnsi="Arial"/>
                <w:sz w:val="18"/>
                <w:szCs w:val="18"/>
                <w:color w:val="auto"/>
              </w:rPr>
              <w:t>Redeemable convertible preferred stock (Series E-1, E-2, F1 and F-2), $0.0001</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2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par value; 0 and 16,023,132 shares authorized at December 31, 2021</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2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and 2020, respectively; 0 and 11,239,920 shares issued and outstanding</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2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at December 31, 2021 and 2020, respectively; liquidation preference</w:t>
            </w: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119,769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20" w:type="dxa"/>
            <w:vAlign w:val="bottom"/>
            <w:tcBorders>
              <w:bottom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color w:val="auto"/>
              </w:rPr>
              <w:t>of $0 and $150,000 at December 31, 2021 and 2020, respectively</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7920" w:type="dxa"/>
            <w:vAlign w:val="bottom"/>
          </w:tcPr>
          <w:p>
            <w:pPr>
              <w:ind w:left="5520"/>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-3785235</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-3785235</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-2611120</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-2611120</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-1830705</wp:posOffset>
            </wp:positionV>
            <wp:extent cx="514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-1830705</wp:posOffset>
            </wp:positionV>
            <wp:extent cx="431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-416560</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-416560</wp:posOffset>
            </wp:positionV>
            <wp:extent cx="431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9" w:name="page100"/>
    <w:bookmarkEnd w:id="99"/>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Stockholders’ equity (deficit):</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80"/>
              <w:spacing w:after="0" w:line="162" w:lineRule="exact"/>
              <w:rPr>
                <w:sz w:val="20"/>
                <w:szCs w:val="20"/>
                <w:color w:val="auto"/>
              </w:rPr>
            </w:pPr>
            <w:r>
              <w:rPr>
                <w:rFonts w:ascii="Arial" w:cs="Arial" w:eastAsia="Arial" w:hAnsi="Arial"/>
                <w:sz w:val="18"/>
                <w:szCs w:val="18"/>
                <w:color w:val="auto"/>
              </w:rPr>
              <w:t>Preferred stock, $0.0001 par value; 10,000,000 and 0 shares authorized as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tcPr>
          <w:p>
            <w:pPr>
              <w:ind w:left="420"/>
              <w:spacing w:after="0" w:line="176" w:lineRule="exact"/>
              <w:rPr>
                <w:sz w:val="20"/>
                <w:szCs w:val="20"/>
                <w:color w:val="auto"/>
              </w:rPr>
            </w:pPr>
            <w:r>
              <w:rPr>
                <w:rFonts w:ascii="Arial" w:cs="Arial" w:eastAsia="Arial" w:hAnsi="Arial"/>
                <w:sz w:val="18"/>
                <w:szCs w:val="18"/>
                <w:color w:val="auto"/>
              </w:rPr>
              <w:t>of December 31, 2021 and 2020, respectively; and none issued and</w:t>
            </w:r>
          </w:p>
        </w:tc>
        <w:tc>
          <w:tcPr>
            <w:tcW w:w="400" w:type="dxa"/>
            <w:vAlign w:val="bottom"/>
          </w:tcPr>
          <w:p>
            <w:pPr>
              <w:spacing w:after="0"/>
              <w:rPr>
                <w:sz w:val="15"/>
                <w:szCs w:val="15"/>
                <w:color w:val="auto"/>
              </w:rPr>
            </w:pPr>
          </w:p>
        </w:tc>
        <w:tc>
          <w:tcPr>
            <w:tcW w:w="15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12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ind w:left="420"/>
              <w:spacing w:after="0"/>
              <w:rPr>
                <w:sz w:val="20"/>
                <w:szCs w:val="20"/>
                <w:color w:val="auto"/>
              </w:rPr>
            </w:pPr>
            <w:r>
              <w:rPr>
                <w:rFonts w:ascii="Arial" w:cs="Arial" w:eastAsia="Arial" w:hAnsi="Arial"/>
                <w:sz w:val="18"/>
                <w:szCs w:val="18"/>
                <w:color w:val="auto"/>
              </w:rPr>
              <w:t>outstanding as of December 31, 2021 and 2020, respectively</w:t>
            </w:r>
          </w:p>
        </w:tc>
        <w:tc>
          <w:tcPr>
            <w:tcW w:w="4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80"/>
              <w:spacing w:after="0" w:line="162" w:lineRule="exact"/>
              <w:rPr>
                <w:sz w:val="20"/>
                <w:szCs w:val="20"/>
                <w:color w:val="auto"/>
              </w:rPr>
            </w:pPr>
            <w:r>
              <w:rPr>
                <w:rFonts w:ascii="Arial" w:cs="Arial" w:eastAsia="Arial" w:hAnsi="Arial"/>
                <w:sz w:val="18"/>
                <w:szCs w:val="18"/>
                <w:color w:val="auto"/>
              </w:rPr>
              <w:t>Voting common stock, $0.0001 par value; 2,000,000,000 and 146,898,270</w:t>
            </w:r>
          </w:p>
        </w:tc>
        <w:tc>
          <w:tcPr>
            <w:tcW w:w="4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shares authorized as of December 31, 2021 and 2020, respectively;</w:t>
            </w:r>
          </w:p>
        </w:tc>
        <w:tc>
          <w:tcPr>
            <w:tcW w:w="4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380"/>
              <w:spacing w:after="0" w:line="176" w:lineRule="exact"/>
              <w:rPr>
                <w:sz w:val="20"/>
                <w:szCs w:val="20"/>
                <w:color w:val="auto"/>
              </w:rPr>
            </w:pPr>
            <w:r>
              <w:rPr>
                <w:rFonts w:ascii="Arial" w:cs="Arial" w:eastAsia="Arial" w:hAnsi="Arial"/>
                <w:sz w:val="18"/>
                <w:szCs w:val="18"/>
                <w:color w:val="auto"/>
              </w:rPr>
              <w:t>102,771,899 shares issued and 100,454,177 shares outstanding</w:t>
            </w:r>
          </w:p>
        </w:tc>
        <w:tc>
          <w:tcPr>
            <w:tcW w:w="4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as of December 31, 2021; 22,240,872 shares issued and 19,923,150</w:t>
            </w:r>
          </w:p>
        </w:tc>
        <w:tc>
          <w:tcPr>
            <w:tcW w:w="40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shares outstanding as of December 31, 2020</w:t>
            </w:r>
          </w:p>
        </w:tc>
        <w:tc>
          <w:tcPr>
            <w:tcW w:w="400" w:type="dxa"/>
            <w:vAlign w:val="bottom"/>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80"/>
              <w:spacing w:after="0" w:line="162" w:lineRule="exact"/>
              <w:rPr>
                <w:sz w:val="20"/>
                <w:szCs w:val="20"/>
                <w:color w:val="auto"/>
              </w:rPr>
            </w:pPr>
            <w:r>
              <w:rPr>
                <w:rFonts w:ascii="Arial" w:cs="Arial" w:eastAsia="Arial" w:hAnsi="Arial"/>
                <w:sz w:val="18"/>
                <w:szCs w:val="18"/>
                <w:color w:val="auto"/>
              </w:rPr>
              <w:t>Non-voting common stock, $0.0001 par value; 10,000,000 and 0 shares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420"/>
              <w:spacing w:after="0" w:line="176" w:lineRule="exact"/>
              <w:rPr>
                <w:sz w:val="20"/>
                <w:szCs w:val="20"/>
                <w:color w:val="auto"/>
              </w:rPr>
            </w:pPr>
            <w:r>
              <w:rPr>
                <w:rFonts w:ascii="Arial" w:cs="Arial" w:eastAsia="Arial" w:hAnsi="Arial"/>
                <w:sz w:val="18"/>
                <w:szCs w:val="18"/>
                <w:color w:val="auto"/>
              </w:rPr>
              <w:t>authorized as of December 31, 2021 and 2020, respectively; 5,988,378</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20" w:type="dxa"/>
            <w:vAlign w:val="bottom"/>
          </w:tcPr>
          <w:p>
            <w:pPr>
              <w:ind w:left="420"/>
              <w:spacing w:after="0" w:line="176" w:lineRule="exact"/>
              <w:rPr>
                <w:sz w:val="20"/>
                <w:szCs w:val="20"/>
                <w:color w:val="auto"/>
              </w:rPr>
            </w:pPr>
            <w:r>
              <w:rPr>
                <w:rFonts w:ascii="Arial" w:cs="Arial" w:eastAsia="Arial" w:hAnsi="Arial"/>
                <w:sz w:val="18"/>
                <w:szCs w:val="18"/>
                <w:color w:val="auto"/>
              </w:rPr>
              <w:t>and 0 issued and outstanding as of December 31, 2021 and 2020,</w:t>
            </w: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80"/>
              <w:spacing w:after="0" w:line="162" w:lineRule="exact"/>
              <w:rPr>
                <w:sz w:val="20"/>
                <w:szCs w:val="20"/>
                <w:color w:val="auto"/>
              </w:rPr>
            </w:pPr>
            <w:r>
              <w:rPr>
                <w:rFonts w:ascii="Arial" w:cs="Arial" w:eastAsia="Arial" w:hAnsi="Arial"/>
                <w:sz w:val="18"/>
                <w:szCs w:val="18"/>
                <w:color w:val="auto"/>
              </w:rPr>
              <w:t>Treasury stock, 2,317,722 shares as of December 31, 2021 and 2020, held</w:t>
            </w:r>
          </w:p>
        </w:tc>
        <w:tc>
          <w:tcPr>
            <w:tcW w:w="400" w:type="dxa"/>
            <w:vAlign w:val="bottom"/>
            <w:shd w:val="clear" w:color="auto" w:fill="CFF0FC"/>
          </w:tcPr>
          <w:p>
            <w:pPr>
              <w:spacing w:after="0"/>
              <w:rPr>
                <w:sz w:val="14"/>
                <w:szCs w:val="14"/>
                <w:color w:val="auto"/>
              </w:rPr>
            </w:pPr>
          </w:p>
        </w:tc>
        <w:tc>
          <w:tcPr>
            <w:tcW w:w="15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(748 )</w:t>
            </w:r>
          </w:p>
        </w:tc>
        <w:tc>
          <w:tcPr>
            <w:tcW w:w="48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(748 )</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at cost</w:t>
            </w:r>
          </w:p>
        </w:tc>
        <w:tc>
          <w:tcPr>
            <w:tcW w:w="400" w:type="dxa"/>
            <w:vAlign w:val="bottom"/>
            <w:shd w:val="clear" w:color="auto" w:fill="CFF0FC"/>
          </w:tcPr>
          <w:p>
            <w:pPr>
              <w:spacing w:after="0"/>
              <w:rPr>
                <w:sz w:val="18"/>
                <w:szCs w:val="18"/>
                <w:color w:val="auto"/>
              </w:rPr>
            </w:pPr>
          </w:p>
        </w:tc>
        <w:tc>
          <w:tcPr>
            <w:tcW w:w="1540" w:type="dxa"/>
            <w:vAlign w:val="bottom"/>
            <w:gridSpan w:val="2"/>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520"/>
              <w:spacing w:after="0" w:line="202" w:lineRule="exact"/>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609,194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16,970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(399 )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03"/>
        </w:trPr>
        <w:tc>
          <w:tcPr>
            <w:tcW w:w="7620" w:type="dxa"/>
            <w:vAlign w:val="bottom"/>
          </w:tcPr>
          <w:p>
            <w:pPr>
              <w:ind w:left="520"/>
              <w:spacing w:after="0" w:line="202" w:lineRule="exact"/>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7"/>
                <w:szCs w:val="17"/>
                <w:color w:val="auto"/>
              </w:rPr>
            </w:pP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(125,857 )</w:t>
            </w:r>
          </w:p>
        </w:tc>
        <w:tc>
          <w:tcPr>
            <w:tcW w:w="4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(97,772 )</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CFF0FC"/>
            </w:tcBorders>
            <w:shd w:val="clear" w:color="auto" w:fill="CFF0FC"/>
          </w:tcPr>
          <w:p>
            <w:pPr>
              <w:ind w:left="780"/>
              <w:spacing w:after="0" w:line="196" w:lineRule="exact"/>
              <w:rPr>
                <w:sz w:val="20"/>
                <w:szCs w:val="20"/>
                <w:color w:val="auto"/>
              </w:rPr>
            </w:pPr>
            <w:r>
              <w:rPr>
                <w:rFonts w:ascii="Arial" w:cs="Arial" w:eastAsia="Arial" w:hAnsi="Arial"/>
                <w:sz w:val="18"/>
                <w:szCs w:val="18"/>
                <w:color w:val="auto"/>
              </w:rPr>
              <w:t>Total stockholders’ equity (deficit)</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482,201</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(81,762</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6"/>
        </w:trPr>
        <w:tc>
          <w:tcPr>
            <w:tcW w:w="7620" w:type="dxa"/>
            <w:vAlign w:val="bottom"/>
          </w:tcPr>
          <w:p>
            <w:pPr>
              <w:ind w:left="780"/>
              <w:spacing w:after="0" w:line="156" w:lineRule="exact"/>
              <w:rPr>
                <w:sz w:val="20"/>
                <w:szCs w:val="20"/>
                <w:color w:val="auto"/>
              </w:rPr>
            </w:pPr>
            <w:r>
              <w:rPr>
                <w:rFonts w:ascii="Arial" w:cs="Arial" w:eastAsia="Arial" w:hAnsi="Arial"/>
                <w:sz w:val="18"/>
                <w:szCs w:val="18"/>
                <w:color w:val="auto"/>
              </w:rPr>
              <w:t>Total liabilities, convertible preferred stock, redeemable convertible</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639,845</w:t>
            </w:r>
          </w:p>
        </w:tc>
        <w:tc>
          <w:tcPr>
            <w:tcW w:w="260" w:type="dxa"/>
            <w:vAlign w:val="bottom"/>
          </w:tcPr>
          <w:p>
            <w:pPr>
              <w:spacing w:after="0"/>
              <w:rPr>
                <w:sz w:val="13"/>
                <w:szCs w:val="13"/>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271,442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20" w:type="dxa"/>
            <w:vAlign w:val="bottom"/>
          </w:tcPr>
          <w:p>
            <w:pPr>
              <w:ind w:left="920"/>
              <w:spacing w:after="0" w:line="156" w:lineRule="exact"/>
              <w:rPr>
                <w:sz w:val="20"/>
                <w:szCs w:val="20"/>
                <w:color w:val="auto"/>
              </w:rPr>
            </w:pPr>
            <w:r>
              <w:rPr>
                <w:rFonts w:ascii="Arial" w:cs="Arial" w:eastAsia="Arial" w:hAnsi="Arial"/>
                <w:sz w:val="18"/>
                <w:szCs w:val="18"/>
                <w:color w:val="auto"/>
              </w:rPr>
              <w:t>preferred stock and stockholders’ equity (deficit)</w:t>
            </w:r>
          </w:p>
        </w:tc>
        <w:tc>
          <w:tcPr>
            <w:tcW w:w="40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-245110</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-245110</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0" w:name="page101"/>
    <w:bookmarkEnd w:id="100"/>
    <w:p>
      <w:pPr>
        <w:jc w:val="center"/>
        <w:ind w:right="6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6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201,149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131,783</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94,918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Costs and operating expenses: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Payment processing services costs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70,191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47,805</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Technology and development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31,295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24,501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51,297</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32,612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61,623</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42,680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costs and operating expenses</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214,406</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147,598</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112,375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(13,257 )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(15,815 )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(17,457 )</w:t>
            </w: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3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(2,021 )</w:t>
            </w:r>
          </w:p>
        </w:tc>
        <w:tc>
          <w:tcPr>
            <w:tcW w:w="260" w:type="dxa"/>
            <w:vAlign w:val="bottom"/>
          </w:tcPr>
          <w:p>
            <w:pPr>
              <w:spacing w:after="0"/>
              <w:rPr>
                <w:sz w:val="17"/>
                <w:szCs w:val="17"/>
                <w:color w:val="auto"/>
              </w:rPr>
            </w:pPr>
          </w:p>
        </w:tc>
        <w:tc>
          <w:tcPr>
            <w:tcW w:w="12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(2,533 )</w:t>
            </w:r>
          </w:p>
        </w:tc>
        <w:tc>
          <w:tcPr>
            <w:tcW w:w="26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(2,459 )</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(10,758 )</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(625 )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other expenses, net</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(12,670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(2,461</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720" w:type="dxa"/>
            <w:vAlign w:val="bottom"/>
          </w:tcPr>
          <w:p>
            <w:pPr>
              <w:spacing w:after="0" w:line="196" w:lineRule="exact"/>
              <w:rPr>
                <w:sz w:val="20"/>
                <w:szCs w:val="20"/>
                <w:color w:val="auto"/>
              </w:rPr>
            </w:pPr>
            <w:r>
              <w:rPr>
                <w:rFonts w:ascii="Arial" w:cs="Arial" w:eastAsia="Arial" w:hAnsi="Arial"/>
                <w:sz w:val="18"/>
                <w:szCs w:val="18"/>
                <w:color w:val="auto"/>
              </w:rPr>
              <w:t>Loss before provision for (benefit from) income taxes</w:t>
            </w:r>
          </w:p>
        </w:tc>
        <w:tc>
          <w:tcPr>
            <w:tcW w:w="280" w:type="dxa"/>
            <w:vAlign w:val="bottom"/>
          </w:tcPr>
          <w:p>
            <w:pPr>
              <w:spacing w:after="0"/>
              <w:rPr>
                <w:sz w:val="17"/>
                <w:szCs w:val="17"/>
                <w:color w:val="auto"/>
              </w:rPr>
            </w:pPr>
          </w:p>
        </w:tc>
        <w:tc>
          <w:tcPr>
            <w:tcW w:w="13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(25,927 )</w:t>
            </w:r>
          </w:p>
        </w:tc>
        <w:tc>
          <w:tcPr>
            <w:tcW w:w="260" w:type="dxa"/>
            <w:vAlign w:val="bottom"/>
          </w:tcPr>
          <w:p>
            <w:pPr>
              <w:spacing w:after="0"/>
              <w:rPr>
                <w:sz w:val="17"/>
                <w:szCs w:val="17"/>
                <w:color w:val="auto"/>
              </w:rPr>
            </w:pPr>
          </w:p>
        </w:tc>
        <w:tc>
          <w:tcPr>
            <w:tcW w:w="126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(18,276 )</w:t>
            </w:r>
          </w:p>
        </w:tc>
        <w:tc>
          <w:tcPr>
            <w:tcW w:w="26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(19,566 )</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(7,169 )</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(28,085 )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(11,107 )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(20,116 )</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(185 )</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(316 )</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(28,270 )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(11,423 )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(20,050 )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Net loss attributable to common stockholders - basic and diluted</w:t>
            </w: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(28,098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(11,121</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(20,116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5720" w:type="dxa"/>
            <w:vAlign w:val="bottom"/>
          </w:tcPr>
          <w:p>
            <w:pPr>
              <w:spacing w:after="0" w:line="142" w:lineRule="exact"/>
              <w:rPr>
                <w:sz w:val="20"/>
                <w:szCs w:val="20"/>
                <w:color w:val="auto"/>
              </w:rPr>
            </w:pPr>
            <w:r>
              <w:rPr>
                <w:rFonts w:ascii="Arial" w:cs="Arial" w:eastAsia="Arial" w:hAnsi="Arial"/>
                <w:sz w:val="16"/>
                <w:szCs w:val="16"/>
                <w:color w:val="auto"/>
              </w:rPr>
              <w:t>Net loss per share attributable to common stockholders - basic and</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(0.39 )</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(0.60 )</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175"/>
        </w:trPr>
        <w:tc>
          <w:tcPr>
            <w:tcW w:w="5720" w:type="dxa"/>
            <w:vAlign w:val="bottom"/>
          </w:tcPr>
          <w:p>
            <w:pPr>
              <w:spacing w:after="0" w:line="156" w:lineRule="exact"/>
              <w:rPr>
                <w:sz w:val="20"/>
                <w:szCs w:val="20"/>
                <w:color w:val="auto"/>
              </w:rPr>
            </w:pPr>
            <w:r>
              <w:rPr>
                <w:rFonts w:ascii="Arial" w:cs="Arial" w:eastAsia="Arial" w:hAnsi="Arial"/>
                <w:sz w:val="18"/>
                <w:szCs w:val="18"/>
                <w:color w:val="auto"/>
              </w:rPr>
              <w:t>diluted</w:t>
            </w:r>
          </w:p>
        </w:tc>
        <w:tc>
          <w:tcPr>
            <w:tcW w:w="2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Weighted average common shares outstanding - basic and diluted</w:t>
            </w: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71,168,054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18,389,898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16,067,088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-2036445</wp:posOffset>
            </wp:positionV>
            <wp:extent cx="6032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-2036445</wp:posOffset>
            </wp:positionV>
            <wp:extent cx="5969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-2036445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-1239520</wp:posOffset>
            </wp:positionV>
            <wp:extent cx="6032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-1239520</wp:posOffset>
            </wp:positionV>
            <wp:extent cx="5969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-1239520</wp:posOffset>
            </wp:positionV>
            <wp:extent cx="5143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-973455</wp:posOffset>
            </wp:positionV>
            <wp:extent cx="603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-973455</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-973455</wp:posOffset>
            </wp:positionV>
            <wp:extent cx="5143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-708025</wp:posOffset>
            </wp:positionV>
            <wp:extent cx="6032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-708025</wp:posOffset>
            </wp:positionV>
            <wp:extent cx="5969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-708025</wp:posOffset>
            </wp:positionV>
            <wp:extent cx="5143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-419735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-402590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-419735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-402590</wp:posOffset>
            </wp:positionV>
            <wp:extent cx="596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-419735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-402590</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-25400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-8255</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-25400</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-8255</wp:posOffset>
            </wp:positionV>
            <wp:extent cx="596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-25400</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6438265</wp:posOffset>
            </wp:positionH>
            <wp:positionV relativeFrom="paragraph">
              <wp:posOffset>-8255</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323" w:right="839" w:bottom="1440" w:gutter="0" w:footer="0" w:header="0"/>
        </w:sectPr>
      </w:pPr>
    </w:p>
    <w:bookmarkStart w:id="101" w:name="page102"/>
    <w:bookmarkEnd w:id="101"/>
    <w:p>
      <w:pPr>
        <w:jc w:val="center"/>
        <w:ind w:right="60"/>
        <w:spacing w:after="0"/>
        <w:rPr>
          <w:sz w:val="20"/>
          <w:szCs w:val="20"/>
          <w:color w:val="auto"/>
        </w:rPr>
      </w:pPr>
      <w:r>
        <w:rPr>
          <w:rFonts w:ascii="Arial" w:cs="Arial" w:eastAsia="Arial" w:hAnsi="Arial"/>
          <w:sz w:val="16"/>
          <w:szCs w:val="16"/>
          <w:b w:val="1"/>
          <w:bCs w:val="1"/>
          <w:color w:val="auto"/>
        </w:rPr>
        <w:t>FLYWIRE CORPORATION</w:t>
      </w:r>
    </w:p>
    <w:p>
      <w:pPr>
        <w:jc w:val="center"/>
        <w:ind w:right="60"/>
        <w:spacing w:after="0"/>
        <w:rPr>
          <w:sz w:val="20"/>
          <w:szCs w:val="20"/>
          <w:color w:val="auto"/>
        </w:rPr>
      </w:pPr>
      <w:r>
        <w:rPr>
          <w:rFonts w:ascii="Arial" w:cs="Arial" w:eastAsia="Arial" w:hAnsi="Arial"/>
          <w:sz w:val="16"/>
          <w:szCs w:val="16"/>
          <w:b w:val="1"/>
          <w:bCs w:val="1"/>
          <w:color w:val="auto"/>
        </w:rPr>
        <w:t>CONSOLIDATED STATEMENTS OF CONVERTIBLE PREFERRED STOCK, REDEEMABLE CONVERTIBLE PREFERRED STOCK AND</w:t>
      </w:r>
    </w:p>
    <w:p>
      <w:pPr>
        <w:jc w:val="center"/>
        <w:ind w:right="60"/>
        <w:spacing w:after="0"/>
        <w:rPr>
          <w:sz w:val="20"/>
          <w:szCs w:val="20"/>
          <w:color w:val="auto"/>
        </w:rPr>
      </w:pPr>
      <w:r>
        <w:rPr>
          <w:rFonts w:ascii="Arial" w:cs="Arial" w:eastAsia="Arial" w:hAnsi="Arial"/>
          <w:sz w:val="16"/>
          <w:szCs w:val="16"/>
          <w:b w:val="1"/>
          <w:bCs w:val="1"/>
          <w:color w:val="auto"/>
        </w:rPr>
        <w:t>STOCKHOLDERS’ EQUITY (DEFICIT) (Amounts in thousands, except share and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Accumulate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d</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right w:val="single" w:sz="8" w:color="auto"/>
            </w:tcBorders>
            <w:gridSpan w:val="4"/>
            <w:vMerge w:val="restart"/>
          </w:tcPr>
          <w:p>
            <w:pPr>
              <w:jc w:val="center"/>
              <w:ind w:right="17"/>
              <w:spacing w:after="0"/>
              <w:rPr>
                <w:sz w:val="20"/>
                <w:szCs w:val="20"/>
                <w:color w:val="auto"/>
              </w:rPr>
            </w:pPr>
            <w:r>
              <w:rPr>
                <w:rFonts w:ascii="Arial" w:cs="Arial" w:eastAsia="Arial" w:hAnsi="Arial"/>
                <w:sz w:val="13"/>
                <w:szCs w:val="13"/>
                <w:b w:val="1"/>
                <w:bCs w:val="1"/>
                <w:color w:val="auto"/>
                <w:w w:val="96"/>
              </w:rPr>
              <w:t>Redeemable</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Additiona</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300" w:type="dxa"/>
            <w:vAlign w:val="bottom"/>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10"/>
                <w:szCs w:val="10"/>
                <w:color w:val="auto"/>
              </w:rPr>
            </w:pPr>
          </w:p>
        </w:tc>
        <w:tc>
          <w:tcPr>
            <w:tcW w:w="1380" w:type="dxa"/>
            <w:vAlign w:val="bottom"/>
            <w:tcBorders>
              <w:right w:val="single" w:sz="8" w:color="auto"/>
            </w:tcBorders>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auto"/>
              </w:rPr>
              <w:t>Voting</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rPr>
              <w:t>Non-Voting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Comprehens</w:t>
            </w: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w:t>
            </w: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17"/>
              <w:spacing w:after="0" w:line="122" w:lineRule="exact"/>
              <w:rPr>
                <w:sz w:val="20"/>
                <w:szCs w:val="20"/>
                <w:color w:val="auto"/>
              </w:rPr>
            </w:pPr>
            <w:r>
              <w:rPr>
                <w:rFonts w:ascii="Arial" w:cs="Arial" w:eastAsia="Arial" w:hAnsi="Arial"/>
                <w:sz w:val="13"/>
                <w:szCs w:val="13"/>
                <w:b w:val="1"/>
                <w:bCs w:val="1"/>
                <w:color w:val="auto"/>
                <w:w w:val="97"/>
              </w:rPr>
              <w:t>Convertible</w:t>
            </w:r>
          </w:p>
        </w:tc>
        <w:tc>
          <w:tcPr>
            <w:tcW w:w="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vMerge w:val="restart"/>
          </w:tcPr>
          <w:p>
            <w:pPr>
              <w:jc w:val="right"/>
              <w:ind w:right="237"/>
              <w:spacing w:after="0"/>
              <w:rPr>
                <w:sz w:val="20"/>
                <w:szCs w:val="20"/>
                <w:color w:val="auto"/>
              </w:rPr>
            </w:pPr>
            <w:r>
              <w:rPr>
                <w:rFonts w:ascii="Arial" w:cs="Arial" w:eastAsia="Arial" w:hAnsi="Arial"/>
                <w:sz w:val="13"/>
                <w:szCs w:val="13"/>
                <w:b w:val="1"/>
                <w:bCs w:val="1"/>
                <w:color w:val="auto"/>
              </w:rPr>
              <w:t>Treasury Stock</w:t>
            </w: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rPr>
              <w:t>l</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ive</w:t>
            </w:r>
          </w:p>
        </w:tc>
        <w:tc>
          <w:tcPr>
            <w:tcW w:w="760" w:type="dxa"/>
            <w:vAlign w:val="bottom"/>
            <w:gridSpan w:val="3"/>
            <w:vMerge w:val="continue"/>
          </w:tcPr>
          <w:p>
            <w:pPr>
              <w:spacing w:after="0"/>
              <w:rPr>
                <w:sz w:val="10"/>
                <w:szCs w:val="10"/>
                <w:color w:val="auto"/>
              </w:rPr>
            </w:pPr>
          </w:p>
        </w:tc>
        <w:tc>
          <w:tcPr>
            <w:tcW w:w="76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8"/>
              </w:rPr>
              <w:t>Stockhold</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300" w:type="dxa"/>
            <w:vAlign w:val="bottom"/>
            <w:gridSpan w:val="4"/>
          </w:tcPr>
          <w:p>
            <w:pPr>
              <w:jc w:val="right"/>
              <w:ind w:right="117"/>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12"/>
                <w:szCs w:val="12"/>
                <w:color w:val="auto"/>
              </w:rPr>
            </w:pPr>
          </w:p>
        </w:tc>
        <w:tc>
          <w:tcPr>
            <w:tcW w:w="1380" w:type="dxa"/>
            <w:vAlign w:val="bottom"/>
            <w:tcBorders>
              <w:right w:val="single" w:sz="8" w:color="auto"/>
            </w:tcBorders>
            <w:gridSpan w:val="4"/>
          </w:tcPr>
          <w:p>
            <w:pPr>
              <w:jc w:val="center"/>
              <w:ind w:right="17"/>
              <w:spacing w:after="0"/>
              <w:rPr>
                <w:sz w:val="20"/>
                <w:szCs w:val="20"/>
                <w:color w:val="auto"/>
              </w:rPr>
            </w:pPr>
            <w:r>
              <w:rPr>
                <w:rFonts w:ascii="Arial" w:cs="Arial" w:eastAsia="Arial" w:hAnsi="Arial"/>
                <w:sz w:val="13"/>
                <w:szCs w:val="13"/>
                <w:b w:val="1"/>
                <w:bCs w:val="1"/>
                <w:color w:val="auto"/>
                <w:w w:val="97"/>
              </w:rPr>
              <w:t>Preferred Stock</w:t>
            </w:r>
          </w:p>
        </w:tc>
        <w:tc>
          <w:tcPr>
            <w:tcW w:w="20" w:type="dxa"/>
            <w:vAlign w:val="bottom"/>
          </w:tcPr>
          <w:p>
            <w:pPr>
              <w:spacing w:after="0"/>
              <w:rPr>
                <w:sz w:val="12"/>
                <w:szCs w:val="12"/>
                <w:color w:val="auto"/>
              </w:rPr>
            </w:pPr>
          </w:p>
        </w:tc>
        <w:tc>
          <w:tcPr>
            <w:tcW w:w="1320" w:type="dxa"/>
            <w:vAlign w:val="bottom"/>
            <w:gridSpan w:val="4"/>
          </w:tcPr>
          <w:p>
            <w:pPr>
              <w:jc w:val="right"/>
              <w:ind w:right="11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ed</w:t>
            </w:r>
          </w:p>
        </w:tc>
        <w:tc>
          <w:tcPr>
            <w:tcW w:w="7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9"/>
              </w:rPr>
              <w:t>ers’ Equity</w:t>
            </w:r>
          </w:p>
        </w:tc>
        <w:tc>
          <w:tcPr>
            <w:tcW w:w="0" w:type="dxa"/>
            <w:vAlign w:val="bottom"/>
          </w:tcPr>
          <w:p>
            <w:pPr>
              <w:spacing w:after="0"/>
              <w:rPr>
                <w:sz w:val="1"/>
                <w:szCs w:val="1"/>
                <w:color w:val="auto"/>
              </w:rPr>
            </w:pPr>
          </w:p>
        </w:tc>
      </w:tr>
      <w:tr>
        <w:trPr>
          <w:trHeight w:val="142"/>
        </w:trPr>
        <w:tc>
          <w:tcPr>
            <w:tcW w:w="1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Balances at</w:t>
            </w:r>
          </w:p>
        </w:tc>
        <w:tc>
          <w:tcPr>
            <w:tcW w:w="6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2"/>
                <w:szCs w:val="12"/>
                <w:color w:val="auto"/>
              </w:rPr>
            </w:pPr>
          </w:p>
        </w:tc>
        <w:tc>
          <w:tcPr>
            <w:tcW w:w="11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3"/>
                <w:szCs w:val="13"/>
                <w:b w:val="1"/>
                <w:bCs w:val="1"/>
                <w:color w:val="auto"/>
              </w:rPr>
              <w:t>Shares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7"/>
              </w:rPr>
              <w:t>(Loss)</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w w:val="94"/>
              </w:rPr>
              <w:t>(Deficit)</w:t>
            </w: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54,208,46</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110,40</w:t>
            </w: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19,788,24</w:t>
            </w: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(2,227,7</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December</w:t>
            </w:r>
          </w:p>
        </w:tc>
        <w:tc>
          <w:tcPr>
            <w:tcW w:w="640" w:type="dxa"/>
            <w:vAlign w:val="bottom"/>
            <w:vMerge w:val="continue"/>
          </w:tcPr>
          <w:p>
            <w:pPr>
              <w:spacing w:after="0"/>
              <w:rPr>
                <w:sz w:val="10"/>
                <w:szCs w:val="10"/>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(453 ) $</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8,630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gridSpan w:val="3"/>
            <w:vMerge w:val="restart"/>
          </w:tcPr>
          <w:p>
            <w:pPr>
              <w:jc w:val="right"/>
              <w:spacing w:after="0"/>
              <w:rPr>
                <w:sz w:val="20"/>
                <w:szCs w:val="20"/>
                <w:color w:val="auto"/>
              </w:rPr>
            </w:pPr>
            <w:r>
              <w:rPr>
                <w:rFonts w:ascii="Arial" w:cs="Arial" w:eastAsia="Arial" w:hAnsi="Arial"/>
                <w:sz w:val="13"/>
                <w:szCs w:val="13"/>
                <w:color w:val="auto"/>
              </w:rPr>
              <w:t>(66,549 ) $</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(58,335 )</w:t>
            </w: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b w:val="1"/>
                <w:bCs w:val="1"/>
                <w:color w:val="auto"/>
              </w:rPr>
              <w:t>31, 2018</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220" w:type="dxa"/>
            <w:vAlign w:val="bottom"/>
            <w:gridSpan w:val="2"/>
            <w:vMerge w:val="continue"/>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4"/>
          </w:tcPr>
          <w:p>
            <w:pPr>
              <w:jc w:val="right"/>
              <w:ind w:right="80"/>
              <w:spacing w:after="0" w:line="144" w:lineRule="exact"/>
              <w:rPr>
                <w:sz w:val="20"/>
                <w:szCs w:val="20"/>
                <w:color w:val="auto"/>
              </w:rPr>
            </w:pPr>
            <w:r>
              <w:rPr>
                <w:rFonts w:ascii="Arial" w:cs="Arial" w:eastAsia="Arial" w:hAnsi="Arial"/>
                <w:sz w:val="13"/>
                <w:szCs w:val="13"/>
                <w:color w:val="auto"/>
              </w:rPr>
              <w:t>22 ) $</w:t>
            </w: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stock</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upon exercise of</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705,903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options</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Arial" w:cs="Arial" w:eastAsia="Arial" w:hAnsi="Arial"/>
                <w:sz w:val="13"/>
                <w:szCs w:val="13"/>
                <w:color w:val="auto"/>
              </w:rPr>
              <w:t>Repurchase of</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common</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(90,000 )</w:t>
            </w:r>
          </w:p>
        </w:tc>
        <w:tc>
          <w:tcPr>
            <w:tcW w:w="180" w:type="dxa"/>
            <w:vAlign w:val="bottom"/>
          </w:tcPr>
          <w:p>
            <w:pPr>
              <w:spacing w:after="0"/>
              <w:rPr>
                <w:sz w:val="10"/>
                <w:szCs w:val="10"/>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(295 )</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(295 )</w:t>
            </w: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stock</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Arial" w:cs="Arial" w:eastAsia="Arial" w:hAnsi="Arial"/>
                <w:sz w:val="13"/>
                <w:szCs w:val="13"/>
                <w:color w:val="auto"/>
              </w:rPr>
              <w:t>Foreign currency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translation</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Stock-based</w:t>
            </w: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tcBorders>
              <w:right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compensation</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2,949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2,949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expense</w:t>
            </w: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tcBorders>
              <w:right w:val="single" w:sz="8" w:color="auto"/>
            </w:tcBorders>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52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(20,116 )</w:t>
            </w: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(20,116 )</w:t>
            </w:r>
          </w:p>
        </w:tc>
        <w:tc>
          <w:tcPr>
            <w:tcW w:w="0" w:type="dxa"/>
            <w:vAlign w:val="bottom"/>
          </w:tcPr>
          <w:p>
            <w:pPr>
              <w:spacing w:after="0"/>
              <w:rPr>
                <w:sz w:val="1"/>
                <w:szCs w:val="1"/>
                <w:color w:val="auto"/>
              </w:rPr>
            </w:pPr>
          </w:p>
        </w:tc>
      </w:tr>
      <w:tr>
        <w:trPr>
          <w:trHeight w:val="101"/>
        </w:trPr>
        <w:tc>
          <w:tcPr>
            <w:tcW w:w="14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Balances at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54,208,46</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110,40</w:t>
            </w: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20,494,14</w:t>
            </w: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(2,317,7</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December</w:t>
            </w:r>
          </w:p>
        </w:tc>
        <w:tc>
          <w:tcPr>
            <w:tcW w:w="640" w:type="dxa"/>
            <w:vAlign w:val="bottom"/>
            <w:vMerge w:val="continue"/>
          </w:tcPr>
          <w:p>
            <w:pPr>
              <w:spacing w:after="0"/>
              <w:rPr>
                <w:sz w:val="10"/>
                <w:szCs w:val="10"/>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(748 )</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12,031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gridSpan w:val="3"/>
            <w:vMerge w:val="restart"/>
          </w:tcPr>
          <w:p>
            <w:pPr>
              <w:jc w:val="right"/>
              <w:spacing w:after="0"/>
              <w:rPr>
                <w:sz w:val="20"/>
                <w:szCs w:val="20"/>
                <w:color w:val="auto"/>
              </w:rPr>
            </w:pPr>
            <w:r>
              <w:rPr>
                <w:rFonts w:ascii="Arial" w:cs="Arial" w:eastAsia="Arial" w:hAnsi="Arial"/>
                <w:sz w:val="13"/>
                <w:szCs w:val="13"/>
                <w:color w:val="auto"/>
              </w:rPr>
              <w:t>(86,665 ) $</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(75,278 )</w:t>
            </w: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b w:val="1"/>
                <w:bCs w:val="1"/>
                <w:color w:val="auto"/>
              </w:rPr>
              <w:t>31, 2019</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220" w:type="dxa"/>
            <w:vAlign w:val="bottom"/>
            <w:gridSpan w:val="2"/>
            <w:vMerge w:val="continue"/>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6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20" w:type="dxa"/>
            <w:vAlign w:val="bottom"/>
            <w:gridSpan w:val="4"/>
          </w:tcPr>
          <w:p>
            <w:pPr>
              <w:jc w:val="right"/>
              <w:ind w:right="80"/>
              <w:spacing w:after="0" w:line="144" w:lineRule="exact"/>
              <w:rPr>
                <w:sz w:val="20"/>
                <w:szCs w:val="20"/>
                <w:color w:val="auto"/>
              </w:rPr>
            </w:pPr>
            <w:r>
              <w:rPr>
                <w:rFonts w:ascii="Arial" w:cs="Arial" w:eastAsia="Arial" w:hAnsi="Arial"/>
                <w:sz w:val="13"/>
                <w:szCs w:val="13"/>
                <w:color w:val="auto"/>
              </w:rPr>
              <w:t>22 ) $</w:t>
            </w:r>
          </w:p>
        </w:tc>
        <w:tc>
          <w:tcPr>
            <w:tcW w:w="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Arial" w:cs="Arial" w:eastAsia="Arial" w:hAnsi="Arial"/>
                <w:sz w:val="13"/>
                <w:szCs w:val="13"/>
                <w:color w:val="auto"/>
              </w:rPr>
              <w:t>Issuance of common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stock</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upon the exercise of</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1,852,695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Issuance of common</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tcBorders>
              <w:right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9"/>
                <w:szCs w:val="9"/>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336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warrants</w:t>
            </w: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tcBorders>
              <w:right w:val="single" w:sz="8" w:color="auto"/>
            </w:tcBorders>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52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20"/>
              <w:spacing w:after="0" w:line="108" w:lineRule="exact"/>
              <w:rPr>
                <w:sz w:val="20"/>
                <w:szCs w:val="20"/>
                <w:color w:val="auto"/>
              </w:rPr>
            </w:pPr>
            <w:r>
              <w:rPr>
                <w:rFonts w:ascii="Arial" w:cs="Arial" w:eastAsia="Arial" w:hAnsi="Arial"/>
                <w:sz w:val="12"/>
                <w:szCs w:val="12"/>
                <w:color w:val="auto"/>
              </w:rPr>
              <w:t>Forfeiture of unvested</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restricted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(105,969 )</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rPr>
                <w:sz w:val="20"/>
                <w:szCs w:val="20"/>
                <w:color w:val="auto"/>
              </w:rPr>
            </w:pPr>
            <w:r>
              <w:rPr>
                <w:rFonts w:ascii="Arial" w:cs="Arial" w:eastAsia="Arial" w:hAnsi="Arial"/>
                <w:sz w:val="13"/>
                <w:szCs w:val="13"/>
                <w:color w:val="auto"/>
              </w:rPr>
              <w:t>awards</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Issuance of Series E</w:t>
            </w: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tcBorders>
              <w:right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redeemable</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convertible</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preferred stock, net</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of</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11,239,92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119,75</w:t>
            </w: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issuance costs of</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20"/>
              <w:spacing w:after="0"/>
              <w:rPr>
                <w:sz w:val="20"/>
                <w:szCs w:val="20"/>
                <w:color w:val="auto"/>
              </w:rPr>
            </w:pPr>
            <w:r>
              <w:rPr>
                <w:rFonts w:ascii="Arial" w:cs="Arial" w:eastAsia="Arial" w:hAnsi="Arial"/>
                <w:sz w:val="13"/>
                <w:szCs w:val="13"/>
                <w:color w:val="auto"/>
              </w:rPr>
              <w:t>$245</w:t>
            </w: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tcBorders>
              <w:right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5</w:t>
            </w:r>
          </w:p>
        </w:tc>
        <w:tc>
          <w:tcPr>
            <w:tcW w:w="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520" w:type="dxa"/>
            <w:vAlign w:val="bottom"/>
            <w:gridSpan w:val="3"/>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20"/>
              <w:spacing w:after="0" w:line="108" w:lineRule="exact"/>
              <w:rPr>
                <w:sz w:val="20"/>
                <w:szCs w:val="20"/>
                <w:color w:val="auto"/>
              </w:rPr>
            </w:pPr>
            <w:r>
              <w:rPr>
                <w:rFonts w:ascii="Arial" w:cs="Arial" w:eastAsia="Arial" w:hAnsi="Arial"/>
                <w:sz w:val="12"/>
                <w:szCs w:val="12"/>
                <w:color w:val="auto"/>
              </w:rPr>
              <w:t>Accretion of</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redeemable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convertible preferred</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(14 )</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stock</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Arial" w:cs="Arial" w:eastAsia="Arial" w:hAnsi="Arial"/>
                <w:sz w:val="13"/>
                <w:szCs w:val="13"/>
                <w:color w:val="auto"/>
              </w:rPr>
              <w:t>Foreign currency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translation</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(316 )</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(316 )</w:t>
            </w:r>
          </w:p>
        </w:tc>
        <w:tc>
          <w:tcPr>
            <w:tcW w:w="0" w:type="dxa"/>
            <w:vAlign w:val="bottom"/>
          </w:tcPr>
          <w:p>
            <w:pPr>
              <w:spacing w:after="0"/>
              <w:rPr>
                <w:sz w:val="1"/>
                <w:szCs w:val="1"/>
                <w:color w:val="auto"/>
              </w:rPr>
            </w:pPr>
          </w:p>
        </w:tc>
      </w:tr>
      <w:tr>
        <w:trPr>
          <w:trHeight w:val="144"/>
        </w:trPr>
        <w:tc>
          <w:tcPr>
            <w:tcW w:w="1400" w:type="dxa"/>
            <w:vAlign w:val="bottom"/>
          </w:tcPr>
          <w:p>
            <w:pPr>
              <w:ind w:left="20"/>
              <w:spacing w:after="0" w:line="144" w:lineRule="exact"/>
              <w:rPr>
                <w:sz w:val="20"/>
                <w:szCs w:val="20"/>
                <w:color w:val="auto"/>
              </w:rPr>
            </w:pPr>
            <w:r>
              <w:rPr>
                <w:rFonts w:ascii="Arial" w:cs="Arial" w:eastAsia="Arial" w:hAnsi="Arial"/>
                <w:sz w:val="13"/>
                <w:szCs w:val="13"/>
                <w:color w:val="auto"/>
              </w:rPr>
              <w:t>adjustment</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Arial" w:cs="Arial" w:eastAsia="Arial" w:hAnsi="Arial"/>
                <w:sz w:val="13"/>
                <w:szCs w:val="13"/>
                <w:color w:val="auto"/>
              </w:rPr>
              <w:t>Stock-based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compensation</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3,844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3,844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expense</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0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(11,107 )</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(11,107 )</w:t>
            </w:r>
          </w:p>
        </w:tc>
        <w:tc>
          <w:tcPr>
            <w:tcW w:w="0" w:type="dxa"/>
            <w:vAlign w:val="bottom"/>
          </w:tcPr>
          <w:p>
            <w:pPr>
              <w:spacing w:after="0"/>
              <w:rPr>
                <w:sz w:val="1"/>
                <w:szCs w:val="1"/>
                <w:color w:val="auto"/>
              </w:rPr>
            </w:pPr>
          </w:p>
        </w:tc>
      </w:tr>
      <w:tr>
        <w:trPr>
          <w:trHeight w:val="102"/>
        </w:trPr>
        <w:tc>
          <w:tcPr>
            <w:tcW w:w="14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Balances at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54,208,46</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110,40</w:t>
            </w:r>
          </w:p>
        </w:tc>
        <w:tc>
          <w:tcPr>
            <w:tcW w:w="100" w:type="dxa"/>
            <w:vAlign w:val="bottom"/>
            <w:vMerge w:val="restart"/>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11,239,92</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119,76</w:t>
            </w:r>
          </w:p>
        </w:tc>
        <w:tc>
          <w:tcPr>
            <w:tcW w:w="20" w:type="dxa"/>
            <w:vAlign w:val="bottom"/>
            <w:vMerge w:val="restart"/>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22,240,87</w:t>
            </w: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(2,317,7</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December</w:t>
            </w:r>
          </w:p>
        </w:tc>
        <w:tc>
          <w:tcPr>
            <w:tcW w:w="640" w:type="dxa"/>
            <w:vAlign w:val="bottom"/>
            <w:vMerge w:val="continue"/>
          </w:tcPr>
          <w:p>
            <w:pPr>
              <w:spacing w:after="0"/>
              <w:rPr>
                <w:sz w:val="10"/>
                <w:szCs w:val="10"/>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4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tcBorders>
              <w:right w:val="single" w:sz="8" w:color="auto"/>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auto"/>
              </w:rPr>
              <w:t>(748 ) $</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16,970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vMerge w:val="restart"/>
          </w:tcPr>
          <w:p>
            <w:pPr>
              <w:jc w:val="right"/>
              <w:spacing w:after="0"/>
              <w:rPr>
                <w:sz w:val="20"/>
                <w:szCs w:val="20"/>
                <w:color w:val="auto"/>
              </w:rPr>
            </w:pPr>
            <w:r>
              <w:rPr>
                <w:rFonts w:ascii="Arial" w:cs="Arial" w:eastAsia="Arial" w:hAnsi="Arial"/>
                <w:sz w:val="13"/>
                <w:szCs w:val="13"/>
                <w:color w:val="auto"/>
              </w:rPr>
              <w:t>(214 ) $</w:t>
            </w:r>
          </w:p>
        </w:tc>
        <w:tc>
          <w:tcPr>
            <w:tcW w:w="760" w:type="dxa"/>
            <w:vAlign w:val="bottom"/>
            <w:gridSpan w:val="3"/>
            <w:vMerge w:val="restart"/>
          </w:tcPr>
          <w:p>
            <w:pPr>
              <w:jc w:val="right"/>
              <w:spacing w:after="0"/>
              <w:rPr>
                <w:sz w:val="20"/>
                <w:szCs w:val="20"/>
                <w:color w:val="auto"/>
              </w:rPr>
            </w:pPr>
            <w:r>
              <w:rPr>
                <w:rFonts w:ascii="Arial" w:cs="Arial" w:eastAsia="Arial" w:hAnsi="Arial"/>
                <w:sz w:val="13"/>
                <w:szCs w:val="13"/>
                <w:color w:val="auto"/>
              </w:rPr>
              <w:t>(97,772 ) $</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(81,762 )</w:t>
            </w:r>
          </w:p>
        </w:tc>
        <w:tc>
          <w:tcPr>
            <w:tcW w:w="0" w:type="dxa"/>
            <w:vAlign w:val="bottom"/>
          </w:tcPr>
          <w:p>
            <w:pPr>
              <w:spacing w:after="0"/>
              <w:rPr>
                <w:sz w:val="1"/>
                <w:szCs w:val="1"/>
                <w:color w:val="auto"/>
              </w:rPr>
            </w:pPr>
          </w:p>
        </w:tc>
      </w:tr>
      <w:tr>
        <w:trPr>
          <w:trHeight w:val="162"/>
        </w:trPr>
        <w:tc>
          <w:tcPr>
            <w:tcW w:w="1400" w:type="dxa"/>
            <w:vAlign w:val="bottom"/>
          </w:tcPr>
          <w:p>
            <w:pPr>
              <w:ind w:left="120"/>
              <w:spacing w:after="0"/>
              <w:rPr>
                <w:sz w:val="20"/>
                <w:szCs w:val="20"/>
                <w:color w:val="auto"/>
              </w:rPr>
            </w:pPr>
            <w:r>
              <w:rPr>
                <w:rFonts w:ascii="Arial" w:cs="Arial" w:eastAsia="Arial" w:hAnsi="Arial"/>
                <w:sz w:val="13"/>
                <w:szCs w:val="13"/>
                <w:b w:val="1"/>
                <w:bCs w:val="1"/>
                <w:color w:val="auto"/>
              </w:rPr>
              <w:t>31, 2020</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gridSpan w:val="2"/>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220" w:type="dxa"/>
            <w:vAlign w:val="bottom"/>
            <w:gridSpan w:val="2"/>
            <w:vMerge w:val="continue"/>
          </w:tcPr>
          <w:p>
            <w:pPr>
              <w:spacing w:after="0"/>
              <w:rPr>
                <w:sz w:val="14"/>
                <w:szCs w:val="14"/>
                <w:color w:val="auto"/>
              </w:rPr>
            </w:pPr>
          </w:p>
        </w:tc>
        <w:tc>
          <w:tcPr>
            <w:tcW w:w="52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3"/>
                <w:szCs w:val="13"/>
                <w:color w:val="auto"/>
              </w:rPr>
              <w:t>22 ) $</w:t>
            </w:r>
          </w:p>
        </w:tc>
        <w:tc>
          <w:tcPr>
            <w:tcW w:w="5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Issuance of common</w:t>
            </w: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tcBorders>
              <w:right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stock</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upon exercise of</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stock options, net of</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5,893,600</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6,582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6,583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shares withheld</w:t>
            </w: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tcBorders>
              <w:right w:val="single" w:sz="8" w:color="auto"/>
            </w:tcBorders>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52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20"/>
              <w:spacing w:after="0" w:line="108" w:lineRule="exact"/>
              <w:rPr>
                <w:sz w:val="20"/>
                <w:szCs w:val="20"/>
                <w:color w:val="auto"/>
              </w:rPr>
            </w:pPr>
            <w:r>
              <w:rPr>
                <w:rFonts w:ascii="Arial" w:cs="Arial" w:eastAsia="Arial" w:hAnsi="Arial"/>
                <w:sz w:val="12"/>
                <w:szCs w:val="12"/>
                <w:color w:val="auto"/>
              </w:rPr>
              <w:t>Issuance of Series F-1</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redeemable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convertible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preferred stock,</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net of issuance costs</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2,571,936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59,735</w:t>
            </w:r>
          </w:p>
        </w:tc>
        <w:tc>
          <w:tcPr>
            <w:tcW w:w="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400" w:type="dxa"/>
            <w:vAlign w:val="bottom"/>
          </w:tcPr>
          <w:p>
            <w:pPr>
              <w:ind w:left="120"/>
              <w:spacing w:after="0"/>
              <w:rPr>
                <w:sz w:val="20"/>
                <w:szCs w:val="20"/>
                <w:color w:val="auto"/>
              </w:rPr>
            </w:pPr>
            <w:r>
              <w:rPr>
                <w:rFonts w:ascii="Arial" w:cs="Arial" w:eastAsia="Arial" w:hAnsi="Arial"/>
                <w:sz w:val="13"/>
                <w:szCs w:val="13"/>
                <w:color w:val="auto"/>
              </w:rPr>
              <w:t>of $265</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Exercise of common</w:t>
            </w: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tcBorders>
              <w:right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stock</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tcBorders>
              <w:right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417,021</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0"/>
                <w:szCs w:val="10"/>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warrants</w:t>
            </w: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tcBorders>
              <w:right w:val="single" w:sz="8" w:color="auto"/>
            </w:tcBorders>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52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20"/>
              <w:spacing w:after="0" w:line="108" w:lineRule="exact"/>
              <w:rPr>
                <w:sz w:val="20"/>
                <w:szCs w:val="20"/>
                <w:color w:val="auto"/>
              </w:rPr>
            </w:pPr>
            <w:r>
              <w:rPr>
                <w:rFonts w:ascii="Arial" w:cs="Arial" w:eastAsia="Arial" w:hAnsi="Arial"/>
                <w:sz w:val="12"/>
                <w:szCs w:val="12"/>
                <w:color w:val="auto"/>
              </w:rPr>
              <w:t>Accretion of</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redeemable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convertible preferred</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(13 )</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line="144" w:lineRule="exact"/>
              <w:rPr>
                <w:sz w:val="20"/>
                <w:szCs w:val="20"/>
                <w:color w:val="auto"/>
              </w:rPr>
            </w:pPr>
            <w:r>
              <w:rPr>
                <w:rFonts w:ascii="Arial" w:cs="Arial" w:eastAsia="Arial" w:hAnsi="Arial"/>
                <w:sz w:val="13"/>
                <w:szCs w:val="13"/>
                <w:color w:val="auto"/>
              </w:rPr>
              <w:t>stock</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Arial" w:cs="Arial" w:eastAsia="Arial" w:hAnsi="Arial"/>
                <w:sz w:val="13"/>
                <w:szCs w:val="13"/>
                <w:color w:val="auto"/>
              </w:rPr>
              <w:t>Foreign currency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translation</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540" w:type="dxa"/>
            <w:vAlign w:val="bottom"/>
            <w:vMerge w:val="restart"/>
          </w:tcPr>
          <w:p>
            <w:pPr>
              <w:ind w:lef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gridSpan w:val="3"/>
            <w:vMerge w:val="restart"/>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(185 )</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rPr>
              <w:t>(185 )</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-5931535</wp:posOffset>
            </wp:positionV>
            <wp:extent cx="7132320" cy="2489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-5280025</wp:posOffset>
            </wp:positionV>
            <wp:extent cx="7132320" cy="2489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-4431030</wp:posOffset>
            </wp:positionV>
            <wp:extent cx="7132320" cy="2489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132320" cy="2482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482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49"/>
        </w:trPr>
        <w:tc>
          <w:tcPr>
            <w:tcW w:w="1400" w:type="dxa"/>
            <w:vAlign w:val="bottom"/>
          </w:tcPr>
          <w:p>
            <w:pPr>
              <w:ind w:left="20"/>
              <w:spacing w:after="0"/>
              <w:rPr>
                <w:sz w:val="20"/>
                <w:szCs w:val="20"/>
                <w:color w:val="auto"/>
              </w:rPr>
            </w:pPr>
            <w:r>
              <w:rPr>
                <w:rFonts w:ascii="Arial" w:cs="Arial" w:eastAsia="Arial" w:hAnsi="Arial"/>
                <w:sz w:val="13"/>
                <w:szCs w:val="13"/>
                <w:color w:val="auto"/>
              </w:rPr>
              <w:t>Stock-based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compensation</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18,928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18,928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20"/>
              <w:spacing w:after="0"/>
              <w:rPr>
                <w:sz w:val="20"/>
                <w:szCs w:val="20"/>
                <w:color w:val="auto"/>
              </w:rPr>
            </w:pPr>
            <w:r>
              <w:rPr>
                <w:rFonts w:ascii="Arial" w:cs="Arial" w:eastAsia="Arial" w:hAnsi="Arial"/>
                <w:sz w:val="13"/>
                <w:szCs w:val="13"/>
                <w:color w:val="auto"/>
              </w:rPr>
              <w:t>expense</w:t>
            </w: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Issuance of common</w:t>
            </w: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tcBorders>
              <w:right w:val="single" w:sz="8" w:color="CFF0FC"/>
            </w:tcBorders>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stock</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in connection with</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IPO,</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net of underwriting</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12,006,00</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discounts and</w:t>
            </w:r>
          </w:p>
        </w:tc>
        <w:tc>
          <w:tcPr>
            <w:tcW w:w="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268,693</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268,694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commissions</w:t>
            </w:r>
          </w:p>
        </w:tc>
        <w:tc>
          <w:tcPr>
            <w:tcW w:w="74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40" w:type="dxa"/>
            <w:vAlign w:val="bottom"/>
            <w:tcBorders>
              <w:right w:val="single" w:sz="8" w:color="auto"/>
            </w:tcBorders>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gridSpan w:val="3"/>
            <w:vMerge w:val="continue"/>
            <w:shd w:val="clear" w:color="auto" w:fill="CFF0FC"/>
          </w:tcPr>
          <w:p>
            <w:pPr>
              <w:spacing w:after="0"/>
              <w:rPr>
                <w:sz w:val="14"/>
                <w:szCs w:val="14"/>
                <w:color w:val="auto"/>
              </w:rPr>
            </w:pPr>
          </w:p>
        </w:tc>
        <w:tc>
          <w:tcPr>
            <w:tcW w:w="800" w:type="dxa"/>
            <w:vAlign w:val="bottom"/>
            <w:gridSpan w:val="3"/>
            <w:vMerge w:val="continue"/>
            <w:shd w:val="clear" w:color="auto" w:fill="CFF0FC"/>
          </w:tcPr>
          <w:p>
            <w:pPr>
              <w:spacing w:after="0"/>
              <w:rPr>
                <w:sz w:val="14"/>
                <w:szCs w:val="14"/>
                <w:color w:val="auto"/>
              </w:rPr>
            </w:pPr>
          </w:p>
        </w:tc>
        <w:tc>
          <w:tcPr>
            <w:tcW w:w="58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20"/>
              <w:spacing w:after="0" w:line="108" w:lineRule="exact"/>
              <w:rPr>
                <w:sz w:val="20"/>
                <w:szCs w:val="20"/>
                <w:color w:val="auto"/>
              </w:rPr>
            </w:pPr>
            <w:r>
              <w:rPr>
                <w:rFonts w:ascii="Arial" w:cs="Arial" w:eastAsia="Arial" w:hAnsi="Arial"/>
                <w:sz w:val="12"/>
                <w:szCs w:val="12"/>
                <w:color w:val="auto"/>
              </w:rPr>
              <w:t>Costs incurred in</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connection with</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(4,860 )</w:t>
            </w:r>
          </w:p>
        </w:tc>
        <w:tc>
          <w:tcPr>
            <w:tcW w:w="300" w:type="dxa"/>
            <w:vAlign w:val="bottom"/>
          </w:tcPr>
          <w:p>
            <w:pPr>
              <w:spacing w:after="0"/>
              <w:rPr>
                <w:sz w:val="10"/>
                <w:szCs w:val="10"/>
                <w:color w:val="auto"/>
              </w:rPr>
            </w:pPr>
          </w:p>
        </w:tc>
        <w:tc>
          <w:tcPr>
            <w:tcW w:w="7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rPr>
              <w:t>(4,860 )</w:t>
            </w:r>
          </w:p>
        </w:tc>
        <w:tc>
          <w:tcPr>
            <w:tcW w:w="0" w:type="dxa"/>
            <w:vAlign w:val="bottom"/>
          </w:tcPr>
          <w:p>
            <w:pPr>
              <w:spacing w:after="0"/>
              <w:rPr>
                <w:sz w:val="1"/>
                <w:szCs w:val="1"/>
                <w:color w:val="auto"/>
              </w:rPr>
            </w:pPr>
          </w:p>
        </w:tc>
      </w:tr>
      <w:tr>
        <w:trPr>
          <w:trHeight w:val="162"/>
        </w:trPr>
        <w:tc>
          <w:tcPr>
            <w:tcW w:w="1400" w:type="dxa"/>
            <w:vAlign w:val="bottom"/>
          </w:tcPr>
          <w:p>
            <w:pPr>
              <w:ind w:left="120"/>
              <w:spacing w:after="0"/>
              <w:rPr>
                <w:sz w:val="20"/>
                <w:szCs w:val="20"/>
                <w:color w:val="auto"/>
              </w:rPr>
            </w:pPr>
            <w:r>
              <w:rPr>
                <w:rFonts w:ascii="Arial" w:cs="Arial" w:eastAsia="Arial" w:hAnsi="Arial"/>
                <w:sz w:val="13"/>
                <w:szCs w:val="13"/>
                <w:color w:val="auto"/>
              </w:rPr>
              <w:t>IPO</w:t>
            </w:r>
          </w:p>
        </w:tc>
        <w:tc>
          <w:tcPr>
            <w:tcW w:w="7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Issuance of Series C</w:t>
            </w: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tcBorders>
              <w:right w:val="single" w:sz="8" w:color="CFF0FC"/>
            </w:tcBorders>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preferred stock</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upon net exercise</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of Series C preferred</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182,467</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6,417</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0"/>
                <w:szCs w:val="10"/>
                <w:color w:val="auto"/>
              </w:rPr>
            </w:pPr>
          </w:p>
        </w:tc>
        <w:tc>
          <w:tcPr>
            <w:tcW w:w="7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warrants</w:t>
            </w: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40" w:type="dxa"/>
            <w:vAlign w:val="bottom"/>
            <w:tcBorders>
              <w:right w:val="single" w:sz="8" w:color="auto"/>
            </w:tcBorders>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gridSpan w:val="3"/>
            <w:vMerge w:val="continue"/>
            <w:shd w:val="clear" w:color="auto" w:fill="CFF0FC"/>
          </w:tcPr>
          <w:p>
            <w:pPr>
              <w:spacing w:after="0"/>
              <w:rPr>
                <w:sz w:val="14"/>
                <w:szCs w:val="14"/>
                <w:color w:val="auto"/>
              </w:rPr>
            </w:pPr>
          </w:p>
        </w:tc>
        <w:tc>
          <w:tcPr>
            <w:tcW w:w="800" w:type="dxa"/>
            <w:vAlign w:val="bottom"/>
            <w:gridSpan w:val="3"/>
            <w:vMerge w:val="continue"/>
            <w:shd w:val="clear" w:color="auto" w:fill="CFF0FC"/>
          </w:tcPr>
          <w:p>
            <w:pPr>
              <w:spacing w:after="0"/>
              <w:rPr>
                <w:sz w:val="14"/>
                <w:szCs w:val="14"/>
                <w:color w:val="auto"/>
              </w:rPr>
            </w:pPr>
          </w:p>
        </w:tc>
        <w:tc>
          <w:tcPr>
            <w:tcW w:w="58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20"/>
              <w:spacing w:after="0" w:line="108" w:lineRule="exact"/>
              <w:rPr>
                <w:sz w:val="20"/>
                <w:szCs w:val="20"/>
                <w:color w:val="auto"/>
              </w:rPr>
            </w:pPr>
            <w:r>
              <w:rPr>
                <w:rFonts w:ascii="Arial" w:cs="Arial" w:eastAsia="Arial" w:hAnsi="Arial"/>
                <w:sz w:val="12"/>
                <w:szCs w:val="12"/>
                <w:color w:val="auto"/>
              </w:rPr>
              <w:t>Conversion of</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convertible</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(54,390,9</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(116,81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54,390,92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preferred stock upon</w:t>
            </w: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116,813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116,818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rPr>
                <w:sz w:val="20"/>
                <w:szCs w:val="20"/>
                <w:color w:val="auto"/>
              </w:rPr>
            </w:pPr>
            <w:r>
              <w:rPr>
                <w:rFonts w:ascii="Arial" w:cs="Arial" w:eastAsia="Arial" w:hAnsi="Arial"/>
                <w:sz w:val="13"/>
                <w:szCs w:val="13"/>
                <w:color w:val="auto"/>
              </w:rPr>
              <w:t>IPO</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28 )</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8 )</w:t>
            </w:r>
          </w:p>
        </w:tc>
        <w:tc>
          <w:tcPr>
            <w:tcW w:w="740" w:type="dxa"/>
            <w:vAlign w:val="bottom"/>
            <w:gridSpan w:val="2"/>
            <w:vMerge w:val="continue"/>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Conversion of</w:t>
            </w: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tcBorders>
              <w:right w:val="single" w:sz="8" w:color="CFF0FC"/>
            </w:tcBorders>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redeemable</w:t>
            </w: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(13,811,8</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(179,51</w:t>
            </w:r>
          </w:p>
        </w:tc>
        <w:tc>
          <w:tcPr>
            <w:tcW w:w="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5,988,3</w:t>
            </w: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convertible preferred</w:t>
            </w:r>
          </w:p>
        </w:tc>
        <w:tc>
          <w:tcPr>
            <w:tcW w:w="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7,823,478</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0"/>
                <w:szCs w:val="10"/>
                <w:color w:val="auto"/>
              </w:rPr>
            </w:pPr>
          </w:p>
        </w:tc>
        <w:tc>
          <w:tcPr>
            <w:tcW w:w="82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179,515</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179,517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upon IPO</w:t>
            </w:r>
          </w:p>
        </w:tc>
        <w:tc>
          <w:tcPr>
            <w:tcW w:w="74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56 )</w:t>
            </w:r>
          </w:p>
        </w:tc>
        <w:tc>
          <w:tcPr>
            <w:tcW w:w="64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7 )</w:t>
            </w:r>
          </w:p>
        </w:tc>
        <w:tc>
          <w:tcPr>
            <w:tcW w:w="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gridSpan w:val="3"/>
            <w:vMerge w:val="continue"/>
            <w:shd w:val="clear" w:color="auto" w:fill="CFF0FC"/>
          </w:tcPr>
          <w:p>
            <w:pPr>
              <w:spacing w:after="0"/>
              <w:rPr>
                <w:sz w:val="14"/>
                <w:szCs w:val="14"/>
                <w:color w:val="auto"/>
              </w:rPr>
            </w:pPr>
          </w:p>
        </w:tc>
        <w:tc>
          <w:tcPr>
            <w:tcW w:w="800" w:type="dxa"/>
            <w:vAlign w:val="bottom"/>
            <w:gridSpan w:val="3"/>
            <w:vMerge w:val="continue"/>
            <w:shd w:val="clear" w:color="auto" w:fill="CFF0FC"/>
          </w:tcPr>
          <w:p>
            <w:pPr>
              <w:spacing w:after="0"/>
              <w:rPr>
                <w:sz w:val="14"/>
                <w:szCs w:val="14"/>
                <w:color w:val="auto"/>
              </w:rPr>
            </w:pPr>
          </w:p>
        </w:tc>
        <w:tc>
          <w:tcPr>
            <w:tcW w:w="58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20"/>
              <w:spacing w:after="0" w:line="108" w:lineRule="exact"/>
              <w:rPr>
                <w:sz w:val="20"/>
                <w:szCs w:val="20"/>
                <w:color w:val="auto"/>
              </w:rPr>
            </w:pPr>
            <w:r>
              <w:rPr>
                <w:rFonts w:ascii="Arial" w:cs="Arial" w:eastAsia="Arial" w:hAnsi="Arial"/>
                <w:sz w:val="12"/>
                <w:szCs w:val="12"/>
                <w:color w:val="auto"/>
              </w:rPr>
              <w:t>Reclassification of</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color w:val="auto"/>
              </w:rPr>
              <w:t>warrant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liability to additional</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Arial" w:cs="Arial" w:eastAsia="Arial" w:hAnsi="Arial"/>
                <w:sz w:val="13"/>
                <w:szCs w:val="13"/>
                <w:color w:val="auto"/>
              </w:rPr>
              <w:t>paid-in capital upon</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6,272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6,272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20"/>
              <w:spacing w:after="0" w:line="144" w:lineRule="exact"/>
              <w:rPr>
                <w:sz w:val="20"/>
                <w:szCs w:val="20"/>
                <w:color w:val="auto"/>
              </w:rPr>
            </w:pPr>
            <w:r>
              <w:rPr>
                <w:rFonts w:ascii="Arial" w:cs="Arial" w:eastAsia="Arial" w:hAnsi="Arial"/>
                <w:sz w:val="13"/>
                <w:szCs w:val="13"/>
                <w:color w:val="auto"/>
              </w:rPr>
              <w:t>IPO</w:t>
            </w:r>
          </w:p>
        </w:tc>
        <w:tc>
          <w:tcPr>
            <w:tcW w:w="7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0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(28,085 )</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(28,085 )</w:t>
            </w:r>
          </w:p>
        </w:tc>
        <w:tc>
          <w:tcPr>
            <w:tcW w:w="0" w:type="dxa"/>
            <w:vAlign w:val="bottom"/>
          </w:tcPr>
          <w:p>
            <w:pPr>
              <w:spacing w:after="0"/>
              <w:rPr>
                <w:sz w:val="1"/>
                <w:szCs w:val="1"/>
                <w:color w:val="auto"/>
              </w:rPr>
            </w:pPr>
          </w:p>
        </w:tc>
      </w:tr>
      <w:tr>
        <w:trPr>
          <w:trHeight w:val="102"/>
        </w:trPr>
        <w:tc>
          <w:tcPr>
            <w:tcW w:w="14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Balances at</w:t>
            </w: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102,771,8</w:t>
            </w: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5,988,3</w:t>
            </w: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(2,317,7</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December</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3"/>
                <w:szCs w:val="13"/>
                <w:color w:val="auto"/>
              </w:rPr>
              <w:t>(748 ) $ 609,194</w:t>
            </w:r>
          </w:p>
        </w:tc>
        <w:tc>
          <w:tcPr>
            <w:tcW w:w="100" w:type="dxa"/>
            <w:vAlign w:val="bottom"/>
          </w:tcPr>
          <w:p>
            <w:pPr>
              <w:spacing w:after="0"/>
              <w:rPr>
                <w:sz w:val="10"/>
                <w:szCs w:val="10"/>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7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(399 ) $</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w w:val="99"/>
              </w:rPr>
              <w:t>(125,857 ) $</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482,201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02" w:lineRule="exact"/>
              <w:rPr>
                <w:sz w:val="20"/>
                <w:szCs w:val="20"/>
                <w:color w:val="auto"/>
              </w:rPr>
            </w:pPr>
            <w:r>
              <w:rPr>
                <w:rFonts w:ascii="Arial" w:cs="Arial" w:eastAsia="Arial" w:hAnsi="Arial"/>
                <w:sz w:val="10"/>
                <w:szCs w:val="10"/>
                <w:b w:val="1"/>
                <w:bCs w:val="1"/>
                <w:color w:val="auto"/>
              </w:rPr>
              <w:t>31, 2021</w:t>
            </w:r>
          </w:p>
        </w:tc>
        <w:tc>
          <w:tcPr>
            <w:tcW w:w="7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right"/>
              <w:spacing w:after="0" w:line="102" w:lineRule="exact"/>
              <w:rPr>
                <w:sz w:val="20"/>
                <w:szCs w:val="20"/>
                <w:color w:val="auto"/>
              </w:rPr>
            </w:pPr>
            <w:r>
              <w:rPr>
                <w:rFonts w:ascii="Arial" w:cs="Arial" w:eastAsia="Arial" w:hAnsi="Arial"/>
                <w:sz w:val="10"/>
                <w:szCs w:val="10"/>
                <w:color w:val="auto"/>
              </w:rPr>
              <w:t>99</w:t>
            </w:r>
          </w:p>
        </w:tc>
        <w:tc>
          <w:tcPr>
            <w:tcW w:w="36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60" w:type="dxa"/>
            <w:vAlign w:val="bottom"/>
            <w:gridSpan w:val="2"/>
          </w:tcPr>
          <w:p>
            <w:pPr>
              <w:jc w:val="right"/>
              <w:spacing w:after="0" w:line="102" w:lineRule="exact"/>
              <w:rPr>
                <w:sz w:val="20"/>
                <w:szCs w:val="20"/>
                <w:color w:val="auto"/>
              </w:rPr>
            </w:pPr>
            <w:r>
              <w:rPr>
                <w:rFonts w:ascii="Arial" w:cs="Arial" w:eastAsia="Arial" w:hAnsi="Arial"/>
                <w:sz w:val="10"/>
                <w:szCs w:val="10"/>
                <w:color w:val="auto"/>
              </w:rPr>
              <w:t>78</w:t>
            </w:r>
          </w:p>
        </w:tc>
        <w:tc>
          <w:tcPr>
            <w:tcW w:w="34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920" w:type="dxa"/>
            <w:vAlign w:val="bottom"/>
            <w:gridSpan w:val="4"/>
          </w:tcPr>
          <w:p>
            <w:pPr>
              <w:jc w:val="right"/>
              <w:ind w:right="80"/>
              <w:spacing w:after="0" w:line="102" w:lineRule="exact"/>
              <w:rPr>
                <w:sz w:val="20"/>
                <w:szCs w:val="20"/>
                <w:color w:val="auto"/>
              </w:rPr>
            </w:pPr>
            <w:r>
              <w:rPr>
                <w:rFonts w:ascii="Arial" w:cs="Arial" w:eastAsia="Arial" w:hAnsi="Arial"/>
                <w:sz w:val="10"/>
                <w:szCs w:val="10"/>
                <w:color w:val="auto"/>
              </w:rPr>
              <w:t>22 ) $</w:t>
            </w: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4230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amount is less than $1 thousand</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bookmarkStart w:id="103" w:name="page104"/>
    <w:bookmarkEnd w:id="103"/>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(28,085 )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(11,107 )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(20,116 )</w:t>
            </w:r>
          </w:p>
        </w:tc>
        <w:tc>
          <w:tcPr>
            <w:tcW w:w="0" w:type="dxa"/>
            <w:vAlign w:val="bottom"/>
          </w:tcPr>
          <w:p>
            <w:pPr>
              <w:spacing w:after="0"/>
              <w:rPr>
                <w:sz w:val="1"/>
                <w:szCs w:val="1"/>
                <w:color w:val="auto"/>
              </w:rPr>
            </w:pPr>
          </w:p>
        </w:tc>
      </w:tr>
      <w:tr>
        <w:trPr>
          <w:trHeight w:val="162"/>
        </w:trPr>
        <w:tc>
          <w:tcPr>
            <w:tcW w:w="65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Adjustments to reconcile net loss to net cash provided by (used in)</w:t>
            </w: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8,998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6,794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18,928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deferred contract costs</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10,758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2,263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5,400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tax provision</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(8,535 )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Non-cash interest expense</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Changes in operating assets and liabilities, net of acquisitions: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(587 )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(1,555 )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03"/>
        </w:trPr>
        <w:tc>
          <w:tcPr>
            <w:tcW w:w="6560" w:type="dxa"/>
            <w:vAlign w:val="bottom"/>
          </w:tcPr>
          <w:p>
            <w:pPr>
              <w:ind w:left="520"/>
              <w:spacing w:after="0" w:line="202" w:lineRule="exact"/>
              <w:rPr>
                <w:sz w:val="20"/>
                <w:szCs w:val="20"/>
                <w:color w:val="auto"/>
              </w:rPr>
            </w:pPr>
            <w:r>
              <w:rPr>
                <w:rFonts w:ascii="Arial" w:cs="Arial" w:eastAsia="Arial" w:hAnsi="Arial"/>
                <w:sz w:val="18"/>
                <w:szCs w:val="18"/>
                <w:color w:val="auto"/>
              </w:rPr>
              <w:t>Unbilled receivables</w:t>
            </w:r>
          </w:p>
        </w:tc>
        <w:tc>
          <w:tcPr>
            <w:tcW w:w="340" w:type="dxa"/>
            <w:vAlign w:val="bottom"/>
          </w:tcPr>
          <w:p>
            <w:pPr>
              <w:spacing w:after="0"/>
              <w:rPr>
                <w:sz w:val="17"/>
                <w:szCs w:val="17"/>
                <w:color w:val="auto"/>
              </w:rPr>
            </w:pPr>
          </w:p>
        </w:tc>
        <w:tc>
          <w:tcPr>
            <w:tcW w:w="13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(1,642 )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(401 )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(1,055 )</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Funds receivable from payment partners</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(5,805 )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(6,033 )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5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7"/>
                <w:szCs w:val="17"/>
                <w:color w:val="auto"/>
              </w:rPr>
            </w:pPr>
          </w:p>
        </w:tc>
        <w:tc>
          <w:tcPr>
            <w:tcW w:w="13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(7,854 )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(3,840 )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Funds payable to clients</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11,316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(5,279 )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11,230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5,669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Contingent consideration</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(3,212 )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(693 )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520"/>
              <w:spacing w:after="0" w:line="202" w:lineRule="exact"/>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(159 )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(73 )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Pr>
          <w:p>
            <w:pPr>
              <w:ind w:left="78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17,131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(14,223 )</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4,073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7"/>
                <w:szCs w:val="17"/>
                <w:color w:val="auto"/>
              </w:rPr>
            </w:pPr>
          </w:p>
        </w:tc>
        <w:tc>
          <w:tcPr>
            <w:tcW w:w="13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(6,684 )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(2,141 )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(3,748 )</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Acquisitions of businesses, net of cash acquired</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(56,111 )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(79,401 )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Asset acquisition, net of cash acquired</w:t>
            </w:r>
          </w:p>
        </w:tc>
        <w:tc>
          <w:tcPr>
            <w:tcW w:w="340" w:type="dxa"/>
            <w:vAlign w:val="bottom"/>
          </w:tcPr>
          <w:p>
            <w:pPr>
              <w:spacing w:after="0"/>
              <w:rPr>
                <w:sz w:val="17"/>
                <w:szCs w:val="17"/>
                <w:color w:val="auto"/>
              </w:rPr>
            </w:pPr>
          </w:p>
        </w:tc>
        <w:tc>
          <w:tcPr>
            <w:tcW w:w="13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(119 )</w:t>
            </w: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FF0FC"/>
            </w:tcBorders>
            <w:shd w:val="clear" w:color="auto" w:fill="CFF0FC"/>
          </w:tcPr>
          <w:p>
            <w:pPr>
              <w:ind w:left="780"/>
              <w:spacing w:after="0" w:line="196"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(62,914</w:t>
            </w:r>
          </w:p>
        </w:tc>
        <w:tc>
          <w:tcPr>
            <w:tcW w:w="240" w:type="dxa"/>
            <w:vAlign w:val="bottom"/>
            <w:tcBorders>
              <w:bottom w:val="single" w:sz="8" w:color="CFF0FC"/>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(81,542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(3,748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Proceeds from initial public offering, net of underwriting discount and</w:t>
            </w:r>
          </w:p>
        </w:tc>
        <w:tc>
          <w:tcPr>
            <w:tcW w:w="3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268,694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commissions</w:t>
            </w:r>
          </w:p>
        </w:tc>
        <w:tc>
          <w:tcPr>
            <w:tcW w:w="34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Payment of costs related to initial public offering</w:t>
            </w:r>
          </w:p>
        </w:tc>
        <w:tc>
          <w:tcPr>
            <w:tcW w:w="340" w:type="dxa"/>
            <w:vAlign w:val="bottom"/>
          </w:tcPr>
          <w:p>
            <w:pPr>
              <w:spacing w:after="0"/>
              <w:rPr>
                <w:sz w:val="17"/>
                <w:szCs w:val="17"/>
                <w:color w:val="auto"/>
              </w:rPr>
            </w:pPr>
          </w:p>
        </w:tc>
        <w:tc>
          <w:tcPr>
            <w:tcW w:w="13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(4,860 )</w:t>
            </w: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issuance of long-term debt</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25,939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Payment of long-term debt issuance costs</w:t>
            </w:r>
          </w:p>
        </w:tc>
        <w:tc>
          <w:tcPr>
            <w:tcW w:w="340" w:type="dxa"/>
            <w:vAlign w:val="bottom"/>
          </w:tcPr>
          <w:p>
            <w:pPr>
              <w:spacing w:after="0"/>
              <w:rPr>
                <w:sz w:val="17"/>
                <w:szCs w:val="17"/>
                <w:color w:val="auto"/>
              </w:rPr>
            </w:pPr>
          </w:p>
        </w:tc>
        <w:tc>
          <w:tcPr>
            <w:tcW w:w="13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(418 )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(172 )</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 of long-term debt</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(25,000 )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(4,167 )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560" w:type="dxa"/>
            <w:vAlign w:val="bottom"/>
          </w:tcPr>
          <w:p>
            <w:pPr>
              <w:ind w:left="20"/>
              <w:spacing w:after="0" w:line="162" w:lineRule="exact"/>
              <w:rPr>
                <w:sz w:val="20"/>
                <w:szCs w:val="20"/>
                <w:color w:val="auto"/>
              </w:rPr>
            </w:pPr>
            <w:r>
              <w:rPr>
                <w:rFonts w:ascii="Arial" w:cs="Arial" w:eastAsia="Arial" w:hAnsi="Arial"/>
                <w:sz w:val="18"/>
                <w:szCs w:val="18"/>
                <w:color w:val="auto"/>
              </w:rPr>
              <w:t>Proceeds from issuance of redeemable convertible preferred stock,</w:t>
            </w:r>
          </w:p>
        </w:tc>
        <w:tc>
          <w:tcPr>
            <w:tcW w:w="3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59,735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119,755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net of issuance costs</w:t>
            </w: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Proceeds from exercise of warrants</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Contingent consideration paid for acquisitions</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(3,800 )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(1,307 )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(12,423 )</w:t>
            </w:r>
          </w:p>
        </w:tc>
        <w:tc>
          <w:tcPr>
            <w:tcW w:w="0" w:type="dxa"/>
            <w:vAlign w:val="bottom"/>
          </w:tcPr>
          <w:p>
            <w:pPr>
              <w:spacing w:after="0"/>
              <w:rPr>
                <w:sz w:val="1"/>
                <w:szCs w:val="1"/>
                <w:color w:val="auto"/>
              </w:rPr>
            </w:pPr>
          </w:p>
        </w:tc>
      </w:tr>
      <w:tr>
        <w:trPr>
          <w:trHeight w:val="202"/>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Deferred consideration paid for acquisitions</w:t>
            </w:r>
          </w:p>
        </w:tc>
        <w:tc>
          <w:tcPr>
            <w:tcW w:w="340" w:type="dxa"/>
            <w:vAlign w:val="bottom"/>
          </w:tcPr>
          <w:p>
            <w:pPr>
              <w:spacing w:after="0"/>
              <w:rPr>
                <w:sz w:val="17"/>
                <w:szCs w:val="17"/>
                <w:color w:val="auto"/>
              </w:rPr>
            </w:pPr>
          </w:p>
        </w:tc>
        <w:tc>
          <w:tcPr>
            <w:tcW w:w="130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(1,650 )</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6,928</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78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327,512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119,049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(3,915 )</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Effect of exchange rates changes on cash and cash equivalents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(1,421</w:t>
            </w:r>
          </w:p>
        </w:tc>
        <w:tc>
          <w:tcPr>
            <w:tcW w:w="240" w:type="dxa"/>
            <w:vAlign w:val="bottom"/>
            <w:tcBorders>
              <w:bottom w:val="single" w:sz="8" w:color="CFF0FC"/>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5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increase (decrease) in cash, cash equivalents and restricted</w:t>
            </w:r>
          </w:p>
        </w:tc>
        <w:tc>
          <w:tcPr>
            <w:tcW w:w="3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280,308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23,025</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(3,575 )</w:t>
            </w:r>
          </w:p>
        </w:tc>
        <w:tc>
          <w:tcPr>
            <w:tcW w:w="0" w:type="dxa"/>
            <w:vAlign w:val="bottom"/>
          </w:tcPr>
          <w:p>
            <w:pPr>
              <w:spacing w:after="0"/>
              <w:rPr>
                <w:sz w:val="1"/>
                <w:szCs w:val="1"/>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b w:val="1"/>
                <w:bCs w:val="1"/>
                <w:color w:val="auto"/>
              </w:rPr>
              <w:t>cash</w:t>
            </w: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cash equivalents and restricted cash, beginning of year</w:t>
            </w:r>
          </w:p>
        </w:tc>
        <w:tc>
          <w:tcPr>
            <w:tcW w:w="34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109,052</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86,027</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89,602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cash equivalents and restricted cash, end of year</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389,360</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109,052</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86,027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-3382645</wp:posOffset>
            </wp:positionV>
            <wp:extent cx="6032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-3382645</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-3382645</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-2585085</wp:posOffset>
            </wp:positionV>
            <wp:extent cx="603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-2585085</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-2585085</wp:posOffset>
            </wp:positionV>
            <wp:extent cx="5143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-810895</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-810895</wp:posOffset>
            </wp:positionV>
            <wp:extent cx="5143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-810895</wp:posOffset>
            </wp:positionV>
            <wp:extent cx="514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-536575</wp:posOffset>
            </wp:positionV>
            <wp:extent cx="6032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-536575</wp:posOffset>
            </wp:positionV>
            <wp:extent cx="5143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-536575</wp:posOffset>
            </wp:positionV>
            <wp:extent cx="5143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-159385</wp:posOffset>
            </wp:positionV>
            <wp:extent cx="6032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5143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and noncash information</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Cash paid during the period for interest</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2,098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1,851</w:t>
            </w:r>
          </w:p>
        </w:tc>
        <w:tc>
          <w:tcPr>
            <w:tcW w:w="6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6"/>
              <w:spacing w:after="0" w:line="202" w:lineRule="exact"/>
              <w:rPr>
                <w:sz w:val="20"/>
                <w:szCs w:val="20"/>
                <w:color w:val="auto"/>
              </w:rPr>
            </w:pPr>
            <w:r>
              <w:rPr>
                <w:rFonts w:ascii="Arial" w:cs="Arial" w:eastAsia="Arial" w:hAnsi="Arial"/>
                <w:sz w:val="18"/>
                <w:szCs w:val="18"/>
                <w:color w:val="auto"/>
              </w:rPr>
              <w:t>(13 )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(14 )</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Issuance of common stock warrants</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385,360</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104,052</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86,027</w:t>
            </w:r>
          </w:p>
        </w:tc>
        <w:tc>
          <w:tcPr>
            <w:tcW w:w="60" w:type="dxa"/>
            <w:vAlign w:val="bottom"/>
          </w:tcPr>
          <w:p>
            <w:pPr>
              <w:spacing w:after="0"/>
              <w:rPr>
                <w:sz w:val="17"/>
                <w:szCs w:val="17"/>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4,000</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ind w:left="28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389,360</w:t>
            </w:r>
          </w:p>
        </w:tc>
        <w:tc>
          <w:tcPr>
            <w:tcW w:w="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109,052</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86,027</w:t>
            </w:r>
          </w:p>
        </w:tc>
        <w:tc>
          <w:tcPr>
            <w:tcW w:w="6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-159385</wp:posOffset>
            </wp:positionV>
            <wp:extent cx="6032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5143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and Summary of Significant Accounting Policies</w:t>
      </w:r>
    </w:p>
    <w:p>
      <w:pPr>
        <w:spacing w:after="0" w:line="185" w:lineRule="exact"/>
        <w:rPr>
          <w:sz w:val="20"/>
          <w:szCs w:val="20"/>
          <w:color w:val="auto"/>
        </w:rPr>
      </w:pPr>
    </w:p>
    <w:p>
      <w:pPr>
        <w:jc w:val="both"/>
        <w:ind w:right="540" w:firstLine="509"/>
        <w:spacing w:after="0" w:line="253" w:lineRule="auto"/>
        <w:rPr>
          <w:sz w:val="20"/>
          <w:szCs w:val="20"/>
          <w:color w:val="auto"/>
        </w:rPr>
      </w:pPr>
      <w:r>
        <w:rPr>
          <w:rFonts w:ascii="Arial" w:cs="Arial" w:eastAsia="Arial" w:hAnsi="Arial"/>
          <w:sz w:val="18"/>
          <w:szCs w:val="18"/>
          <w:color w:val="auto"/>
        </w:rPr>
        <w:t>Flywire Corporation (we, our, Flywire or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128"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3" w:lineRule="exact"/>
        <w:rPr>
          <w:sz w:val="20"/>
          <w:szCs w:val="20"/>
          <w:color w:val="auto"/>
        </w:rPr>
      </w:pPr>
    </w:p>
    <w:p>
      <w:pPr>
        <w:ind w:right="620" w:firstLine="509"/>
        <w:spacing w:after="0" w:line="247" w:lineRule="auto"/>
        <w:rPr>
          <w:sz w:val="20"/>
          <w:szCs w:val="20"/>
          <w:color w:val="auto"/>
        </w:rPr>
      </w:pPr>
      <w:r>
        <w:rPr>
          <w:rFonts w:ascii="Arial" w:cs="Arial" w:eastAsia="Arial" w:hAnsi="Arial"/>
          <w:sz w:val="18"/>
          <w:szCs w:val="18"/>
          <w:color w:val="auto"/>
        </w:rPr>
        <w:t>On May 28, 2021, in connection with the Company’s initial public offering (IPO), the Company filed an amended and restated certificate of incorporation, which became effective on that date. The amended and restated certificate of incorporation authorized the issuance of 2,000,000,000 shares of voting common stock, 10,000,000 shares of non-voting common stock and 10,000,000 shares of preferred stock. Each class of stock has a par value of $0.0001 per share.</w:t>
      </w:r>
    </w:p>
    <w:p>
      <w:pPr>
        <w:spacing w:after="0" w:line="13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May 28, 2021, the Company completed its IPO, in which the Company issued and sold 12,006,000 shares of voting common stock at a public offering price of $24.00 per share, which included 1,566,000 shares of voting common stock issued pursuant to the exercise in full of the underwriters' option to purchase additional shares. The Company received $263.8 million in net proceeds from the IPO, after deducting underwriting discounts and commissions of $19.4 million and other offering costs of $4.9 million.</w:t>
      </w:r>
    </w:p>
    <w:p>
      <w:pPr>
        <w:spacing w:after="0" w:line="133"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62,214,406 shares of voting common stock and 5,988,378 shares of non-voting common stock. Prior to the closing of the IPO, the Company had warrants to purchase 190,500 shares of its convertible preferred stock outstanding, such warrants were converted immediately prior to the closing of the IPO into warrants to purchase 190,500 shares of the Company’s voting common stock and the associated preferred stock warrant liabilities were remeasured to its fair value of $6.3 million and reclassified to additional paid-in capital.</w:t>
      </w:r>
    </w:p>
    <w:p>
      <w:pPr>
        <w:spacing w:after="0" w:line="138"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May 2021, the Company filed an amendment to its amended and restated certificate of incorporation to effect a 3-for-1 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 consolidated financial statements have been retroactively adjusted to reflect the effect of the stock split for all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and have been prepared in accordance with generally accepted accounting principles in the United States (U.S. GAAP). Intercompany accounts and transactions have been eliminated upon consolidation.</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and disclosed in the consolidated financial statements and the accompanying notes. Significant estimates and assumptions reflected in these financial statements include, but are not limited to, the valuation of common stock and the preferred stock warrant liability prior to the Company's IPO, stock-based compensation, impairment assessment of goodwill, intangibles and other long-lived assets, the valuation of acquired intangible assets and their useful lives, and the valuation of contingent consideration.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March 11, 2020, the World Health Organization (WHO) declared the outbreak of a novel coronavirus (COVID-19) as a global pandemic. The unprecedented and rapid spread of COVID-19 as well as the shelter-in-place orders, promotion of social distancing measures, restrictions to businesses deemed non-essential, and travel restrictions implemented throughout the United States and globally significantly impacted the verticals in which the Company has been predominantly focused over the last decade, including payment volumes, sales cycles and time to implementation in those verticals. However, during this period the Company had not experienced any significant client attrition and our net dollar-based retention rate remained strong.</w:t>
      </w:r>
    </w:p>
    <w:p>
      <w:pPr>
        <w:spacing w:after="0" w:line="13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For the year ended December 31, 2021, the Company observed recoveries in total payment volume and revenue. The growth in both total payment volume and revenue was a result of economies re-opening. Additionally, the Company has resumed hiring across all departments to meet growth and public company challenges. The Company does not currently foresee the need to take additional actions; however, as variants or sub-variants of COVID-19 emerge, the Company continues to evaluate the nature and extent of these potential impacts to the Company's business, consolidated financial statements, and liquidity.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Company does not have any operations, including long-lived assets, in Ukraine or Russia, nor do Clients receive material payments from payers in these regions. As of the issuance date of these consolidated financial statements, management is not aware of any and does not foresee material impact to future revenue or operations. However, the Company notes Ukraine is a major engineering hub and the conflict may create a global challenge in outsourcing or hiring engineering talent.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Out-of-period Adjustment</w:t>
      </w:r>
    </w:p>
    <w:p>
      <w:pPr>
        <w:spacing w:after="0" w:line="18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During the fourth quarter of 2021, the Company identified immaterial errors related to direct and indirect taxes in its historical financial statements. The cumulative effect of the errors generated in the fiscal year 2017 through the third quarter of 2021 was corrected during the fourth quarter of 2021, resulting in an increase to net loss for the fiscal year 2021 of $1.0 million. The Company concluded that the errors were not material to any prior period consolidated financial statements and the correction of the errors was not material to the consolidated financial statements for the year ended December 31, 2021.</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1" w:right="3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8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evaluates credit worthiness of its clients and maintains allowances, to the extent necessary, for potential credit losses based upon the aging of its accounts receivable balances and known collection issues. The Company did not experience any material credit losses during the years ended December 31, 2021, 2020 and 2019.</w:t>
      </w:r>
    </w:p>
    <w:p>
      <w:pPr>
        <w:spacing w:after="0" w:line="138"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12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3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r>
      <w:tr>
        <w:trPr>
          <w:trHeight w:val="196"/>
        </w:trPr>
        <w:tc>
          <w:tcPr>
            <w:tcW w:w="4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Client A</w:t>
            </w:r>
          </w:p>
        </w:tc>
        <w:tc>
          <w:tcPr>
            <w:tcW w:w="1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48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87"/>
              </w:rPr>
              <w:t>%</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r>
      <w:tr>
        <w:trPr>
          <w:trHeight w:val="23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Client B</w:t>
            </w:r>
          </w:p>
        </w:tc>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12 %</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10 %</w:t>
            </w:r>
          </w:p>
        </w:tc>
      </w:tr>
    </w:tbl>
    <w:p>
      <w:pPr>
        <w:spacing w:after="0" w:line="12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remitted to the Company. Significant partners are those that represent 10% or more of funds receivable from payment partners as set forth in the following table:</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Partner A</w:t>
            </w:r>
          </w:p>
        </w:tc>
        <w:tc>
          <w:tcPr>
            <w:tcW w:w="1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Partner B</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14 %</w:t>
            </w:r>
          </w:p>
        </w:tc>
        <w:tc>
          <w:tcPr>
            <w:tcW w:w="17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12 %</w:t>
            </w:r>
          </w:p>
        </w:tc>
      </w:tr>
      <w:tr>
        <w:trPr>
          <w:trHeight w:val="203"/>
        </w:trPr>
        <w:tc>
          <w:tcPr>
            <w:tcW w:w="60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Partner C</w:t>
            </w:r>
          </w:p>
        </w:tc>
        <w:tc>
          <w:tcPr>
            <w:tcW w:w="12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15 %</w:t>
            </w:r>
          </w:p>
        </w:tc>
        <w:tc>
          <w:tcPr>
            <w:tcW w:w="17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12 %</w:t>
            </w:r>
          </w:p>
        </w:tc>
      </w:tr>
      <w:tr>
        <w:trPr>
          <w:trHeight w:val="202"/>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Partner D</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12 %</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r>
      <w:tr>
        <w:trPr>
          <w:trHeight w:val="203"/>
        </w:trPr>
        <w:tc>
          <w:tcPr>
            <w:tcW w:w="60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Partner E</w:t>
            </w:r>
          </w:p>
        </w:tc>
        <w:tc>
          <w:tcPr>
            <w:tcW w:w="12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21 %</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3742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Less than 10% of total balance.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2021, 2020 and 2019, no client accounted for 10% or more of revenue.</w:t>
      </w:r>
    </w:p>
    <w:p>
      <w:pPr>
        <w:spacing w:after="0" w:line="171"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During the year ended December 31, 2021, revenue from clients located outside of the United States in the aggregate accounted for 34.6% of the Company’s total revenues, with the United Kingdom accounting for 13.8% and Canada accounting for 13.9%. No other countries accounted for greater than 10% of revenues for the year ended December 31, 2021.</w:t>
      </w:r>
    </w:p>
    <w:p>
      <w:pPr>
        <w:spacing w:after="0" w:line="14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During the year ended December 31, 2020, revenue from clients located outside of the United States in the aggregate accounted for 25.7% of the Company’s total revenues, with the United Kingdom accounting for 13.8% and Canada accounting for 9.1%. No other countries accounted for greater than 10% of revenues for the year ended December 31, 2020.</w:t>
      </w:r>
    </w:p>
    <w:p>
      <w:pPr>
        <w:spacing w:after="0" w:line="12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During the year ended December 31, 2019, revenue from clients located outside of the United States in the aggregate accounted for 28.5% of the Company’s total revenues, with the United Kingdom accounting for 16.4% and Canada accounting for 9.5%. No other countries accounted for greater than 10% of revenues for the year ended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69"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1" w:right="379" w:bottom="1440" w:gutter="0" w:footer="0" w:header="0"/>
        </w:sectPr>
      </w:pPr>
    </w:p>
    <w:bookmarkStart w:id="108" w:name="page109"/>
    <w:bookmarkEnd w:id="108"/>
    <w:p>
      <w:pPr>
        <w:ind w:right="40" w:firstLine="509"/>
        <w:spacing w:after="0" w:line="253" w:lineRule="auto"/>
        <w:rPr>
          <w:sz w:val="20"/>
          <w:szCs w:val="20"/>
          <w:color w:val="auto"/>
        </w:rPr>
      </w:pPr>
      <w:r>
        <w:rPr>
          <w:rFonts w:ascii="Arial" w:cs="Arial" w:eastAsia="Arial" w:hAnsi="Arial"/>
          <w:sz w:val="18"/>
          <w:szCs w:val="18"/>
          <w:color w:val="auto"/>
        </w:rPr>
        <w:t>Restricted cash consists of amounts required to be maintained to cover certain banks’ or clients’ credit risk exposure related to facilitating payments for the Company. As of December 31, 2021 and 2020, the Company had $4.0 million and $5.0 million of restricted cash,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Accounts receivable represent customer obligations that are unconditional. Accounts receivable are presented net of an estimated allowance for doubtful accounts for amounts that may not be collectible. The Company’s accounts receivable do not bear interest and generally does not require collateral or other security to support related receivables. The Company establishes an allowance for doubtful accounts for estimated losses expected from amounts that may not be collectible, through a provision for bad debt. Subsequent recoveries, if any, are credited to the allowance. The allowance for doubtful accounts is evaluated on a regular basis and is based on the credit risk of specific customers, past collection history and management’s evaluation of accounts receivable. Account balances are written off after all means of collection are exhausted and the potential for nonrecovery is determined to be probable. Adjustments to the allowance for doubtful accounts are recorded within general and administrative expenses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Property and equipment consist primarily of computer equipment and software, internal 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 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loss from operations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continually evaluates the recoverability of long-lived asset (asset group) when events and changes in circumstances indicate that the carrying amount of the long-lived asset group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Intangible assets consist of acquired customer relationships, developed technology,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2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estimates the fair value of acquired intangible assets under the income approach using the relief-from-royalty method (for developed technology, trade name and trademarks) or using the multi-period excess earnings method (for customer relationships). The relief-from-royalty method estimates the cost savings that accrue to the owner of an intangible asset who would otherwise have to 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multi-period excess earnings method estimates the present value of the incremental after-tax cash flows solely attributable to the intangible asset. The estimated fair values of these intangible assets reflect various assumptions including discount rates, revenue growth rates, operating margins, terminal values and other prospective financial information.</w:t>
      </w:r>
    </w:p>
    <w:p>
      <w:pPr>
        <w:spacing w:after="0" w:line="153" w:lineRule="exact"/>
        <w:rPr>
          <w:sz w:val="20"/>
          <w:szCs w:val="20"/>
          <w:color w:val="auto"/>
        </w:rPr>
      </w:pPr>
    </w:p>
    <w:p>
      <w:pPr>
        <w:jc w:val="both"/>
        <w:ind w:right="420" w:firstLine="509"/>
        <w:spacing w:after="0" w:line="253" w:lineRule="auto"/>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The useful lives for developed technology are determined based on expectations regarding the evolution of existing technology and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9" w:name="page110"/>
    <w:bookmarkEnd w:id="109"/>
    <w:p>
      <w:pPr>
        <w:ind w:right="140"/>
        <w:spacing w:after="0" w:line="253" w:lineRule="auto"/>
        <w:rPr>
          <w:sz w:val="20"/>
          <w:szCs w:val="20"/>
          <w:color w:val="auto"/>
        </w:rPr>
      </w:pPr>
      <w:r>
        <w:rPr>
          <w:rFonts w:ascii="Arial" w:cs="Arial" w:eastAsia="Arial" w:hAnsi="Arial"/>
          <w:sz w:val="18"/>
          <w:szCs w:val="18"/>
          <w:color w:val="auto"/>
        </w:rPr>
        <w:t>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the Company’s plans to phase out the trademarks and trade names in the applicable markets.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significant residual value is estimated for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6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 Company periodically assesses whether triggering events are present to review internal-use software for impairment.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The Company capitalized $5.6 million and $1.8 million in costs related to internal use software during the years ended December 31, 2021 and 2020. Software developed for internal use is amortized straight-line over its estimated useful life of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tests goodwill for impairment on an annual basis on the first day of the fourth quarter or more frequently if events or changes in circumstances indicate that goodwill may be impaired. The Company’s goodwill impairment test is performed at the enterprise level given it is the sole reporting unit. Events that could indicate goodwill impairment and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including goodwill.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3"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In determining whether an acquisition should be accounted for as a business combination or an asset acquisition, the Company first determines whether substantially all of the fair value of the gross assets acquired is concentrated in a single identifiable asset or a group of similar identifiable assets. If substantially all of the fair value of the gross assets acquired is concentrated in a single identifiable asset or group of similar identifiable assets, the set is not considered a business acquisition. If substantially all of the fair value of the gross assets acquired is not concentrated in a single identifiable asset or group of similar identifiable assets, the Company further evaluates whether the integrated set of assets and activities include, at a minimum, an input and a substantive process that together significantly contribute to the ability to create outputs. If so, the Company concludes that the integrated set of assets and activities is a business acquisition.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0" w:name="page111"/>
    <w:bookmarkEnd w:id="110"/>
    <w:p>
      <w:pPr>
        <w:ind w:right="100"/>
        <w:spacing w:after="0" w:line="247" w:lineRule="auto"/>
        <w:rPr>
          <w:sz w:val="20"/>
          <w:szCs w:val="20"/>
          <w:color w:val="auto"/>
        </w:rPr>
      </w:pPr>
      <w:r>
        <w:rPr>
          <w:rFonts w:ascii="Arial" w:cs="Arial" w:eastAsia="Arial" w:hAnsi="Arial"/>
          <w:sz w:val="18"/>
          <w:szCs w:val="18"/>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4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 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140"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Subsequent to the acquisition date, at each reporting date, the contingent consideration is remeasured and changes in the fair value resulting from changes in the underlying inputs are recognized in general and administrative expense in the consolidated statements of operations and comprehensive loss until the contingent consideration is settled.</w:t>
      </w:r>
    </w:p>
    <w:p>
      <w:pPr>
        <w:spacing w:after="0" w:line="13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 xml:space="preserve">The fair value of the contingent consideration in the Company's consolidated balance sheets was determined using an option pricing model that reflects the Company’s expectations about the probability of payment, based on facts and circumstances that existed at the acquisition closing date. The option pricing model includes unobservable inputs such as a discount rate that equals risk-free rate plus a spread to reflect the credit risk as estimated by the Company’s cost of debt, the probability of achieving established revenue targets and the probability of retaining key customers. See </w:t>
      </w:r>
      <w:r>
        <w:rPr>
          <w:rFonts w:ascii="Arial" w:cs="Arial" w:eastAsia="Arial" w:hAnsi="Arial"/>
          <w:sz w:val="18"/>
          <w:szCs w:val="18"/>
          <w:i w:val="1"/>
          <w:iCs w:val="1"/>
          <w:color w:val="auto"/>
        </w:rPr>
        <w:t>Note 4 - Fair Value Measurements</w:t>
      </w:r>
      <w:r>
        <w:rPr>
          <w:rFonts w:ascii="Arial" w:cs="Arial" w:eastAsia="Arial" w:hAnsi="Arial"/>
          <w:sz w:val="18"/>
          <w:szCs w:val="18"/>
          <w:color w:val="auto"/>
        </w:rPr>
        <w:t xml:space="preserve"> for inputs used to fair value contingent consideration.</w:t>
      </w:r>
    </w:p>
    <w:p>
      <w:pPr>
        <w:spacing w:after="0" w:line="14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Transaction costs related to business combinations are expensed as incurred and are included in general and administrative expense in consolidated statements of operations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69"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assets, which includes transaction costs. Goodwill is not recognized in asset acquisitions.</w:t>
      </w:r>
    </w:p>
    <w:p>
      <w:pPr>
        <w:spacing w:after="0" w:line="12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Contingent consideration in asset acquisitions payable in the form of cash is recognized when payment becomes probable and reasonably estimable, unless the contingent consideration meets the definition of a derivative, in which case the amount becomes part of the asset acquisition cost when acquired. Upon recognition of the contingent consideration payment, the amount is included in the cost of the acquired asset or group of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8" w:lineRule="exact"/>
        <w:rPr>
          <w:sz w:val="20"/>
          <w:szCs w:val="20"/>
          <w:color w:val="auto"/>
        </w:rPr>
      </w:pPr>
    </w:p>
    <w:p>
      <w:pPr>
        <w:ind w:left="640" w:right="80"/>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27"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11" w:name="page112"/>
    <w:bookmarkEnd w:id="111"/>
    <w:p>
      <w:pPr>
        <w:ind w:right="160" w:firstLine="8"/>
        <w:spacing w:after="0" w:line="244" w:lineRule="auto"/>
        <w:tabs>
          <w:tab w:leader="none" w:pos="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cash equivalents are carried at fair value (Level 1) as determined according to the fair value hierarchy described above. The carrying values of accounts receivable, funds receivable from payment partners, unbilled receivables, prepaid expenses, accounts payable, funds payable to customers and accrued expenses and other current liabilities approximate their respective fair values due to the short-term nature of these assets and liabilities. The Company’s contingent consideration are carried at fair value, determined using Level 3 inputs in the fair value hierarchy.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connection with the Company's financing arrangements, the Company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the Company's consolidated balance sheets as these were free standing instruments that could require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The preferred stock warrants were converted immediately prior to the closing of the IPO into warrants to purchase shares of the Company’s voting common stock and the associated preferred stock warrant liabilities were remeasured to its fair value and reclassified to additional paid-in capital. As of December 31, 2021, there were no preferred stock warrants outstanding.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8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 xml:space="preserve">The Company issued warrants to purchase common stock in conjunction with the refinancing of its long-term debt during the year ended December 31, 2020. The warrants were classified as equity based on the specific terms of the warrant agreement. The warrants were recorded at fair value upon issuance, as a discount to debt in the consolidated balance sheets and were not required to be remeasured after the issuance date, see </w:t>
      </w:r>
      <w:r>
        <w:rPr>
          <w:rFonts w:ascii="Arial" w:cs="Arial" w:eastAsia="Arial" w:hAnsi="Arial"/>
          <w:sz w:val="18"/>
          <w:szCs w:val="18"/>
          <w:i w:val="1"/>
          <w:iCs w:val="1"/>
          <w:color w:val="auto"/>
        </w:rPr>
        <w:t>Note 12 -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Equity (Deficit)</w:t>
      </w:r>
      <w:r>
        <w:rPr>
          <w:rFonts w:ascii="Arial" w:cs="Arial" w:eastAsia="Arial" w:hAnsi="Arial"/>
          <w:sz w:val="18"/>
          <w:szCs w:val="18"/>
          <w:color w:val="auto"/>
        </w:rPr>
        <w:t>. There were no common stock warrants outstanding as of December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subsidiary, is the U.S. Dollar. The functional currency for the UK subsidiary is considered to be the local currency and, accordingly, translation adjustments for this entity are included as a component of accumulated other comprehensive loss in the Company’s consolidated balance sheets. Gains and losses from the remeasurement of foreign currency transactions into the functional currency are recognized as other income (expense), net in the consolidated statements of operations and comprehensive loss and were not material for the periods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generates revenues and incurs expenses by processing payments in foreign currencies. Changes in the value of foreign currencies could impact the Company’s consolidated statements of operations and comprehensive loss. To mitigate the volatility related to fluctuations in the foreign exchange rates, the Company enters into non-deliverable forward foreign currency contracts.</w:t>
      </w:r>
    </w:p>
    <w:p>
      <w:pPr>
        <w:spacing w:after="0" w:line="128" w:lineRule="exact"/>
        <w:rPr>
          <w:sz w:val="20"/>
          <w:szCs w:val="20"/>
          <w:color w:val="auto"/>
        </w:rPr>
      </w:pPr>
    </w:p>
    <w:p>
      <w:pPr>
        <w:ind w:right="80" w:firstLine="559"/>
        <w:spacing w:after="0" w:line="244" w:lineRule="auto"/>
        <w:rPr>
          <w:sz w:val="20"/>
          <w:szCs w:val="20"/>
          <w:color w:val="auto"/>
        </w:rPr>
      </w:pPr>
      <w:r>
        <w:rPr>
          <w:rFonts w:ascii="Arial" w:cs="Arial" w:eastAsia="Arial" w:hAnsi="Arial"/>
          <w:sz w:val="18"/>
          <w:szCs w:val="18"/>
          <w:color w:val="auto"/>
        </w:rPr>
        <w:t>The Company’s foreign currency forward contracts economically hedge certain risk but are not designated as hedges for financial reporting purposes, and accordingly, all changes in the fair value of these derivative instruments are recorded as unrealized foreign currency transaction gains or losses and are included in the consolidated statements of operations and comprehensive loss as a component of payment processing services costs. The Company records all derivative instruments in the consolidated balance sheet at their fair values in prepaid expenses and other current assets and accrued expenses and other current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6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IPO, these costs were recorded in stockholder’s equity as a reduction of the additional paid-in capital generated as a result of the IPO. There were no deferred offering costs as of December 31, 2021.</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3" w:lineRule="exact"/>
        <w:rPr>
          <w:sz w:val="20"/>
          <w:szCs w:val="20"/>
          <w:color w:val="auto"/>
        </w:rPr>
      </w:pPr>
    </w:p>
    <w:p>
      <w:pPr>
        <w:ind w:right="740" w:firstLine="509"/>
        <w:spacing w:after="0" w:line="253" w:lineRule="auto"/>
        <w:rPr>
          <w:sz w:val="20"/>
          <w:szCs w:val="20"/>
          <w:color w:val="auto"/>
        </w:rPr>
      </w:pPr>
      <w:r>
        <w:rPr>
          <w:rFonts w:ascii="Arial" w:cs="Arial" w:eastAsia="Arial" w:hAnsi="Arial"/>
          <w:sz w:val="18"/>
          <w:szCs w:val="18"/>
          <w:color w:val="auto"/>
        </w:rPr>
        <w:t>Revenue is recognized when a customer obtains control of the promised goods or services, in an amount that reflects the consideration which the entity expects to receive in exchange for those goods or services. In order to achieve this core principle, the Company applies the following five steps:</w:t>
      </w:r>
    </w:p>
    <w:p>
      <w:pPr>
        <w:spacing w:after="0" w:line="128" w:lineRule="exact"/>
        <w:rPr>
          <w:sz w:val="20"/>
          <w:szCs w:val="20"/>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71" w:lineRule="exact"/>
        <w:rPr>
          <w:rFonts w:ascii="Arial" w:cs="Arial" w:eastAsia="Arial" w:hAnsi="Arial"/>
          <w:sz w:val="18"/>
          <w:szCs w:val="18"/>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84" w:lineRule="exact"/>
        <w:rPr>
          <w:rFonts w:ascii="Arial" w:cs="Arial" w:eastAsia="Arial" w:hAnsi="Arial"/>
          <w:sz w:val="18"/>
          <w:szCs w:val="18"/>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71" w:lineRule="exact"/>
        <w:rPr>
          <w:rFonts w:ascii="Arial" w:cs="Arial" w:eastAsia="Arial" w:hAnsi="Arial"/>
          <w:sz w:val="18"/>
          <w:szCs w:val="18"/>
          <w:color w:val="auto"/>
        </w:rPr>
      </w:pPr>
    </w:p>
    <w:p>
      <w:pPr>
        <w:ind w:left="2040" w:hanging="640"/>
        <w:spacing w:after="0"/>
        <w:tabs>
          <w:tab w:leader="none" w:pos="2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derives revenue primarily from transactions and platform and usage-based fees.</w:t>
      </w:r>
    </w:p>
    <w:p>
      <w:pPr>
        <w:spacing w:after="0" w:line="171" w:lineRule="exact"/>
        <w:rPr>
          <w:sz w:val="20"/>
          <w:szCs w:val="20"/>
          <w:color w:val="auto"/>
        </w:rPr>
      </w:pPr>
    </w:p>
    <w:p>
      <w:pPr>
        <w:ind w:left="640" w:firstLine="509"/>
        <w:spacing w:after="0" w:line="239"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 relate to fees charged for payment processing services provided to educational institutions,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other commercial entities (each a Client).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139" w:lineRule="exact"/>
        <w:rPr>
          <w:sz w:val="20"/>
          <w:szCs w:val="20"/>
          <w:color w:val="auto"/>
        </w:rPr>
      </w:pPr>
    </w:p>
    <w:p>
      <w:pPr>
        <w:ind w:left="640" w:right="140"/>
        <w:spacing w:after="0" w:line="242" w:lineRule="auto"/>
        <w:rPr>
          <w:sz w:val="20"/>
          <w:szCs w:val="20"/>
          <w:color w:val="auto"/>
        </w:rPr>
      </w:pPr>
      <w:r>
        <w:rPr>
          <w:rFonts w:ascii="Arial" w:cs="Arial" w:eastAsia="Arial" w:hAnsi="Arial"/>
          <w:sz w:val="18"/>
          <w:szCs w:val="18"/>
          <w:color w:val="auto"/>
        </w:rPr>
        <w:t>The money can be wired directly from the Client’s Customer to the Company; however, in certain situations when the Client’s Customer resides in a country where the Company does not have an active bank account, the Company uses third-party service providers (Partners) to collect wired funds before remitting the funds to the Company. On a recurring basis, the Partner invoices the Company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52" w:lineRule="exact"/>
        <w:rPr>
          <w:sz w:val="20"/>
          <w:szCs w:val="20"/>
          <w:color w:val="auto"/>
        </w:rPr>
      </w:pPr>
    </w:p>
    <w:p>
      <w:pPr>
        <w:ind w:left="660" w:right="220"/>
        <w:spacing w:after="0" w:line="242" w:lineRule="auto"/>
        <w:rPr>
          <w:sz w:val="20"/>
          <w:szCs w:val="20"/>
          <w:color w:val="auto"/>
        </w:rPr>
      </w:pPr>
      <w:r>
        <w:rPr>
          <w:rFonts w:ascii="Arial" w:cs="Arial" w:eastAsia="Arial" w:hAnsi="Arial"/>
          <w:sz w:val="18"/>
          <w:szCs w:val="18"/>
          <w:color w:val="auto"/>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customers,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138" w:lineRule="exact"/>
        <w:rPr>
          <w:sz w:val="20"/>
          <w:szCs w:val="20"/>
          <w:color w:val="auto"/>
        </w:rPr>
      </w:pPr>
    </w:p>
    <w:p>
      <w:pPr>
        <w:ind w:left="640" w:right="20"/>
        <w:spacing w:after="0" w:line="244" w:lineRule="auto"/>
        <w:rPr>
          <w:sz w:val="20"/>
          <w:szCs w:val="20"/>
          <w:color w:val="auto"/>
        </w:rPr>
      </w:pPr>
      <w:r>
        <w:rPr>
          <w:rFonts w:ascii="Arial" w:cs="Arial" w:eastAsia="Arial" w:hAnsi="Arial"/>
          <w:sz w:val="18"/>
          <w:szCs w:val="18"/>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136" w:lineRule="exact"/>
        <w:rPr>
          <w:sz w:val="20"/>
          <w:szCs w:val="20"/>
          <w:color w:val="auto"/>
        </w:rPr>
      </w:pPr>
    </w:p>
    <w:p>
      <w:pPr>
        <w:ind w:left="640" w:right="240"/>
        <w:spacing w:after="0" w:line="247" w:lineRule="auto"/>
        <w:rPr>
          <w:sz w:val="20"/>
          <w:szCs w:val="20"/>
          <w:color w:val="auto"/>
        </w:rPr>
      </w:pPr>
      <w:r>
        <w:rPr>
          <w:rFonts w:ascii="Arial" w:cs="Arial" w:eastAsia="Arial" w:hAnsi="Arial"/>
          <w:sz w:val="18"/>
          <w:szCs w:val="18"/>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1" w:right="359" w:bottom="1440" w:gutter="0" w:footer="0" w:header="0"/>
        </w:sectPr>
      </w:pPr>
    </w:p>
    <w:bookmarkStart w:id="113" w:name="page114"/>
    <w:bookmarkEnd w:id="113"/>
    <w:p>
      <w:pPr>
        <w:ind w:left="640" w:right="140" w:firstLine="509"/>
        <w:spacing w:after="0" w:line="247" w:lineRule="auto"/>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 relate to fees earned for utilizing the Company’s platform to collect their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Client’s Customers, fees collected on payment plans established by the Client for obligations due by Client’s Customer, subscription fees and fees related to printing and mailing statements. Fees charged consist of a fixed fee and a variable fee determined based on volume of transactions processed through the Company’s platform.</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 Obligations</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128" w:lineRule="exact"/>
        <w:rPr>
          <w:sz w:val="20"/>
          <w:szCs w:val="20"/>
          <w:color w:val="auto"/>
        </w:rPr>
      </w:pPr>
    </w:p>
    <w:p>
      <w:pPr>
        <w:jc w:val="both"/>
        <w:ind w:right="140" w:firstLine="509"/>
        <w:spacing w:after="0" w:line="275" w:lineRule="auto"/>
        <w:rPr>
          <w:sz w:val="20"/>
          <w:szCs w:val="20"/>
          <w:color w:val="auto"/>
        </w:rPr>
      </w:pPr>
      <w:r>
        <w:rPr>
          <w:rFonts w:ascii="Arial" w:cs="Arial" w:eastAsia="Arial" w:hAnsi="Arial"/>
          <w:sz w:val="17"/>
          <w:szCs w:val="17"/>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125"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13"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Consideration</w:t>
      </w:r>
    </w:p>
    <w:p>
      <w:pPr>
        <w:spacing w:after="0" w:line="18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Payment Terms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payment terms vary by type of Client, Client’s Customer and services offered and ranges between one and 60 days.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Typically, the Company charges either a fixed fee, a fixed fee per transaction or percentage of transaction value or a combination of both.</w:t>
      </w:r>
    </w:p>
    <w:p>
      <w:pPr>
        <w:spacing w:after="0" w:line="16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2021, 2020 and 2019.</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Revenue Recognition Policies</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Remaining Performance Obligations</w:t>
      </w:r>
    </w:p>
    <w:p>
      <w:pPr>
        <w:spacing w:after="0" w:line="169"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does not have material remaining performance obligations associated with contracts with terms greater than one year.</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additional information on revenue recognition.</w:t>
      </w:r>
    </w:p>
    <w:p>
      <w:pPr>
        <w:spacing w:after="0" w:line="10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99" w:right="4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83"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the Company’s employees who facilitate these payments and personnel related expenses for the Company’s employees who provide implementation services to its clients.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 assets, marketing program expenses, travel-related expenses and costs to market and promote the Company's solutions through advertisements, marketing events, partnership arrangements, and direct customer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6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$3.2 million, $1.3 million and $2.5 million for the years ended December 31, 2021, 2020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recognizes compensation cost for all stock-based compensation awards made to employees. The Company determines compensation expense associated with restricted stock awards and restricted stock units based on the fair value of common stock on the date of grant. The Company determines compensation expense associated with stock options based on grant date fair value method using the Black-Scholes valuation model.</w:t>
      </w:r>
    </w:p>
    <w:p>
      <w:pPr>
        <w:spacing w:after="0" w:line="13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Determining the fair value of each stock option grant requires judgements and estimates. Such estimates include the exercise price, option term, volatility, risk free rate and expected dividend yield. Any changes to those estimates may have a significant impact on the stock-based compensation expense recorded and could materially impact the Company’s results of operations.</w:t>
      </w:r>
    </w:p>
    <w:p>
      <w:pPr>
        <w:spacing w:after="0" w:line="14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exercise price per share of stock options granted may not be less than the fair market value of the Company's common stock at the date of the grant.</w:t>
      </w:r>
    </w:p>
    <w:p>
      <w:pPr>
        <w:spacing w:after="0" w:line="113" w:lineRule="exact"/>
        <w:rPr>
          <w:sz w:val="20"/>
          <w:szCs w:val="20"/>
          <w:color w:val="auto"/>
        </w:rPr>
      </w:pPr>
    </w:p>
    <w:p>
      <w:pPr>
        <w:ind w:right="40" w:firstLine="559"/>
        <w:spacing w:after="0" w:line="239" w:lineRule="auto"/>
        <w:rPr>
          <w:sz w:val="20"/>
          <w:szCs w:val="20"/>
          <w:color w:val="auto"/>
        </w:rPr>
      </w:pPr>
      <w:r>
        <w:rPr>
          <w:rFonts w:ascii="Arial" w:cs="Arial" w:eastAsia="Arial" w:hAnsi="Arial"/>
          <w:sz w:val="18"/>
          <w:szCs w:val="18"/>
          <w:color w:val="auto"/>
        </w:rPr>
        <w:t>Prior to the Company's IPO, the fair value of shares of common stock was determined by the Company’s board of directors, with input from management and the assistance of a third-party valuation specialist. The Company’s board of directors exercised judgment in determining the estimated fair value of the Company’s common stock on the date of grant based on a number of objective and subjective factors, including the Company’s operating and financial performance, external market conditions affecting the Company’s industry sector, an analysis of publicly traded peer companies, the prices at which the Company sold shares of convertible preferred stock, the superior rights and preferences of securities senior to the Company’s common stock at the time of each grant, and the likelihood of achieving a liquidity event such as an IPO or sale of the Company. Following the Company’s IPO, its board of directors no longer estimate the fair value of the Company’s common stock in connection with granted stock options and other granted equity awards as the fair value of the Company’s common stock is determined based on the quoted market price of the Company’s common stock.</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115" w:name="page116"/>
    <w:bookmarkEnd w:id="115"/>
    <w:p>
      <w:pPr>
        <w:ind w:right="40" w:firstLine="609"/>
        <w:spacing w:after="0"/>
        <w:rPr>
          <w:sz w:val="20"/>
          <w:szCs w:val="20"/>
          <w:color w:val="auto"/>
        </w:rPr>
      </w:pPr>
      <w:r>
        <w:rPr>
          <w:rFonts w:ascii="Arial" w:cs="Arial" w:eastAsia="Arial" w:hAnsi="Arial"/>
          <w:sz w:val="18"/>
          <w:szCs w:val="18"/>
          <w:color w:val="auto"/>
        </w:rPr>
        <w:t>Since the Company’s IPO occurred in 2021, the Company lacks sufficient Company-specific historical and implied volatility information for its stock; therefore, the Company estimates its expected stock volatility based on the historical volatility of publicly traded peer companies. The expected term of the Company’s stock options is determined utilizing the “simplified” method for awards that qualify as “plain-vanilla” options. The simplified method deems the term to be the average of the time-to-vesting and the contractual life of the stock-based awards. The risk-free interest rate is determined by reference to the U.S. Treasury yield curve in effect at the time of grant of the award for time periods approximately equal to the expected term of the award. Expected dividend yield is zero based on the fact that the Company does not have a history of declaring or paying cash dividends.</w:t>
      </w:r>
    </w:p>
    <w:p>
      <w:pPr>
        <w:spacing w:after="0" w:line="158"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Compensation expense is recognized using a straight-line amortization method over the requisite service period of the award, which is generally the vesting term of four years for stock options, restricted stock awards and restricted stock units. The Company accounts for forfeitures as they occur.</w:t>
      </w:r>
    </w:p>
    <w:p>
      <w:pPr>
        <w:spacing w:after="0" w:line="128"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the tax basis of assets and liabilities, as measured by enacted tax rates anticipated to be in effect when these differences are expected to reverse.</w:t>
      </w:r>
    </w:p>
    <w:p>
      <w:pPr>
        <w:spacing w:after="0" w:line="12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128"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Interest and penalties related to uncertain tax positions are recognized in the provision for income taxes.</w:t>
      </w:r>
    </w:p>
    <w:p>
      <w:pPr>
        <w:spacing w:after="0" w:line="14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113"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Company is open to future tax examinations from 2016 to the present; however, carryforward attributes that were generated prior to 2016 may still be adjusted upon examination by federal, state or local tax authorities to the extent they will be used in a future period. In 2021, the U.S. Internal Revenue Service commenced a corporate income tax audit with respect to the 2018 calendar year, which is still open.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3"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comprehensive loss for the Company equals its net loss plus changes in foreign currency translation for all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6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had the right to receive nonforfeitable dividends on a pari passu basis in the event that a dividend was paid on common stock. Under the two-class method, the net income (loss) attributable to common stockholders was not allocated to the convertible preferred stock or the redeemable convertible preferred stock as the preferred stockholders did not have a contractual obligation to share in the Company’s losses.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6" w:name="page117"/>
    <w:bookmarkEnd w:id="116"/>
    <w:p>
      <w:pPr>
        <w:ind w:right="40"/>
        <w:spacing w:after="0" w:line="242"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152"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2021, 2020 and 2019; accordingly, basic net loss per share attributable to common stockholders is the same as diluted net loss per share attributable to common stockholders.</w:t>
      </w:r>
    </w:p>
    <w:p>
      <w:pPr>
        <w:spacing w:after="0" w:line="13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3"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6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During 2021, the Company adopted the following Accounting Standards Updates (ASU) issued by the Financial Accounting Standards Board (FASB):</w:t>
      </w:r>
    </w:p>
    <w:p>
      <w:pPr>
        <w:spacing w:after="0" w:line="127"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 Combinations (Topic 805): Accounting for Contract Assets and Contract Liabilities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ASU 2021-08 amends ASC 805 to add contract assets and contract liabilities to the list of exceptions to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measurement principles that apply to business combinations and to require that an entity (acquirer) recognize and measure contract assets and contract liabilities acquired in a business combination in accordance with Topic 606. Under the new guidance, contract </w:t>
      </w:r>
      <w:r>
        <w:rPr>
          <w:rFonts w:ascii="Arial" w:cs="Arial" w:eastAsia="Arial" w:hAnsi="Arial"/>
          <w:sz w:val="18"/>
          <w:szCs w:val="18"/>
          <w:color w:val="auto"/>
          <w:highlight w:val="white"/>
        </w:rPr>
        <w:t>assets and</w:t>
      </w:r>
      <w:r>
        <w:rPr>
          <w:rFonts w:ascii="Arial" w:cs="Arial" w:eastAsia="Arial" w:hAnsi="Arial"/>
          <w:sz w:val="18"/>
          <w:szCs w:val="18"/>
          <w:color w:val="auto"/>
        </w:rPr>
        <w:t xml:space="preserve"> </w:t>
      </w:r>
      <w:r>
        <w:rPr>
          <w:rFonts w:ascii="Arial" w:cs="Arial" w:eastAsia="Arial" w:hAnsi="Arial"/>
          <w:sz w:val="18"/>
          <w:szCs w:val="18"/>
          <w:color w:val="auto"/>
          <w:highlight w:val="white"/>
        </w:rPr>
        <w:t>contract liabilities will be accounted as if the acquirer entered into the original contract at the same time and same date as the acquiree. This is a shift from existing guidance, wh</w:t>
      </w:r>
      <w:r>
        <w:rPr>
          <w:rFonts w:ascii="Arial" w:cs="Arial" w:eastAsia="Arial" w:hAnsi="Arial"/>
          <w:sz w:val="18"/>
          <w:szCs w:val="18"/>
          <w:color w:val="auto"/>
        </w:rPr>
        <w:t>ich required the acquirer to recognize contract assets and contract liabilities at their fair value as of the</w:t>
      </w:r>
      <w:r>
        <w:rPr>
          <w:rFonts w:ascii="Arial" w:cs="Arial" w:eastAsia="Arial" w:hAnsi="Arial"/>
          <w:sz w:val="18"/>
          <w:szCs w:val="18"/>
          <w:color w:val="auto"/>
          <w:highlight w:val="white"/>
        </w:rPr>
        <w:t xml:space="preserve"> </w:t>
      </w:r>
      <w:r>
        <w:rPr>
          <w:rFonts w:ascii="Arial" w:cs="Arial" w:eastAsia="Arial" w:hAnsi="Arial"/>
          <w:sz w:val="18"/>
          <w:szCs w:val="18"/>
          <w:color w:val="auto"/>
        </w:rPr>
        <w:t>acquisition date. Early adoption of ASU 2021-08 is permitted, including adoption in an interim period. An entity that early adopts in an interim period should apply the amendments (i) retrospectively to all business combinations for which the acquisition date occurs on or after the beginning of the fiscal year that includes the interim period of early application and (ii) prospectively to all business combinations that occur on or after the date of initial application. The Company early adopted ASU 2021-08 as of October 1, 2021. The adoption of this standard did not have a material impact on Flywire's consolidated financial statements and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 as of December 31, 2021</w:t>
      </w:r>
    </w:p>
    <w:p>
      <w:pPr>
        <w:spacing w:after="0" w:line="169" w:lineRule="exact"/>
        <w:rPr>
          <w:sz w:val="20"/>
          <w:szCs w:val="20"/>
          <w:color w:val="auto"/>
        </w:rPr>
      </w:pPr>
    </w:p>
    <w:p>
      <w:pPr>
        <w:ind w:right="80" w:firstLine="559"/>
        <w:spacing w:after="0" w:line="239" w:lineRule="auto"/>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related ASUs: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the lease is effectively a financed purchase by the lessee. This classification determines whether lease expense is recognized based on an effective interest method or on a straight-line basis over the term of the lease. In addition, a lessee is required to record (i) a right-of-use (ROU)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the prior guidance for operating leases. In 2018, the FASB issued ASU 2018-11, which added an optional transition method under the new lease standard that allows companies to adopt the standard as of the beginning of the year of adoption as opposed to the earliest comparative period presented.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7" w:name="page118"/>
    <w:bookmarkEnd w:id="117"/>
    <w:p>
      <w:pPr>
        <w:ind w:right="100" w:firstLine="509"/>
        <w:spacing w:after="0" w:line="238" w:lineRule="auto"/>
        <w:rPr>
          <w:sz w:val="20"/>
          <w:szCs w:val="20"/>
          <w:color w:val="auto"/>
        </w:rPr>
      </w:pPr>
      <w:r>
        <w:rPr>
          <w:rFonts w:ascii="Arial" w:cs="Arial" w:eastAsia="Arial" w:hAnsi="Arial"/>
          <w:sz w:val="18"/>
          <w:szCs w:val="18"/>
          <w:color w:val="auto"/>
        </w:rPr>
        <w:t xml:space="preserve">Flywire adopted ASU 2016-02 and subsequent related ASUs as of January 1, 2022. The Company elected the modified retrospective transition option which allows for application of Topic 842 at the adoption date. Therefore, comparative prior period financial information was not adjusted and will continue to be reported under the previous accounting guidance of ASC 840, </w:t>
      </w:r>
      <w:r>
        <w:rPr>
          <w:rFonts w:ascii="Arial" w:cs="Arial" w:eastAsia="Arial" w:hAnsi="Arial"/>
          <w:sz w:val="18"/>
          <w:szCs w:val="18"/>
          <w:i w:val="1"/>
          <w:iCs w:val="1"/>
          <w:color w:val="auto"/>
        </w:rPr>
        <w:t>Leases</w:t>
      </w:r>
      <w:r>
        <w:rPr>
          <w:rFonts w:ascii="Arial" w:cs="Arial" w:eastAsia="Arial" w:hAnsi="Arial"/>
          <w:sz w:val="18"/>
          <w:szCs w:val="18"/>
          <w:color w:val="auto"/>
        </w:rPr>
        <w:t>. No cumulative-effect adjustment to the opening accumulated deficit balance as of as of January 1, 2022 was necessary as a result of adopting the new standard. The Company elected the “package of practical expedients” permitted under the transition guidance which allowed the Company not to reassess</w:t>
      </w:r>
    </w:p>
    <w:p>
      <w:pPr>
        <w:spacing w:after="0" w:line="4" w:lineRule="exact"/>
        <w:rPr>
          <w:sz w:val="20"/>
          <w:szCs w:val="20"/>
          <w:color w:val="auto"/>
        </w:rPr>
      </w:pPr>
    </w:p>
    <w:p>
      <w:pPr>
        <w:ind w:firstLine="8"/>
        <w:spacing w:after="0" w:line="236" w:lineRule="auto"/>
        <w:tabs>
          <w:tab w:leader="none" w:pos="2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(ii) the lease classification for any expired or existing leases and (iii) initial direct costs for any existing leases. The Company elected the practical expedient not to separate lease and non-lease components. The Company also elected the short-term lease recognition exemption and will not recognize ROU assets or lease liabilities for leases with a term less than 12 months. ROU assets and lease liabilities are recognized at the lease commencement date based on the estimated present value of lease payments over the lease term. As the implicit rate of the leases is not determinable, the Company uses an incremental borrowing rate in determining the present value of the lease payments. The lease expense associated with operating leases is recognized on a straight-line basis over the lease term, consistent with the expense recognition prior to adoption. Variable lease payments for maintenance, property taxes and other operating expenses are recognized as expense in the period in which the obligation for the payment is incurred. As a result of the adoption, the Company recognized ROU assets in the approximate range of $5.1 million to $5.6 million in Other Assets and a corresponding lease liability in the approximate range of $5.7 million to $6.2 million in Other liabilities as of January 1, 2022. The ROU assets were adjusted per Topic 842 transition guidance for the existing deferred rent balance.</w:t>
      </w:r>
    </w:p>
    <w:p>
      <w:pPr>
        <w:spacing w:after="0" w:line="16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The Company adopted this guidance as of January 1, 2022. The adoption of this standard did not have a material impact on Flywire's consolidated financial statements and disclosures.</w:t>
      </w:r>
    </w:p>
    <w:p>
      <w:pPr>
        <w:spacing w:after="0" w:line="13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ASU 2021-04, </w:t>
      </w:r>
      <w:r>
        <w:rPr>
          <w:rFonts w:ascii="Arial" w:cs="Arial" w:eastAsia="Arial" w:hAnsi="Arial"/>
          <w:sz w:val="18"/>
          <w:szCs w:val="18"/>
          <w:i w:val="1"/>
          <w:iCs w:val="1"/>
          <w:color w:val="auto"/>
        </w:rPr>
        <w:t>Earnings Per Share (Topic 260), Debt - Modifications and Extinguishments (Subtopic 470-50), 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and Derivatives and Hedging - Contracts in Entity’s Own Equity (Subtopic 815-40): </w:t>
      </w:r>
      <w:r>
        <w:rPr>
          <w:rFonts w:ascii="Arial" w:cs="Arial" w:eastAsia="Arial" w:hAnsi="Arial"/>
          <w:sz w:val="18"/>
          <w:szCs w:val="18"/>
          <w:color w:val="auto"/>
        </w:rPr>
        <w:t>ASU 2021-04 requires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to account for modifications or exchanges of freestanding equity-classified written call options (e.g., warrants) that remain equity classified after the modification or exchange based on the substance of the modification or exchange (e.g., a financing transaction to raise equity versus one to raise debt). The Company adopted this guidance as of January 1, 2022. The adoption of this standard did not have any impact on Flywire's consolidated financial statements and disclosures as the Company currently does not have any freestanding equity-classified written call options within the scope of this rule.</w:t>
      </w:r>
    </w:p>
    <w:p>
      <w:pPr>
        <w:spacing w:after="0" w:line="144" w:lineRule="exact"/>
        <w:rPr>
          <w:sz w:val="20"/>
          <w:szCs w:val="20"/>
          <w:color w:val="auto"/>
        </w:rPr>
      </w:pPr>
    </w:p>
    <w:p>
      <w:pPr>
        <w:ind w:right="620" w:firstLine="509"/>
        <w:spacing w:after="0" w:line="244" w:lineRule="auto"/>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and subsequent related ASUs: ASU 2016-13 replaces the current incurred loss impairment model that recognizes losses when a probable threshold is met with a requirement to recognize lifetime expected credit losses immediately when a financial asset is originated or purchased. ASU 2016-13 is effective for the Company on January 1, 2023, with early adoption permitted. The Company is currently evaluating the impact of this standard on its consolidated financial statements and disclosures.</w:t>
      </w:r>
    </w:p>
    <w:p>
      <w:pPr>
        <w:spacing w:after="0" w:line="149" w:lineRule="exact"/>
        <w:rPr>
          <w:sz w:val="20"/>
          <w:szCs w:val="20"/>
          <w:color w:val="auto"/>
        </w:rPr>
      </w:pPr>
    </w:p>
    <w:p>
      <w:pPr>
        <w:ind w:right="240" w:firstLine="509"/>
        <w:spacing w:after="0" w:line="261" w:lineRule="auto"/>
        <w:rPr>
          <w:sz w:val="20"/>
          <w:szCs w:val="20"/>
          <w:color w:val="auto"/>
        </w:rPr>
      </w:pPr>
      <w:r>
        <w:rPr>
          <w:rFonts w:ascii="Arial" w:cs="Arial" w:eastAsia="Arial" w:hAnsi="Arial"/>
          <w:sz w:val="17"/>
          <w:szCs w:val="17"/>
          <w:color w:val="auto"/>
        </w:rPr>
        <w:t xml:space="preserve">ASU 2020-06, </w:t>
      </w:r>
      <w:r>
        <w:rPr>
          <w:rFonts w:ascii="Arial" w:cs="Arial" w:eastAsia="Arial" w:hAnsi="Arial"/>
          <w:sz w:val="17"/>
          <w:szCs w:val="17"/>
          <w:i w:val="1"/>
          <w:iCs w:val="1"/>
          <w:color w:val="auto"/>
        </w:rPr>
        <w:t>Debt - Debt with Conversion and Other Options (Subtopic 470-20) and Derivatives and Hedging -Contracts in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Own Equity (Subtopic 815-40): Accounting for Convertible Instruments and Contracts in an Entity’s Own Equity: </w:t>
      </w:r>
      <w:r>
        <w:rPr>
          <w:rFonts w:ascii="Arial" w:cs="Arial" w:eastAsia="Arial" w:hAnsi="Arial"/>
          <w:sz w:val="17"/>
          <w:szCs w:val="17"/>
          <w:color w:val="auto"/>
        </w:rPr>
        <w:t>ASU 2020-06 reduces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accounting models for convertible debt instruments and convertible preferred stock as well as amends the derivatives scope exception for contracts in an entity’s own equity. ASU 2020-06 is effective for the Company on January 1, 2024, with early adoption permitted. The Company is currently evaluating the impact of this standard on its consolidated financial statements and disclosures.</w:t>
      </w:r>
    </w:p>
    <w:p>
      <w:pPr>
        <w:spacing w:after="0" w:line="125"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Recognition</w:t>
      </w:r>
    </w:p>
    <w:p>
      <w:pPr>
        <w:spacing w:after="0" w:line="171"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Primary geographical markets</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131,675</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97,768</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67,896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Canada</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27,945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11,956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9,043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27,735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18,217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Other countries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13,794</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3,842</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2,447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280"/>
              <w:spacing w:after="0" w:line="196" w:lineRule="exact"/>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201,149</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131,783</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94,918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Major solutions</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Transactions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147,994</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89,607</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86,580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Platform and usage-based fees</w:t>
            </w: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53,155</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42,176</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8,338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280"/>
              <w:spacing w:after="0" w:line="196" w:lineRule="exact"/>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201,149</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131,783</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94,918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-708025</wp:posOffset>
            </wp:positionV>
            <wp:extent cx="431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-708025</wp:posOffset>
            </wp:positionV>
            <wp:extent cx="431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-708025</wp:posOffset>
            </wp:positionV>
            <wp:extent cx="431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-159385</wp:posOffset>
            </wp:positionV>
            <wp:extent cx="431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-159385</wp:posOffset>
            </wp:positionV>
            <wp:extent cx="431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23742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7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0"/>
          <w:szCs w:val="10"/>
          <w:color w:val="auto"/>
        </w:rPr>
      </w:pPr>
      <w:r>
        <w:rPr>
          <w:rFonts w:ascii="Arial" w:cs="Arial" w:eastAsia="Arial" w:hAnsi="Arial"/>
          <w:sz w:val="18"/>
          <w:szCs w:val="18"/>
          <w:color w:val="auto"/>
        </w:rPr>
        <w:t>No single country included in the other countries category generated 10% or more of total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6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timing of revenue recognition, billing and cash collection results in billed receivables, unbilled receivables and deferred revenue on the consolidated balance sheet.</w:t>
      </w:r>
    </w:p>
    <w:p>
      <w:pPr>
        <w:spacing w:after="0" w:line="11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w:t>
      </w:r>
    </w:p>
    <w:p>
      <w:pPr>
        <w:spacing w:after="0" w:line="142"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In certain instances, the Company delivers services in advance of billing. In this case the Company recognizes unbilled receivables which is not a contract asset as the Company has an unconditional right for payment.</w:t>
      </w:r>
    </w:p>
    <w:p>
      <w:pPr>
        <w:spacing w:after="0" w:line="113"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customers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 net of allowances</w:t>
            </w:r>
          </w:p>
        </w:tc>
        <w:tc>
          <w:tcPr>
            <w:tcW w:w="1040" w:type="dxa"/>
            <w:vAlign w:val="bottom"/>
            <w:tcBorders>
              <w:top w:val="single" w:sz="8" w:color="auto"/>
            </w:tcBorders>
            <w:shd w:val="clear" w:color="auto" w:fill="CFF0FC"/>
          </w:tcPr>
          <w:p>
            <w:pPr>
              <w:jc w:val="right"/>
              <w:ind w:right="842"/>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12,968</w:t>
            </w: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11,573</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Unbilled Receivables</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3,340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1,698</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revenue—current</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5,488</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1,227</w:t>
            </w:r>
          </w:p>
        </w:tc>
        <w:tc>
          <w:tcPr>
            <w:tcW w:w="60" w:type="dxa"/>
            <w:vAlign w:val="bottom"/>
            <w:shd w:val="clear" w:color="auto" w:fill="CFF0FC"/>
          </w:tcPr>
          <w:p>
            <w:pPr>
              <w:spacing w:after="0"/>
              <w:rPr>
                <w:sz w:val="17"/>
                <w:szCs w:val="17"/>
                <w:color w:val="auto"/>
              </w:rPr>
            </w:pPr>
          </w:p>
        </w:tc>
      </w:tr>
      <w:tr>
        <w:trPr>
          <w:trHeight w:val="239"/>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revenue—non-current</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0"/>
                <w:szCs w:val="20"/>
                <w:color w:val="auto"/>
              </w:rPr>
            </w:pPr>
          </w:p>
        </w:tc>
      </w:tr>
    </w:tbl>
    <w:p>
      <w:pPr>
        <w:spacing w:after="0" w:line="13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 ended December 31, 2021, the Company recognized $0.7 million in revenue from amounts that were included in deferred revenue as of December 31, 2020.</w:t>
      </w:r>
    </w:p>
    <w:p>
      <w:pPr>
        <w:spacing w:after="0" w:line="11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For the year ended December 31, 2020, the Company recognized $1.3 million in revenue from amounts that were included in deferred revenue as of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8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Incremental costs for obtaining contracts that are deemed recoverable are capitalized as contract costs and are included in other assets in the consolidated balance sheets. Such costs result from the payment of sales incentives and totaled $0.4 million and less than $0.1 million as of December 31, 2021 and 2020, respectively. There was no cost qualifying for capitalization during the year ended December 31, 2019. Capitalized sales incentives are amortized over the period of benefits, which the Company has determined to be three years. The amortization is included in selling and marketing expense line in the consolidated statements of operations and comprehensive loss, and totaled less than $0.1 million and $0 for the years ended December 31, 2021 and 2020, respectively.</w:t>
      </w:r>
    </w:p>
    <w:p>
      <w:pPr>
        <w:spacing w:after="0" w:line="138"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$1.4 million and $1.5 million of costs in 2021 and 2020, respectively within other assets on the consolidated balance sheets. There was no cost qualifying for capitalization during the year ended December 31, 2019. These capitalized costs are amortized on a straight-line basis over the expected contract life, which generally is five years, starting on go-live date. The amortization is included in technology and development expense line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ind w:right="860"/>
        <w:spacing w:after="0" w:line="271" w:lineRule="auto"/>
        <w:rPr>
          <w:sz w:val="20"/>
          <w:szCs w:val="20"/>
          <w:color w:val="auto"/>
        </w:rPr>
      </w:pPr>
      <w:r>
        <w:rPr>
          <w:rFonts w:ascii="Arial" w:cs="Arial" w:eastAsia="Arial" w:hAnsi="Arial"/>
          <w:sz w:val="18"/>
          <w:szCs w:val="18"/>
          <w:color w:val="auto"/>
        </w:rPr>
        <w:t>in the consolidated statements of operations and comprehensive loss, and totaled $0.2 million and $0.4 million for the years ended December 31, 2021 and 2020, respectively.</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impairment of capitalized contract costs during the years ended December 31, 2021, 2020 and 2019.</w:t>
      </w:r>
    </w:p>
    <w:p>
      <w:pPr>
        <w:spacing w:after="0" w:line="171"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171" w:lineRule="exact"/>
        <w:rPr>
          <w:sz w:val="20"/>
          <w:szCs w:val="20"/>
          <w:color w:val="auto"/>
        </w:rPr>
      </w:pPr>
    </w:p>
    <w:p>
      <w:pPr>
        <w:ind w:right="880" w:firstLine="509"/>
        <w:spacing w:after="0" w:line="271" w:lineRule="auto"/>
        <w:rPr>
          <w:sz w:val="20"/>
          <w:szCs w:val="20"/>
          <w:color w:val="auto"/>
        </w:rPr>
      </w:pPr>
      <w:r>
        <w:rPr>
          <w:rFonts w:ascii="Arial" w:cs="Arial" w:eastAsia="Arial" w:hAnsi="Arial"/>
          <w:sz w:val="18"/>
          <w:szCs w:val="18"/>
          <w:color w:val="auto"/>
        </w:rPr>
        <w:t>Changes in the allowance for doubtful accounts for the years ended December 31, 2021, 2020 and 2019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Allowance for doubtful accounts at the beginning of the year</w:t>
            </w:r>
          </w:p>
        </w:tc>
        <w:tc>
          <w:tcPr>
            <w:tcW w:w="920" w:type="dxa"/>
            <w:vAlign w:val="bottom"/>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(481</w:t>
            </w:r>
          </w:p>
        </w:tc>
        <w:tc>
          <w:tcPr>
            <w:tcW w:w="260" w:type="dxa"/>
            <w:vAlign w:val="bottom"/>
            <w:shd w:val="clear" w:color="auto" w:fill="CFF0FC"/>
          </w:tcPr>
          <w:p>
            <w:pPr>
              <w:jc w:val="right"/>
              <w:ind w:right="99"/>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80" w:type="dxa"/>
            <w:vAlign w:val="bottom"/>
          </w:tcPr>
          <w:p>
            <w:pPr>
              <w:ind w:left="280"/>
              <w:spacing w:after="0" w:line="202" w:lineRule="exact"/>
              <w:rPr>
                <w:sz w:val="20"/>
                <w:szCs w:val="20"/>
                <w:color w:val="auto"/>
              </w:rPr>
            </w:pPr>
            <w:r>
              <w:rPr>
                <w:rFonts w:ascii="Arial" w:cs="Arial" w:eastAsia="Arial" w:hAnsi="Arial"/>
                <w:sz w:val="18"/>
                <w:szCs w:val="18"/>
                <w:color w:val="auto"/>
              </w:rPr>
              <w:t>Provisions</w:t>
            </w:r>
          </w:p>
        </w:tc>
        <w:tc>
          <w:tcPr>
            <w:tcW w:w="920" w:type="dxa"/>
            <w:vAlign w:val="bottom"/>
          </w:tcPr>
          <w:p>
            <w:pPr>
              <w:spacing w:after="0"/>
              <w:rPr>
                <w:sz w:val="17"/>
                <w:szCs w:val="17"/>
                <w:color w:val="auto"/>
              </w:rPr>
            </w:pPr>
          </w:p>
        </w:tc>
        <w:tc>
          <w:tcPr>
            <w:tcW w:w="72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(165 )</w:t>
            </w:r>
          </w:p>
        </w:tc>
        <w:tc>
          <w:tcPr>
            <w:tcW w:w="32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(237 )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(253 )</w:t>
            </w:r>
          </w:p>
        </w:tc>
      </w:tr>
      <w:tr>
        <w:trPr>
          <w:trHeight w:val="203"/>
        </w:trPr>
        <w:tc>
          <w:tcPr>
            <w:tcW w:w="65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Write-offs, net of recoveries</w:t>
            </w:r>
          </w:p>
        </w:tc>
        <w:tc>
          <w:tcPr>
            <w:tcW w:w="9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540</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Allowance for doubtful accounts at the end of the year</w:t>
            </w:r>
          </w:p>
        </w:tc>
        <w:tc>
          <w:tcPr>
            <w:tcW w:w="920" w:type="dxa"/>
            <w:vAlign w:val="bottom"/>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99"/>
              <w:spacing w:after="0" w:line="196" w:lineRule="exact"/>
              <w:rPr>
                <w:sz w:val="20"/>
                <w:szCs w:val="20"/>
                <w:color w:val="auto"/>
              </w:rPr>
            </w:pPr>
            <w:r>
              <w:rPr>
                <w:rFonts w:ascii="Arial" w:cs="Arial" w:eastAsia="Arial" w:hAnsi="Arial"/>
                <w:sz w:val="18"/>
                <w:szCs w:val="18"/>
                <w:color w:val="auto"/>
              </w:rPr>
              <w:t>(106 )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(481 )</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(298 )</w:t>
            </w:r>
          </w:p>
        </w:tc>
      </w:tr>
      <w:tr>
        <w:trPr>
          <w:trHeight w:val="20"/>
        </w:trPr>
        <w:tc>
          <w:tcPr>
            <w:tcW w:w="6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-159385</wp:posOffset>
            </wp:positionV>
            <wp:extent cx="6032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-159385</wp:posOffset>
            </wp:positionV>
            <wp:extent cx="5143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3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5420" w:type="dxa"/>
            <w:vAlign w:val="bottom"/>
            <w:tcBorders>
              <w:bottom w:val="single" w:sz="8" w:color="auto"/>
            </w:tcBorders>
            <w:gridSpan w:val="11"/>
          </w:tcPr>
          <w:p>
            <w:pPr>
              <w:jc w:val="right"/>
              <w:ind w:right="673"/>
              <w:spacing w:after="0"/>
              <w:rPr>
                <w:sz w:val="20"/>
                <w:szCs w:val="20"/>
                <w:color w:val="auto"/>
              </w:rPr>
            </w:pPr>
            <w:r>
              <w:rPr>
                <w:rFonts w:ascii="Arial" w:cs="Arial" w:eastAsia="Arial" w:hAnsi="Arial"/>
                <w:sz w:val="14"/>
                <w:szCs w:val="14"/>
                <w:b w:val="1"/>
                <w:bCs w:val="1"/>
                <w:color w:val="auto"/>
              </w:rPr>
              <w:t>Fair Value Measurements as of December 31, 2021 Using:</w:t>
            </w:r>
          </w:p>
        </w:tc>
        <w:tc>
          <w:tcPr>
            <w:tcW w:w="6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contracts</w:t>
            </w:r>
          </w:p>
        </w:tc>
        <w:tc>
          <w:tcPr>
            <w:tcW w:w="940" w:type="dxa"/>
            <w:vAlign w:val="bottom"/>
          </w:tcPr>
          <w:p>
            <w:pPr>
              <w:jc w:val="right"/>
              <w:ind w:right="736"/>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r>
      <w:tr>
        <w:trPr>
          <w:trHeight w:val="196"/>
        </w:trPr>
        <w:tc>
          <w:tcPr>
            <w:tcW w:w="57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36"/>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Financial Liabilities:</w:t>
            </w: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2"/>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940" w:type="dxa"/>
            <w:vAlign w:val="bottom"/>
          </w:tcPr>
          <w:p>
            <w:pPr>
              <w:jc w:val="right"/>
              <w:ind w:right="736"/>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11,309</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11,309</w:t>
            </w:r>
          </w:p>
        </w:tc>
        <w:tc>
          <w:tcPr>
            <w:tcW w:w="6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11,309</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11,309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750"/>
        </w:trPr>
        <w:tc>
          <w:tcPr>
            <w:tcW w:w="5760" w:type="dxa"/>
            <w:vAlign w:val="bottom"/>
          </w:tcPr>
          <w:p>
            <w:pPr>
              <w:spacing w:after="0"/>
              <w:rPr>
                <w:sz w:val="24"/>
                <w:szCs w:val="24"/>
                <w:color w:val="auto"/>
              </w:rPr>
            </w:pPr>
          </w:p>
        </w:tc>
        <w:tc>
          <w:tcPr>
            <w:tcW w:w="5420" w:type="dxa"/>
            <w:vAlign w:val="bottom"/>
            <w:tcBorders>
              <w:bottom w:val="single" w:sz="8" w:color="auto"/>
            </w:tcBorders>
            <w:gridSpan w:val="11"/>
          </w:tcPr>
          <w:p>
            <w:pPr>
              <w:jc w:val="right"/>
              <w:ind w:right="673"/>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60" w:type="dxa"/>
            <w:vAlign w:val="bottom"/>
          </w:tcPr>
          <w:p>
            <w:pPr>
              <w:spacing w:after="0"/>
              <w:rPr>
                <w:sz w:val="24"/>
                <w:szCs w:val="24"/>
                <w:color w:val="auto"/>
              </w:rPr>
            </w:pPr>
          </w:p>
        </w:tc>
      </w:tr>
      <w:tr>
        <w:trPr>
          <w:trHeight w:val="169"/>
        </w:trPr>
        <w:tc>
          <w:tcPr>
            <w:tcW w:w="57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Assets:</w:t>
            </w: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contracts</w:t>
            </w:r>
          </w:p>
        </w:tc>
        <w:tc>
          <w:tcPr>
            <w:tcW w:w="940" w:type="dxa"/>
            <w:vAlign w:val="bottom"/>
          </w:tcPr>
          <w:p>
            <w:pPr>
              <w:jc w:val="right"/>
              <w:ind w:right="736"/>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57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Financial Liabilities:</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Preferred stock warrant liability</w:t>
            </w:r>
          </w:p>
        </w:tc>
        <w:tc>
          <w:tcPr>
            <w:tcW w:w="940" w:type="dxa"/>
            <w:vAlign w:val="bottom"/>
            <w:shd w:val="clear" w:color="auto" w:fill="CFF0FC"/>
          </w:tcPr>
          <w:p>
            <w:pPr>
              <w:jc w:val="right"/>
              <w:ind w:right="736"/>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1,932</w:t>
            </w:r>
          </w:p>
        </w:tc>
        <w:tc>
          <w:tcPr>
            <w:tcW w:w="4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1,932</w:t>
            </w: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12,500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12,500</w:t>
            </w:r>
          </w:p>
        </w:tc>
        <w:tc>
          <w:tcPr>
            <w:tcW w:w="6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14,432</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14,432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-1610995</wp:posOffset>
            </wp:positionV>
            <wp:extent cx="431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-1593850</wp:posOffset>
            </wp:positionV>
            <wp:extent cx="431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-1610995</wp:posOffset>
            </wp:positionV>
            <wp:extent cx="431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-1593850</wp:posOffset>
            </wp:positionV>
            <wp:extent cx="431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-1610995</wp:posOffset>
            </wp:positionV>
            <wp:extent cx="431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-1593850</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-1610995</wp:posOffset>
            </wp:positionV>
            <wp:extent cx="431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-1593850</wp:posOffset>
            </wp:positionV>
            <wp:extent cx="431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-574040</wp:posOffset>
            </wp:positionV>
            <wp:extent cx="431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-556895</wp:posOffset>
            </wp:positionV>
            <wp:extent cx="431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-574040</wp:posOffset>
            </wp:positionV>
            <wp:extent cx="431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-556895</wp:posOffset>
            </wp:positionV>
            <wp:extent cx="431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-574040</wp:posOffset>
            </wp:positionV>
            <wp:extent cx="431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-556895</wp:posOffset>
            </wp:positionV>
            <wp:extent cx="431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-574040</wp:posOffset>
            </wp:positionV>
            <wp:extent cx="431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-556895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43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43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ind w:right="1540" w:firstLine="509"/>
        <w:spacing w:after="0" w:line="438" w:lineRule="auto"/>
        <w:rPr>
          <w:sz w:val="20"/>
          <w:szCs w:val="20"/>
          <w:color w:val="auto"/>
        </w:rPr>
      </w:pPr>
      <w:r>
        <w:rPr>
          <w:rFonts w:ascii="Arial" w:cs="Arial" w:eastAsia="Arial" w:hAnsi="Arial"/>
          <w:sz w:val="18"/>
          <w:szCs w:val="18"/>
          <w:color w:val="auto"/>
        </w:rPr>
        <w:t xml:space="preserve">During the years ended December 31, 2021 and 2020, there were no transfers between Level 1, Level 2 or Level 3. </w:t>
      </w:r>
      <w:r>
        <w:rPr>
          <w:rFonts w:ascii="Arial" w:cs="Arial" w:eastAsia="Arial" w:hAnsi="Arial"/>
          <w:sz w:val="18"/>
          <w:szCs w:val="18"/>
          <w:b w:val="1"/>
          <w:bCs w:val="1"/>
          <w:i w:val="1"/>
          <w:iCs w:val="1"/>
          <w:color w:val="auto"/>
        </w:rPr>
        <w:t>Preferred stock warrant liability</w:t>
      </w:r>
    </w:p>
    <w:p>
      <w:pPr>
        <w:spacing w:after="0" w:line="1"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Immediately prior to the completion of the IPO, 182,467 preferred stock warrants were exercised for Series C convertible preferred stock in a cashless net exercise. The preferred stock warrants were re -measured to their fair value of $6.4 million on the date of the exercise. The fair value of the warrants was reclassified to convertible preferred stock. Upon the completion of the IPO all of the outstanding convertible preferred stock were converted to common stock.</w:t>
      </w:r>
    </w:p>
    <w:p>
      <w:pPr>
        <w:spacing w:after="0" w:line="147"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Upon the completion of the IPO, the Company’s unexercised preferred stock warrants were converted into common stock warrants and the associated preferred stock warrant liabilities were re-measured to their fair value of $6.3 million and reclassified to additional paid-in capital.</w:t>
      </w:r>
    </w:p>
    <w:p>
      <w:pPr>
        <w:spacing w:after="0" w:line="12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fair value measurement of the preferred stock warrant liability was determined using significant inputs not observable in the market, which represent a Level 3 measurement within the fair value hierarchy. The Company estimated the fair value of the liability using the Black-Scholes option-pricing model and any change in fair value was recognized as either gain or loss and included in the consolidated statements of operations and comprehensive loss.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8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following table presents the unobservable inputs incorporated into the valuation of contingent consideration related to Simplee acquisition: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56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4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Probability of successful achievement*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0% - 100%</w:t>
            </w:r>
          </w:p>
        </w:tc>
        <w:tc>
          <w:tcPr>
            <w:tcW w:w="4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71% - 100%</w:t>
            </w:r>
          </w:p>
        </w:tc>
        <w:tc>
          <w:tcPr>
            <w:tcW w:w="22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Performance period</w:t>
            </w:r>
          </w:p>
        </w:tc>
        <w:tc>
          <w:tcPr>
            <w:tcW w:w="188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0.25 Years</w:t>
            </w:r>
          </w:p>
        </w:tc>
        <w:tc>
          <w:tcPr>
            <w:tcW w:w="16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80"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128"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The following table presents the unobservable inputs incorporated into the valuation of contingent consideration related to WPM acquisition: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268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Year Ended December 31, 2021</w:t>
            </w:r>
          </w:p>
        </w:tc>
      </w:tr>
      <w:tr>
        <w:trPr>
          <w:trHeight w:val="196"/>
        </w:trPr>
        <w:tc>
          <w:tcPr>
            <w:tcW w:w="8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Market price of risk adjustment for revenue</w:t>
            </w:r>
          </w:p>
        </w:tc>
        <w:tc>
          <w:tcPr>
            <w:tcW w:w="2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Revenue volatility</w:t>
            </w:r>
          </w:p>
        </w:tc>
        <w:tc>
          <w:tcPr>
            <w:tcW w:w="2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21.6 %</w:t>
            </w: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Probability of successful achievement*</w:t>
            </w:r>
          </w:p>
        </w:tc>
        <w:tc>
          <w:tcPr>
            <w:tcW w:w="2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 - 100%</w:t>
            </w:r>
          </w:p>
        </w:tc>
        <w:tc>
          <w:tcPr>
            <w:tcW w:w="220" w:type="dxa"/>
            <w:vAlign w:val="bottom"/>
            <w:shd w:val="clear" w:color="auto" w:fill="CFF0FC"/>
          </w:tcPr>
          <w:p>
            <w:pPr>
              <w:spacing w:after="0"/>
              <w:rPr>
                <w:sz w:val="17"/>
                <w:szCs w:val="17"/>
                <w:color w:val="auto"/>
              </w:rPr>
            </w:pPr>
          </w:p>
        </w:tc>
      </w:tr>
      <w:tr>
        <w:trPr>
          <w:trHeight w:val="239"/>
        </w:trPr>
        <w:tc>
          <w:tcPr>
            <w:tcW w:w="8560" w:type="dxa"/>
            <w:vAlign w:val="bottom"/>
          </w:tcPr>
          <w:p>
            <w:pPr>
              <w:ind w:left="20"/>
              <w:spacing w:after="0"/>
              <w:rPr>
                <w:sz w:val="20"/>
                <w:szCs w:val="20"/>
                <w:color w:val="auto"/>
              </w:rPr>
            </w:pPr>
            <w:r>
              <w:rPr>
                <w:rFonts w:ascii="Arial" w:cs="Arial" w:eastAsia="Arial" w:hAnsi="Arial"/>
                <w:sz w:val="18"/>
                <w:szCs w:val="18"/>
                <w:color w:val="auto"/>
              </w:rPr>
              <w:t>Performance period</w:t>
            </w:r>
          </w:p>
        </w:tc>
        <w:tc>
          <w:tcPr>
            <w:tcW w:w="2680" w:type="dxa"/>
            <w:vAlign w:val="bottom"/>
            <w:gridSpan w:val="2"/>
          </w:tcPr>
          <w:p>
            <w:pPr>
              <w:jc w:val="right"/>
              <w:ind w:right="150"/>
              <w:spacing w:after="0"/>
              <w:rPr>
                <w:sz w:val="20"/>
                <w:szCs w:val="20"/>
                <w:color w:val="auto"/>
              </w:rPr>
            </w:pPr>
            <w:r>
              <w:rPr>
                <w:rFonts w:ascii="Arial" w:cs="Arial" w:eastAsia="Arial" w:hAnsi="Arial"/>
                <w:sz w:val="18"/>
                <w:szCs w:val="18"/>
                <w:color w:val="auto"/>
              </w:rPr>
              <w:t>2.25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37426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6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Increases or decreases in expectations regarding the level at which payment volume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3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value of the contingent consideration for the years ended December 31, 2021, 2020 and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12,500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13,763</w:t>
            </w:r>
          </w:p>
        </w:tc>
        <w:tc>
          <w:tcPr>
            <w:tcW w:w="80" w:type="dxa"/>
            <w:vAlign w:val="bottom"/>
            <w:shd w:val="clear" w:color="auto" w:fill="CFF0FC"/>
          </w:tcPr>
          <w:p>
            <w:pPr>
              <w:spacing w:after="0"/>
              <w:rPr>
                <w:sz w:val="17"/>
                <w:szCs w:val="17"/>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3,519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7,100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660</w:t>
            </w:r>
          </w:p>
        </w:tc>
        <w:tc>
          <w:tcPr>
            <w:tcW w:w="80" w:type="dxa"/>
            <w:vAlign w:val="bottom"/>
            <w:shd w:val="clear" w:color="auto" w:fill="CFF0FC"/>
          </w:tcPr>
          <w:p>
            <w:pPr>
              <w:spacing w:after="0"/>
              <w:rPr>
                <w:sz w:val="17"/>
                <w:szCs w:val="17"/>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Contingent consideration paid</w:t>
            </w:r>
          </w:p>
        </w:tc>
        <w:tc>
          <w:tcPr>
            <w:tcW w:w="340" w:type="dxa"/>
            <w:vAlign w:val="bottom"/>
          </w:tcPr>
          <w:p>
            <w:pPr>
              <w:spacing w:after="0"/>
              <w:rPr>
                <w:sz w:val="17"/>
                <w:szCs w:val="17"/>
                <w:color w:val="auto"/>
              </w:rPr>
            </w:pPr>
          </w:p>
        </w:tc>
        <w:tc>
          <w:tcPr>
            <w:tcW w:w="130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(7,012 )</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(12,423 )</w:t>
            </w:r>
          </w:p>
        </w:tc>
      </w:tr>
      <w:tr>
        <w:trPr>
          <w:trHeight w:val="203"/>
        </w:trPr>
        <w:tc>
          <w:tcPr>
            <w:tcW w:w="65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Ending balance</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11,309</w:t>
            </w:r>
          </w:p>
        </w:tc>
        <w:tc>
          <w:tcPr>
            <w:tcW w:w="5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12,500</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2,000</w:t>
            </w:r>
          </w:p>
        </w:tc>
        <w:tc>
          <w:tcPr>
            <w:tcW w:w="8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-253365</wp:posOffset>
            </wp:positionV>
            <wp:extent cx="6032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-253365</wp:posOffset>
            </wp:positionV>
            <wp:extent cx="431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-253365</wp:posOffset>
            </wp:positionV>
            <wp:extent cx="5143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5" w:lineRule="exact"/>
        <w:rPr>
          <w:sz w:val="20"/>
          <w:szCs w:val="20"/>
          <w:color w:val="auto"/>
        </w:rPr>
      </w:pPr>
    </w:p>
    <w:p>
      <w:pPr>
        <w:ind w:left="120" w:right="80" w:firstLine="8"/>
        <w:spacing w:after="0" w:line="325" w:lineRule="auto"/>
        <w:tabs>
          <w:tab w:leader="none" w:pos="216" w:val="left"/>
        </w:tabs>
        <w:numPr>
          <w:ilvl w:val="1"/>
          <w:numId w:val="61"/>
        </w:numPr>
        <w:rPr>
          <w:rFonts w:ascii="Arial" w:cs="Arial" w:eastAsia="Arial" w:hAnsi="Arial"/>
          <w:sz w:val="14"/>
          <w:szCs w:val="14"/>
          <w:color w:val="auto"/>
        </w:rPr>
      </w:pPr>
      <w:r>
        <w:rPr>
          <w:rFonts w:ascii="Arial" w:cs="Arial" w:eastAsia="Arial" w:hAnsi="Arial"/>
          <w:sz w:val="14"/>
          <w:szCs w:val="14"/>
          <w:color w:val="auto"/>
        </w:rPr>
        <w:t>Amounts of $0.7 million paid in excess of fair value initially recorded in purchase accounting were classified as operating cash flows in the Consolidated Statements of Cash Flows.</w:t>
      </w:r>
    </w:p>
    <w:p>
      <w:pPr>
        <w:spacing w:after="0" w:line="94" w:lineRule="exact"/>
        <w:rPr>
          <w:rFonts w:ascii="Arial" w:cs="Arial" w:eastAsia="Arial" w:hAnsi="Arial"/>
          <w:sz w:val="14"/>
          <w:szCs w:val="14"/>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8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2021 and 2020, respectively, the Company had 8,653 and 3,647 open foreign exchange contracts. As of December 31, 2021 and 2020, the Company had foreign currency forward contracts outstanding with a notional amount of $27.9 million and $11.8 million, respectively.</w:t>
      </w:r>
    </w:p>
    <w:p>
      <w:pPr>
        <w:spacing w:after="0" w:line="140"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Company records all derivative instruments in the consolidated balance sheets at their fair values. For the years ended December 31, 2021 and 2020, the Company recorded an asset of less than $0.1 million and $0.1 million related to</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121" w:name="page122"/>
    <w:bookmarkEnd w:id="121"/>
    <w:p>
      <w:pPr>
        <w:ind w:right="40"/>
        <w:spacing w:after="0" w:line="253" w:lineRule="auto"/>
        <w:rPr>
          <w:sz w:val="20"/>
          <w:szCs w:val="20"/>
          <w:color w:val="auto"/>
        </w:rPr>
      </w:pPr>
      <w:r>
        <w:rPr>
          <w:rFonts w:ascii="Arial" w:cs="Arial" w:eastAsia="Arial" w:hAnsi="Arial"/>
          <w:sz w:val="18"/>
          <w:szCs w:val="18"/>
          <w:color w:val="auto"/>
        </w:rPr>
        <w:t>outstanding foreign exchange contracts. The Company recognized a loss of $0.8 million, $0.5 million and $0.1 million during the years ended December 31, 2021, 2020 and 2019, respectively, which was included in the general and administrative line within the consolidated statements of operations and comprehensive loss.</w:t>
      </w:r>
    </w:p>
    <w:p>
      <w:pPr>
        <w:spacing w:after="0" w:line="142"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1020" w:type="dxa"/>
            <w:vAlign w:val="bottom"/>
            <w:tcBorders>
              <w:top w:val="single" w:sz="8" w:color="auto"/>
            </w:tcBorders>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13,854</w:t>
            </w:r>
          </w:p>
        </w:tc>
        <w:tc>
          <w:tcPr>
            <w:tcW w:w="2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9,371</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vendor liabilities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2,542</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income and other non-employee related taxes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2,652</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1,027</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1,307</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6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3,150</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20" w:type="dxa"/>
            <w:vAlign w:val="bottom"/>
          </w:tcPr>
          <w:p>
            <w:pPr>
              <w:jc w:val="right"/>
              <w:ind w:right="819"/>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22,726</w:t>
            </w:r>
          </w:p>
        </w:tc>
        <w:tc>
          <w:tcPr>
            <w:tcW w:w="1260" w:type="dxa"/>
            <w:vAlign w:val="bottom"/>
            <w:gridSpan w:val="2"/>
          </w:tcPr>
          <w:p>
            <w:pPr>
              <w:jc w:val="right"/>
              <w:ind w:right="790"/>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14,991</w:t>
            </w:r>
          </w:p>
        </w:tc>
        <w:tc>
          <w:tcPr>
            <w:tcW w:w="6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93"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 Useful Life</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rPr>
              <w:t>(Years)</w:t>
            </w:r>
          </w:p>
        </w:tc>
        <w:tc>
          <w:tcPr>
            <w:tcW w:w="30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Computer equipment and software</w:t>
            </w:r>
          </w:p>
        </w:tc>
        <w:tc>
          <w:tcPr>
            <w:tcW w:w="18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3 - 5</w:t>
            </w: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2,211</w:t>
            </w:r>
          </w:p>
        </w:tc>
        <w:tc>
          <w:tcPr>
            <w:tcW w:w="2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Internal-use software</w:t>
            </w: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7,414</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8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3</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953</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line="162" w:lineRule="exact"/>
              <w:rPr>
                <w:sz w:val="20"/>
                <w:szCs w:val="20"/>
                <w:color w:val="auto"/>
              </w:rPr>
            </w:pPr>
            <w:r>
              <w:rPr>
                <w:rFonts w:ascii="Arial" w:cs="Arial" w:eastAsia="Arial" w:hAnsi="Arial"/>
                <w:sz w:val="18"/>
                <w:szCs w:val="18"/>
                <w:color w:val="auto"/>
              </w:rPr>
              <w:t>Leasehold improvements</w:t>
            </w:r>
          </w:p>
        </w:tc>
        <w:tc>
          <w:tcPr>
            <w:tcW w:w="1980" w:type="dxa"/>
            <w:vAlign w:val="bottom"/>
            <w:gridSpan w:val="2"/>
          </w:tcPr>
          <w:p>
            <w:pPr>
              <w:jc w:val="center"/>
              <w:ind w:right="140"/>
              <w:spacing w:after="0" w:line="162" w:lineRule="exact"/>
              <w:rPr>
                <w:sz w:val="20"/>
                <w:szCs w:val="20"/>
                <w:color w:val="auto"/>
              </w:rPr>
            </w:pPr>
            <w:r>
              <w:rPr>
                <w:rFonts w:ascii="Arial" w:cs="Arial" w:eastAsia="Arial" w:hAnsi="Arial"/>
                <w:sz w:val="18"/>
                <w:szCs w:val="18"/>
                <w:color w:val="auto"/>
                <w:w w:val="99"/>
              </w:rPr>
              <w:t>Shorter of lease term</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4,995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rPr>
                <w:sz w:val="17"/>
                <w:szCs w:val="17"/>
                <w:color w:val="auto"/>
              </w:rPr>
            </w:pPr>
          </w:p>
        </w:tc>
        <w:tc>
          <w:tcPr>
            <w:tcW w:w="19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rPr>
              <w:t>or useful life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15,573</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(6,131 )</w:t>
            </w:r>
          </w:p>
        </w:tc>
        <w:tc>
          <w:tcPr>
            <w:tcW w:w="4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(2,819 )</w:t>
            </w:r>
          </w:p>
        </w:tc>
        <w:tc>
          <w:tcPr>
            <w:tcW w:w="0" w:type="dxa"/>
            <w:vAlign w:val="bottom"/>
          </w:tcPr>
          <w:p>
            <w:pPr>
              <w:spacing w:after="0"/>
              <w:rPr>
                <w:sz w:val="1"/>
                <w:szCs w:val="1"/>
                <w:color w:val="auto"/>
              </w:rPr>
            </w:pPr>
          </w:p>
        </w:tc>
      </w:tr>
      <w:tr>
        <w:trPr>
          <w:trHeight w:val="236"/>
        </w:trPr>
        <w:tc>
          <w:tcPr>
            <w:tcW w:w="634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9,442</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5,101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-24765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Depreciation and amortization expense was $2.3 million, $1.9 million and $1.2 million for the years ended December 31, 2021, 2020 and 2019, respectively.</w:t>
      </w:r>
    </w:p>
    <w:p>
      <w:pPr>
        <w:spacing w:after="0" w:line="113" w:lineRule="exact"/>
        <w:rPr>
          <w:sz w:val="20"/>
          <w:szCs w:val="20"/>
          <w:color w:val="auto"/>
        </w:rPr>
      </w:pPr>
    </w:p>
    <w:p>
      <w:pPr>
        <w:ind w:right="900" w:firstLine="509"/>
        <w:spacing w:after="0" w:line="271" w:lineRule="auto"/>
        <w:rPr>
          <w:sz w:val="20"/>
          <w:szCs w:val="20"/>
          <w:color w:val="auto"/>
        </w:rPr>
      </w:pPr>
      <w:r>
        <w:rPr>
          <w:rFonts w:ascii="Arial" w:cs="Arial" w:eastAsia="Arial" w:hAnsi="Arial"/>
          <w:sz w:val="18"/>
          <w:szCs w:val="18"/>
          <w:color w:val="auto"/>
        </w:rPr>
        <w:t>During the year ended December 31, 2020 the Company wrote off $2.6 million of property and equipment with accumulated depreciation of $2.5 million, as the assets were determined to no longer have any future economic benefits.</w:t>
      </w:r>
    </w:p>
    <w:p>
      <w:pPr>
        <w:spacing w:after="0" w:line="113"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As of December 31, 2021 and 2020, the carrying value of internal-used software was $6.5 million and $ 1.7 million, respectively. Amortization expense related to internal-used software was $0.8 million, $0.1 million and $0 for the years ended December 31, 2021, 2020 and 2019, respectively.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property and equipment, net based on geography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4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3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Long-lived assets:</w:t>
            </w:r>
          </w:p>
        </w:tc>
        <w:tc>
          <w:tcPr>
            <w:tcW w:w="4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5280" w:type="dxa"/>
            <w:vAlign w:val="bottom"/>
            <w:gridSpan w:val="2"/>
          </w:tcPr>
          <w:p>
            <w:pPr>
              <w:jc w:val="right"/>
              <w:ind w:right="879"/>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8,232</w:t>
            </w:r>
          </w:p>
        </w:tc>
        <w:tc>
          <w:tcPr>
            <w:tcW w:w="74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4,485</w:t>
            </w:r>
          </w:p>
        </w:tc>
        <w:tc>
          <w:tcPr>
            <w:tcW w:w="60" w:type="dxa"/>
            <w:vAlign w:val="bottom"/>
          </w:tcPr>
          <w:p>
            <w:pPr>
              <w:spacing w:after="0"/>
              <w:rPr>
                <w:sz w:val="17"/>
                <w:szCs w:val="17"/>
                <w:color w:val="auto"/>
              </w:rPr>
            </w:pPr>
          </w:p>
        </w:tc>
      </w:tr>
      <w:tr>
        <w:trPr>
          <w:trHeight w:val="203"/>
        </w:trPr>
        <w:tc>
          <w:tcPr>
            <w:tcW w:w="3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U.K.</w:t>
            </w:r>
          </w:p>
        </w:tc>
        <w:tc>
          <w:tcPr>
            <w:tcW w:w="4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w:t>
            </w:r>
          </w:p>
        </w:tc>
        <w:tc>
          <w:tcPr>
            <w:tcW w:w="60" w:type="dxa"/>
            <w:vAlign w:val="bottom"/>
            <w:shd w:val="clear" w:color="auto" w:fill="CFF0FC"/>
          </w:tcPr>
          <w:p>
            <w:pPr>
              <w:spacing w:after="0"/>
              <w:rPr>
                <w:sz w:val="17"/>
                <w:szCs w:val="17"/>
                <w:color w:val="auto"/>
              </w:rPr>
            </w:pPr>
          </w:p>
        </w:tc>
      </w:tr>
      <w:tr>
        <w:trPr>
          <w:trHeight w:val="203"/>
        </w:trPr>
        <w:tc>
          <w:tcPr>
            <w:tcW w:w="3480" w:type="dxa"/>
            <w:vAlign w:val="bottom"/>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42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1,021</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w:t>
            </w:r>
          </w:p>
        </w:tc>
        <w:tc>
          <w:tcPr>
            <w:tcW w:w="60" w:type="dxa"/>
            <w:vAlign w:val="bottom"/>
          </w:tcPr>
          <w:p>
            <w:pPr>
              <w:spacing w:after="0"/>
              <w:rPr>
                <w:sz w:val="17"/>
                <w:szCs w:val="17"/>
                <w:color w:val="auto"/>
              </w:rPr>
            </w:pPr>
          </w:p>
        </w:tc>
      </w:tr>
      <w:tr>
        <w:trPr>
          <w:trHeight w:val="236"/>
        </w:trPr>
        <w:tc>
          <w:tcPr>
            <w:tcW w:w="3480" w:type="dxa"/>
            <w:vAlign w:val="bottom"/>
            <w:tcBorders>
              <w:bottom w:val="single" w:sz="8" w:color="CFF0FC"/>
            </w:tcBorders>
            <w:shd w:val="clear" w:color="auto" w:fill="CFF0FC"/>
          </w:tcPr>
          <w:p>
            <w:pPr>
              <w:spacing w:after="0"/>
              <w:rPr>
                <w:sz w:val="20"/>
                <w:szCs w:val="20"/>
                <w:color w:val="auto"/>
              </w:rPr>
            </w:pPr>
          </w:p>
        </w:tc>
        <w:tc>
          <w:tcPr>
            <w:tcW w:w="4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879"/>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9,442</w:t>
            </w: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5,101</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11"/>
        </w:trPr>
        <w:tc>
          <w:tcPr>
            <w:tcW w:w="3480" w:type="dxa"/>
            <w:vAlign w:val="bottom"/>
          </w:tcPr>
          <w:p>
            <w:pPr>
              <w:spacing w:after="0"/>
              <w:rPr>
                <w:sz w:val="24"/>
                <w:szCs w:val="24"/>
                <w:color w:val="auto"/>
              </w:rPr>
            </w:pPr>
          </w:p>
        </w:tc>
        <w:tc>
          <w:tcPr>
            <w:tcW w:w="4200" w:type="dxa"/>
            <w:vAlign w:val="bottom"/>
          </w:tcPr>
          <w:p>
            <w:pPr>
              <w:jc w:val="right"/>
              <w:ind w:right="1810"/>
              <w:spacing w:after="0"/>
              <w:rPr>
                <w:sz w:val="20"/>
                <w:szCs w:val="20"/>
                <w:color w:val="auto"/>
              </w:rPr>
            </w:pPr>
            <w:r>
              <w:rPr>
                <w:rFonts w:ascii="Arial" w:cs="Arial" w:eastAsia="Arial" w:hAnsi="Arial"/>
                <w:sz w:val="18"/>
                <w:szCs w:val="18"/>
                <w:color w:val="auto"/>
              </w:rPr>
              <w:t>120</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348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-436245</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-419735</wp:posOffset>
            </wp:positionV>
            <wp:extent cx="431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-436245</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-419735</wp:posOffset>
            </wp:positionV>
            <wp:extent cx="431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2" w:name="page123"/>
    <w:bookmarkEnd w:id="122"/>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Business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WPM</w:t>
      </w:r>
    </w:p>
    <w:p>
      <w:pPr>
        <w:spacing w:after="0" w:line="169"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On December 14, 2021, Flywire completed its acquisition of WPM Group Ltd. (WPM), a leading software provider that enables seamless and secure payment experiences for universities and colleges across the U.K. The acquisition of WPM was intended to build on Flywire’s existing education payments business and is expected to further accelerate the Company's market share in the U.K. education sector. The acquisition of WPM has been accounted for as a business combination.</w:t>
      </w:r>
    </w:p>
    <w:p>
      <w:pPr>
        <w:spacing w:after="0" w:line="147" w:lineRule="exact"/>
        <w:rPr>
          <w:sz w:val="20"/>
          <w:szCs w:val="20"/>
          <w:color w:val="auto"/>
        </w:rPr>
      </w:pPr>
    </w:p>
    <w:p>
      <w:pPr>
        <w:ind w:right="980" w:firstLine="509"/>
        <w:spacing w:after="0" w:line="271" w:lineRule="auto"/>
        <w:rPr>
          <w:sz w:val="20"/>
          <w:szCs w:val="20"/>
          <w:color w:val="auto"/>
        </w:rPr>
      </w:pPr>
      <w:r>
        <w:rPr>
          <w:rFonts w:ascii="Arial" w:cs="Arial" w:eastAsia="Arial" w:hAnsi="Arial"/>
          <w:sz w:val="18"/>
          <w:szCs w:val="18"/>
          <w:color w:val="auto"/>
        </w:rPr>
        <w:t>Pursuant to the terms of the agreement, the Company acquired all outstanding equity of WPM for estimated total purchase consideration of $59.6 million, which consists of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56,111</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3,499</w:t>
            </w:r>
          </w:p>
        </w:tc>
        <w:tc>
          <w:tcPr>
            <w:tcW w:w="6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purchase consideration, net of cash acquired</w:t>
            </w:r>
          </w:p>
        </w:tc>
        <w:tc>
          <w:tcPr>
            <w:tcW w:w="76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59,610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right="320" w:firstLine="509"/>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in the form of restricted stock units, which totals up to $7.9 million depending on the Company's achievement of specified minimum payment volume targets and integration targets established for the years ended December 31, 2022 and 2023. A portion of the contingent consideration is also tied to continuing employment of certain key employees; accordingly, $2.0 million has been excluded from the purchase price. Therefore, total consideration included in the purchase price totals up to $5.9 million. During the years ended December 31, 2021, the Company expensed less than $0.1 million in personnel costs associated with the contingent consideration. These personnel costs are included in the Company’s consolidated statements of operations and comprehensive loss and a liability is recorded in accrued expenses and other current liabilities on the consolidated balance sheet. Contingent consideration related to minimum payment volume targets is payable at 15 months and 27 months after acquisition date based on the 15 months and subsequent 12 months result. Contingent consideration related to integration targets is payable upon completion, which is expected in the second quarter 2022. The contingent consideration related to continuing employment of certain key employees is payable at the two-year acquisition anniversary date.</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incurred $0.6 million in transaction costs related to the WPM acquisition for the year ended December 31, 2021.</w:t>
      </w:r>
    </w:p>
    <w:p>
      <w:pPr>
        <w:spacing w:after="0" w:line="171"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 xml:space="preserve">Except for deferred revenue, which has been recognized in accordance with ASU 2021-08 - see </w:t>
      </w:r>
      <w:r>
        <w:rPr>
          <w:rFonts w:ascii="Arial" w:cs="Arial" w:eastAsia="Arial" w:hAnsi="Arial"/>
          <w:sz w:val="18"/>
          <w:szCs w:val="18"/>
          <w:i w:val="1"/>
          <w:iCs w:val="1"/>
          <w:color w:val="auto"/>
        </w:rPr>
        <w:t>Note 1 - 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for more details, the following table summarizes the allocation of the purchase consideration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assets acquired and liabilities assumed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60" w:type="dxa"/>
            <w:vAlign w:val="bottom"/>
            <w:shd w:val="clear" w:color="auto" w:fill="CFF0FC"/>
          </w:tcPr>
          <w:p>
            <w:pPr>
              <w:spacing w:after="0"/>
              <w:rPr>
                <w:sz w:val="18"/>
                <w:szCs w:val="18"/>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40,389</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Identifiable intangible assets</w:t>
            </w: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31,301</w:t>
            </w:r>
          </w:p>
        </w:tc>
        <w:tc>
          <w:tcPr>
            <w:tcW w:w="60" w:type="dxa"/>
            <w:vAlign w:val="bottom"/>
          </w:tcPr>
          <w:p>
            <w:pPr>
              <w:spacing w:after="0"/>
              <w:rPr>
                <w:sz w:val="17"/>
                <w:szCs w:val="17"/>
                <w:color w:val="auto"/>
              </w:rPr>
            </w:pPr>
          </w:p>
        </w:tc>
      </w:tr>
      <w:tr>
        <w:trPr>
          <w:trHeight w:val="196"/>
        </w:trPr>
        <w:tc>
          <w:tcPr>
            <w:tcW w:w="92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74,978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7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7,776</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4,525</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6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w:t>
            </w:r>
          </w:p>
        </w:tc>
        <w:tc>
          <w:tcPr>
            <w:tcW w:w="7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 assumed</w:t>
            </w: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13,267</w:t>
            </w:r>
          </w:p>
        </w:tc>
        <w:tc>
          <w:tcPr>
            <w:tcW w:w="60" w:type="dxa"/>
            <w:vAlign w:val="bottom"/>
          </w:tcPr>
          <w:p>
            <w:pPr>
              <w:spacing w:after="0"/>
              <w:rPr>
                <w:sz w:val="17"/>
                <w:szCs w:val="17"/>
                <w:color w:val="auto"/>
              </w:rPr>
            </w:pP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7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61,711</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80"/>
              <w:spacing w:after="0" w:line="202" w:lineRule="exact"/>
              <w:rPr>
                <w:sz w:val="20"/>
                <w:szCs w:val="20"/>
                <w:color w:val="auto"/>
              </w:rPr>
            </w:pPr>
            <w:r>
              <w:rPr>
                <w:rFonts w:ascii="Arial" w:cs="Arial" w:eastAsia="Arial" w:hAnsi="Arial"/>
                <w:sz w:val="18"/>
                <w:szCs w:val="18"/>
                <w:color w:val="auto"/>
              </w:rPr>
              <w:t>Less: cash acquired</w:t>
            </w: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2,101</w:t>
            </w:r>
          </w:p>
        </w:tc>
        <w:tc>
          <w:tcPr>
            <w:tcW w:w="6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less cash acquired</w:t>
            </w:r>
          </w:p>
        </w:tc>
        <w:tc>
          <w:tcPr>
            <w:tcW w:w="76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59,610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-1085215</wp:posOffset>
            </wp:positionV>
            <wp:extent cx="431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-561975</wp:posOffset>
            </wp:positionV>
            <wp:extent cx="431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Goodwill arising from the acquisition of $40.4 million was attributable to the assembled workforce of WPM and the synergies expected to arise from the acquisition. The Company expects that no goodwill from this acquisition will be deductible for income tax purposes.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3" w:name="page124"/>
    <w:bookmarkEnd w:id="123"/>
    <w:p>
      <w:pPr>
        <w:ind w:right="140" w:firstLine="509"/>
        <w:spacing w:after="0" w:line="271" w:lineRule="auto"/>
        <w:rPr>
          <w:sz w:val="20"/>
          <w:szCs w:val="20"/>
          <w:color w:val="auto"/>
        </w:rPr>
      </w:pPr>
      <w:r>
        <w:rPr>
          <w:rFonts w:ascii="Arial" w:cs="Arial" w:eastAsia="Arial" w:hAnsi="Arial"/>
          <w:sz w:val="18"/>
          <w:szCs w:val="18"/>
          <w:color w:val="auto"/>
        </w:rPr>
        <w:t>The following table reflects the estimated fair values of the identified intangible assets of WPM and their respective weighted-average estimated amortization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rPr>
              <w:t>Estimated Fair</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Values</w:t>
            </w: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19"/>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1,400</w:t>
            </w:r>
          </w:p>
        </w:tc>
        <w:tc>
          <w:tcPr>
            <w:tcW w:w="1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29,901</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31,301</w:t>
            </w:r>
          </w:p>
        </w:tc>
        <w:tc>
          <w:tcPr>
            <w:tcW w:w="26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514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results of WPM have been included in the consolidated financial statements since the date of the acquisition. WPM’s consolidated revenue included in the consolidated financial statements since the acquisition date was $0.3 million. The Company has not disclosed net income or loss since the acquisition date as the business was fully integrated into the consolidated Company’s operations and therefore it was impracticable to determine this amount. The Company has not disclosed unaudited pro forma financial information that shows the results of the Company’s operations for the years ended December 31, 2020 and 2021 as if the acquisition had occurred on January 1, 2020 as the historical results of WPM are not material to the Company’s consolidated financial statements in any period presented.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Business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Simplificare Inc.</w:t>
      </w:r>
    </w:p>
    <w:p>
      <w:pPr>
        <w:spacing w:after="0" w:line="169" w:lineRule="exact"/>
        <w:rPr>
          <w:sz w:val="20"/>
          <w:szCs w:val="20"/>
          <w:color w:val="auto"/>
        </w:rPr>
      </w:pPr>
    </w:p>
    <w:p>
      <w:pPr>
        <w:jc w:val="both"/>
        <w:ind w:right="360" w:firstLine="509"/>
        <w:spacing w:after="0" w:line="253" w:lineRule="auto"/>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customers in the healthcare market. The acquisition of Simplee has been accounted for as a business combination.</w:t>
      </w:r>
    </w:p>
    <w:p>
      <w:pPr>
        <w:spacing w:after="0" w:line="128"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Pursuant to the terms of the agreement, the Company acquired all outstanding equity of Simplee for estimated total purchase consideration of $86.5 million, which consists of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79,401</w:t>
            </w:r>
          </w:p>
        </w:tc>
        <w:tc>
          <w:tcPr>
            <w:tcW w:w="60" w:type="dxa"/>
            <w:vAlign w:val="bottom"/>
            <w:shd w:val="clear" w:color="auto" w:fill="CFF0FC"/>
          </w:tcPr>
          <w:p>
            <w:pPr>
              <w:spacing w:after="0"/>
              <w:rPr>
                <w:sz w:val="17"/>
                <w:szCs w:val="17"/>
                <w:color w:val="auto"/>
              </w:rPr>
            </w:pPr>
          </w:p>
        </w:tc>
      </w:tr>
      <w:tr>
        <w:trPr>
          <w:trHeight w:val="202"/>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7,100</w:t>
            </w:r>
          </w:p>
        </w:tc>
        <w:tc>
          <w:tcPr>
            <w:tcW w:w="6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purchase consideration, net of cash acquired</w:t>
            </w:r>
          </w:p>
        </w:tc>
        <w:tc>
          <w:tcPr>
            <w:tcW w:w="76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86,501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clients. A portion of the contingent consideration is also tied to continuing employment of certain key employees; accordingly, $2.1 million has been excluded from the purchase price allocation. During the years ended December 31, 2021 and 2020, the Company expensed $1.4 million and $1.1 million, respectively in personnel costs associated with the contingent consideration. These personnel costs are included in the Company’s consolidated statements of operations and comprehensive loss and a liability is recorded in accrued expenses and other current liabilities on the consolidated balance sheet. The contingent consideration was payable at the one-year and two-year acquisition anniversary dates based on the prior year results.</w:t>
      </w:r>
    </w:p>
    <w:p>
      <w:pPr>
        <w:spacing w:after="0" w:line="14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incurred $1.9 million in transaction costs related to the Simplee acquisition, of which $1.5 million was incurred during the year ended December 31, 2020 and $0.4 million was incurred during the year ended December 31, 2019. No costs were incurred during the year ended December 31, 2021. Additionally, the Company incurred $2.7 million and $3.4 million of retention costs during the years ended December 31, 2021 and 2020 to compensate employees of Simplee for future services. These amounts were included in personnel costs in the Company’s consolidated statements of operations and comprehensive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4" w:name="page125"/>
    <w:bookmarkEnd w:id="124"/>
    <w:p>
      <w:pPr>
        <w:ind w:right="520" w:firstLine="509"/>
        <w:spacing w:after="0" w:line="271"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8,555</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7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1,578</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assets</w:t>
            </w:r>
          </w:p>
        </w:tc>
        <w:tc>
          <w:tcPr>
            <w:tcW w:w="7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6,587</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31,696</w:t>
            </w:r>
          </w:p>
        </w:tc>
        <w:tc>
          <w:tcPr>
            <w:tcW w:w="6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Identifiable intangible assets</w:t>
            </w:r>
          </w:p>
        </w:tc>
        <w:tc>
          <w:tcPr>
            <w:tcW w:w="7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58,800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80"/>
              <w:spacing w:after="0" w:line="196" w:lineRule="exact"/>
              <w:rPr>
                <w:sz w:val="20"/>
                <w:szCs w:val="20"/>
                <w:color w:val="auto"/>
              </w:rPr>
            </w:pPr>
            <w:r>
              <w:rPr>
                <w:rFonts w:ascii="Arial" w:cs="Arial" w:eastAsia="Arial" w:hAnsi="Arial"/>
                <w:sz w:val="18"/>
                <w:szCs w:val="18"/>
                <w:color w:val="auto"/>
              </w:rPr>
              <w:t>Total assets acquired</w:t>
            </w:r>
          </w:p>
        </w:tc>
        <w:tc>
          <w:tcPr>
            <w:tcW w:w="7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109,513</w:t>
            </w:r>
          </w:p>
        </w:tc>
        <w:tc>
          <w:tcPr>
            <w:tcW w:w="60" w:type="dxa"/>
            <w:vAlign w:val="bottom"/>
          </w:tcPr>
          <w:p>
            <w:pPr>
              <w:spacing w:after="0"/>
              <w:rPr>
                <w:sz w:val="17"/>
                <w:szCs w:val="17"/>
                <w:color w:val="auto"/>
              </w:rPr>
            </w:pP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7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15,092</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2,267</w:t>
            </w:r>
          </w:p>
        </w:tc>
        <w:tc>
          <w:tcPr>
            <w:tcW w:w="6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liabilities</w:t>
            </w:r>
          </w:p>
        </w:tc>
        <w:tc>
          <w:tcPr>
            <w:tcW w:w="7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3,463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 assumed</w:t>
            </w:r>
          </w:p>
        </w:tc>
        <w:tc>
          <w:tcPr>
            <w:tcW w:w="7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20,822</w:t>
            </w:r>
          </w:p>
        </w:tc>
        <w:tc>
          <w:tcPr>
            <w:tcW w:w="60" w:type="dxa"/>
            <w:vAlign w:val="bottom"/>
          </w:tcPr>
          <w:p>
            <w:pPr>
              <w:spacing w:after="0"/>
              <w:rPr>
                <w:sz w:val="17"/>
                <w:szCs w:val="17"/>
                <w:color w:val="auto"/>
              </w:rPr>
            </w:pP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7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88,691</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80"/>
              <w:spacing w:after="0" w:line="202" w:lineRule="exact"/>
              <w:rPr>
                <w:sz w:val="20"/>
                <w:szCs w:val="20"/>
                <w:color w:val="auto"/>
              </w:rPr>
            </w:pPr>
            <w:r>
              <w:rPr>
                <w:rFonts w:ascii="Arial" w:cs="Arial" w:eastAsia="Arial" w:hAnsi="Arial"/>
                <w:sz w:val="18"/>
                <w:szCs w:val="18"/>
                <w:color w:val="auto"/>
              </w:rPr>
              <w:t>Less: cash acquired</w:t>
            </w:r>
          </w:p>
        </w:tc>
        <w:tc>
          <w:tcPr>
            <w:tcW w:w="7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w:t>
            </w:r>
          </w:p>
        </w:tc>
        <w:tc>
          <w:tcPr>
            <w:tcW w:w="6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less cash acquired</w:t>
            </w:r>
          </w:p>
        </w:tc>
        <w:tc>
          <w:tcPr>
            <w:tcW w:w="70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86,501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-1093470</wp:posOffset>
            </wp:positionV>
            <wp:extent cx="431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-561975</wp:posOffset>
            </wp:positionV>
            <wp:extent cx="431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13"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The following table reflects the estimated fair values of the identified intangible assets of Simplee and their respective weighted-average estimated amortization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rPr>
              <w:t>Estimated Fair</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Values</w:t>
            </w: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19"/>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10,500</w:t>
            </w:r>
          </w:p>
        </w:tc>
        <w:tc>
          <w:tcPr>
            <w:tcW w:w="1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48,300</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58,800</w:t>
            </w:r>
          </w:p>
        </w:tc>
        <w:tc>
          <w:tcPr>
            <w:tcW w:w="26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the acquisition. Simplee’s consolidated revenue included in the consolidated financial statements since the acquisition date was $34.1 million. The Company has not disclosed net income or loss since the acquisition date as the business was fully integrated into the consolidated Company’s operations and therefore it was impracticable to determine this amount.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years ended December 31, 2019 and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138" w:lineRule="exact"/>
        <w:rPr>
          <w:sz w:val="20"/>
          <w:szCs w:val="20"/>
          <w:color w:val="auto"/>
        </w:rPr>
      </w:pPr>
    </w:p>
    <w:p>
      <w:pPr>
        <w:ind w:left="1280" w:right="300" w:hanging="254"/>
        <w:spacing w:after="0" w:line="270" w:lineRule="auto"/>
        <w:tabs>
          <w:tab w:leader="none" w:pos="12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 and property and equipment;</w:t>
      </w:r>
    </w:p>
    <w:p>
      <w:pPr>
        <w:spacing w:after="0" w:line="113" w:lineRule="exact"/>
        <w:rPr>
          <w:rFonts w:ascii="Times New Roman" w:cs="Times New Roman" w:eastAsia="Times New Roman" w:hAnsi="Times New Roman"/>
          <w:sz w:val="18"/>
          <w:szCs w:val="18"/>
          <w:color w:val="auto"/>
        </w:rPr>
      </w:pPr>
    </w:p>
    <w:p>
      <w:pPr>
        <w:ind w:left="1280" w:right="640" w:hanging="254"/>
        <w:spacing w:after="0" w:line="270" w:lineRule="auto"/>
        <w:tabs>
          <w:tab w:leader="none" w:pos="12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12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Simplee employees;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5" w:name="page126"/>
    <w:bookmarkEnd w:id="125"/>
    <w:p>
      <w:pPr>
        <w:ind w:left="1280" w:hanging="254"/>
        <w:spacing w:after="0"/>
        <w:tabs>
          <w:tab w:leader="none" w:pos="12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18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addition, the pro forma net loss attributable to the Company includes recognition of transaction costs related to the acquisition in net loss as of the beginning of the earliest period presented. Accordingly, pro forma net loss attributable to the Company for the year ended December 31, 2019 includes $1.9 million of transaction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Year Ended December 31, 2020</w:t>
            </w:r>
          </w:p>
        </w:tc>
        <w:tc>
          <w:tcPr>
            <w:tcW w:w="180" w:type="dxa"/>
            <w:vAlign w:val="bottom"/>
          </w:tcPr>
          <w:p>
            <w:pPr>
              <w:spacing w:after="0"/>
              <w:rPr>
                <w:sz w:val="16"/>
                <w:szCs w:val="16"/>
                <w:color w:val="auto"/>
              </w:rPr>
            </w:pPr>
          </w:p>
        </w:tc>
        <w:tc>
          <w:tcPr>
            <w:tcW w:w="2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Year Ended December 31, 2019</w:t>
            </w:r>
          </w:p>
        </w:tc>
      </w:tr>
      <w:tr>
        <w:trPr>
          <w:trHeight w:val="169"/>
        </w:trPr>
        <w:tc>
          <w:tcPr>
            <w:tcW w:w="57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4"/>
                <w:szCs w:val="14"/>
                <w:color w:val="auto"/>
              </w:rPr>
            </w:pPr>
          </w:p>
        </w:tc>
      </w:tr>
      <w:tr>
        <w:trPr>
          <w:trHeight w:val="169"/>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59"/>
              <w:spacing w:after="0"/>
              <w:rPr>
                <w:sz w:val="20"/>
                <w:szCs w:val="20"/>
                <w:color w:val="auto"/>
              </w:rPr>
            </w:pPr>
            <w:r>
              <w:rPr>
                <w:rFonts w:ascii="Arial" w:cs="Arial" w:eastAsia="Arial" w:hAnsi="Arial"/>
                <w:sz w:val="14"/>
                <w:szCs w:val="14"/>
                <w:b w:val="1"/>
                <w:bCs w:val="1"/>
                <w:color w:val="auto"/>
              </w:rPr>
              <w:t>(in</w:t>
            </w:r>
          </w:p>
        </w:tc>
        <w:tc>
          <w:tcPr>
            <w:tcW w:w="1400" w:type="dxa"/>
            <w:vAlign w:val="bottom"/>
            <w:gridSpan w:val="3"/>
          </w:tcPr>
          <w:p>
            <w:pPr>
              <w:jc w:val="center"/>
              <w:ind w:right="739"/>
              <w:spacing w:after="0"/>
              <w:rPr>
                <w:sz w:val="20"/>
                <w:szCs w:val="20"/>
                <w:color w:val="auto"/>
              </w:rPr>
            </w:pPr>
            <w:r>
              <w:rPr>
                <w:rFonts w:ascii="Arial" w:cs="Arial" w:eastAsia="Arial" w:hAnsi="Arial"/>
                <w:sz w:val="14"/>
                <w:szCs w:val="14"/>
                <w:b w:val="1"/>
                <w:bCs w:val="1"/>
                <w:color w:val="auto"/>
                <w:w w:val="76"/>
              </w:rPr>
              <w:t>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131,783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136,269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94,918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120,516</w:t>
            </w:r>
          </w:p>
        </w:tc>
        <w:tc>
          <w:tcPr>
            <w:tcW w:w="80" w:type="dxa"/>
            <w:vAlign w:val="bottom"/>
            <w:shd w:val="clear" w:color="auto" w:fill="CFF0FC"/>
          </w:tcPr>
          <w:p>
            <w:pPr>
              <w:spacing w:after="0"/>
              <w:rPr>
                <w:sz w:val="17"/>
                <w:szCs w:val="17"/>
                <w:color w:val="auto"/>
              </w:rPr>
            </w:pPr>
          </w:p>
        </w:tc>
      </w:tr>
      <w:tr>
        <w:trPr>
          <w:trHeight w:val="247"/>
        </w:trPr>
        <w:tc>
          <w:tcPr>
            <w:tcW w:w="5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(11,107 )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8"/>
              <w:spacing w:after="0"/>
              <w:rPr>
                <w:sz w:val="20"/>
                <w:szCs w:val="20"/>
                <w:color w:val="auto"/>
              </w:rPr>
            </w:pPr>
            <w:r>
              <w:rPr>
                <w:rFonts w:ascii="Arial" w:cs="Arial" w:eastAsia="Arial" w:hAnsi="Arial"/>
                <w:sz w:val="18"/>
                <w:szCs w:val="18"/>
                <w:color w:val="auto"/>
              </w:rPr>
              <w:t>(13,444 )</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(20,116 )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(20,343 )</w:t>
            </w:r>
          </w:p>
        </w:tc>
      </w:tr>
    </w:tbl>
    <w:p>
      <w:pPr>
        <w:spacing w:after="0" w:line="382"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amount of goodwill for the years ended December 31, 2021 and 2020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040" w:type="dxa"/>
            <w:vAlign w:val="bottom"/>
            <w:tcBorders>
              <w:top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44,650</w:t>
            </w:r>
          </w:p>
        </w:tc>
        <w:tc>
          <w:tcPr>
            <w:tcW w:w="24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12,924</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Goodwill related to Simplee acquisition</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31,696</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 related to WPM acquisition</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40,389</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 adjustment</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802</w:t>
            </w:r>
          </w:p>
        </w:tc>
        <w:tc>
          <w:tcPr>
            <w:tcW w:w="2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85,841</w:t>
            </w: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44,650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43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goodwill impairment was recorded during the years ended December 31, 2021, 2020 and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4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8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Net Carrying</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Life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26,600</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(10,635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15,965</w:t>
            </w:r>
          </w:p>
        </w:tc>
        <w:tc>
          <w:tcPr>
            <w:tcW w:w="2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82,887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(5,356 )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77,531</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Name/Trademark</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(511 )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Non-Compete Agreement</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(367 )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tcBorders>
              <w:bottom w:val="single" w:sz="8" w:color="CFF0FC"/>
            </w:tcBorders>
            <w:shd w:val="clear" w:color="auto" w:fill="CFF0FC"/>
          </w:tcPr>
          <w:p>
            <w:pPr>
              <w:spacing w:after="0"/>
              <w:rPr>
                <w:sz w:val="20"/>
                <w:szCs w:val="20"/>
                <w:color w:val="auto"/>
              </w:rPr>
            </w:pPr>
          </w:p>
        </w:tc>
        <w:tc>
          <w:tcPr>
            <w:tcW w:w="20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110,467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(16,869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93,598</w:t>
            </w:r>
          </w:p>
        </w:tc>
        <w:tc>
          <w:tcPr>
            <w:tcW w:w="2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374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-128270</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-110490</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-128270</wp:posOffset>
            </wp:positionV>
            <wp:extent cx="514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-110490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-128270</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-110490</wp:posOffset>
            </wp:positionV>
            <wp:extent cx="431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5" w:lineRule="exact"/>
        <w:rPr>
          <w:sz w:val="20"/>
          <w:szCs w:val="20"/>
          <w:color w:val="auto"/>
        </w:rPr>
      </w:pPr>
    </w:p>
    <w:p>
      <w:pPr>
        <w:ind w:left="220" w:hanging="92"/>
        <w:spacing w:after="0"/>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$0.6 million of foreign currency translation adjustments and $0.1 million in acquired developed technology assets</w:t>
      </w:r>
    </w:p>
    <w:p>
      <w:pPr>
        <w:spacing w:after="0" w:line="176" w:lineRule="exact"/>
        <w:rPr>
          <w:rFonts w:ascii="Arial" w:cs="Arial" w:eastAsia="Arial" w:hAnsi="Arial"/>
          <w:sz w:val="14"/>
          <w:szCs w:val="14"/>
          <w:color w:val="auto"/>
        </w:rPr>
      </w:pPr>
    </w:p>
    <w:p>
      <w:pPr>
        <w:ind w:left="7120"/>
        <w:spacing w:after="0"/>
        <w:rPr>
          <w:rFonts w:ascii="Arial" w:cs="Arial" w:eastAsia="Arial" w:hAnsi="Arial"/>
          <w:sz w:val="14"/>
          <w:szCs w:val="14"/>
          <w:color w:val="auto"/>
        </w:rPr>
      </w:pPr>
      <w:r>
        <w:rPr>
          <w:rFonts w:ascii="Arial" w:cs="Arial" w:eastAsia="Arial" w:hAnsi="Arial"/>
          <w:sz w:val="14"/>
          <w:szCs w:val="14"/>
          <w:b w:val="1"/>
          <w:bCs w:val="1"/>
          <w:color w:val="auto"/>
        </w:rPr>
        <w:t>December 31,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7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8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Net Carrying</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Life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25,063</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18,468</w:t>
            </w:r>
          </w:p>
        </w:tc>
        <w:tc>
          <w:tcPr>
            <w:tcW w:w="2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52,312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(2,772 )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49,540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Name/Trademark</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(504 )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Non-Compete Agreement</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(273 )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78,355</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(10,144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68,211</w:t>
            </w:r>
          </w:p>
        </w:tc>
        <w:tc>
          <w:tcPr>
            <w:tcW w:w="2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431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431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237426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Includes less than $0.1 million of foreign currency translation adjustments</w:t>
      </w:r>
    </w:p>
    <w:p>
      <w:pPr>
        <w:spacing w:after="0" w:line="167"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Amortization expense for the years ended December 31, 2021, 2020 and 2019 was $6.7 million, $4.9 million and $2.5 million, respectively.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6" w:name="page127"/>
    <w:bookmarkEnd w:id="126"/>
    <w:p>
      <w:pPr>
        <w:ind w:right="780" w:firstLine="509"/>
        <w:spacing w:after="0" w:line="271" w:lineRule="auto"/>
        <w:rPr>
          <w:sz w:val="20"/>
          <w:szCs w:val="20"/>
          <w:color w:val="auto"/>
        </w:rPr>
      </w:pPr>
      <w:r>
        <w:rPr>
          <w:rFonts w:ascii="Arial" w:cs="Arial" w:eastAsia="Arial" w:hAnsi="Arial"/>
          <w:sz w:val="18"/>
          <w:szCs w:val="18"/>
          <w:color w:val="auto"/>
        </w:rPr>
        <w:t>As of December 31, 2021, the estimated annual amortization expense of intangible assets for each of the next five years and thereafter is expected to be as follows (in thousands):</w:t>
      </w:r>
    </w:p>
    <w:p>
      <w:pPr>
        <w:spacing w:after="0" w:line="12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5"/>
              <w:spacing w:after="0"/>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4"/>
                <w:szCs w:val="14"/>
                <w:color w:val="auto"/>
              </w:rPr>
            </w:pPr>
          </w:p>
        </w:tc>
      </w:tr>
      <w:tr>
        <w:trPr>
          <w:trHeight w:val="148"/>
        </w:trPr>
        <w:tc>
          <w:tcPr>
            <w:tcW w:w="6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2"/>
                <w:szCs w:val="12"/>
                <w:color w:val="auto"/>
              </w:rPr>
            </w:pPr>
          </w:p>
        </w:tc>
      </w:tr>
      <w:tr>
        <w:trPr>
          <w:trHeight w:val="185"/>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6"/>
                <w:szCs w:val="16"/>
                <w:color w:val="auto"/>
              </w:rPr>
            </w:pPr>
          </w:p>
        </w:tc>
      </w:tr>
      <w:tr>
        <w:trPr>
          <w:trHeight w:val="196"/>
        </w:trPr>
        <w:tc>
          <w:tcPr>
            <w:tcW w:w="6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8,690</w:t>
            </w:r>
          </w:p>
        </w:tc>
        <w:tc>
          <w:tcPr>
            <w:tcW w:w="60" w:type="dxa"/>
            <w:vAlign w:val="bottom"/>
            <w:shd w:val="clear" w:color="auto" w:fill="CFF0FC"/>
          </w:tcPr>
          <w:p>
            <w:pPr>
              <w:spacing w:after="0"/>
              <w:rPr>
                <w:sz w:val="17"/>
                <w:szCs w:val="17"/>
                <w:color w:val="auto"/>
              </w:rPr>
            </w:pPr>
          </w:p>
        </w:tc>
      </w:tr>
      <w:tr>
        <w:trPr>
          <w:trHeight w:val="203"/>
        </w:trPr>
        <w:tc>
          <w:tcPr>
            <w:tcW w:w="68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9,478</w:t>
            </w:r>
          </w:p>
        </w:tc>
        <w:tc>
          <w:tcPr>
            <w:tcW w:w="60" w:type="dxa"/>
            <w:vAlign w:val="bottom"/>
          </w:tcPr>
          <w:p>
            <w:pPr>
              <w:spacing w:after="0"/>
              <w:rPr>
                <w:sz w:val="17"/>
                <w:szCs w:val="17"/>
                <w:color w:val="auto"/>
              </w:rPr>
            </w:pPr>
          </w:p>
        </w:tc>
      </w:tr>
      <w:tr>
        <w:trPr>
          <w:trHeight w:val="203"/>
        </w:trPr>
        <w:tc>
          <w:tcPr>
            <w:tcW w:w="6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9,660</w:t>
            </w:r>
          </w:p>
        </w:tc>
        <w:tc>
          <w:tcPr>
            <w:tcW w:w="60" w:type="dxa"/>
            <w:vAlign w:val="bottom"/>
            <w:shd w:val="clear" w:color="auto" w:fill="CFF0FC"/>
          </w:tcPr>
          <w:p>
            <w:pPr>
              <w:spacing w:after="0"/>
              <w:rPr>
                <w:sz w:val="17"/>
                <w:szCs w:val="17"/>
                <w:color w:val="auto"/>
              </w:rPr>
            </w:pPr>
          </w:p>
        </w:tc>
      </w:tr>
      <w:tr>
        <w:trPr>
          <w:trHeight w:val="203"/>
        </w:trPr>
        <w:tc>
          <w:tcPr>
            <w:tcW w:w="68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9,255</w:t>
            </w:r>
          </w:p>
        </w:tc>
        <w:tc>
          <w:tcPr>
            <w:tcW w:w="60" w:type="dxa"/>
            <w:vAlign w:val="bottom"/>
          </w:tcPr>
          <w:p>
            <w:pPr>
              <w:spacing w:after="0"/>
              <w:rPr>
                <w:sz w:val="17"/>
                <w:szCs w:val="17"/>
                <w:color w:val="auto"/>
              </w:rPr>
            </w:pPr>
          </w:p>
        </w:tc>
      </w:tr>
      <w:tr>
        <w:trPr>
          <w:trHeight w:val="202"/>
        </w:trPr>
        <w:tc>
          <w:tcPr>
            <w:tcW w:w="6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7,443</w:t>
            </w:r>
          </w:p>
        </w:tc>
        <w:tc>
          <w:tcPr>
            <w:tcW w:w="60" w:type="dxa"/>
            <w:vAlign w:val="bottom"/>
            <w:shd w:val="clear" w:color="auto" w:fill="CFF0FC"/>
          </w:tcPr>
          <w:p>
            <w:pPr>
              <w:spacing w:after="0"/>
              <w:rPr>
                <w:sz w:val="17"/>
                <w:szCs w:val="17"/>
                <w:color w:val="auto"/>
              </w:rPr>
            </w:pPr>
          </w:p>
        </w:tc>
      </w:tr>
      <w:tr>
        <w:trPr>
          <w:trHeight w:val="203"/>
        </w:trPr>
        <w:tc>
          <w:tcPr>
            <w:tcW w:w="68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49,072</w:t>
            </w:r>
          </w:p>
        </w:tc>
        <w:tc>
          <w:tcPr>
            <w:tcW w:w="60" w:type="dxa"/>
            <w:vAlign w:val="bottom"/>
          </w:tcPr>
          <w:p>
            <w:pPr>
              <w:spacing w:after="0"/>
              <w:rPr>
                <w:sz w:val="17"/>
                <w:szCs w:val="17"/>
                <w:color w:val="auto"/>
              </w:rPr>
            </w:pPr>
          </w:p>
        </w:tc>
      </w:tr>
      <w:tr>
        <w:trPr>
          <w:trHeight w:val="236"/>
        </w:trPr>
        <w:tc>
          <w:tcPr>
            <w:tcW w:w="68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93,598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-24765</wp:posOffset>
            </wp:positionV>
            <wp:extent cx="431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431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39"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Syndication Loan</w:t>
      </w:r>
    </w:p>
    <w:p>
      <w:pPr>
        <w:spacing w:after="0" w:line="183"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On July 29, 2021, the Company entered into a three-year senior secured revolving credit syndication loan (the Revolving Credit Facility) with three banks for a total commitment of $50.0 million. The Revolving Credit Facility includes a $5.0 million letter of credit sub-facility and a $5.0 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 One of the lenders in the syndicate was the existing debt holder under the Loan and Security Agreement (the LSA) entered into in 2018 and amended in 2020.</w:t>
      </w:r>
    </w:p>
    <w:p>
      <w:pPr>
        <w:spacing w:after="0" w:line="13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Revolving Credit Facility consists of Alternate Base Rate (ABR) loans or Eurodollar Borrowings, at the Company’s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the Company’s liquidity as of the most recent consolidated financial information and ranges from 0.75% to 2.25%. The Revolving Credit Facility incurs a commitment fee ranging from 0.25% to 0.35% based upon the Company’s liquidity as of the most recent consolidated financial information assessed on the average undrawn portion of the available commitment.</w:t>
      </w:r>
    </w:p>
    <w:p>
      <w:pPr>
        <w:spacing w:after="0" w:line="1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December 31, 2021.</w:t>
      </w:r>
    </w:p>
    <w:p>
      <w:pPr>
        <w:spacing w:after="0" w:line="15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July 29, 2021, the Company drew $25.9 million on the Revolving Credit Facility and used the proceeds to early prepay the LSA $25.0 million term loan. In connection with the transaction, the Company incurred $0.4 million in prepayment costs and $0.3 million in debt issuance costs. Debt issuance costs related to new lenders in the syndication are amortized on a straight-line basis over the term of the Revolving Credit Facility. Debt issuance costs related to the existing lender in the syndication were expensed. The exchange of the LSA term loan with the Revolving Credit Facility from the same lender was accounted for as a modification. Prior to the closing of the Revolving Credit Facility, debt issuance costs and debt discounts were amortized to interest expense using the effective interest method over the repayment term of the debt and were presented as an offset to the outstanding debt balance on the Consolidated Balance Sheets. Upon the closing of the Revolving Credit Facility, debt issuance costs and debt discount are amortized on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27" w:name="page128"/>
    <w:bookmarkEnd w:id="127"/>
    <w:p>
      <w:pPr>
        <w:ind w:right="820"/>
        <w:spacing w:after="0" w:line="271" w:lineRule="auto"/>
        <w:rPr>
          <w:sz w:val="20"/>
          <w:szCs w:val="20"/>
          <w:color w:val="auto"/>
        </w:rPr>
      </w:pPr>
      <w:r>
        <w:rPr>
          <w:rFonts w:ascii="Arial" w:cs="Arial" w:eastAsia="Arial" w:hAnsi="Arial"/>
          <w:sz w:val="18"/>
          <w:szCs w:val="18"/>
          <w:color w:val="auto"/>
        </w:rPr>
        <w:t>straight-line basis over the contractual term of the agreement and are presented as a component of other assets on the Company's Consolidated Balance Sheets.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 Company had $25.9 million outstanding under the Revolving Credit Facility.</w:t>
      </w:r>
    </w:p>
    <w:p>
      <w:pPr>
        <w:spacing w:after="0" w:line="171"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For the year ended December 31, 2021, the Company recorded interest expense of $2.0 million, including amortization of debt issuance cost and debt discount of $0.3 million. For the year ended December 31, 2020, the Company recorded interest expense of $2.5 million, including amortization of debt issuance cost and debt discount of $0.2 million. In 2019, the Company recorded interest expense of $2.5 million, including amortization of debt issuance cost and debt discount of $0.3 million.</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 term debt</w:t>
            </w:r>
          </w:p>
        </w:tc>
        <w:tc>
          <w:tcPr>
            <w:tcW w:w="1040" w:type="dxa"/>
            <w:vAlign w:val="bottom"/>
            <w:tcBorders>
              <w:top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25,939</w:t>
            </w:r>
          </w:p>
        </w:tc>
        <w:tc>
          <w:tcPr>
            <w:tcW w:w="24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25,000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Less unamortized debt discount</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Less unamortized debt issuance costs</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(218 )</w:t>
            </w: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Long term debt, net</w:t>
            </w:r>
          </w:p>
        </w:tc>
        <w:tc>
          <w:tcPr>
            <w:tcW w:w="1040" w:type="dxa"/>
            <w:vAlign w:val="bottom"/>
            <w:tcBorders>
              <w:top w:val="single" w:sz="8" w:color="auto"/>
              <w:bottom w:val="single" w:sz="8" w:color="auto"/>
            </w:tcBorders>
          </w:tcPr>
          <w:p>
            <w:pPr>
              <w:jc w:val="right"/>
              <w:ind w:right="839"/>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25,939</w:t>
            </w:r>
          </w:p>
        </w:tc>
        <w:tc>
          <w:tcPr>
            <w:tcW w:w="24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24,352</w:t>
            </w:r>
          </w:p>
        </w:tc>
        <w:tc>
          <w:tcPr>
            <w:tcW w:w="8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-159385</wp:posOffset>
            </wp:positionV>
            <wp:extent cx="431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January 16, 2018, the Company entered into the LSA with a financial institution for a $25.0 million loan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158"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On December 31, 2018, the Company achieved the required targets, and deemed that the principal payments would not commence until February 1, 2020.</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25, 2020, the Company entered into a Joinder and First Amendment to the LSA for administrative matters.</w:t>
      </w:r>
    </w:p>
    <w:p>
      <w:pPr>
        <w:spacing w:after="0" w:line="17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On May 18, 2020, the Company entered into a Joinder and Second Amendment to the LSA to refinance the LSA. As part of the amendment, the financial institution re-advanced $4.2 million of principal paid on the loan through May 1, 2020. The final maturity date of the LSA was extended to May 2025. The new stated interest rate was at a floating per annum rate equal to the greater of (i) 5.25% above the prime rate; or (ii) 8.50%. The LSA was interest only until May 2023. Beginning on June 1, 2023, the Company would make 24 equal principal payments. The Company incurred $0.2 million in commitment fees from the financial institution to close the refinancing. These commitment fees were recorded as a reduction to the loan balance on the balance sheet.</w:t>
      </w:r>
    </w:p>
    <w:p>
      <w:pPr>
        <w:spacing w:after="0" w:line="152" w:lineRule="exact"/>
        <w:rPr>
          <w:sz w:val="20"/>
          <w:szCs w:val="20"/>
          <w:color w:val="auto"/>
        </w:rPr>
      </w:pPr>
    </w:p>
    <w:p>
      <w:pPr>
        <w:ind w:right="1020" w:firstLine="509"/>
        <w:spacing w:after="0" w:line="271" w:lineRule="auto"/>
        <w:rPr>
          <w:sz w:val="20"/>
          <w:szCs w:val="20"/>
          <w:color w:val="auto"/>
        </w:rPr>
      </w:pPr>
      <w:r>
        <w:rPr>
          <w:rFonts w:ascii="Arial" w:cs="Arial" w:eastAsia="Arial" w:hAnsi="Arial"/>
          <w:sz w:val="18"/>
          <w:szCs w:val="18"/>
          <w:color w:val="auto"/>
        </w:rPr>
        <w:t>On June 2, 2020, December 9, 2020 and May 19, 2021, the Company entered into a Third, Fourth and Fifth Amendments, respectively, to the LSA for administrative matters.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amendments were accounted for as debt modifications.</w:t>
      </w:r>
    </w:p>
    <w:p>
      <w:pPr>
        <w:spacing w:after="0" w:line="171"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On July 29, 2021, the Company drew $25.9 million on its new Revolving Credit Facility and used the proceeds to early prepay the $25.0 million LSA. In connection with the transaction, the Company incurred $0.4 million of prepayment costs.</w:t>
      </w:r>
    </w:p>
    <w:p>
      <w:pPr>
        <w:spacing w:after="0" w:line="127"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Redeemable Convertible Preferred Stock</w:t>
      </w:r>
    </w:p>
    <w:p>
      <w:pPr>
        <w:spacing w:after="0" w:line="171"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Prior to the IPO, the Company issued Series A convertible preferred stock (the Series A Preferred Stock), Series B convertible preferred stock (the Series B Preferred Stock), Series B1-NV convertible preferred stock (the Series B1-NV Preferred Stock), Series B1 convertible preferred stock (the Series B1 Preferred Stock), Series C convertible preferred stock (the Series C Preferred Stock), Series D convertible preferred stock (the Series D Preferred Stock), Series E-1 redeemable convertible preferred stock and Series E-2 redeemable convertible preferred stock (the Series E Preferred Stock). The Series A Preferred Stock, the Series B Preferred Stock, the Series B1-NV Preferred Stock, the Series B1 Preferred Stock, the Series C Preferred Stock, the Series D Preferred Stock, and the Series E Preferred Stock are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collectively referred to as the Preferred Stock. The Series B, B1, and B1-NV are collectively referred to as Senior Preferred Stock.</w:t>
      </w:r>
    </w:p>
    <w:p>
      <w:pPr>
        <w:spacing w:after="0" w:line="18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In February 2020, the Company issued and sold 11,239,920 shares of Series E Preferred Stock at $10.67623 per share for total gross proceeds of $120.0 million. The Company incurred issuance costs in connection with this transaction of $0.2 million. In conjunction with the sale of the Series E Preferred Stock, the Company amended its certificate of incorporation to increase shares authorized for issuance to a total of 78,938,526 shares of Preferred Stock with a par value of $0.0001 per share.</w:t>
      </w:r>
    </w:p>
    <w:p>
      <w:pPr>
        <w:spacing w:after="0" w:line="133"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class of Preferred Stock.</w:t>
      </w:r>
    </w:p>
    <w:p>
      <w:pPr>
        <w:spacing w:after="0" w:line="128"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68,202,784 shares of common stock. As of December 31, 2021, there were no convertible preferred stock and redeemable convertible preferred stock outstanding.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2020, convertible preferred stock and redeemable convertible preferred stock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Preferred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Stock Issued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Issuable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Upon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Preference</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Series A Preferred Stock</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14,475,186</w:t>
            </w: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14,475,186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14,807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14,843</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14,475,186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Series B Preferred Stock</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9,917,487</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9,917,487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9,199</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9,917,487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B1-NV Preferred Stock</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8,325,933</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1,145,526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1,174</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1,145,526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Series B1 Preferred Stock</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8,325,933</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7,180,407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7,357</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7,180,407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C Preferred Stock</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15,245,853</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14,864,853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28,072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28,143</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14,864,853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Series D Preferred Stock</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6,625,002</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6,625,002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49,859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6,625,002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E-1 Preferred Stock</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7,124,862</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5,251,542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55,960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70,080</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5,251,542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Series E-2 Preferred Stock</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8,898,270</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5,988,378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63,809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79,920</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5,988,378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78,938,526</w:t>
            </w:r>
          </w:p>
        </w:tc>
        <w:tc>
          <w:tcPr>
            <w:tcW w:w="2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65,448,381</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230,170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260,716</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65,448,381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-25400</wp:posOffset>
            </wp:positionV>
            <wp:extent cx="768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768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Significant rights and preferences of the above convertible preferred stock and redeemable convertible preferred stock prior to its conversion into shares of common stock were as follows: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holders of the Preferred Stock were entitled to vote, together with the holders of common stock, on all matters submitted to stockholders for a vote. Each holder of Preferred Stock was entitled to the number of votes equal to the number of whole shares of common stock into which each Preferred Stock was convertible at the time of such vote. The holders of Preferred Stock would vote together with the holders of common stock as a single class, except for the election of the board of directors. For such election, the holders of Preferred Stock would vote exclusively as a separate class to elect three directors. The holders of Class A common stock would vote exclusively to elect one director. The remainder of the directors of the Company would be elected by the holders of common stock and Preferred Stock voting as a single class and were entitled to elect three directors.</w:t>
      </w:r>
    </w:p>
    <w:p>
      <w:pPr>
        <w:spacing w:after="0" w:line="14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Except as may have been otherwise required under Delaware General Corporation Law, holders of the Series B1-NV Preferred Stock and the Series E-2 Preferred Stock would have no right to vote in respect of such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69"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Each share of Preferred Stock was convertible, at the option of the holder, at any time after the date of issuance of such share, into such number of fully paid and nonassessable shares of common stock.</w:t>
      </w:r>
    </w:p>
    <w:p>
      <w:pPr>
        <w:spacing w:after="0" w:line="11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conversion ratio of each series of Preferred Stock was determined by dividing the applicable Original Issue Price of each series by the applicable Conversion Price of each series in effect on the date the certificate was surrendered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9" w:name="page130"/>
    <w:bookmarkEnd w:id="129"/>
    <w:p>
      <w:pPr>
        <w:ind w:right="40"/>
        <w:spacing w:after="0" w:line="242" w:lineRule="auto"/>
        <w:rPr>
          <w:sz w:val="20"/>
          <w:szCs w:val="20"/>
          <w:color w:val="auto"/>
        </w:rPr>
      </w:pPr>
      <w:r>
        <w:rPr>
          <w:rFonts w:ascii="Arial" w:cs="Arial" w:eastAsia="Arial" w:hAnsi="Arial"/>
          <w:sz w:val="18"/>
          <w:szCs w:val="18"/>
          <w:color w:val="auto"/>
        </w:rPr>
        <w:t>for conversion. The Original Issue Price per share was $ 0.6580 for Series A Preferred Stock, $0.6580 for Series B Preferred Stock, $0.7507 for Series B1 Preferred Stock and Series B1 -NV Preferred Stock, $1.480 for Series C Preferred Stock, $7.54717 for Series D Preferred Stock, and $10.67623 for Series E Preferred Stock, each subject to appropriate adjustment in the event of any stock dividend, stock split, combination or other similar recapitalization and other adjustments. The Conversion Price per share was $0.6580 for Series A Preferred Stock, $0.6580 for Series B Preferred Stock, $0.7507 for Series B1 Preferred Stock and Series B1-NV Preferred Stock, $1.480 for Series C Preferred Stock, $7.54717 for Series D Preferred Stock, and $10.67623 for Series E Preferred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69"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Each share of Preferred Stock would be automatically converted into shares of the Company’s common stock, at the then effective conversion price upon the closing of the sale of shares of common stock at a price to the public of at least $14.9468 per share, subject to appropriate adjustment for stock splits, stock dividends, combinations and other similar recapitalizations affecting such shares, in a firm commitment underwritten public offering pursuant to an effective registration statement under the Securities Act of 1933, as amended, with net proceeds to the Company of at least $50 million.</w:t>
      </w:r>
    </w:p>
    <w:p>
      <w:pPr>
        <w:spacing w:after="0" w:line="136"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Immediately prior to the closing of the IPO, all shares of the Company’s outstanding convertible preferred stock and redeemable convertible preferred stock were converted into shares of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the event of a voluntary or involuntary liquidation, dissolution, or winding up of the Company (a Liquidation Event), the holders of the Series A Preferred Stock then outstanding would be entitled to be paid out of the assets of the Company available for distribution to its stockholders before any payment was made to the holders of the common stock by reason of their ownership thereof, an amount per share equal to the greater of (i) the Series A Preferred Stock Original Issue Price, plus any dividends accrued but unpaid thereon, whether or not declared, together with any other dividends declared but unpaid thereon or (ii) such amount per share as would have been payable had all shares of Series A Preferred Stock been converted into common stock immediately prior to the Liquidation Event.</w:t>
      </w:r>
    </w:p>
    <w:p>
      <w:pPr>
        <w:spacing w:after="0" w:line="15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If upon any such Liquidation Event, the assets of the Company available for distribution to its stockholders were insufficient to pay in full the holders of shares of Series A Preferred Stock, the holders of shares of Series A Preferred Stock would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Preferred Stock (Series B, B1 and B1-NV)</w:t>
      </w:r>
    </w:p>
    <w:p>
      <w:pPr>
        <w:spacing w:after="0" w:line="169"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In the event of a Liquidation Event, the holders of the Senior Preferred Stock then outstanding would be entitled to be paid out of the assets of the Company available for distribution to its stockholders before any payment was made to the holders of (i) Series A Preferred Stock or (ii) common stock by reason of their ownership thereof, an amount per share equal to the greater of (i) the applicable Preferred Stock Original Issue Price, plus any dividends accrued but unpaid thereon, whether or not declared, together with any other dividends declared but unpaid thereon or (ii) such amount per share as would have been payable had all shares of Senior Preferred Stock been converted into common stock immediately prior to the Liquidation Event.</w:t>
      </w:r>
    </w:p>
    <w:p>
      <w:pPr>
        <w:spacing w:after="0" w:line="15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If upon any such Liquidation Event, the assets of the Company available for distribution to its stockholders were insufficient to pay in full the holders of shares of Senior Preferred Stock, the holders of shares of Senior Preferred Stock would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Stock</w:t>
      </w:r>
    </w:p>
    <w:p>
      <w:pPr>
        <w:spacing w:after="0" w:line="16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 the event of a Liquidation Event, the holders of the Series C Preferred Stock then outstanding would be entitled to be paid out of the assets of the Company available for distribution to its stockholders before any payment was made to the holders of (i) Senior Preferred Stock</w:t>
      </w:r>
    </w:p>
    <w:p>
      <w:pPr>
        <w:spacing w:after="0" w:line="1" w:lineRule="exact"/>
        <w:rPr>
          <w:sz w:val="20"/>
          <w:szCs w:val="20"/>
          <w:color w:val="auto"/>
        </w:rPr>
      </w:pPr>
    </w:p>
    <w:p>
      <w:pPr>
        <w:jc w:val="both"/>
        <w:ind w:right="260" w:firstLine="8"/>
        <w:spacing w:after="0" w:line="242" w:lineRule="auto"/>
        <w:tabs>
          <w:tab w:leader="none" w:pos="2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Series A Preferred Stock or (iii) common stock by reason of their ownership thereof, an amount per share equal to the greater of (i) the Series C Preferred Stock Original Issue Price, plus any dividends accrued but unpaid thereon, whether or not declared, together with any other dividends declared but unpaid</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30" w:name="page131"/>
    <w:bookmarkEnd w:id="130"/>
    <w:p>
      <w:pPr>
        <w:ind w:right="140"/>
        <w:spacing w:after="0" w:line="271" w:lineRule="auto"/>
        <w:rPr>
          <w:sz w:val="20"/>
          <w:szCs w:val="20"/>
          <w:color w:val="auto"/>
        </w:rPr>
      </w:pPr>
      <w:r>
        <w:rPr>
          <w:rFonts w:ascii="Arial" w:cs="Arial" w:eastAsia="Arial" w:hAnsi="Arial"/>
          <w:sz w:val="18"/>
          <w:szCs w:val="18"/>
          <w:color w:val="auto"/>
        </w:rPr>
        <w:t>thereon or (ii) such amount per share as would have been payable had all shares of Series C Preferred Stock been converted into common stock immediately prior to the Liquidation Event.</w:t>
      </w:r>
    </w:p>
    <w:p>
      <w:pPr>
        <w:spacing w:after="0" w:line="12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If upon any such Liquidation Event, the assets of the Company available for distribution to its stockholders were insufficient to pay in full the holders of shares of Series C Preferred Stock, the holders of shares of Series C Preferred Stock would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Preferred Stock</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the event of a Liquidation Event, the holders of the Series D Preferred Stock then outstanding would be entitled to be paid out of the assets of the Company available for distribution to its stockholders before any payment was made to the holders of (i) Series C Preferred Stock (ii) Senior Preferred Stock (iii) Series A Preferred Stock or (iv) common stock by reason of their ownership thereof, an amount per share equal to the greater of (i) the Series D Preferred Stock Original Issue Price, plus any dividends accrued but unpaid thereon, whether or not declared, together with any other dividends declared but unpaid thereon or (ii) such amount per share as would have been payable had all shares of Series D Preferred Stock been converted into common stock immediately prior the Liquidation Event.</w:t>
      </w:r>
    </w:p>
    <w:p>
      <w:pPr>
        <w:spacing w:after="0" w:line="15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If upon any such Liquidation Event, the assets of the Company available for distribution to its stockholders were insufficient to pay in full the holders of shares of Series D Preferred Stock, the holders of shares of Series D Preferred Stock would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Preferred Stock (Series E-1 and E-2)</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event of a Liquidation Event, the holders of the Series E Preferred Stock then outstanding would be entitled to be paid out of the assets of the Company available for distribution to its stockholders before any payment was made to the holders of (i) Series D Preferred Stock, (ii) Series C Preferred Stock, (iii) Senior Preferred Stock, (iv) Series A Preferred Stock, (v) Common Stock, or (vi) any other class or series of capital stock of the Corporation, in each case by reason of their ownership thereof, an amount per share equal to the greater of (a)</w:t>
      </w:r>
    </w:p>
    <w:p>
      <w:pPr>
        <w:ind w:right="40" w:firstLine="8"/>
        <w:spacing w:after="0" w:line="238" w:lineRule="auto"/>
        <w:tabs>
          <w:tab w:leader="none" w:pos="2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125% of the Series E Preferred Stock Original Issue Price, plus any dividends declared but unpaid thereon (if the Liquidation Event or any deemed liquidation event was consummated before the second anniversary of the Series E original issue date) and (ii) Series E Original Issue Price, plus any dividends declared but unpaid (if the Liquidation Event or any deemed liquidation event was consummated on or after the second anniversary of the Series E original issue date) or (b) such amount per share as would have been payable had all shares of Series E Preferred Stock been converted into common stock immediately prior to the Liquidation Event, if the Liquidation Event or any deemed liquidation event was consummated before the second anniversary of the Series E original issue date.</w:t>
      </w:r>
    </w:p>
    <w:p>
      <w:pPr>
        <w:spacing w:after="0" w:line="15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If upon any such Liquidation Event, the assets of the Company available for distribution to its stockholders were insufficient to pay in full the holders of shares of Series E Preferred Stock, the holders of shares of Series E Preferred Stock would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July 2018, coinciding with the issuance of Series D Preferred Stock, the certificate of incorporation was amended to eliminate the future accrual of dividends. Holders of Series A Preferred Stock, Senior Preferred Stock and Series C Preferred Stock were entitled to accrue dividends through the Series D Preferred Stock issuance date of July 5, 2018 (the Preferred Stock Dividends) out of any assets legally available therefor, prior and in preference to any declaration or payment of any dividend to shareholders of common stock. The Preferred Stock Dividends were cumulative and accrued, day to day through the Series D Preferred Stock issuance date, at a rate per annum of 8% per share on such shares of Preferred Stock, subject to appropriate adjustment in the event of any stock dividend, stock split, combination, or other similar recapitalization with respect to the Preferred Stock. The holders of Series D Preferred Stock and Series E Preferred Stock were not entitled to accrue dividends. The Preferred Stock Dividends were terminated in connection with the conversion of the Company’s Preferred Stock in its IPO.</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Accumulated dividends were as follows (in thousands):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6"/>
                <w:szCs w:val="16"/>
                <w:color w:val="auto"/>
              </w:rPr>
            </w:pP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Series A Preferred Stock</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5,318</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Series B Preferred Stock</w:t>
            </w:r>
          </w:p>
        </w:tc>
        <w:tc>
          <w:tcPr>
            <w:tcW w:w="2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1,967</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B1-NV Preferred Stock</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Series B1 Preferred Stock</w:t>
            </w:r>
          </w:p>
        </w:tc>
        <w:tc>
          <w:tcPr>
            <w:tcW w:w="2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2,673</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C Preferred Stock</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6,143</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Series D Preferred Stock</w:t>
            </w:r>
          </w:p>
        </w:tc>
        <w:tc>
          <w:tcPr>
            <w:tcW w:w="2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E Preferred Stock</w:t>
            </w:r>
          </w:p>
        </w:tc>
        <w:tc>
          <w:tcPr>
            <w:tcW w:w="2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16,415</w:t>
            </w:r>
          </w:p>
        </w:tc>
        <w:tc>
          <w:tcPr>
            <w:tcW w:w="6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37" w:lineRule="exact"/>
        <w:rPr>
          <w:sz w:val="20"/>
          <w:szCs w:val="20"/>
          <w:color w:val="auto"/>
        </w:rPr>
      </w:pPr>
    </w:p>
    <w:p>
      <w:pPr>
        <w:ind w:right="1680" w:firstLine="509"/>
        <w:spacing w:after="0" w:line="446" w:lineRule="auto"/>
        <w:rPr>
          <w:sz w:val="20"/>
          <w:szCs w:val="20"/>
          <w:color w:val="auto"/>
        </w:rPr>
      </w:pPr>
      <w:r>
        <w:rPr>
          <w:rFonts w:ascii="Arial" w:cs="Arial" w:eastAsia="Arial" w:hAnsi="Arial"/>
          <w:sz w:val="18"/>
          <w:szCs w:val="18"/>
          <w:color w:val="auto"/>
        </w:rPr>
        <w:t xml:space="preserve">No dividends were declared or paid by the Company during the years ended December 31, 2021, 2020 and 2019. </w:t>
      </w:r>
      <w:r>
        <w:rPr>
          <w:rFonts w:ascii="Arial" w:cs="Arial" w:eastAsia="Arial" w:hAnsi="Arial"/>
          <w:sz w:val="18"/>
          <w:szCs w:val="18"/>
          <w:b w:val="1"/>
          <w:bCs w:val="1"/>
          <w:i w:val="1"/>
          <w:iCs w:val="1"/>
          <w:color w:val="auto"/>
        </w:rPr>
        <w:t>Redemption</w:t>
      </w:r>
    </w:p>
    <w:p>
      <w:pPr>
        <w:ind w:right="80" w:firstLine="509"/>
        <w:spacing w:after="0" w:line="244" w:lineRule="auto"/>
        <w:rPr>
          <w:sz w:val="20"/>
          <w:szCs w:val="20"/>
          <w:color w:val="auto"/>
        </w:rPr>
      </w:pPr>
      <w:r>
        <w:rPr>
          <w:rFonts w:ascii="Arial" w:cs="Arial" w:eastAsia="Arial" w:hAnsi="Arial"/>
          <w:sz w:val="18"/>
          <w:szCs w:val="18"/>
          <w:color w:val="auto"/>
        </w:rPr>
        <w:t>Series A, B, B1 B1-NV, C and D of Preferred Stock did not contain any date-certain redemption features. At any time on or after the fifteenth anniversary of the Series E Preferred Stock issue date, any holder of Series E Preferred Stock could elect to have all outstanding shares of Series E Preferred Stock redeemed. The redemption price for each share of Series E Preferred Stock would be the original issue price per share, plus any declared but unpaid dividends. All classes of the Company’s Preferred Stock were contingently redeemable upon a deemed liquidation event.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Convertible Preferred Stock</w:t>
      </w:r>
    </w:p>
    <w:p>
      <w:pPr>
        <w:spacing w:after="0" w:line="18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Preferred Stock was contingently redeemable upon certain deemed liquidation events outside of the Company’s control such as a dissolution, winding up of the Company, merger or consolidation, or other disposition of all or substantially all the assets of the Company. Accordingly, all shares of convertible preferred stock were presented outside of permanent equity in mezzanine equity on the consolidated balance sheets.</w:t>
      </w:r>
    </w:p>
    <w:p>
      <w:pPr>
        <w:spacing w:after="0" w:line="133"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were not redeemable. The Company did not adjust the carrying values of the convertible preferred stock to the deemed liquidation values of such shares since a liquidation event was not probable at the balance sheet date. Subsequent adjustments to increase or decrease the carrying values to the ultimate liquidation values would be made only if, and when, it became probable that such a liquidation event would occur.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and Accretion of Redeemable Convertible Preferred Stock</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 classified redeemable convertible preferred stock outside of stockholders’ equity (deficit) because the shares contained certain redemption features that were not solely within the control of the Company. Costs incurred in connection with the issuance of each series of redeemable convertible preferred stock were recorded as a reduction of gross proceeds from issuance. The Company recorded periodic accretion to the carrying values of its outstanding redeemable convertible preferred stock such that the carrying value of the redeemable convertible preferred stock would be equal to the original issuance cost at the earliest date of redemption. Adjustments to the carrying values of the redeemable convertible preferred stock to record this accretion at each reporting date were considered a deemed dividend, which adjusted additional paid-in capital and increased or decreased net loss attributable to common stockholders in computing basic and diluted net loss per share.</w:t>
      </w:r>
    </w:p>
    <w:p>
      <w:pPr>
        <w:spacing w:after="0" w:line="14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3"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10,000,000 shares of undesignated preferred stock with a par value of $0.0001 per share with rights and preferences, including voting rights, designated from time to time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In connection with the IPO, the Company’s current amended and restated certificate of incorporation authorized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from time to time by the board of directors. As of December 31, 2021 and 2020, no cash dividends have been declared or paid.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reserved shares of common stock for future issuance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jc w:val="right"/>
              <w:ind w:right="515"/>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r>
      <w:tr>
        <w:trPr>
          <w:trHeight w:val="185"/>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12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8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Issued and outstanding stock options</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2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14,855,292</w:t>
            </w:r>
          </w:p>
        </w:tc>
        <w:tc>
          <w:tcPr>
            <w:tcW w:w="60" w:type="dxa"/>
            <w:vAlign w:val="bottom"/>
            <w:shd w:val="clear" w:color="auto" w:fill="CFF0FC"/>
          </w:tcPr>
          <w:p>
            <w:pPr>
              <w:spacing w:after="0"/>
              <w:rPr>
                <w:sz w:val="17"/>
                <w:szCs w:val="17"/>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Issued and outstanding restricted stock units and awards</w:t>
            </w:r>
          </w:p>
        </w:tc>
        <w:tc>
          <w:tcPr>
            <w:tcW w:w="360" w:type="dxa"/>
            <w:vAlign w:val="bottom"/>
          </w:tcPr>
          <w:p>
            <w:pPr>
              <w:spacing w:after="0"/>
              <w:rPr>
                <w:sz w:val="17"/>
                <w:szCs w:val="17"/>
                <w:color w:val="auto"/>
              </w:rPr>
            </w:pP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213,121</w:t>
            </w:r>
          </w:p>
        </w:tc>
        <w:tc>
          <w:tcPr>
            <w:tcW w:w="60" w:type="dxa"/>
            <w:vAlign w:val="bottom"/>
          </w:tcPr>
          <w:p>
            <w:pPr>
              <w:spacing w:after="0"/>
              <w:rPr>
                <w:sz w:val="17"/>
                <w:szCs w:val="17"/>
                <w:color w:val="auto"/>
              </w:rPr>
            </w:pPr>
          </w:p>
        </w:tc>
      </w:tr>
      <w:tr>
        <w:trPr>
          <w:trHeight w:val="203"/>
        </w:trPr>
        <w:tc>
          <w:tcPr>
            <w:tcW w:w="8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Available issuance under stock options and restricted stock units</w:t>
            </w:r>
          </w:p>
        </w:tc>
        <w:tc>
          <w:tcPr>
            <w:tcW w:w="360" w:type="dxa"/>
            <w:vAlign w:val="bottom"/>
            <w:shd w:val="clear" w:color="auto" w:fill="CFF0FC"/>
          </w:tcPr>
          <w:p>
            <w:pPr>
              <w:spacing w:after="0"/>
              <w:rPr>
                <w:sz w:val="17"/>
                <w:szCs w:val="17"/>
                <w:color w:val="auto"/>
              </w:rPr>
            </w:pPr>
          </w:p>
        </w:tc>
        <w:tc>
          <w:tcPr>
            <w:tcW w:w="2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9,420,270</w:t>
            </w:r>
          </w:p>
        </w:tc>
        <w:tc>
          <w:tcPr>
            <w:tcW w:w="60" w:type="dxa"/>
            <w:vAlign w:val="bottom"/>
            <w:shd w:val="clear" w:color="auto" w:fill="CFF0FC"/>
          </w:tcPr>
          <w:p>
            <w:pPr>
              <w:spacing w:after="0"/>
              <w:rPr>
                <w:sz w:val="17"/>
                <w:szCs w:val="17"/>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Available issuance under employee stock purchase plan</w:t>
            </w:r>
          </w:p>
        </w:tc>
        <w:tc>
          <w:tcPr>
            <w:tcW w:w="3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1,639,810</w:t>
            </w:r>
          </w:p>
        </w:tc>
        <w:tc>
          <w:tcPr>
            <w:tcW w:w="60" w:type="dxa"/>
            <w:vAlign w:val="bottom"/>
          </w:tcPr>
          <w:p>
            <w:pPr>
              <w:spacing w:after="0"/>
              <w:rPr>
                <w:sz w:val="17"/>
                <w:szCs w:val="17"/>
                <w:color w:val="auto"/>
              </w:rPr>
            </w:pPr>
          </w:p>
        </w:tc>
      </w:tr>
      <w:tr>
        <w:trPr>
          <w:trHeight w:val="236"/>
        </w:trPr>
        <w:tc>
          <w:tcPr>
            <w:tcW w:w="8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26,128,493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Convertible Preferred Stock</w:t>
      </w:r>
    </w:p>
    <w:p>
      <w:pPr>
        <w:spacing w:after="0" w:line="183"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In connection with the January 2018 LSA, the Company issued warrants to purchase 381,000 shares of Series C Convertible Preferred Stock. Prior to the closing of the IPO, the Company had warrants to purchase 190,500 shares of its convertible preferred stock outstanding. Such warrants were converted immediately prior to the closing of the IPO into warrants to purchase 190,500 shares of the Company’s voting common stock and the associated preferred stock warrant liabilities were remeasured to its fair value of $6.3 million and reclassified to additional paid-in capital.</w:t>
      </w:r>
    </w:p>
    <w:p>
      <w:pPr>
        <w:spacing w:after="0" w:line="13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Warrants to purchase convertible preferred stock were exercised or net settled for voting common stock after the IPO. As of December 31, 2021, there were no preferred stock warrants outstanding. As of December 31, 2020 warrants to purchase the following classes of preferred stock were outstanding: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 of</w:t>
            </w: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4"/>
              <w:spacing w:after="0"/>
              <w:rPr>
                <w:sz w:val="20"/>
                <w:szCs w:val="20"/>
                <w:color w:val="auto"/>
              </w:rPr>
            </w:pPr>
            <w:r>
              <w:rPr>
                <w:rFonts w:ascii="Arial" w:cs="Arial" w:eastAsia="Arial" w:hAnsi="Arial"/>
                <w:sz w:val="14"/>
                <w:szCs w:val="14"/>
                <w:b w:val="1"/>
                <w:bCs w:val="1"/>
                <w:color w:val="auto"/>
              </w:rPr>
              <w:t>Weight</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49"/>
        </w:trPr>
        <w:tc>
          <w:tcPr>
            <w:tcW w:w="3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17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Issuable under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8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9"/>
              </w:rPr>
              <w:t>Price</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2"/>
        </w:trPr>
        <w:tc>
          <w:tcPr>
            <w:tcW w:w="3820" w:type="dxa"/>
            <w:vAlign w:val="bottom"/>
          </w:tcPr>
          <w:p>
            <w:pPr>
              <w:ind w:left="20"/>
              <w:spacing w:after="0"/>
              <w:rPr>
                <w:sz w:val="20"/>
                <w:szCs w:val="20"/>
                <w:color w:val="auto"/>
              </w:rPr>
            </w:pPr>
            <w:r>
              <w:rPr>
                <w:rFonts w:ascii="Arial" w:cs="Arial" w:eastAsia="Arial" w:hAnsi="Arial"/>
                <w:sz w:val="18"/>
                <w:szCs w:val="18"/>
                <w:color w:val="auto"/>
              </w:rPr>
              <w:t>Series C</w:t>
            </w:r>
          </w:p>
        </w:tc>
        <w:tc>
          <w:tcPr>
            <w:tcW w:w="120" w:type="dxa"/>
            <w:vAlign w:val="bottom"/>
          </w:tcPr>
          <w:p>
            <w:pPr>
              <w:spacing w:after="0"/>
              <w:rPr>
                <w:sz w:val="20"/>
                <w:szCs w:val="20"/>
                <w:color w:val="auto"/>
              </w:rPr>
            </w:pPr>
          </w:p>
        </w:tc>
        <w:tc>
          <w:tcPr>
            <w:tcW w:w="1700" w:type="dxa"/>
            <w:vAlign w:val="bottom"/>
          </w:tcPr>
          <w:p>
            <w:pPr>
              <w:ind w:left="300"/>
              <w:spacing w:after="0"/>
              <w:rPr>
                <w:sz w:val="20"/>
                <w:szCs w:val="20"/>
                <w:color w:val="auto"/>
              </w:rPr>
            </w:pPr>
            <w:r>
              <w:rPr>
                <w:rFonts w:ascii="Arial" w:cs="Arial" w:eastAsia="Arial" w:hAnsi="Arial"/>
                <w:sz w:val="18"/>
                <w:szCs w:val="18"/>
                <w:color w:val="auto"/>
                <w:w w:val="99"/>
              </w:rPr>
              <w:t>January 16, 2018</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381,000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As a result of changes in the fair value of these preferred stock warrants, the Company recorded other expense of $0.6 million and $0.1 million for the years ended December 31, 2020 and 2019, respectively.</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roll forward of the aggregate fair value of the Company’s preferred stock warrants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ind w:right="177"/>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r>
      <w:tr>
        <w:trPr>
          <w:trHeight w:val="185"/>
        </w:trPr>
        <w:tc>
          <w:tcPr>
            <w:tcW w:w="8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8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1,307</w:t>
            </w:r>
          </w:p>
        </w:tc>
        <w:tc>
          <w:tcPr>
            <w:tcW w:w="60" w:type="dxa"/>
            <w:vAlign w:val="bottom"/>
            <w:shd w:val="clear" w:color="auto" w:fill="CFF0FC"/>
          </w:tcPr>
          <w:p>
            <w:pPr>
              <w:spacing w:after="0"/>
              <w:rPr>
                <w:sz w:val="17"/>
                <w:szCs w:val="17"/>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Changes in fair value</w:t>
            </w: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w:t>
            </w:r>
          </w:p>
        </w:tc>
        <w:tc>
          <w:tcPr>
            <w:tcW w:w="60" w:type="dxa"/>
            <w:vAlign w:val="bottom"/>
          </w:tcPr>
          <w:p>
            <w:pPr>
              <w:spacing w:after="0"/>
              <w:rPr>
                <w:sz w:val="17"/>
                <w:szCs w:val="17"/>
                <w:color w:val="auto"/>
              </w:rPr>
            </w:pPr>
          </w:p>
        </w:tc>
      </w:tr>
      <w:tr>
        <w:trPr>
          <w:trHeight w:val="236"/>
        </w:trPr>
        <w:tc>
          <w:tcPr>
            <w:tcW w:w="8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there were no common stock warrants outstanding. The following table summarizes information about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outstanding common stock warrants as of December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Warrants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2"/>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760" w:type="dxa"/>
            <w:vAlign w:val="bottom"/>
            <w:gridSpan w:val="3"/>
            <w:vMerge w:val="restart"/>
          </w:tcPr>
          <w:p>
            <w:pPr>
              <w:ind w:left="1320"/>
              <w:spacing w:after="0"/>
              <w:rPr>
                <w:sz w:val="20"/>
                <w:szCs w:val="20"/>
                <w:color w:val="auto"/>
              </w:rPr>
            </w:pPr>
            <w:r>
              <w:rPr>
                <w:rFonts w:ascii="Arial" w:cs="Arial" w:eastAsia="Arial" w:hAnsi="Arial"/>
                <w:sz w:val="14"/>
                <w:szCs w:val="14"/>
                <w:b w:val="1"/>
                <w:bCs w:val="1"/>
                <w:color w:val="auto"/>
              </w:rPr>
              <w:t>Date</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Strike</w:t>
            </w: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2"/>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760" w:type="dxa"/>
            <w:vAlign w:val="bottom"/>
            <w:gridSpan w:val="3"/>
          </w:tcPr>
          <w:p>
            <w:pPr>
              <w:ind w:left="480"/>
              <w:spacing w:after="0"/>
              <w:rPr>
                <w:sz w:val="20"/>
                <w:szCs w:val="20"/>
                <w:color w:val="auto"/>
              </w:rPr>
            </w:pPr>
            <w:r>
              <w:rPr>
                <w:rFonts w:ascii="Arial" w:cs="Arial" w:eastAsia="Arial" w:hAnsi="Arial"/>
                <w:sz w:val="14"/>
                <w:szCs w:val="14"/>
                <w:b w:val="1"/>
                <w:bCs w:val="1"/>
                <w:color w:val="auto"/>
              </w:rPr>
              <w:t>Issued</w:t>
            </w:r>
          </w:p>
        </w:tc>
        <w:tc>
          <w:tcPr>
            <w:tcW w:w="1200" w:type="dxa"/>
            <w:vAlign w:val="bottom"/>
          </w:tcPr>
          <w:p>
            <w:pPr>
              <w:jc w:val="right"/>
              <w:ind w:right="276"/>
              <w:spacing w:after="0"/>
              <w:rPr>
                <w:sz w:val="20"/>
                <w:szCs w:val="20"/>
                <w:color w:val="auto"/>
              </w:rPr>
            </w:pPr>
            <w:r>
              <w:rPr>
                <w:rFonts w:ascii="Arial" w:cs="Arial" w:eastAsia="Arial" w:hAnsi="Arial"/>
                <w:sz w:val="14"/>
                <w:szCs w:val="14"/>
                <w:b w:val="1"/>
                <w:bCs w:val="1"/>
                <w:color w:val="auto"/>
              </w:rPr>
              <w:t>Expiration</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39"/>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and Exercisable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19"/>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2"/>
              <w:spacing w:after="0"/>
              <w:rPr>
                <w:sz w:val="20"/>
                <w:szCs w:val="20"/>
                <w:color w:val="auto"/>
              </w:rPr>
            </w:pPr>
            <w:r>
              <w:rPr>
                <w:rFonts w:ascii="Arial" w:cs="Arial" w:eastAsia="Arial" w:hAnsi="Arial"/>
                <w:sz w:val="14"/>
                <w:szCs w:val="14"/>
                <w:b w:val="1"/>
                <w:bCs w:val="1"/>
                <w:color w:val="auto"/>
              </w:rPr>
              <w:t>Price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LSA Warrants</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August-12</w:t>
            </w: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August-22</w:t>
            </w: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75,000</w:t>
            </w: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0.17</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tcPr>
          <w:p>
            <w:pPr>
              <w:ind w:left="20"/>
              <w:spacing w:after="0"/>
              <w:rPr>
                <w:sz w:val="20"/>
                <w:szCs w:val="20"/>
                <w:color w:val="auto"/>
              </w:rPr>
            </w:pPr>
            <w:r>
              <w:rPr>
                <w:rFonts w:ascii="Arial" w:cs="Arial" w:eastAsia="Arial" w:hAnsi="Arial"/>
                <w:sz w:val="18"/>
                <w:szCs w:val="18"/>
                <w:color w:val="auto"/>
              </w:rPr>
              <w:t>LSA Warrants</w:t>
            </w:r>
          </w:p>
        </w:tc>
        <w:tc>
          <w:tcPr>
            <w:tcW w:w="1760" w:type="dxa"/>
            <w:vAlign w:val="bottom"/>
            <w:gridSpan w:val="3"/>
          </w:tcPr>
          <w:p>
            <w:pPr>
              <w:jc w:val="right"/>
              <w:ind w:right="360"/>
              <w:spacing w:after="0"/>
              <w:rPr>
                <w:sz w:val="20"/>
                <w:szCs w:val="20"/>
                <w:color w:val="auto"/>
              </w:rPr>
            </w:pPr>
            <w:r>
              <w:rPr>
                <w:rFonts w:ascii="Arial" w:cs="Arial" w:eastAsia="Arial" w:hAnsi="Arial"/>
                <w:sz w:val="18"/>
                <w:szCs w:val="18"/>
                <w:color w:val="auto"/>
              </w:rPr>
              <w:t>May-20</w:t>
            </w:r>
          </w:p>
        </w:tc>
        <w:tc>
          <w:tcPr>
            <w:tcW w:w="1200" w:type="dxa"/>
            <w:vAlign w:val="bottom"/>
          </w:tcPr>
          <w:p>
            <w:pPr>
              <w:jc w:val="right"/>
              <w:spacing w:after="0"/>
              <w:rPr>
                <w:sz w:val="20"/>
                <w:szCs w:val="20"/>
                <w:color w:val="auto"/>
              </w:rPr>
            </w:pPr>
            <w:r>
              <w:rPr>
                <w:rFonts w:ascii="Arial" w:cs="Arial" w:eastAsia="Arial" w:hAnsi="Arial"/>
                <w:sz w:val="18"/>
                <w:szCs w:val="18"/>
                <w:color w:val="auto"/>
              </w:rPr>
              <w:t>May-30</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189,171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On May 18, 2020, in connection with the Company’s refinancing of the LSA, the Company issued warrants to purchase 189,171 shares of common stock at $3.95 per share that were classified as equity. The initial fair value of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3" w:name="page134"/>
    <w:bookmarkEnd w:id="133"/>
    <w:p>
      <w:pPr>
        <w:ind w:right="280"/>
        <w:spacing w:after="0" w:line="271" w:lineRule="auto"/>
        <w:rPr>
          <w:sz w:val="20"/>
          <w:szCs w:val="20"/>
          <w:color w:val="auto"/>
        </w:rPr>
      </w:pPr>
      <w:r>
        <w:rPr>
          <w:rFonts w:ascii="Arial" w:cs="Arial" w:eastAsia="Arial" w:hAnsi="Arial"/>
          <w:sz w:val="18"/>
          <w:szCs w:val="18"/>
          <w:color w:val="auto"/>
        </w:rPr>
        <w:t>warrants was $0.4 million. The fair value of the warrants was determined using the Black Scholes model on the date of issuance using the assumptions as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20" w:type="dxa"/>
            <w:vAlign w:val="bottom"/>
          </w:tcPr>
          <w:p>
            <w:pPr>
              <w:spacing w:after="0"/>
              <w:rPr>
                <w:sz w:val="15"/>
                <w:szCs w:val="15"/>
                <w:color w:val="auto"/>
              </w:rPr>
            </w:pPr>
          </w:p>
        </w:tc>
        <w:tc>
          <w:tcPr>
            <w:tcW w:w="26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8620" w:type="dxa"/>
            <w:vAlign w:val="bottom"/>
          </w:tcPr>
          <w:p>
            <w:pPr>
              <w:spacing w:after="0"/>
              <w:rPr>
                <w:sz w:val="16"/>
                <w:szCs w:val="16"/>
                <w:color w:val="auto"/>
              </w:rPr>
            </w:pPr>
          </w:p>
        </w:tc>
        <w:tc>
          <w:tcPr>
            <w:tcW w:w="2400" w:type="dxa"/>
            <w:vAlign w:val="bottom"/>
            <w:tcBorders>
              <w:bottom w:val="single" w:sz="8" w:color="auto"/>
            </w:tcBorders>
          </w:tcPr>
          <w:p>
            <w:pPr>
              <w:jc w:val="right"/>
              <w:ind w:right="95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r>
      <w:tr>
        <w:trPr>
          <w:trHeight w:val="196"/>
        </w:trPr>
        <w:tc>
          <w:tcPr>
            <w:tcW w:w="8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2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0.73</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62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0 %</w:t>
            </w:r>
          </w:p>
        </w:tc>
      </w:tr>
      <w:tr>
        <w:trPr>
          <w:trHeight w:val="203"/>
        </w:trPr>
        <w:tc>
          <w:tcPr>
            <w:tcW w:w="8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38.5 %</w:t>
            </w:r>
          </w:p>
        </w:tc>
      </w:tr>
      <w:tr>
        <w:trPr>
          <w:trHeight w:val="239"/>
        </w:trPr>
        <w:tc>
          <w:tcPr>
            <w:tcW w:w="8620" w:type="dxa"/>
            <w:vAlign w:val="bottom"/>
          </w:tcPr>
          <w:p>
            <w:pPr>
              <w:ind w:left="20"/>
              <w:spacing w:after="0"/>
              <w:rPr>
                <w:sz w:val="20"/>
                <w:szCs w:val="20"/>
                <w:color w:val="auto"/>
              </w:rPr>
            </w:pPr>
            <w:r>
              <w:rPr>
                <w:rFonts w:ascii="Arial" w:cs="Arial" w:eastAsia="Arial" w:hAnsi="Arial"/>
                <w:sz w:val="18"/>
                <w:szCs w:val="18"/>
                <w:color w:val="auto"/>
              </w:rPr>
              <w:t>Remaining contractual term (years)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r>
    </w:tbl>
    <w:p>
      <w:pPr>
        <w:spacing w:after="0" w:line="323"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 which became effective in connection with the IPO.</w:t>
      </w:r>
    </w:p>
    <w:p>
      <w:pPr>
        <w:spacing w:after="0" w:line="113"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The Company's 2018 Equity Incentive Plan (the 2018 Plan), which was adopted in 2018, was terminated concurrent to the effective date of the 2021 Plan. The Company’s 2009 Equity Incentive Plan, which was adopted in 2009 and amended and restated in 2011 (as amended and restated, the 2009 Plan), was terminated upon the adoption of the 2018 Plan. There were no equity-based awards granted under the 2018 Plan and the 2009 Plan after their termination; however, all outstanding awards under the 2018 Plan and the 2009 Plan continue to remain subject to the terms of the respective Equity Incentive Plan until such awards are exercised or until they terminate or expire by their terms. The 2021 Plan, 2018 Plan and 2009 Plan are collectively referred to as the “Equity Incentive Plans”.</w:t>
      </w:r>
    </w:p>
    <w:p>
      <w:pPr>
        <w:spacing w:after="0" w:line="138"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9,201,156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voting common stock will become available under the 2021 Plan.</w:t>
      </w:r>
    </w:p>
    <w:p>
      <w:pPr>
        <w:spacing w:after="0" w:line="15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total number of shares of voting common stock available for issuance under the Equity Incentive Plans was 11,060,080 shares as of December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jc w:val="both"/>
        <w:ind w:right="280" w:firstLine="509"/>
        <w:spacing w:after="0" w:line="253"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four-year period and expire within ten years from the date of grant. Any options that are canceled or forfeited before expiration become available for future grants.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a summary of stock option activity since December 31,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Per Share</w:t>
            </w:r>
          </w:p>
        </w:tc>
        <w:tc>
          <w:tcPr>
            <w:tcW w:w="1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18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2020</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16,708,803</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w:t>
            </w:r>
          </w:p>
        </w:tc>
        <w:tc>
          <w:tcPr>
            <w:tcW w:w="1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6.64</w:t>
            </w: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32,174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4,434,200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12.59</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(5,910,974 )</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Cancelled</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(376,737 )</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2021</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14,855,292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5.40</w:t>
            </w:r>
          </w:p>
        </w:tc>
        <w:tc>
          <w:tcPr>
            <w:tcW w:w="1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7.06</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487,264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0" w:type="dxa"/>
            <w:vAlign w:val="bottom"/>
          </w:tcPr>
          <w:p>
            <w:pPr>
              <w:ind w:left="20"/>
              <w:spacing w:after="0" w:line="183" w:lineRule="exact"/>
              <w:rPr>
                <w:sz w:val="20"/>
                <w:szCs w:val="20"/>
                <w:color w:val="auto"/>
              </w:rPr>
            </w:pPr>
            <w:r>
              <w:rPr>
                <w:rFonts w:ascii="Arial" w:cs="Arial" w:eastAsia="Arial" w:hAnsi="Arial"/>
                <w:sz w:val="18"/>
                <w:szCs w:val="18"/>
                <w:color w:val="auto"/>
              </w:rPr>
              <w:t>Exercisable as of December 31, 2021</w:t>
            </w:r>
          </w:p>
        </w:tc>
        <w:tc>
          <w:tcPr>
            <w:tcW w:w="1180" w:type="dxa"/>
            <w:vAlign w:val="bottom"/>
          </w:tcPr>
          <w:p>
            <w:pPr>
              <w:jc w:val="right"/>
              <w:spacing w:after="0" w:line="183" w:lineRule="exact"/>
              <w:rPr>
                <w:sz w:val="20"/>
                <w:szCs w:val="20"/>
                <w:color w:val="auto"/>
              </w:rPr>
            </w:pPr>
            <w:r>
              <w:rPr>
                <w:rFonts w:ascii="Arial" w:cs="Arial" w:eastAsia="Arial" w:hAnsi="Arial"/>
                <w:sz w:val="18"/>
                <w:szCs w:val="18"/>
                <w:color w:val="auto"/>
              </w:rPr>
              <w:t>7,532,727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2.00</w:t>
            </w:r>
          </w:p>
        </w:tc>
        <w:tc>
          <w:tcPr>
            <w:tcW w:w="13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5.51</w:t>
            </w:r>
          </w:p>
        </w:tc>
        <w:tc>
          <w:tcPr>
            <w:tcW w:w="3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8"/>
                <w:szCs w:val="18"/>
                <w:color w:val="auto"/>
              </w:rPr>
              <w:t>271,626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or expected to vest as of December 31, 2021</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6,895,301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8.79</w:t>
            </w: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8.63</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203,680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-281940</wp:posOffset>
            </wp:positionV>
            <wp:extent cx="596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-265430</wp:posOffset>
            </wp:positionV>
            <wp:extent cx="596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-281940</wp:posOffset>
            </wp:positionV>
            <wp:extent cx="43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-265430</wp:posOffset>
            </wp:positionV>
            <wp:extent cx="431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-281940</wp:posOffset>
            </wp:positionV>
            <wp:extent cx="431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-265430</wp:posOffset>
            </wp:positionV>
            <wp:extent cx="431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-281940</wp:posOffset>
            </wp:positionV>
            <wp:extent cx="431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-265430</wp:posOffset>
            </wp:positionV>
            <wp:extent cx="431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closing price of the Company’s common stock at December 31, 2021. The aggregate intrinsic value of stock options exercised during the years ended December 31, 2021, 2020 and 2019 was $217.7 million, $6.6 million and $1.9 million, respectively.</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4" w:name="page135"/>
    <w:bookmarkEnd w:id="134"/>
    <w:p>
      <w:pPr>
        <w:ind w:right="140" w:firstLine="509"/>
        <w:spacing w:after="0" w:line="271"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2021, 2020 and 2019 was $12.59, $3.95, and $3.30 per share, respectively.</w:t>
      </w:r>
    </w:p>
    <w:p>
      <w:pPr>
        <w:spacing w:after="0" w:line="12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Company received cash proceeds from the exercise of common stock options of $6.9 million, $0.8 million, and $0.5 million during the years ended December 31, 2021, 2020 and 2019, respectively.</w:t>
      </w:r>
    </w:p>
    <w:p>
      <w:pPr>
        <w:spacing w:after="0" w:line="11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table below quantifies the weighted average of the most significant inputs to determine the fair value of stock options granted.</w:t>
      </w:r>
    </w:p>
    <w:p>
      <w:pPr>
        <w:spacing w:after="0" w:line="123"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6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8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0.87</w:t>
            </w:r>
          </w:p>
        </w:tc>
        <w:tc>
          <w:tcPr>
            <w:tcW w:w="4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0.47</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7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8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0 %</w:t>
            </w:r>
          </w:p>
        </w:tc>
        <w:tc>
          <w:tcPr>
            <w:tcW w:w="820" w:type="dxa"/>
            <w:vAlign w:val="bottom"/>
          </w:tcPr>
          <w:p>
            <w:pPr>
              <w:spacing w:after="0"/>
              <w:rPr>
                <w:sz w:val="17"/>
                <w:szCs w:val="17"/>
                <w:color w:val="auto"/>
              </w:rPr>
            </w:pPr>
          </w:p>
        </w:tc>
        <w:tc>
          <w:tcPr>
            <w:tcW w:w="7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0 %</w:t>
            </w:r>
          </w:p>
        </w:tc>
      </w:tr>
      <w:tr>
        <w:trPr>
          <w:trHeight w:val="203"/>
        </w:trPr>
        <w:tc>
          <w:tcPr>
            <w:tcW w:w="73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8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42.6 %</w:t>
            </w:r>
          </w:p>
        </w:tc>
        <w:tc>
          <w:tcPr>
            <w:tcW w:w="8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42.0 %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39.8 %</w:t>
            </w:r>
          </w:p>
        </w:tc>
      </w:tr>
      <w:tr>
        <w:trPr>
          <w:trHeight w:val="239"/>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Expected terms (in years)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r>
    </w:tbl>
    <w:p>
      <w:pPr>
        <w:spacing w:after="0" w:line="13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As of December 31, 2021, there was $30.2 million of total unrecognized expense related to unvested stock options, which is expected to be recognized over a weighted-average period of 3.10 years.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169"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During 2018, the Company granted restricted stock awards to employees under the 2018 Plan. The restricted stock awards vest ratably over a four-year period from the date of grant. The fair value of each restricted stock awards on the date of grant is the estimated fair value of the common stock on the date of grant.</w:t>
      </w:r>
    </w:p>
    <w:p>
      <w:pPr>
        <w:spacing w:after="0" w:line="14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During 2021, the Company granted restricted stock units to employees and nonemployee board members under the 2021 Plan. The fair value of the restricted stock units was estimated based upon the market closing price of the Company’s common stock on the date of the grant. The restricted stock units vest over the requisite service period, which range between one and four years from the date of the grant, subject to the continued employment of the employees and services of the nonemployee board members.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activity for the year ended December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82"/>
              <w:spacing w:after="0"/>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12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Grant Date Fair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55"/>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as of December 31, 2020</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671,517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161,470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36.31</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5,863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(619,866 )</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0.98</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2021</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213,121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43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431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0"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As of December 31, 2021, there was $5.1 million of total unrecognized compensation expense related to unvested restricted stock awards and restricted stock units, which is expected to be recognized over a weighted-average period of 3.89 years.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 Costs</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following table summarizes the stock-based compensation expense for stock options, restricted stock awards and restricted stock units granted to employees and nonemployee board members that was recorded in the Company’s consolidated statements of operations and comprehensive loss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Technology and development</w:t>
            </w:r>
          </w:p>
        </w:tc>
        <w:tc>
          <w:tcPr>
            <w:tcW w:w="2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2,510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5,161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1,275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0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11,257</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1,803</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80"/>
              <w:spacing w:after="0" w:line="196" w:lineRule="exact"/>
              <w:rPr>
                <w:sz w:val="20"/>
                <w:szCs w:val="20"/>
                <w:color w:val="auto"/>
              </w:rPr>
            </w:pPr>
            <w:r>
              <w:rPr>
                <w:rFonts w:ascii="Arial" w:cs="Arial" w:eastAsia="Arial" w:hAnsi="Arial"/>
                <w:sz w:val="18"/>
                <w:szCs w:val="18"/>
                <w:color w:val="auto"/>
              </w:rPr>
              <w:t>Total stock-based compensation expense</w:t>
            </w:r>
          </w:p>
        </w:tc>
        <w:tc>
          <w:tcPr>
            <w:tcW w:w="2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18,928</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3,844</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2,949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60" w:type="dxa"/>
            <w:vAlign w:val="bottom"/>
            <w:vMerge w:val="restart"/>
          </w:tcPr>
          <w:p>
            <w:pPr>
              <w:jc w:val="right"/>
              <w:ind w:right="710"/>
              <w:spacing w:after="0"/>
              <w:rPr>
                <w:sz w:val="20"/>
                <w:szCs w:val="20"/>
                <w:color w:val="auto"/>
              </w:rPr>
            </w:pPr>
            <w:r>
              <w:rPr>
                <w:rFonts w:ascii="Arial" w:cs="Arial" w:eastAsia="Arial" w:hAnsi="Arial"/>
                <w:sz w:val="18"/>
                <w:szCs w:val="18"/>
                <w:color w:val="auto"/>
              </w:rPr>
              <w:t>133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5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520" w:type="dxa"/>
            <w:vAlign w:val="bottom"/>
            <w:tcBorders>
              <w:bottom w:val="single" w:sz="8" w:color="9A9A9A"/>
            </w:tcBorders>
          </w:tcPr>
          <w:p>
            <w:pPr>
              <w:spacing w:after="0"/>
              <w:rPr>
                <w:sz w:val="6"/>
                <w:szCs w:val="6"/>
                <w:color w:val="auto"/>
              </w:rPr>
            </w:pPr>
          </w:p>
        </w:tc>
        <w:tc>
          <w:tcPr>
            <w:tcW w:w="20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-553720</wp:posOffset>
            </wp:positionV>
            <wp:extent cx="4318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-553720</wp:posOffset>
            </wp:positionV>
            <wp:extent cx="4318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-553720</wp:posOffset>
            </wp:positionV>
            <wp:extent cx="431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5" w:name="page136"/>
    <w:bookmarkEnd w:id="135"/>
    <w:p>
      <w:pPr>
        <w:ind w:right="860" w:firstLine="509"/>
        <w:spacing w:after="0" w:line="271" w:lineRule="auto"/>
        <w:rPr>
          <w:sz w:val="20"/>
          <w:szCs w:val="20"/>
          <w:color w:val="auto"/>
        </w:rPr>
      </w:pPr>
      <w:r>
        <w:rPr>
          <w:rFonts w:ascii="Arial" w:cs="Arial" w:eastAsia="Arial" w:hAnsi="Arial"/>
          <w:sz w:val="18"/>
          <w:szCs w:val="18"/>
          <w:color w:val="auto"/>
        </w:rPr>
        <w:t>During the year ended December 31, 2019, the Company repurchased 90,000 shares of common stock for $0.3 million. The repurchase was approved by the Company's board of directors.</w:t>
      </w:r>
    </w:p>
    <w:p>
      <w:pPr>
        <w:spacing w:after="0" w:line="127" w:lineRule="exact"/>
        <w:rPr>
          <w:sz w:val="20"/>
          <w:szCs w:val="20"/>
          <w:color w:val="auto"/>
        </w:rPr>
      </w:pPr>
    </w:p>
    <w:p>
      <w:pPr>
        <w:ind w:right="80" w:firstLine="509"/>
        <w:spacing w:after="0" w:line="266" w:lineRule="auto"/>
        <w:rPr>
          <w:sz w:val="20"/>
          <w:szCs w:val="20"/>
          <w:color w:val="auto"/>
        </w:rPr>
      </w:pPr>
      <w:r>
        <w:rPr>
          <w:rFonts w:ascii="Arial" w:cs="Arial" w:eastAsia="Arial" w:hAnsi="Arial"/>
          <w:sz w:val="17"/>
          <w:szCs w:val="17"/>
          <w:color w:val="auto"/>
        </w:rPr>
        <w:t>In February 2021, certain of the Company’s existing investors acquired 1,205,118 outstanding shares of common stock from employees of the Company for a purchase price greater than the fair value of the common stock at the time of the transaction. As a result, the Company recorded $8.4 million of stock-based compensation expense during the year ended December 31, 2021. The amount recorded as stock-based compensation represents the difference between the price paid and the estimated fair value at the date of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(the 2021 ESPP), which became effective in connection with the IPO. The 2021 ESPP authorizes the issuance of shares of voting common stock pursuant to purchase rights granted to employees. A total of 1,639,810 shares of the Company’s voting common stock have been reserved for future issuance under the 2021 ESPP, in addition to any annual automatic evergreen increases in the number of shares of common stock reserved for future issuance under the 2021 ESPP. The price at which voting common stock is purchased under the 2021 ESPP is equal to 85% of the fair market value of a share of the Company’s voting common stock on the first or last day of the offering period, whichever is lower. Eligible employees can contribute up to 15% of their eligible compensation. Offering periods are generally 6 months long.</w:t>
      </w:r>
    </w:p>
    <w:p>
      <w:pPr>
        <w:spacing w:after="0" w:line="153"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ESPP enrollment period started on December 15, 2021 and ended on December 31, 2021. The first offering period commenced on January 1, 2022 and will end on June 30, 2022.</w:t>
      </w:r>
    </w:p>
    <w:p>
      <w:pPr>
        <w:spacing w:after="0" w:line="113"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71"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(28,085 )</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(11,107 )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(20,116 )</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99"/>
              <w:spacing w:after="0" w:line="202" w:lineRule="exact"/>
              <w:rPr>
                <w:sz w:val="20"/>
                <w:szCs w:val="20"/>
                <w:color w:val="auto"/>
              </w:rPr>
            </w:pPr>
            <w:r>
              <w:rPr>
                <w:rFonts w:ascii="Arial" w:cs="Arial" w:eastAsia="Arial" w:hAnsi="Arial"/>
                <w:sz w:val="18"/>
                <w:szCs w:val="18"/>
                <w:color w:val="auto"/>
              </w:rPr>
              <w:t>(13 )</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60" w:type="dxa"/>
            <w:vAlign w:val="bottom"/>
          </w:tcPr>
          <w:p>
            <w:pPr>
              <w:ind w:left="280"/>
              <w:spacing w:after="0" w:line="196" w:lineRule="exact"/>
              <w:rPr>
                <w:sz w:val="20"/>
                <w:szCs w:val="20"/>
                <w:color w:val="auto"/>
              </w:rPr>
            </w:pPr>
            <w:r>
              <w:rPr>
                <w:rFonts w:ascii="Arial" w:cs="Arial" w:eastAsia="Arial" w:hAnsi="Arial"/>
                <w:sz w:val="18"/>
                <w:szCs w:val="18"/>
                <w:color w:val="auto"/>
              </w:rPr>
              <w:t>Net loss attributable to common stockholders - basic and diluted</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9"/>
              <w:spacing w:after="0" w:line="196" w:lineRule="exact"/>
              <w:rPr>
                <w:sz w:val="20"/>
                <w:szCs w:val="20"/>
                <w:color w:val="auto"/>
              </w:rPr>
            </w:pPr>
            <w:r>
              <w:rPr>
                <w:rFonts w:ascii="Arial" w:cs="Arial" w:eastAsia="Arial" w:hAnsi="Arial"/>
                <w:sz w:val="18"/>
                <w:szCs w:val="18"/>
                <w:color w:val="auto"/>
              </w:rPr>
              <w:t>(28,098 )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(11,121 )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(20,116 )</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71,168,054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18,389,898</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16,067,088</w:t>
            </w:r>
          </w:p>
        </w:tc>
        <w:tc>
          <w:tcPr>
            <w:tcW w:w="80" w:type="dxa"/>
            <w:vAlign w:val="bottom"/>
          </w:tcPr>
          <w:p>
            <w:pPr>
              <w:spacing w:after="0"/>
              <w:rPr>
                <w:sz w:val="17"/>
                <w:szCs w:val="17"/>
                <w:color w:val="auto"/>
              </w:rPr>
            </w:pP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(0.39</w:t>
            </w:r>
          </w:p>
        </w:tc>
        <w:tc>
          <w:tcPr>
            <w:tcW w:w="260" w:type="dxa"/>
            <w:vAlign w:val="bottom"/>
            <w:tcBorders>
              <w:bottom w:val="single" w:sz="8" w:color="CFF0FC"/>
            </w:tcBorders>
            <w:shd w:val="clear" w:color="auto" w:fill="CFF0FC"/>
          </w:tcPr>
          <w:p>
            <w:pPr>
              <w:jc w:val="right"/>
              <w:ind w:right="99"/>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(0.60</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-579120</wp:posOffset>
            </wp:positionV>
            <wp:extent cx="6032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-579120</wp:posOffset>
            </wp:positionV>
            <wp:extent cx="5143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-579120</wp:posOffset>
            </wp:positionV>
            <wp:extent cx="5143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03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03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51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For periods in which the Company is in a loss position, basic net loss per share attributable to common stockholders is the same as diluted net loss per share attributable to common stockholders. Outstanding potentially dilutive securities, which were excluded from the diluted net loss per share calculations because they would have been antidilutive were as follows as of the dates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13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Warrants for the purchase of common stock</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264,171</w:t>
            </w:r>
          </w:p>
        </w:tc>
        <w:tc>
          <w:tcPr>
            <w:tcW w:w="2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0"/>
              <w:spacing w:after="0" w:line="162" w:lineRule="exact"/>
              <w:rPr>
                <w:sz w:val="20"/>
                <w:szCs w:val="20"/>
                <w:color w:val="auto"/>
              </w:rPr>
            </w:pPr>
            <w:r>
              <w:rPr>
                <w:rFonts w:ascii="Arial" w:cs="Arial" w:eastAsia="Arial" w:hAnsi="Arial"/>
                <w:sz w:val="18"/>
                <w:szCs w:val="18"/>
                <w:color w:val="auto"/>
              </w:rPr>
              <w:t>Warrants for the purchase of convertible preferred stock (as converted into</w:t>
            </w:r>
          </w:p>
        </w:tc>
        <w:tc>
          <w:tcPr>
            <w:tcW w:w="1380" w:type="dxa"/>
            <w:vAlign w:val="bottom"/>
          </w:tcPr>
          <w:p>
            <w:pPr>
              <w:spacing w:after="0"/>
              <w:rPr>
                <w:sz w:val="14"/>
                <w:szCs w:val="14"/>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381,000</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381,000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38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convertible preferred stock (as converted into common stock)</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11,239,920</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Convertible preferred stock (as converted into common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54,208,461</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54,208,461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Unvested restricted stock awards</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213,121</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671,517</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1,512,141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Stock options to purchase common stock (as converted to common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14,855,292</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16,708,803</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16,650,192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15,068,413</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83,473,872</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72,826,794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11"/>
        </w:trPr>
        <w:tc>
          <w:tcPr>
            <w:tcW w:w="6600" w:type="dxa"/>
            <w:vAlign w:val="bottom"/>
          </w:tcPr>
          <w:p>
            <w:pPr>
              <w:ind w:left="5480"/>
              <w:spacing w:after="0"/>
              <w:rPr>
                <w:sz w:val="20"/>
                <w:szCs w:val="20"/>
                <w:color w:val="auto"/>
              </w:rPr>
            </w:pPr>
            <w:r>
              <w:rPr>
                <w:rFonts w:ascii="Arial" w:cs="Arial" w:eastAsia="Arial" w:hAnsi="Arial"/>
                <w:sz w:val="18"/>
                <w:szCs w:val="18"/>
                <w:color w:val="auto"/>
              </w:rPr>
              <w:t>134</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6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-436880</wp:posOffset>
            </wp:positionV>
            <wp:extent cx="51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-419735</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-436880</wp:posOffset>
            </wp:positionV>
            <wp:extent cx="431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-419735</wp:posOffset>
            </wp:positionV>
            <wp:extent cx="43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-436880</wp:posOffset>
            </wp:positionV>
            <wp:extent cx="431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-419735</wp:posOffset>
            </wp:positionV>
            <wp:extent cx="431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6" w:name="page137"/>
    <w:bookmarkEnd w:id="136"/>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loss before provision for income taxes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4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65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(29,186</w:t>
            </w:r>
          </w:p>
        </w:tc>
        <w:tc>
          <w:tcPr>
            <w:tcW w:w="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(21,033</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(21,338</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3,259</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2,757</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1,772</w:t>
            </w:r>
          </w:p>
        </w:tc>
        <w:tc>
          <w:tcPr>
            <w:tcW w:w="80" w:type="dxa"/>
            <w:vAlign w:val="bottom"/>
          </w:tcPr>
          <w:p>
            <w:pPr>
              <w:spacing w:after="0"/>
              <w:rPr>
                <w:sz w:val="17"/>
                <w:szCs w:val="17"/>
                <w:color w:val="auto"/>
              </w:rPr>
            </w:pPr>
          </w:p>
        </w:tc>
      </w:tr>
      <w:tr>
        <w:trPr>
          <w:trHeight w:val="236"/>
        </w:trPr>
        <w:tc>
          <w:tcPr>
            <w:tcW w:w="65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(25,927</w:t>
            </w:r>
          </w:p>
        </w:tc>
        <w:tc>
          <w:tcPr>
            <w:tcW w:w="2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(18,276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(19,566</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-551815</wp:posOffset>
            </wp:positionV>
            <wp:extent cx="85725" cy="1454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-551815</wp:posOffset>
            </wp:positionV>
            <wp:extent cx="76835" cy="1454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-551815</wp:posOffset>
            </wp:positionV>
            <wp:extent cx="76835" cy="1454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1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the Company’s provision for (benefit from) income taxes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w:t>
            </w: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Federal</w:t>
            </w:r>
          </w:p>
        </w:tc>
        <w:tc>
          <w:tcPr>
            <w:tcW w:w="900" w:type="dxa"/>
            <w:vAlign w:val="bottom"/>
            <w:shd w:val="clear" w:color="auto" w:fill="CFF0FC"/>
          </w:tcPr>
          <w:p>
            <w:pPr>
              <w:jc w:val="right"/>
              <w:ind w:right="694"/>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280"/>
              <w:spacing w:after="0" w:line="202" w:lineRule="exact"/>
              <w:rPr>
                <w:sz w:val="20"/>
                <w:szCs w:val="20"/>
                <w:color w:val="auto"/>
              </w:rPr>
            </w:pPr>
            <w:r>
              <w:rPr>
                <w:rFonts w:ascii="Arial" w:cs="Arial" w:eastAsia="Arial" w:hAnsi="Arial"/>
                <w:sz w:val="18"/>
                <w:szCs w:val="18"/>
                <w:color w:val="auto"/>
              </w:rPr>
              <w:t>State</w:t>
            </w:r>
          </w:p>
        </w:tc>
        <w:tc>
          <w:tcPr>
            <w:tcW w:w="9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1,814</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1,318</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520"/>
              <w:spacing w:after="0" w:line="196" w:lineRule="exact"/>
              <w:rPr>
                <w:sz w:val="20"/>
                <w:szCs w:val="20"/>
                <w:color w:val="auto"/>
              </w:rPr>
            </w:pPr>
            <w:r>
              <w:rPr>
                <w:rFonts w:ascii="Arial" w:cs="Arial" w:eastAsia="Arial" w:hAnsi="Arial"/>
                <w:sz w:val="18"/>
                <w:szCs w:val="18"/>
                <w:color w:val="auto"/>
              </w:rPr>
              <w:t>Total current provision for income taxes</w:t>
            </w:r>
          </w:p>
        </w:tc>
        <w:tc>
          <w:tcPr>
            <w:tcW w:w="900" w:type="dxa"/>
            <w:vAlign w:val="bottom"/>
          </w:tcPr>
          <w:p>
            <w:pPr>
              <w:jc w:val="right"/>
              <w:ind w:right="694"/>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2,012</w:t>
            </w:r>
          </w:p>
        </w:tc>
        <w:tc>
          <w:tcPr>
            <w:tcW w:w="5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1,366</w:t>
            </w:r>
          </w:p>
        </w:tc>
        <w:tc>
          <w:tcPr>
            <w:tcW w:w="22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561</w:t>
            </w:r>
          </w:p>
        </w:tc>
        <w:tc>
          <w:tcPr>
            <w:tcW w:w="80" w:type="dxa"/>
            <w:vAlign w:val="bottom"/>
          </w:tcPr>
          <w:p>
            <w:pPr>
              <w:spacing w:after="0"/>
              <w:rPr>
                <w:sz w:val="17"/>
                <w:szCs w:val="17"/>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9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Federal</w:t>
            </w:r>
          </w:p>
        </w:tc>
        <w:tc>
          <w:tcPr>
            <w:tcW w:w="900" w:type="dxa"/>
            <w:vAlign w:val="bottom"/>
            <w:shd w:val="clear" w:color="auto" w:fill="CFF0FC"/>
          </w:tcPr>
          <w:p>
            <w:pPr>
              <w:jc w:val="right"/>
              <w:ind w:right="694"/>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5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(5,104 )</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80"/>
              <w:spacing w:after="0" w:line="202" w:lineRule="exact"/>
              <w:rPr>
                <w:sz w:val="20"/>
                <w:szCs w:val="20"/>
                <w:color w:val="auto"/>
              </w:rPr>
            </w:pPr>
            <w:r>
              <w:rPr>
                <w:rFonts w:ascii="Arial" w:cs="Arial" w:eastAsia="Arial" w:hAnsi="Arial"/>
                <w:sz w:val="18"/>
                <w:szCs w:val="18"/>
                <w:color w:val="auto"/>
              </w:rPr>
              <w:t>State</w:t>
            </w:r>
          </w:p>
        </w:tc>
        <w:tc>
          <w:tcPr>
            <w:tcW w:w="9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(3,243 )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w:t>
            </w: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(188 )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(89 )</w:t>
            </w:r>
          </w:p>
        </w:tc>
      </w:tr>
      <w:tr>
        <w:trPr>
          <w:trHeight w:val="20"/>
        </w:trPr>
        <w:tc>
          <w:tcPr>
            <w:tcW w:w="65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ind w:left="520"/>
              <w:spacing w:after="0" w:line="196" w:lineRule="exact"/>
              <w:rPr>
                <w:sz w:val="20"/>
                <w:szCs w:val="20"/>
                <w:color w:val="auto"/>
              </w:rPr>
            </w:pPr>
            <w:r>
              <w:rPr>
                <w:rFonts w:ascii="Arial" w:cs="Arial" w:eastAsia="Arial" w:hAnsi="Arial"/>
                <w:sz w:val="18"/>
                <w:szCs w:val="18"/>
                <w:color w:val="auto"/>
              </w:rPr>
              <w:t>Total deferred income tax provision (benefit)</w:t>
            </w:r>
          </w:p>
        </w:tc>
        <w:tc>
          <w:tcPr>
            <w:tcW w:w="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(8,535 )</w:t>
            </w: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(11 )</w:t>
            </w:r>
          </w:p>
        </w:tc>
      </w:tr>
      <w:tr>
        <w:trPr>
          <w:trHeight w:val="236"/>
        </w:trPr>
        <w:tc>
          <w:tcPr>
            <w:tcW w:w="658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income tax provision (benefit)</w:t>
            </w:r>
          </w:p>
        </w:tc>
        <w:tc>
          <w:tcPr>
            <w:tcW w:w="900" w:type="dxa"/>
            <w:vAlign w:val="bottom"/>
            <w:tcBorders>
              <w:top w:val="single" w:sz="8" w:color="auto"/>
              <w:bottom w:val="single" w:sz="8" w:color="auto"/>
            </w:tcBorders>
            <w:shd w:val="clear" w:color="auto" w:fill="CFF0FC"/>
          </w:tcPr>
          <w:p>
            <w:pPr>
              <w:jc w:val="right"/>
              <w:ind w:right="694"/>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2,158</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(7,169</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-1085215</wp:posOffset>
            </wp:positionV>
            <wp:extent cx="5143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-1085215</wp:posOffset>
            </wp:positionV>
            <wp:extent cx="5143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-1085215</wp:posOffset>
            </wp:positionV>
            <wp:extent cx="5143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-296545</wp:posOffset>
            </wp:positionV>
            <wp:extent cx="5143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-296545</wp:posOffset>
            </wp:positionV>
            <wp:extent cx="5143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514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514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00" w:type="dxa"/>
            <w:vAlign w:val="bottom"/>
            <w:shd w:val="clear" w:color="auto" w:fill="CFF0FC"/>
          </w:tcPr>
          <w:p>
            <w:pPr>
              <w:jc w:val="right"/>
              <w:ind w:right="139"/>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2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3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320" w:type="dxa"/>
            <w:vAlign w:val="bottom"/>
          </w:tcPr>
          <w:p>
            <w:pPr>
              <w:spacing w:after="0"/>
              <w:rPr>
                <w:sz w:val="17"/>
                <w:szCs w:val="17"/>
                <w:color w:val="auto"/>
              </w:rPr>
            </w:pP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Permanent differences</w:t>
            </w:r>
          </w:p>
        </w:tc>
        <w:tc>
          <w:tcPr>
            <w:tcW w:w="1620" w:type="dxa"/>
            <w:vAlign w:val="bottom"/>
            <w:gridSpan w:val="2"/>
            <w:shd w:val="clear" w:color="auto" w:fill="CFF0FC"/>
          </w:tcPr>
          <w:p>
            <w:pPr>
              <w:jc w:val="right"/>
              <w:ind w:right="319"/>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(1.0 )</w:t>
            </w:r>
          </w:p>
        </w:tc>
        <w:tc>
          <w:tcPr>
            <w:tcW w:w="1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(0.7 )</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Fair value of contingent consideration</w:t>
            </w:r>
          </w:p>
        </w:tc>
        <w:tc>
          <w:tcPr>
            <w:tcW w:w="162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(1.8 )</w:t>
            </w:r>
          </w:p>
        </w:tc>
        <w:tc>
          <w:tcPr>
            <w:tcW w:w="16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(6.2 )</w:t>
            </w:r>
          </w:p>
        </w:tc>
        <w:tc>
          <w:tcPr>
            <w:tcW w:w="14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Non-deductible transaction costs</w:t>
            </w:r>
          </w:p>
        </w:tc>
        <w:tc>
          <w:tcPr>
            <w:tcW w:w="1620" w:type="dxa"/>
            <w:vAlign w:val="bottom"/>
            <w:gridSpan w:val="2"/>
            <w:shd w:val="clear" w:color="auto" w:fill="CFF0FC"/>
          </w:tcPr>
          <w:p>
            <w:pPr>
              <w:jc w:val="right"/>
              <w:ind w:right="319"/>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(1.7 )</w:t>
            </w:r>
          </w:p>
        </w:tc>
        <w:tc>
          <w:tcPr>
            <w:tcW w:w="146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Equity-based compensation</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400" w:type="dxa"/>
            <w:vAlign w:val="bottom"/>
          </w:tcPr>
          <w:p>
            <w:pPr>
              <w:spacing w:after="0"/>
              <w:rPr>
                <w:sz w:val="17"/>
                <w:szCs w:val="17"/>
                <w:color w:val="auto"/>
              </w:rPr>
            </w:pPr>
          </w:p>
        </w:tc>
        <w:tc>
          <w:tcPr>
            <w:tcW w:w="16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(4.0 )</w:t>
            </w:r>
          </w:p>
        </w:tc>
        <w:tc>
          <w:tcPr>
            <w:tcW w:w="14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(2.3 )</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62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(8.7 )</w:t>
            </w:r>
          </w:p>
        </w:tc>
        <w:tc>
          <w:tcPr>
            <w:tcW w:w="16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(0.7 )</w:t>
            </w:r>
          </w:p>
        </w:tc>
        <w:tc>
          <w:tcPr>
            <w:tcW w:w="1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(0.1 )</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Excess executive compensation</w:t>
            </w:r>
          </w:p>
        </w:tc>
        <w:tc>
          <w:tcPr>
            <w:tcW w:w="162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(6.7 )</w:t>
            </w:r>
          </w:p>
        </w:tc>
        <w:tc>
          <w:tcPr>
            <w:tcW w:w="160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Change in uncertain tax position</w:t>
            </w:r>
          </w:p>
        </w:tc>
        <w:tc>
          <w:tcPr>
            <w:tcW w:w="162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(2.2 )</w:t>
            </w:r>
          </w:p>
        </w:tc>
        <w:tc>
          <w:tcPr>
            <w:tcW w:w="160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Change in valuation allowance</w:t>
            </w:r>
          </w:p>
        </w:tc>
        <w:tc>
          <w:tcPr>
            <w:tcW w:w="162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(24.7 )</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380" w:type="dxa"/>
            <w:vAlign w:val="bottom"/>
          </w:tcPr>
          <w:p>
            <w:pPr>
              <w:spacing w:after="0"/>
              <w:rPr>
                <w:sz w:val="17"/>
                <w:szCs w:val="17"/>
                <w:color w:val="auto"/>
              </w:rPr>
            </w:pPr>
          </w:p>
        </w:tc>
        <w:tc>
          <w:tcPr>
            <w:tcW w:w="14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(24.1 )</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(0.7 )</w:t>
            </w:r>
          </w:p>
        </w:tc>
        <w:tc>
          <w:tcPr>
            <w:tcW w:w="16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(2.2 )</w:t>
            </w:r>
          </w:p>
        </w:tc>
        <w:tc>
          <w:tcPr>
            <w:tcW w:w="1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(2.1 )</w:t>
            </w:r>
          </w:p>
        </w:tc>
      </w:tr>
      <w:tr>
        <w:trPr>
          <w:trHeight w:val="20"/>
        </w:trPr>
        <w:tc>
          <w:tcPr>
            <w:tcW w:w="65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6560" w:type="dxa"/>
            <w:vAlign w:val="bottom"/>
          </w:tcPr>
          <w:p>
            <w:pPr>
              <w:ind w:left="520"/>
              <w:spacing w:after="0" w:line="196" w:lineRule="exact"/>
              <w:rPr>
                <w:sz w:val="20"/>
                <w:szCs w:val="20"/>
                <w:color w:val="auto"/>
              </w:rPr>
            </w:pPr>
            <w:r>
              <w:rPr>
                <w:rFonts w:ascii="Arial" w:cs="Arial" w:eastAsia="Arial" w:hAnsi="Arial"/>
                <w:sz w:val="18"/>
                <w:szCs w:val="18"/>
                <w:color w:val="auto"/>
              </w:rPr>
              <w:t>Effective income tax rate</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400" w:type="dxa"/>
            <w:vAlign w:val="bottom"/>
          </w:tcPr>
          <w:p>
            <w:pPr>
              <w:spacing w:after="0"/>
              <w:rPr>
                <w:sz w:val="17"/>
                <w:szCs w:val="17"/>
                <w:color w:val="auto"/>
              </w:rPr>
            </w:pPr>
          </w:p>
        </w:tc>
        <w:tc>
          <w:tcPr>
            <w:tcW w:w="16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39.3 %</w:t>
            </w:r>
          </w:p>
        </w:tc>
        <w:tc>
          <w:tcPr>
            <w:tcW w:w="14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(3.0 )%</w:t>
            </w:r>
          </w:p>
        </w:tc>
      </w:tr>
      <w:tr>
        <w:trPr>
          <w:trHeight w:val="20"/>
        </w:trPr>
        <w:tc>
          <w:tcPr>
            <w:tcW w:w="6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-159385</wp:posOffset>
            </wp:positionV>
            <wp:extent cx="15430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14605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-159385</wp:posOffset>
            </wp:positionV>
            <wp:extent cx="20574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150"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During the year ended December 31, 2021, the Company recorded an income tax provision of $2.2 million, which is primarily attributable to income related to profitable foreign activity and U.S. state taxes.</w:t>
      </w:r>
    </w:p>
    <w:p>
      <w:pPr>
        <w:spacing w:after="0" w:line="11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During the year ended December 31, 2020, the Company recorded an income tax benefit of $7.2 million, which is primarily attributable to a non-recurring benefit of $8.4 million relating to the release of a portion of the Company’s valuation allowance. This release was due to taxable temporary differences recorded as part of the Simplee acquisition which are a source of income to realize certain pre-existing federal and state deferred tax assets.</w:t>
      </w:r>
    </w:p>
    <w:p>
      <w:pPr>
        <w:spacing w:after="0" w:line="133"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During the year ended December 31, 2019, the Company recorded an income tax provision of $0.6 million, which is primarily attributable to income related to profitable foreign activity.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7" w:name="page138"/>
    <w:bookmarkEnd w:id="137"/>
    <w:p>
      <w:pPr>
        <w:ind w:left="520"/>
        <w:spacing w:after="0"/>
        <w:rPr>
          <w:sz w:val="20"/>
          <w:szCs w:val="20"/>
          <w:color w:val="auto"/>
        </w:rPr>
      </w:pPr>
      <w:r>
        <w:rPr>
          <w:rFonts w:ascii="Arial" w:cs="Arial" w:eastAsia="Arial" w:hAnsi="Arial"/>
          <w:sz w:val="18"/>
          <w:szCs w:val="18"/>
          <w:color w:val="auto"/>
        </w:rPr>
        <w:t>The Company’s deferred tax assets and liabilities consisted of the following components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797"/>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32,722</w:t>
            </w:r>
          </w:p>
        </w:tc>
        <w:tc>
          <w:tcPr>
            <w:tcW w:w="260" w:type="dxa"/>
            <w:vAlign w:val="bottom"/>
          </w:tcPr>
          <w:p>
            <w:pPr>
              <w:spacing w:after="0"/>
              <w:rPr>
                <w:sz w:val="17"/>
                <w:szCs w:val="17"/>
                <w:color w:val="auto"/>
              </w:rPr>
            </w:pPr>
          </w:p>
        </w:tc>
        <w:tc>
          <w:tcPr>
            <w:tcW w:w="960" w:type="dxa"/>
            <w:vAlign w:val="bottom"/>
          </w:tcPr>
          <w:p>
            <w:pPr>
              <w:jc w:val="right"/>
              <w:ind w:right="755"/>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29,598</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Property and equipment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Equity-based compensation</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1,120</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Interest limitation carryforward</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1,978</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temporary differences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2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deferred tax assets</w:t>
            </w: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37,171</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31,908</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asset valuation allowance</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4"/>
              </w:rPr>
              <w:t>(23,864 )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(17,485 )</w:t>
            </w:r>
          </w:p>
        </w:tc>
      </w:tr>
      <w:tr>
        <w:trPr>
          <w:trHeight w:val="196"/>
        </w:trPr>
        <w:tc>
          <w:tcPr>
            <w:tcW w:w="768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97"/>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13,307</w:t>
            </w:r>
          </w:p>
        </w:tc>
        <w:tc>
          <w:tcPr>
            <w:tcW w:w="26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55"/>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14,423</w:t>
            </w:r>
          </w:p>
        </w:tc>
        <w:tc>
          <w:tcPr>
            <w:tcW w:w="80" w:type="dxa"/>
            <w:vAlign w:val="bottom"/>
            <w:tcBorders>
              <w:top w:val="single" w:sz="8" w:color="CFF0FC"/>
            </w:tcBorders>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Intangible assets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94"/>
              </w:rPr>
              <w:t>(19,783 )</w:t>
            </w:r>
          </w:p>
        </w:tc>
        <w:tc>
          <w:tcPr>
            <w:tcW w:w="9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(13,559 )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Goodwill</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(858 )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(626 )</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Deferred contract costs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(778 )</w:t>
            </w:r>
          </w:p>
        </w:tc>
        <w:tc>
          <w:tcPr>
            <w:tcW w:w="9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(307 )</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temporary differences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(118 )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(195 )</w:t>
            </w: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deferred tax liabilities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w w:val="94"/>
              </w:rPr>
              <w:t>(21,537 )</w:t>
            </w:r>
          </w:p>
        </w:tc>
        <w:tc>
          <w:tcPr>
            <w:tcW w:w="96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7"/>
              </w:rPr>
              <w:t>(14,687 )</w:t>
            </w:r>
          </w:p>
        </w:tc>
      </w:tr>
      <w:tr>
        <w:trPr>
          <w:trHeight w:val="236"/>
        </w:trPr>
        <w:tc>
          <w:tcPr>
            <w:tcW w:w="768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deferred tax liabilities</w:t>
            </w:r>
          </w:p>
        </w:tc>
        <w:tc>
          <w:tcPr>
            <w:tcW w:w="1000" w:type="dxa"/>
            <w:vAlign w:val="bottom"/>
            <w:tcBorders>
              <w:top w:val="single" w:sz="8" w:color="auto"/>
              <w:bottom w:val="single" w:sz="8" w:color="auto"/>
            </w:tcBorders>
            <w:shd w:val="clear" w:color="auto" w:fill="CFF0FC"/>
          </w:tcPr>
          <w:p>
            <w:pPr>
              <w:jc w:val="right"/>
              <w:ind w:right="797"/>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(8,230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ind w:right="755"/>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-1350645</wp:posOffset>
            </wp:positionV>
            <wp:extent cx="5143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-1350645</wp:posOffset>
            </wp:positionV>
            <wp:extent cx="5143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-1085215</wp:posOffset>
            </wp:positionV>
            <wp:extent cx="5143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-1085215</wp:posOffset>
            </wp:positionV>
            <wp:extent cx="5143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5143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 Company had gross federal and state net operating loss (NOL) carryforwards of $123.6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$164.9 million, respectively, out of which $58.2 million of federal NOL carryforwards and $161.9 million of state NOL carryforwards begin to</w:t>
      </w:r>
    </w:p>
    <w:p>
      <w:pPr>
        <w:spacing w:after="0" w:line="234" w:lineRule="auto"/>
        <w:rPr>
          <w:sz w:val="20"/>
          <w:szCs w:val="20"/>
          <w:color w:val="auto"/>
        </w:rPr>
      </w:pPr>
      <w:r>
        <w:rPr>
          <w:rFonts w:ascii="Arial" w:cs="Arial" w:eastAsia="Arial" w:hAnsi="Arial"/>
          <w:sz w:val="18"/>
          <w:szCs w:val="18"/>
          <w:color w:val="auto"/>
        </w:rPr>
        <w:t>expire in 2030 and 2022, respectively. Additionally, $65.4 million of federal NOL carryforwards and $3.0 million of state NOL carryforwards</w:t>
      </w:r>
    </w:p>
    <w:p>
      <w:pPr>
        <w:spacing w:after="0" w:line="235" w:lineRule="auto"/>
        <w:rPr>
          <w:sz w:val="20"/>
          <w:szCs w:val="20"/>
          <w:color w:val="auto"/>
        </w:rPr>
      </w:pPr>
      <w:r>
        <w:rPr>
          <w:rFonts w:ascii="Arial" w:cs="Arial" w:eastAsia="Arial" w:hAnsi="Arial"/>
          <w:sz w:val="18"/>
          <w:szCs w:val="18"/>
          <w:color w:val="auto"/>
        </w:rPr>
        <w:t>have indefinite lives. The gross federal NOL of $123.6 million has been reduced by $1.4 million, as of December 31, 2021, due to netting of</w:t>
      </w:r>
    </w:p>
    <w:p>
      <w:pPr>
        <w:spacing w:after="0" w:line="235" w:lineRule="auto"/>
        <w:rPr>
          <w:sz w:val="20"/>
          <w:szCs w:val="20"/>
          <w:color w:val="auto"/>
        </w:rPr>
      </w:pPr>
      <w:r>
        <w:rPr>
          <w:rFonts w:ascii="Arial" w:cs="Arial" w:eastAsia="Arial" w:hAnsi="Arial"/>
          <w:sz w:val="18"/>
          <w:szCs w:val="18"/>
          <w:color w:val="auto"/>
        </w:rPr>
        <w:t>unrecognized tax benefits. As of December 31, 2021, the Company generated gross foreign NOL carryforwards of $0.8 million which begin to</w:t>
      </w:r>
    </w:p>
    <w:p>
      <w:pPr>
        <w:spacing w:after="0" w:line="235" w:lineRule="auto"/>
        <w:rPr>
          <w:sz w:val="20"/>
          <w:szCs w:val="20"/>
          <w:color w:val="auto"/>
        </w:rPr>
      </w:pPr>
      <w:r>
        <w:rPr>
          <w:rFonts w:ascii="Arial" w:cs="Arial" w:eastAsia="Arial" w:hAnsi="Arial"/>
          <w:sz w:val="18"/>
          <w:szCs w:val="18"/>
          <w:color w:val="auto"/>
        </w:rPr>
        <w:t>expire in 2025. The federal, state and foreign NOL carryforwards may be available to reduce future federal, state and foreign taxable income,</w:t>
      </w:r>
    </w:p>
    <w:p>
      <w:pPr>
        <w:spacing w:after="0"/>
        <w:rPr>
          <w:sz w:val="20"/>
          <w:szCs w:val="20"/>
          <w:color w:val="auto"/>
        </w:rPr>
      </w:pPr>
      <w:r>
        <w:rPr>
          <w:rFonts w:ascii="Arial" w:cs="Arial" w:eastAsia="Arial" w:hAnsi="Arial"/>
          <w:sz w:val="18"/>
          <w:szCs w:val="18"/>
          <w:color w:val="auto"/>
        </w:rPr>
        <w:t>respectively. Additionally, as of December 31, 2021, the Company had a gross interest limitation carryforward of $7.4 million.</w:t>
      </w:r>
    </w:p>
    <w:p>
      <w:pPr>
        <w:spacing w:after="0" w:line="15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Ownership changes, as defined under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limit the Company’s ability to utilize federal and state NOL carryforwards for tax purposes. The Company is in the process of completing a Section 382 study and preliminary indications show there will be no limitations in using federal and state NOL carryforwards.</w:t>
      </w:r>
    </w:p>
    <w:p>
      <w:pPr>
        <w:spacing w:after="0" w:line="15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2021 and 2020.</w:t>
      </w:r>
    </w:p>
    <w:p>
      <w:pPr>
        <w:spacing w:after="0" w:line="136" w:lineRule="exact"/>
        <w:rPr>
          <w:sz w:val="20"/>
          <w:szCs w:val="20"/>
          <w:color w:val="auto"/>
        </w:rPr>
      </w:pPr>
    </w:p>
    <w:p>
      <w:pPr>
        <w:ind w:right="20" w:firstLine="559"/>
        <w:spacing w:after="0" w:line="244" w:lineRule="auto"/>
        <w:rPr>
          <w:sz w:val="20"/>
          <w:szCs w:val="20"/>
          <w:color w:val="auto"/>
        </w:rPr>
      </w:pPr>
      <w:r>
        <w:rPr>
          <w:rFonts w:ascii="Arial" w:cs="Arial" w:eastAsia="Arial" w:hAnsi="Arial"/>
          <w:sz w:val="18"/>
          <w:szCs w:val="18"/>
          <w:color w:val="auto"/>
        </w:rPr>
        <w:t>During the year ended December 31, 2021, the Company recorded an increase in the valuation allowance of $6.4 million, which is primarily related to generating losses in the U.S. As of December 31, 2020, the Company recorded a net decrease in the valuation allowance of $3.1 million related primarily to a valuation allowance release with respect to the Simplee acquisition offset by a valuation allowance increase with respect to NOL carryforwards. During the year ended December 31, 2019, the Company recorded an increase in the valuation allowance of $4.8 million. Changes in the valuation allowance are summarized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-140970</wp:posOffset>
            </wp:positionV>
            <wp:extent cx="25400" cy="1289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 at beginning of year</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(17,485</w:t>
            </w:r>
          </w:p>
        </w:tc>
        <w:tc>
          <w:tcPr>
            <w:tcW w:w="22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(20,554</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(15,757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line="162" w:lineRule="exact"/>
              <w:rPr>
                <w:sz w:val="20"/>
                <w:szCs w:val="20"/>
                <w:color w:val="auto"/>
              </w:rPr>
            </w:pPr>
            <w:r>
              <w:rPr>
                <w:rFonts w:ascii="Arial" w:cs="Arial" w:eastAsia="Arial" w:hAnsi="Arial"/>
                <w:sz w:val="18"/>
                <w:szCs w:val="18"/>
                <w:color w:val="auto"/>
              </w:rPr>
              <w:t>Change recorded to income tax (provision) benefit as part of</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84"/>
              <w:spacing w:after="0"/>
              <w:rPr>
                <w:sz w:val="20"/>
                <w:szCs w:val="20"/>
                <w:color w:val="auto"/>
              </w:rPr>
            </w:pPr>
            <w:r>
              <w:rPr>
                <w:rFonts w:ascii="Arial" w:cs="Arial" w:eastAsia="Arial" w:hAnsi="Arial"/>
                <w:sz w:val="18"/>
                <w:szCs w:val="18"/>
                <w:color w:val="auto"/>
              </w:rPr>
              <w:t>(6,379 )</w:t>
            </w:r>
          </w:p>
        </w:tc>
        <w:tc>
          <w:tcPr>
            <w:tcW w:w="320" w:type="dxa"/>
            <w:vAlign w:val="bottom"/>
          </w:tcPr>
          <w:p>
            <w:pPr>
              <w:spacing w:after="0"/>
              <w:rPr>
                <w:sz w:val="14"/>
                <w:szCs w:val="14"/>
                <w:color w:val="auto"/>
              </w:rPr>
            </w:pPr>
          </w:p>
        </w:tc>
        <w:tc>
          <w:tcPr>
            <w:tcW w:w="12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(2,745 )</w:t>
            </w:r>
          </w:p>
        </w:tc>
        <w:tc>
          <w:tcPr>
            <w:tcW w:w="32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(4,797 )</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Change recorded to income tax (provision) benefit due to acquisition</w:t>
            </w:r>
          </w:p>
        </w:tc>
        <w:tc>
          <w:tcPr>
            <w:tcW w:w="32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64"/>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8,464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of Simplee</w:t>
            </w:r>
          </w:p>
        </w:tc>
        <w:tc>
          <w:tcPr>
            <w:tcW w:w="32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line="162" w:lineRule="exact"/>
              <w:rPr>
                <w:sz w:val="20"/>
                <w:szCs w:val="20"/>
                <w:color w:val="auto"/>
              </w:rPr>
            </w:pPr>
            <w:r>
              <w:rPr>
                <w:rFonts w:ascii="Arial" w:cs="Arial" w:eastAsia="Arial" w:hAnsi="Arial"/>
                <w:sz w:val="18"/>
                <w:szCs w:val="18"/>
                <w:color w:val="auto"/>
              </w:rPr>
              <w:t>Current year (increase)/decrease established through goodwill due to</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16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2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(2,650 )</w:t>
            </w:r>
          </w:p>
        </w:tc>
        <w:tc>
          <w:tcPr>
            <w:tcW w:w="320" w:type="dxa"/>
            <w:vAlign w:val="bottom"/>
          </w:tcPr>
          <w:p>
            <w:pPr>
              <w:spacing w:after="0"/>
              <w:rPr>
                <w:sz w:val="14"/>
                <w:szCs w:val="14"/>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acquisition of Simplee</w:t>
            </w:r>
          </w:p>
        </w:tc>
        <w:tc>
          <w:tcPr>
            <w:tcW w:w="3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 at end of year</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(23,864</w:t>
            </w:r>
          </w:p>
        </w:tc>
        <w:tc>
          <w:tcPr>
            <w:tcW w:w="220" w:type="dxa"/>
            <w:vAlign w:val="bottom"/>
            <w:tcBorders>
              <w:bottom w:val="single" w:sz="8" w:color="CFF0FC"/>
            </w:tcBorders>
            <w:shd w:val="clear" w:color="auto" w:fill="CFF0FC"/>
          </w:tcPr>
          <w:p>
            <w:pPr>
              <w:jc w:val="right"/>
              <w:ind w:right="84"/>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(17,485</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(20,554</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1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permanently reinvests the earnings of its foreign subsidiaries, and, therefore, does not provide for taxes that could result from the distribution of those earnings to the U.S. As of December 31, 2021, the amount of unrecognized deferred taxes on these earnings are not material.</w:t>
      </w:r>
    </w:p>
    <w:p>
      <w:pPr>
        <w:spacing w:after="0" w:line="14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As of December 31, 2021, 2020 and 2019, the Company accrued $0.9 million, $0 and $0 related to uncertain tax positions, respectively, which includes potential tax benefits of $0.6 million, $0 and $0, respectively, that, when recognized, would impact the effective tax rate. As of December 31, 2021, $0.3 million of the reserve is reflected as a reduction to deferred taxes and the remaining balance is recorded as a component of other liabilities in the consolidated balance sheet.</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6580" w:type="dxa"/>
            <w:vAlign w:val="bottom"/>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beginning of year</w:t>
            </w:r>
          </w:p>
        </w:tc>
        <w:tc>
          <w:tcPr>
            <w:tcW w:w="960" w:type="dxa"/>
            <w:vAlign w:val="bottom"/>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ind w:left="8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ind w:left="86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Settlements with taxing authorities</w:t>
            </w:r>
          </w:p>
        </w:tc>
        <w:tc>
          <w:tcPr>
            <w:tcW w:w="9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ind w:left="8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Increases related to tax positions taken during prior years</w:t>
            </w: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ind w:left="8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ind w:left="8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tax positions taken during the current year</w:t>
            </w:r>
          </w:p>
        </w:tc>
        <w:tc>
          <w:tcPr>
            <w:tcW w:w="9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387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ind w:left="8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end of year</w:t>
            </w:r>
          </w:p>
        </w:tc>
        <w:tc>
          <w:tcPr>
            <w:tcW w:w="960" w:type="dxa"/>
            <w:vAlign w:val="bottom"/>
            <w:tcBorders>
              <w:top w:val="single" w:sz="8" w:color="auto"/>
              <w:bottom w:val="single" w:sz="8" w:color="auto"/>
            </w:tcBorders>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889</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ind w:left="86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431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431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tax examinations from 2016 to the present; however, carryforward attributes that were generated prior to 2016 may still be adjusted upon examination by federal, state or local tax authorities to the extent they will be used in a future period. In 2021, the U.S. Internal Revenue Service commenced a corporate income tax audit with respect to the 2018 calendar year, which is still open.</w:t>
      </w:r>
    </w:p>
    <w:p>
      <w:pPr>
        <w:spacing w:after="0" w:line="136"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3" w:lineRule="exact"/>
        <w:rPr>
          <w:sz w:val="20"/>
          <w:szCs w:val="20"/>
          <w:color w:val="auto"/>
        </w:rPr>
      </w:pPr>
    </w:p>
    <w:p>
      <w:pPr>
        <w:jc w:val="both"/>
        <w:ind w:right="40" w:firstLine="509"/>
        <w:spacing w:after="0" w:line="244"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 annual rent increases. Accordingly, the Company records a deferred rent liability related to the free rent periods and periodic rent increases. Rent expense is recognized on a straight-line basis over the term of the lease.</w:t>
      </w:r>
    </w:p>
    <w:p>
      <w:pPr>
        <w:spacing w:after="0" w:line="136"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March 2021, the Company entered into a lease agreement for 680 square feet of office space in Tel Aviv, Israel. The term of the lease commenced on March 15, 2021 and continues until March 25, 2023. The Company has the option to extend the lease for an additional two-year term at market-based rates. The base rent payments commenced in March 2021. The Company is obligated to pay its portion of building operating and tax expenses.</w:t>
      </w:r>
    </w:p>
    <w:p>
      <w:pPr>
        <w:spacing w:after="0" w:line="133"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In May 2021, the Company executed lease extensions on previously rented office space in Cluj, Romania and Singapore. Both extensions commence on May 15, 2021. The Cluj extension continues until March 31, 2024 and the Singapore extension continues until November 14, 2021. The Company is obligated to pay its portion of building operating and tax expenses under both agreements.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2021, the Company extended the Singapore office lease through November 30, 2022.</w:t>
      </w:r>
    </w:p>
    <w:p>
      <w:pPr>
        <w:spacing w:after="0" w:line="17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ind w:right="800" w:firstLine="509"/>
        <w:spacing w:after="0" w:line="271" w:lineRule="auto"/>
        <w:rPr>
          <w:sz w:val="20"/>
          <w:szCs w:val="20"/>
          <w:color w:val="auto"/>
        </w:rPr>
      </w:pPr>
      <w:r>
        <w:rPr>
          <w:rFonts w:ascii="Arial" w:cs="Arial" w:eastAsia="Arial" w:hAnsi="Arial"/>
          <w:sz w:val="18"/>
          <w:szCs w:val="18"/>
          <w:color w:val="auto"/>
        </w:rPr>
        <w:t>In connection with the WPM transaction, the Company acquired one lease agreement for an office building. The lease has a contractual term of 5 years beginning on August 1, 2021 and ending on July 31, 2026.</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noncancelable operating leases as of December 31, 2021 are as follows (in thousands):</w:t>
      </w:r>
    </w:p>
    <w:p>
      <w:pPr>
        <w:spacing w:after="0" w:line="171" w:lineRule="exact"/>
        <w:rPr>
          <w:sz w:val="20"/>
          <w:szCs w:val="20"/>
          <w:color w:val="auto"/>
        </w:rPr>
      </w:pPr>
    </w:p>
    <w:tbl>
      <w:tblPr>
        <w:tblLayout w:type="fixed"/>
        <w:tblInd w:w="1480" w:type="dxa"/>
        <w:tblCellMar>
          <w:top w:w="0" w:type="dxa"/>
          <w:left w:w="0" w:type="dxa"/>
          <w:bottom w:w="0" w:type="dxa"/>
          <w:right w:w="0" w:type="dxa"/>
        </w:tblCellMar>
      </w:tblPr>
      <w:tr>
        <w:trPr>
          <w:trHeight w:val="248"/>
        </w:trPr>
        <w:tc>
          <w:tcPr>
            <w:tcW w:w="66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3"/>
        </w:trPr>
        <w:tc>
          <w:tcPr>
            <w:tcW w:w="66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2022</w:t>
            </w:r>
          </w:p>
        </w:tc>
        <w:tc>
          <w:tcPr>
            <w:tcW w:w="600" w:type="dxa"/>
            <w:vAlign w:val="bottom"/>
            <w:shd w:val="clear" w:color="auto" w:fill="CFF0FC"/>
          </w:tcPr>
          <w:p>
            <w:pPr>
              <w:jc w:val="right"/>
              <w:ind w:right="3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1,848</w:t>
            </w:r>
          </w:p>
        </w:tc>
        <w:tc>
          <w:tcPr>
            <w:tcW w:w="60" w:type="dxa"/>
            <w:vAlign w:val="bottom"/>
            <w:shd w:val="clear" w:color="auto" w:fill="CFF0FC"/>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1,567</w:t>
            </w:r>
          </w:p>
        </w:tc>
        <w:tc>
          <w:tcPr>
            <w:tcW w:w="60" w:type="dxa"/>
            <w:vAlign w:val="bottom"/>
          </w:tcPr>
          <w:p>
            <w:pPr>
              <w:spacing w:after="0"/>
              <w:rPr>
                <w:sz w:val="17"/>
                <w:szCs w:val="17"/>
                <w:color w:val="auto"/>
              </w:rPr>
            </w:pP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60" w:type="dxa"/>
            <w:vAlign w:val="bottom"/>
            <w:shd w:val="clear" w:color="auto" w:fill="CFF0FC"/>
          </w:tcPr>
          <w:p>
            <w:pPr>
              <w:spacing w:after="0"/>
              <w:rPr>
                <w:sz w:val="17"/>
                <w:szCs w:val="17"/>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60" w:type="dxa"/>
            <w:vAlign w:val="bottom"/>
          </w:tcPr>
          <w:p>
            <w:pPr>
              <w:spacing w:after="0"/>
              <w:rPr>
                <w:sz w:val="17"/>
                <w:szCs w:val="17"/>
                <w:color w:val="auto"/>
              </w:rPr>
            </w:pPr>
          </w:p>
        </w:tc>
      </w:tr>
      <w:tr>
        <w:trPr>
          <w:trHeight w:val="203"/>
        </w:trPr>
        <w:tc>
          <w:tcPr>
            <w:tcW w:w="6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6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60" w:type="dxa"/>
            <w:vAlign w:val="bottom"/>
          </w:tcPr>
          <w:p>
            <w:pPr>
              <w:spacing w:after="0"/>
              <w:rPr>
                <w:sz w:val="17"/>
                <w:szCs w:val="17"/>
                <w:color w:val="auto"/>
              </w:rPr>
            </w:pPr>
          </w:p>
        </w:tc>
        <w:tc>
          <w:tcPr>
            <w:tcW w:w="6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4,020</w:t>
            </w:r>
          </w:p>
        </w:tc>
        <w:tc>
          <w:tcPr>
            <w:tcW w:w="6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-159385</wp:posOffset>
            </wp:positionV>
            <wp:extent cx="4318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37" w:lineRule="exact"/>
        <w:rPr>
          <w:sz w:val="20"/>
          <w:szCs w:val="20"/>
          <w:color w:val="auto"/>
        </w:rPr>
      </w:pPr>
    </w:p>
    <w:p>
      <w:pPr>
        <w:ind w:right="220" w:firstLine="509"/>
        <w:spacing w:after="0" w:line="446" w:lineRule="auto"/>
        <w:rPr>
          <w:sz w:val="20"/>
          <w:szCs w:val="20"/>
          <w:color w:val="auto"/>
        </w:rPr>
      </w:pPr>
      <w:r>
        <w:rPr>
          <w:rFonts w:ascii="Arial" w:cs="Arial" w:eastAsia="Arial" w:hAnsi="Arial"/>
          <w:sz w:val="18"/>
          <w:szCs w:val="18"/>
          <w:color w:val="auto"/>
        </w:rPr>
        <w:t xml:space="preserve">Rent expense for the years ended December 31, 2021, 2020 and 2019 was $ 2.2 million, $2.3 million and $2.2 million, respectively. </w:t>
      </w:r>
      <w:r>
        <w:rPr>
          <w:rFonts w:ascii="Arial" w:cs="Arial" w:eastAsia="Arial" w:hAnsi="Arial"/>
          <w:sz w:val="18"/>
          <w:szCs w:val="18"/>
          <w:b w:val="1"/>
          <w:bCs w:val="1"/>
          <w:i w:val="1"/>
          <w:iCs w:val="1"/>
          <w:color w:val="auto"/>
        </w:rPr>
        <w:t>Legal proceedings</w:t>
      </w:r>
    </w:p>
    <w:p>
      <w:pPr>
        <w:ind w:firstLine="509"/>
        <w:spacing w:after="0" w:line="242" w:lineRule="auto"/>
        <w:rPr>
          <w:sz w:val="20"/>
          <w:szCs w:val="20"/>
          <w:color w:val="auto"/>
        </w:rPr>
      </w:pPr>
      <w:r>
        <w:rPr>
          <w:rFonts w:ascii="Arial" w:cs="Arial" w:eastAsia="Arial" w:hAnsi="Arial"/>
          <w:sz w:val="18"/>
          <w:szCs w:val="18"/>
          <w:color w:val="auto"/>
        </w:rPr>
        <w:t>The Company is subject to various legal proceedings and claims,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the ability to make a reasonable estimate of the loss. If the occurrence of liability is probable, the Company will disclose the nature of the contingency, and if estimable, will provide the likely amount of such loss or range of loss.</w:t>
      </w:r>
    </w:p>
    <w:p>
      <w:pPr>
        <w:spacing w:after="0" w:line="138"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As of December 31, 2021, the Company was not subject to any currently pending legal matters or claims that could have a material adverse effect on its financial position, results of operations,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ordinary course of business, the Company agrees to indemnify certain partners and clients against third 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2021 and 2020.</w:t>
      </w:r>
    </w:p>
    <w:p>
      <w:pPr>
        <w:spacing w:after="0" w:line="144"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8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has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$0.8 million, $0.5 million and 0.4 million to the plan during the years ended December 31, 2021, 2020 and 2019, respectively.</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99" w:right="41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December 31, 2021, our disclosure controls and procedures were effective at the reasonable assurance level.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of the SEC for newly public companies. Additionally, our auditors will not be required to opine on the effectiveness of our internal control over financial reporting pursuant to Section 404 until we are no longer an “emerging growth company” as defined in the JOBS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2021 that has materially affected, or is reasonably likely to materially affect,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5"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41" w:name="page142"/>
    <w:bookmarkEnd w:id="141"/>
    <w:p>
      <w:pPr>
        <w:ind w:left="52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 not later than 120 days after the close of the Company’s fiscal year ended December 31, 2021.</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3" w:right="5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04" w:lineRule="exact"/>
        <w:rPr>
          <w:sz w:val="20"/>
          <w:szCs w:val="20"/>
          <w:color w:val="auto"/>
        </w:rPr>
      </w:pPr>
    </w:p>
    <w:p>
      <w:pPr>
        <w:ind w:left="1020" w:hanging="503"/>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1" w:lineRule="exact"/>
        <w:rPr>
          <w:rFonts w:ascii="Arial" w:cs="Arial" w:eastAsia="Arial" w:hAnsi="Arial"/>
          <w:sz w:val="18"/>
          <w:szCs w:val="18"/>
          <w:color w:val="auto"/>
        </w:rPr>
      </w:pPr>
    </w:p>
    <w:p>
      <w:pPr>
        <w:ind w:left="1020" w:right="140"/>
        <w:spacing w:after="0" w:line="271" w:lineRule="auto"/>
        <w:rPr>
          <w:rFonts w:ascii="Arial" w:cs="Arial" w:eastAsia="Arial" w:hAnsi="Arial"/>
          <w:sz w:val="18"/>
          <w:szCs w:val="18"/>
          <w:color w:val="auto"/>
        </w:rPr>
      </w:pPr>
      <w:r>
        <w:rPr>
          <w:rFonts w:ascii="Arial" w:cs="Arial" w:eastAsia="Arial" w:hAnsi="Arial"/>
          <w:sz w:val="18"/>
          <w:szCs w:val="18"/>
          <w:color w:val="auto"/>
        </w:rPr>
        <w:t>The consolidated financial statements are filed as part of this Annual Report on Form 10-K under “Item 8. Financial Statements and Supplementary Data.”</w:t>
      </w:r>
    </w:p>
    <w:p>
      <w:pPr>
        <w:spacing w:after="0" w:line="45" w:lineRule="exact"/>
        <w:rPr>
          <w:rFonts w:ascii="Arial" w:cs="Arial" w:eastAsia="Arial" w:hAnsi="Arial"/>
          <w:sz w:val="18"/>
          <w:szCs w:val="18"/>
          <w:color w:val="auto"/>
        </w:rPr>
      </w:pPr>
    </w:p>
    <w:p>
      <w:pPr>
        <w:ind w:left="1020" w:hanging="503"/>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rFonts w:ascii="Arial" w:cs="Arial" w:eastAsia="Arial" w:hAnsi="Arial"/>
          <w:sz w:val="18"/>
          <w:szCs w:val="18"/>
          <w:color w:val="auto"/>
        </w:rPr>
      </w:pPr>
    </w:p>
    <w:p>
      <w:pPr>
        <w:ind w:left="1020" w:right="260"/>
        <w:spacing w:after="0" w:line="253"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in the notes to those financial statements.</w:t>
      </w:r>
    </w:p>
    <w:p>
      <w:pPr>
        <w:spacing w:after="0" w:line="60" w:lineRule="exact"/>
        <w:rPr>
          <w:rFonts w:ascii="Arial" w:cs="Arial" w:eastAsia="Arial" w:hAnsi="Arial"/>
          <w:sz w:val="18"/>
          <w:szCs w:val="18"/>
          <w:color w:val="auto"/>
        </w:rPr>
      </w:pPr>
    </w:p>
    <w:p>
      <w:pPr>
        <w:ind w:left="1020" w:hanging="503"/>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1020" w:right="240"/>
        <w:spacing w:after="0" w:line="271" w:lineRule="auto"/>
        <w:rPr>
          <w:sz w:val="20"/>
          <w:szCs w:val="20"/>
          <w:color w:val="auto"/>
        </w:rPr>
      </w:pPr>
      <w:r>
        <w:rPr>
          <w:rFonts w:ascii="Arial" w:cs="Arial" w:eastAsia="Arial" w:hAnsi="Arial"/>
          <w:sz w:val="18"/>
          <w:szCs w:val="18"/>
          <w:color w:val="auto"/>
        </w:rPr>
        <w:t>The exhibits listed in the following Exhibit Index are filed, furnished, or incorporated by reference as part of this Annual Report on Form 10-K.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80" w:type="dxa"/>
            <w:vAlign w:val="bottom"/>
            <w:gridSpan w:val="28"/>
          </w:tcPr>
          <w:p>
            <w:pPr>
              <w:jc w:val="center"/>
              <w:ind w:right="4900"/>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100"/>
        </w:trPr>
        <w:tc>
          <w:tcPr>
            <w:tcW w:w="1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0" w:type="dxa"/>
            <w:vAlign w:val="bottom"/>
            <w:gridSpan w:val="25"/>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40" w:type="dxa"/>
            <w:vAlign w:val="bottom"/>
          </w:tcPr>
          <w:p>
            <w:pPr>
              <w:ind w:lef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r:id="rId499">
              <w:r>
                <w:rPr>
                  <w:rFonts w:ascii="Arial" w:cs="Arial" w:eastAsia="Arial" w:hAnsi="Arial"/>
                  <w:sz w:val="18"/>
                  <w:szCs w:val="18"/>
                  <w:color w:val="0000FF"/>
                </w:rPr>
                <w:t>Amended and Restated Certificate of Incorporation of Flywire Corporation, incorporated by reference to Exhibit 3.1 to the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99">
              <w:r>
                <w:rPr>
                  <w:rFonts w:ascii="Arial" w:cs="Arial" w:eastAsia="Arial" w:hAnsi="Arial"/>
                  <w:sz w:val="18"/>
                  <w:szCs w:val="18"/>
                  <w:color w:val="0000FF"/>
                </w:rPr>
                <w:t>Registrant’s Current Report on Form 8-K filed on June 1,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r:id="rId500">
              <w:r>
                <w:rPr>
                  <w:rFonts w:ascii="Arial" w:cs="Arial" w:eastAsia="Arial" w:hAnsi="Arial"/>
                  <w:sz w:val="18"/>
                  <w:szCs w:val="18"/>
                  <w:color w:val="0000FF"/>
                </w:rPr>
                <w:t>Amended and Restated Bylaws of Flywire Corporation, incorporated by reference to Exhibit 3.2 to the Registrant’s Current</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500">
              <w:r>
                <w:rPr>
                  <w:rFonts w:ascii="Arial" w:cs="Arial" w:eastAsia="Arial" w:hAnsi="Arial"/>
                  <w:sz w:val="18"/>
                  <w:szCs w:val="18"/>
                  <w:color w:val="0000FF"/>
                  <w:w w:val="99"/>
                </w:rPr>
                <w:t>Report on Form 8-K filed on June 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63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Description of Securities of Flywire Corporation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240" w:type="dxa"/>
            <w:vAlign w:val="bottom"/>
          </w:tcPr>
          <w:p>
            <w:pPr>
              <w:ind w:lef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r:id="rId501">
              <w:r>
                <w:rPr>
                  <w:rFonts w:ascii="Arial" w:cs="Arial" w:eastAsia="Arial" w:hAnsi="Arial"/>
                  <w:sz w:val="18"/>
                  <w:szCs w:val="18"/>
                  <w:color w:val="0000FF"/>
                </w:rPr>
                <w:t>Amended and Restated Investors’ Rights Agreement, dated February 23, 2021, by and among the Registrant and certain</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21"/>
          </w:tcPr>
          <w:p>
            <w:pPr>
              <w:spacing w:after="0" w:line="149" w:lineRule="exact"/>
              <w:rPr>
                <w:rFonts w:ascii="Arial" w:cs="Arial" w:eastAsia="Arial" w:hAnsi="Arial"/>
                <w:sz w:val="17"/>
                <w:szCs w:val="17"/>
                <w:color w:val="0000FF"/>
                <w:highlight w:val="white"/>
              </w:rPr>
            </w:pPr>
            <w:hyperlink r:id="rId501">
              <w:r>
                <w:rPr>
                  <w:rFonts w:ascii="Arial" w:cs="Arial" w:eastAsia="Arial" w:hAnsi="Arial"/>
                  <w:sz w:val="17"/>
                  <w:szCs w:val="17"/>
                  <w:color w:val="0000FF"/>
                  <w:highlight w:val="white"/>
                </w:rPr>
                <w:t>security holders of the Registrant, as amended, incorporated by reference to Exhibit 4.2 to the Registrant's Registration</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bottom w:val="single" w:sz="8" w:color="0000FF"/>
            </w:tcBorders>
            <w:gridSpan w:val="4"/>
          </w:tcPr>
          <w:p>
            <w:pPr>
              <w:spacing w:after="0" w:line="162" w:lineRule="exact"/>
              <w:rPr>
                <w:rFonts w:ascii="Arial" w:cs="Arial" w:eastAsia="Arial" w:hAnsi="Arial"/>
                <w:sz w:val="18"/>
                <w:szCs w:val="18"/>
                <w:color w:val="0000FF"/>
                <w:highlight w:val="white"/>
                <w:w w:val="99"/>
              </w:rPr>
            </w:pPr>
            <w:hyperlink r:id="rId501">
              <w:r>
                <w:rPr>
                  <w:rFonts w:ascii="Arial" w:cs="Arial" w:eastAsia="Arial" w:hAnsi="Arial"/>
                  <w:sz w:val="18"/>
                  <w:szCs w:val="18"/>
                  <w:color w:val="0000FF"/>
                  <w:highlight w:val="white"/>
                  <w:w w:val="99"/>
                </w:rPr>
                <w:t>Statement on Form S-1 filed on May 3, 2021.</w:t>
              </w:r>
            </w:hyperlink>
          </w:p>
        </w:tc>
        <w:tc>
          <w:tcPr>
            <w:tcW w:w="20" w:type="dxa"/>
            <w:vAlign w:val="bottom"/>
          </w:tcPr>
          <w:p>
            <w:pPr>
              <w:spacing w:after="0"/>
              <w:rPr>
                <w:sz w:val="14"/>
                <w:szCs w:val="14"/>
                <w:color w:val="auto"/>
              </w:rPr>
            </w:pPr>
          </w:p>
        </w:tc>
        <w:tc>
          <w:tcPr>
            <w:tcW w:w="2260" w:type="dxa"/>
            <w:vAlign w:val="bottom"/>
            <w:tcBorders>
              <w:top w:val="single" w:sz="8" w:color="0000FF"/>
            </w:tcBorders>
            <w:gridSpan w:val="3"/>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r:id="rId502">
              <w:r>
                <w:rPr>
                  <w:rFonts w:ascii="Arial" w:cs="Arial" w:eastAsia="Arial" w:hAnsi="Arial"/>
                  <w:sz w:val="18"/>
                  <w:szCs w:val="18"/>
                  <w:color w:val="0000FF"/>
                </w:rPr>
                <w:t>Form of Indemnification Agreement, incorporated by reference to Exhibit 10.1 to the Registrant's Registration Statement</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502">
              <w:r>
                <w:rPr>
                  <w:rFonts w:ascii="Arial" w:cs="Arial" w:eastAsia="Arial" w:hAnsi="Arial"/>
                  <w:sz w:val="18"/>
                  <w:szCs w:val="18"/>
                  <w:color w:val="0000FF"/>
                </w:rPr>
                <w:t>on Form S-1/A filed on May 18, 2021.</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152">
              <w:r>
                <w:rPr>
                  <w:rFonts w:ascii="Arial" w:cs="Arial" w:eastAsia="Arial" w:hAnsi="Arial"/>
                  <w:sz w:val="18"/>
                  <w:szCs w:val="18"/>
                  <w:color w:val="0000FF"/>
                  <w:w w:val="99"/>
                </w:rPr>
                <w:t>Amended and Restated 2009 Equity Incentive Plan and forms of agreements thereafter.</w:t>
              </w:r>
            </w:hyperlink>
          </w:p>
        </w:tc>
        <w:tc>
          <w:tcPr>
            <w:tcW w:w="20" w:type="dxa"/>
            <w:vAlign w:val="bottom"/>
            <w:tcBorders>
              <w:bottom w:val="single" w:sz="8" w:color="0000EE"/>
            </w:tcBorders>
          </w:tcPr>
          <w:p>
            <w:pPr>
              <w:spacing w:after="0"/>
              <w:rPr>
                <w:sz w:val="24"/>
                <w:szCs w:val="24"/>
                <w:color w:val="auto"/>
              </w:rPr>
            </w:pPr>
          </w:p>
        </w:tc>
        <w:tc>
          <w:tcPr>
            <w:tcW w:w="2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240" w:type="dxa"/>
            <w:vAlign w:val="bottom"/>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r:id="rId503">
              <w:r>
                <w:rPr>
                  <w:rFonts w:ascii="Arial" w:cs="Arial" w:eastAsia="Arial" w:hAnsi="Arial"/>
                  <w:sz w:val="18"/>
                  <w:szCs w:val="18"/>
                  <w:color w:val="0000FF"/>
                </w:rPr>
                <w:t>2018 Stock Incentive Plan, as amended, and forms of equity agreements thereunder, incorporated by reference to Exhibit</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50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w:t>
              </w:r>
              <w:r>
                <w:rPr>
                  <w:rFonts w:ascii="Arial" w:cs="Arial" w:eastAsia="Arial" w:hAnsi="Arial"/>
                  <w:sz w:val="18"/>
                  <w:szCs w:val="18"/>
                  <w:color w:val="0000FF"/>
                  <w:w w:val="99"/>
                </w:rPr>
                <w:t xml:space="preserve"> to the Registrant's Registration Statement on Form S-1/A filed on May 18,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9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r:id="rId504">
              <w:r>
                <w:rPr>
                  <w:rFonts w:ascii="Arial" w:cs="Arial" w:eastAsia="Arial" w:hAnsi="Arial"/>
                  <w:sz w:val="18"/>
                  <w:szCs w:val="18"/>
                  <w:color w:val="0000FF"/>
                </w:rPr>
                <w:t>2021 Equity Incentive Plan, and forms of equity agreements thereunder, incorporated by reference to Exhibit 10.4 to the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504">
              <w:r>
                <w:rPr>
                  <w:rFonts w:ascii="Arial" w:cs="Arial" w:eastAsia="Arial" w:hAnsi="Arial"/>
                  <w:sz w:val="18"/>
                  <w:szCs w:val="18"/>
                  <w:color w:val="0000FF"/>
                  <w:w w:val="99"/>
                </w:rPr>
                <w:t>Registrant's Registration Statement on Form S-1/A filed on May 18,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68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240" w:type="dxa"/>
            <w:vAlign w:val="bottom"/>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r:id="rId505">
              <w:r>
                <w:rPr>
                  <w:rFonts w:ascii="Arial" w:cs="Arial" w:eastAsia="Arial" w:hAnsi="Arial"/>
                  <w:sz w:val="18"/>
                  <w:szCs w:val="18"/>
                  <w:color w:val="0000FF"/>
                </w:rPr>
                <w:t>2021 Employee Stock Purchase Plan, and form of subscription agreement, incorporated by reference to Exhibit 10.5 to</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505">
              <w:r>
                <w:rPr>
                  <w:rFonts w:ascii="Arial" w:cs="Arial" w:eastAsia="Arial" w:hAnsi="Arial"/>
                  <w:sz w:val="18"/>
                  <w:szCs w:val="18"/>
                  <w:color w:val="0000FF"/>
                  <w:w w:val="99"/>
                </w:rPr>
                <w:t>the Registrant's Registration Statement on Form S-1/A filed on May 18,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30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240" w:type="dxa"/>
            <w:vAlign w:val="bottom"/>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17"/>
          </w:tcPr>
          <w:p>
            <w:pPr>
              <w:spacing w:after="0"/>
              <w:rPr>
                <w:rFonts w:ascii="Arial" w:cs="Arial" w:eastAsia="Arial" w:hAnsi="Arial"/>
                <w:sz w:val="18"/>
                <w:szCs w:val="18"/>
                <w:color w:val="0000FF"/>
              </w:rPr>
            </w:pPr>
            <w:hyperlink r:id="rId506">
              <w:r>
                <w:rPr>
                  <w:rFonts w:ascii="Arial" w:cs="Arial" w:eastAsia="Arial" w:hAnsi="Arial"/>
                  <w:sz w:val="18"/>
                  <w:szCs w:val="18"/>
                  <w:color w:val="0000FF"/>
                </w:rPr>
                <w:t>Loan and Security Agreement, by and between the Registrant and certain of its subsidiaries and Silicon Valley Bank,</w:t>
              </w:r>
            </w:hyperlink>
          </w:p>
        </w:tc>
        <w:tc>
          <w:tcPr>
            <w:tcW w:w="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1"/>
          </w:tcPr>
          <w:p>
            <w:pPr>
              <w:spacing w:after="0" w:line="156" w:lineRule="exact"/>
              <w:rPr>
                <w:rFonts w:ascii="Arial" w:cs="Arial" w:eastAsia="Arial" w:hAnsi="Arial"/>
                <w:sz w:val="18"/>
                <w:szCs w:val="18"/>
                <w:color w:val="0000FF"/>
              </w:rPr>
            </w:pPr>
            <w:hyperlink r:id="rId506">
              <w:r>
                <w:rPr>
                  <w:rFonts w:ascii="Arial" w:cs="Arial" w:eastAsia="Arial" w:hAnsi="Arial"/>
                  <w:sz w:val="18"/>
                  <w:szCs w:val="18"/>
                  <w:color w:val="0000FF"/>
                </w:rPr>
                <w:t>dated January 16, 2018, as amended by the Joinder and First Amendment to Loan Security Agreement, dated April 25,</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9"/>
              </w:rPr>
            </w:pPr>
            <w:hyperlink r:id="rId506">
              <w:r>
                <w:rPr>
                  <w:rFonts w:ascii="Arial" w:cs="Arial" w:eastAsia="Arial" w:hAnsi="Arial"/>
                  <w:sz w:val="18"/>
                  <w:szCs w:val="18"/>
                  <w:color w:val="0000FF"/>
                  <w:w w:val="99"/>
                </w:rPr>
                <w:t>2018; the Joinder and Second Amendment to Loan and Security Agreement, dated May 15, 2020; the Third Amendment</w:t>
              </w:r>
            </w:hyperlink>
          </w:p>
        </w:tc>
        <w:tc>
          <w:tcPr>
            <w:tcW w:w="80" w:type="dxa"/>
            <w:vAlign w:val="bottom"/>
            <w:tcBorders>
              <w:bottom w:val="single" w:sz="8" w:color="0000FF"/>
            </w:tcBorders>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bottom w:val="single" w:sz="8" w:color="0000FF"/>
            </w:tcBorders>
            <w:gridSpan w:val="18"/>
          </w:tcPr>
          <w:p>
            <w:pPr>
              <w:spacing w:after="0" w:line="156" w:lineRule="exact"/>
              <w:rPr>
                <w:rFonts w:ascii="Arial" w:cs="Arial" w:eastAsia="Arial" w:hAnsi="Arial"/>
                <w:sz w:val="18"/>
                <w:szCs w:val="18"/>
                <w:color w:val="0000FF"/>
              </w:rPr>
            </w:pPr>
            <w:hyperlink r:id="rId506">
              <w:r>
                <w:rPr>
                  <w:rFonts w:ascii="Arial" w:cs="Arial" w:eastAsia="Arial" w:hAnsi="Arial"/>
                  <w:sz w:val="18"/>
                  <w:szCs w:val="18"/>
                  <w:color w:val="0000FF"/>
                </w:rPr>
                <w:t>to Loan and Security Agreement, dated June 2, 2020; and the Consent and Fourth Amendment to Loan and Security</w:t>
              </w:r>
            </w:hyperlink>
          </w:p>
        </w:tc>
        <w:tc>
          <w:tcPr>
            <w:tcW w:w="300" w:type="dxa"/>
            <w:vAlign w:val="bottom"/>
            <w:gridSpan w:val="7"/>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1"/>
          </w:tcPr>
          <w:p>
            <w:pPr>
              <w:spacing w:after="0" w:line="156" w:lineRule="exact"/>
              <w:rPr>
                <w:rFonts w:ascii="Arial" w:cs="Arial" w:eastAsia="Arial" w:hAnsi="Arial"/>
                <w:sz w:val="18"/>
                <w:szCs w:val="18"/>
                <w:color w:val="0000FF"/>
              </w:rPr>
            </w:pPr>
            <w:hyperlink r:id="rId506">
              <w:r>
                <w:rPr>
                  <w:rFonts w:ascii="Arial" w:cs="Arial" w:eastAsia="Arial" w:hAnsi="Arial"/>
                  <w:sz w:val="18"/>
                  <w:szCs w:val="18"/>
                  <w:color w:val="0000FF"/>
                </w:rPr>
                <w:t>Agreement, dated December 9, 2020, incorporated by reference to Exhibit 10.6 to the Registrant's Registration Statement</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506">
              <w:r>
                <w:rPr>
                  <w:rFonts w:ascii="Arial" w:cs="Arial" w:eastAsia="Arial" w:hAnsi="Arial"/>
                  <w:sz w:val="18"/>
                  <w:szCs w:val="18"/>
                  <w:color w:val="0000FF"/>
                </w:rPr>
                <w:t>on Form S-1/A filed on May 18, 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c>
          <w:tcPr>
            <w:tcW w:w="5360" w:type="dxa"/>
            <w:vAlign w:val="bottom"/>
            <w:gridSpan w:val="15"/>
          </w:tcPr>
          <w:p>
            <w:pPr>
              <w:spacing w:after="0" w:line="20" w:lineRule="exact"/>
              <w:rPr>
                <w:sz w:val="1"/>
                <w:szCs w:val="1"/>
                <w:color w:val="auto"/>
              </w:rPr>
            </w:pPr>
          </w:p>
        </w:tc>
        <w:tc>
          <w:tcPr>
            <w:tcW w:w="14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40" w:type="dxa"/>
            <w:vAlign w:val="bottom"/>
          </w:tcPr>
          <w:p>
            <w:pPr>
              <w:ind w:left="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1"/>
          </w:tcPr>
          <w:p>
            <w:pPr>
              <w:spacing w:after="0"/>
              <w:rPr>
                <w:rFonts w:ascii="Arial" w:cs="Arial" w:eastAsia="Arial" w:hAnsi="Arial"/>
                <w:sz w:val="18"/>
                <w:szCs w:val="18"/>
                <w:color w:val="0000FF"/>
              </w:rPr>
            </w:pPr>
            <w:hyperlink r:id="rId507">
              <w:r>
                <w:rPr>
                  <w:rFonts w:ascii="Arial" w:cs="Arial" w:eastAsia="Arial" w:hAnsi="Arial"/>
                  <w:sz w:val="18"/>
                  <w:szCs w:val="18"/>
                  <w:color w:val="0000FF"/>
                </w:rPr>
                <w:t>Employment Agreement, dated as of May 14, 2021, by and between the Registrant and Michael Massaro, incorporated by</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9"/>
              </w:rPr>
            </w:pPr>
            <w:hyperlink r:id="rId507">
              <w:r>
                <w:rPr>
                  <w:rFonts w:ascii="Arial" w:cs="Arial" w:eastAsia="Arial" w:hAnsi="Arial"/>
                  <w:sz w:val="18"/>
                  <w:szCs w:val="18"/>
                  <w:color w:val="0000FF"/>
                  <w:w w:val="99"/>
                </w:rPr>
                <w:t>reference to Exhibit 10.7 to the Registrant's Registration Statement on Form S-1/A filed on May 18, 2021.</w:t>
              </w:r>
            </w:hyperlink>
          </w:p>
        </w:tc>
        <w:tc>
          <w:tcPr>
            <w:tcW w:w="13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7"/>
        </w:trPr>
        <w:tc>
          <w:tcPr>
            <w:tcW w:w="1240" w:type="dxa"/>
            <w:vAlign w:val="bottom"/>
          </w:tcPr>
          <w:p>
            <w:pPr>
              <w:spacing w:after="0"/>
              <w:rPr>
                <w:sz w:val="24"/>
                <w:szCs w:val="24"/>
                <w:color w:val="auto"/>
              </w:rPr>
            </w:pPr>
          </w:p>
        </w:tc>
        <w:tc>
          <w:tcPr>
            <w:tcW w:w="5280" w:type="dxa"/>
            <w:vAlign w:val="bottom"/>
            <w:gridSpan w:val="9"/>
          </w:tcPr>
          <w:p>
            <w:pPr>
              <w:jc w:val="right"/>
              <w:ind w:right="668"/>
              <w:spacing w:after="0"/>
              <w:rPr>
                <w:sz w:val="20"/>
                <w:szCs w:val="20"/>
                <w:color w:val="auto"/>
              </w:rPr>
            </w:pPr>
            <w:r>
              <w:rPr>
                <w:rFonts w:ascii="Arial" w:cs="Arial" w:eastAsia="Arial" w:hAnsi="Arial"/>
                <w:sz w:val="18"/>
                <w:szCs w:val="18"/>
                <w:color w:val="auto"/>
              </w:rPr>
              <w:t>141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Arial" w:cs="Arial" w:eastAsia="Arial" w:hAnsi="Arial"/>
                <w:sz w:val="18"/>
                <w:szCs w:val="18"/>
                <w:color w:val="auto"/>
              </w:rPr>
              <w:t>10.8#</w:t>
            </w:r>
          </w:p>
        </w:tc>
        <w:tc>
          <w:tcPr>
            <w:tcW w:w="9760" w:type="dxa"/>
            <w:vAlign w:val="bottom"/>
            <w:gridSpan w:val="32"/>
          </w:tcPr>
          <w:p>
            <w:pPr>
              <w:spacing w:after="0"/>
              <w:rPr>
                <w:rFonts w:ascii="Arial" w:cs="Arial" w:eastAsia="Arial" w:hAnsi="Arial"/>
                <w:sz w:val="18"/>
                <w:szCs w:val="18"/>
                <w:color w:val="0000FF"/>
              </w:rPr>
            </w:pPr>
            <w:hyperlink r:id="rId510">
              <w:r>
                <w:rPr>
                  <w:rFonts w:ascii="Arial" w:cs="Arial" w:eastAsia="Arial" w:hAnsi="Arial"/>
                  <w:sz w:val="18"/>
                  <w:szCs w:val="18"/>
                  <w:color w:val="0000FF"/>
                </w:rPr>
                <w:t>Employment Agreement, dated as of May 14, 2021, by and between the Registrant and Rob Orgel, incorporated by</w:t>
              </w:r>
            </w:hyperlink>
          </w:p>
        </w:tc>
      </w:tr>
      <w:tr>
        <w:trPr>
          <w:trHeight w:val="155"/>
        </w:trPr>
        <w:tc>
          <w:tcPr>
            <w:tcW w:w="150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510">
              <w:r>
                <w:rPr>
                  <w:rFonts w:ascii="Arial" w:cs="Arial" w:eastAsia="Arial" w:hAnsi="Arial"/>
                  <w:sz w:val="18"/>
                  <w:szCs w:val="18"/>
                  <w:color w:val="0000FF"/>
                  <w:w w:val="99"/>
                </w:rPr>
                <w:t>reference to Exhibit 10.8 to the Registrant's Registration Statement on Form S-1/A filed on May 18,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2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500" w:type="dxa"/>
            <w:vAlign w:val="bottom"/>
          </w:tcPr>
          <w:p>
            <w:pPr>
              <w:ind w:left="20"/>
              <w:spacing w:after="0"/>
              <w:rPr>
                <w:sz w:val="20"/>
                <w:szCs w:val="20"/>
                <w:color w:val="auto"/>
              </w:rPr>
            </w:pPr>
            <w:r>
              <w:rPr>
                <w:rFonts w:ascii="Arial" w:cs="Arial" w:eastAsia="Arial" w:hAnsi="Arial"/>
                <w:sz w:val="18"/>
                <w:szCs w:val="18"/>
                <w:color w:val="auto"/>
              </w:rPr>
              <w:t>10.9#</w:t>
            </w:r>
          </w:p>
        </w:tc>
        <w:tc>
          <w:tcPr>
            <w:tcW w:w="9760" w:type="dxa"/>
            <w:vAlign w:val="bottom"/>
            <w:gridSpan w:val="32"/>
          </w:tcPr>
          <w:p>
            <w:pPr>
              <w:spacing w:after="0"/>
              <w:rPr>
                <w:rFonts w:ascii="Arial" w:cs="Arial" w:eastAsia="Arial" w:hAnsi="Arial"/>
                <w:sz w:val="18"/>
                <w:szCs w:val="18"/>
                <w:color w:val="0000FF"/>
              </w:rPr>
            </w:pPr>
            <w:hyperlink r:id="rId511">
              <w:r>
                <w:rPr>
                  <w:rFonts w:ascii="Arial" w:cs="Arial" w:eastAsia="Arial" w:hAnsi="Arial"/>
                  <w:sz w:val="18"/>
                  <w:szCs w:val="18"/>
                  <w:color w:val="0000FF"/>
                </w:rPr>
                <w:t>Employment Agreement, dated as of May 14, 2021, by and between the Registrant and Michael Ellis, incorporated by</w:t>
              </w:r>
            </w:hyperlink>
          </w:p>
        </w:tc>
      </w:tr>
      <w:tr>
        <w:trPr>
          <w:trHeight w:val="155"/>
        </w:trPr>
        <w:tc>
          <w:tcPr>
            <w:tcW w:w="150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511">
              <w:r>
                <w:rPr>
                  <w:rFonts w:ascii="Arial" w:cs="Arial" w:eastAsia="Arial" w:hAnsi="Arial"/>
                  <w:sz w:val="18"/>
                  <w:szCs w:val="18"/>
                  <w:color w:val="0000FF"/>
                  <w:w w:val="99"/>
                </w:rPr>
                <w:t>reference to Exhibit 10.9 to the Registrant's Registration Statement on Form S-1/A filed on May 18, 2021.</w:t>
              </w:r>
            </w:hyperlink>
          </w:p>
        </w:tc>
        <w:tc>
          <w:tcPr>
            <w:tcW w:w="102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500" w:type="dxa"/>
            <w:vAlign w:val="bottom"/>
          </w:tcPr>
          <w:p>
            <w:pPr>
              <w:ind w:left="20"/>
              <w:spacing w:after="0"/>
              <w:rPr>
                <w:sz w:val="20"/>
                <w:szCs w:val="20"/>
                <w:color w:val="auto"/>
              </w:rPr>
            </w:pPr>
            <w:r>
              <w:rPr>
                <w:rFonts w:ascii="Arial" w:cs="Arial" w:eastAsia="Arial" w:hAnsi="Arial"/>
                <w:sz w:val="18"/>
                <w:szCs w:val="18"/>
                <w:color w:val="auto"/>
              </w:rPr>
              <w:t>10.10#</w:t>
            </w:r>
          </w:p>
        </w:tc>
        <w:tc>
          <w:tcPr>
            <w:tcW w:w="9760" w:type="dxa"/>
            <w:vAlign w:val="bottom"/>
            <w:gridSpan w:val="32"/>
          </w:tcPr>
          <w:p>
            <w:pPr>
              <w:spacing w:after="0"/>
              <w:rPr>
                <w:rFonts w:ascii="Arial" w:cs="Arial" w:eastAsia="Arial" w:hAnsi="Arial"/>
                <w:sz w:val="18"/>
                <w:szCs w:val="18"/>
                <w:color w:val="0000FF"/>
              </w:rPr>
            </w:pPr>
            <w:hyperlink r:id="rId512">
              <w:r>
                <w:rPr>
                  <w:rFonts w:ascii="Arial" w:cs="Arial" w:eastAsia="Arial" w:hAnsi="Arial"/>
                  <w:sz w:val="18"/>
                  <w:szCs w:val="18"/>
                  <w:color w:val="0000FF"/>
                </w:rPr>
                <w:t>Employment Agreement, dated as of May 14, 2021, by and between the Registrant and Peter Butterfield, incorporated by</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512">
              <w:r>
                <w:rPr>
                  <w:rFonts w:ascii="Arial" w:cs="Arial" w:eastAsia="Arial" w:hAnsi="Arial"/>
                  <w:sz w:val="18"/>
                  <w:szCs w:val="18"/>
                  <w:color w:val="0000FF"/>
                </w:rPr>
                <w:t>reference to Exhibit 10.10 to the Registrant's Registration Statement on Form S-1/A filed on May 18, 2021</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500" w:type="dxa"/>
            <w:vAlign w:val="bottom"/>
          </w:tcPr>
          <w:p>
            <w:pPr>
              <w:ind w:left="20"/>
              <w:spacing w:after="0"/>
              <w:rPr>
                <w:sz w:val="20"/>
                <w:szCs w:val="20"/>
                <w:color w:val="auto"/>
              </w:rPr>
            </w:pPr>
            <w:r>
              <w:rPr>
                <w:rFonts w:ascii="Arial" w:cs="Arial" w:eastAsia="Arial" w:hAnsi="Arial"/>
                <w:sz w:val="18"/>
                <w:szCs w:val="18"/>
                <w:color w:val="auto"/>
              </w:rPr>
              <w:t>10.11#</w:t>
            </w:r>
          </w:p>
        </w:tc>
        <w:tc>
          <w:tcPr>
            <w:tcW w:w="9760" w:type="dxa"/>
            <w:vAlign w:val="bottom"/>
            <w:gridSpan w:val="32"/>
          </w:tcPr>
          <w:p>
            <w:pPr>
              <w:spacing w:after="0"/>
              <w:rPr>
                <w:rFonts w:ascii="Arial" w:cs="Arial" w:eastAsia="Arial" w:hAnsi="Arial"/>
                <w:sz w:val="18"/>
                <w:szCs w:val="18"/>
                <w:color w:val="0000FF"/>
              </w:rPr>
            </w:pPr>
            <w:hyperlink r:id="rId513">
              <w:r>
                <w:rPr>
                  <w:rFonts w:ascii="Arial" w:cs="Arial" w:eastAsia="Arial" w:hAnsi="Arial"/>
                  <w:sz w:val="18"/>
                  <w:szCs w:val="18"/>
                  <w:color w:val="0000FF"/>
                </w:rPr>
                <w:t>Employment Agreement, dated as of May 14, 2021, by and between the Registrant and David King, incorporated by</w:t>
              </w:r>
            </w:hyperlink>
          </w:p>
        </w:tc>
      </w:tr>
      <w:tr>
        <w:trPr>
          <w:trHeight w:val="156"/>
        </w:trPr>
        <w:tc>
          <w:tcPr>
            <w:tcW w:w="1500" w:type="dxa"/>
            <w:vAlign w:val="bottom"/>
          </w:tcPr>
          <w:p>
            <w:pPr>
              <w:spacing w:after="0"/>
              <w:rPr>
                <w:sz w:val="13"/>
                <w:szCs w:val="13"/>
                <w:color w:val="auto"/>
              </w:rPr>
            </w:pPr>
          </w:p>
        </w:tc>
        <w:tc>
          <w:tcPr>
            <w:tcW w:w="92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513">
              <w:r>
                <w:rPr>
                  <w:rFonts w:ascii="Arial" w:cs="Arial" w:eastAsia="Arial" w:hAnsi="Arial"/>
                  <w:sz w:val="18"/>
                  <w:szCs w:val="18"/>
                  <w:color w:val="0000FF"/>
                </w:rPr>
                <w:t>reference to Exhibit 10.11 to the Registrant's Registration Statement on Form S-1/A filed on May 18, 2021</w:t>
              </w:r>
              <w:r>
                <w:rPr>
                  <w:rFonts w:ascii="Arial" w:cs="Arial" w:eastAsia="Arial" w:hAnsi="Arial"/>
                  <w:sz w:val="18"/>
                  <w:szCs w:val="18"/>
                  <w:color w:val="000000"/>
                </w:rPr>
                <w:t>.</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500" w:type="dxa"/>
            <w:vAlign w:val="bottom"/>
          </w:tcPr>
          <w:p>
            <w:pPr>
              <w:ind w:left="20"/>
              <w:spacing w:after="0"/>
              <w:rPr>
                <w:sz w:val="20"/>
                <w:szCs w:val="20"/>
                <w:color w:val="auto"/>
              </w:rPr>
            </w:pPr>
            <w:r>
              <w:rPr>
                <w:rFonts w:ascii="Arial" w:cs="Arial" w:eastAsia="Arial" w:hAnsi="Arial"/>
                <w:sz w:val="18"/>
                <w:szCs w:val="18"/>
                <w:color w:val="auto"/>
              </w:rPr>
              <w:t>10.12#</w:t>
            </w:r>
          </w:p>
        </w:tc>
        <w:tc>
          <w:tcPr>
            <w:tcW w:w="9760" w:type="dxa"/>
            <w:vAlign w:val="bottom"/>
            <w:gridSpan w:val="32"/>
          </w:tcPr>
          <w:p>
            <w:pPr>
              <w:spacing w:after="0"/>
              <w:rPr>
                <w:rFonts w:ascii="Arial" w:cs="Arial" w:eastAsia="Arial" w:hAnsi="Arial"/>
                <w:sz w:val="18"/>
                <w:szCs w:val="18"/>
                <w:color w:val="0000FF"/>
              </w:rPr>
            </w:pPr>
            <w:hyperlink r:id="rId514">
              <w:r>
                <w:rPr>
                  <w:rFonts w:ascii="Arial" w:cs="Arial" w:eastAsia="Arial" w:hAnsi="Arial"/>
                  <w:sz w:val="18"/>
                  <w:szCs w:val="18"/>
                  <w:color w:val="0000FF"/>
                </w:rPr>
                <w:t>Employment Agreement, dated as of May 14, 2021, by and between the Registrant and Sharon Butler, incorporated by</w:t>
              </w:r>
            </w:hyperlink>
          </w:p>
        </w:tc>
      </w:tr>
      <w:tr>
        <w:trPr>
          <w:trHeight w:val="156"/>
        </w:trPr>
        <w:tc>
          <w:tcPr>
            <w:tcW w:w="150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514">
              <w:r>
                <w:rPr>
                  <w:rFonts w:ascii="Arial" w:cs="Arial" w:eastAsia="Arial" w:hAnsi="Arial"/>
                  <w:sz w:val="18"/>
                  <w:szCs w:val="18"/>
                  <w:color w:val="0000FF"/>
                  <w:w w:val="99"/>
                </w:rPr>
                <w:t>reference to Exhibit 10.12 to the Registrant's Registration Statement on Form S-1/A filed on May 18,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00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500" w:type="dxa"/>
            <w:vAlign w:val="bottom"/>
          </w:tcPr>
          <w:p>
            <w:pPr>
              <w:ind w:left="20"/>
              <w:spacing w:after="0"/>
              <w:rPr>
                <w:sz w:val="20"/>
                <w:szCs w:val="20"/>
                <w:color w:val="auto"/>
              </w:rPr>
            </w:pPr>
            <w:r>
              <w:rPr>
                <w:rFonts w:ascii="Arial" w:cs="Arial" w:eastAsia="Arial" w:hAnsi="Arial"/>
                <w:sz w:val="18"/>
                <w:szCs w:val="18"/>
                <w:color w:val="auto"/>
              </w:rPr>
              <w:t>10.13#</w:t>
            </w:r>
          </w:p>
        </w:tc>
        <w:tc>
          <w:tcPr>
            <w:tcW w:w="9760" w:type="dxa"/>
            <w:vAlign w:val="bottom"/>
            <w:gridSpan w:val="32"/>
          </w:tcPr>
          <w:p>
            <w:pPr>
              <w:spacing w:after="0"/>
              <w:rPr>
                <w:rFonts w:ascii="Arial" w:cs="Arial" w:eastAsia="Arial" w:hAnsi="Arial"/>
                <w:sz w:val="18"/>
                <w:szCs w:val="18"/>
                <w:color w:val="0000FF"/>
              </w:rPr>
            </w:pPr>
            <w:hyperlink r:id="rId515">
              <w:r>
                <w:rPr>
                  <w:rFonts w:ascii="Arial" w:cs="Arial" w:eastAsia="Arial" w:hAnsi="Arial"/>
                  <w:sz w:val="18"/>
                  <w:szCs w:val="18"/>
                  <w:color w:val="0000FF"/>
                </w:rPr>
                <w:t>Employment Agreement, dated as of May 14, 2021, by and between the Registrant and John Talaga, incorporated by</w:t>
              </w:r>
            </w:hyperlink>
          </w:p>
        </w:tc>
      </w:tr>
      <w:tr>
        <w:trPr>
          <w:trHeight w:val="156"/>
        </w:trPr>
        <w:tc>
          <w:tcPr>
            <w:tcW w:w="150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515">
              <w:r>
                <w:rPr>
                  <w:rFonts w:ascii="Arial" w:cs="Arial" w:eastAsia="Arial" w:hAnsi="Arial"/>
                  <w:sz w:val="18"/>
                  <w:szCs w:val="18"/>
                  <w:color w:val="0000FF"/>
                  <w:w w:val="99"/>
                </w:rPr>
                <w:t>reference to Exhibit 10.13 to the Registrant's Registration Statement on Form S-1/A filed on May 18,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80" w:type="dxa"/>
            <w:vAlign w:val="bottom"/>
            <w:tcBorders>
              <w:top w:val="single" w:sz="8" w:color="0000FF"/>
            </w:tcBorders>
            <w:gridSpan w:val="6"/>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8"/>
        </w:trPr>
        <w:tc>
          <w:tcPr>
            <w:tcW w:w="1500" w:type="dxa"/>
            <w:vAlign w:val="bottom"/>
          </w:tcPr>
          <w:p>
            <w:pPr>
              <w:ind w:left="20"/>
              <w:spacing w:after="0"/>
              <w:rPr>
                <w:sz w:val="20"/>
                <w:szCs w:val="20"/>
                <w:color w:val="auto"/>
              </w:rPr>
            </w:pPr>
            <w:r>
              <w:rPr>
                <w:rFonts w:ascii="Arial" w:cs="Arial" w:eastAsia="Arial" w:hAnsi="Arial"/>
                <w:sz w:val="18"/>
                <w:szCs w:val="18"/>
                <w:color w:val="auto"/>
              </w:rPr>
              <w:t>10.14</w:t>
            </w:r>
          </w:p>
        </w:tc>
        <w:tc>
          <w:tcPr>
            <w:tcW w:w="9760" w:type="dxa"/>
            <w:vAlign w:val="bottom"/>
            <w:gridSpan w:val="32"/>
          </w:tcPr>
          <w:p>
            <w:pPr>
              <w:spacing w:after="0"/>
              <w:rPr>
                <w:rFonts w:ascii="Arial" w:cs="Arial" w:eastAsia="Arial" w:hAnsi="Arial"/>
                <w:sz w:val="18"/>
                <w:szCs w:val="18"/>
                <w:color w:val="0000FF"/>
              </w:rPr>
            </w:pPr>
            <w:hyperlink r:id="rId516">
              <w:r>
                <w:rPr>
                  <w:rFonts w:ascii="Arial" w:cs="Arial" w:eastAsia="Arial" w:hAnsi="Arial"/>
                  <w:sz w:val="18"/>
                  <w:szCs w:val="18"/>
                  <w:color w:val="0000FF"/>
                </w:rPr>
                <w:t>Office Lease, dated April 8, 2015, as amended by that certain First Amendment to Office Lease dated April 7, 2016 and</w:t>
              </w:r>
            </w:hyperlink>
          </w:p>
        </w:tc>
      </w:tr>
      <w:tr>
        <w:trPr>
          <w:trHeight w:val="148"/>
        </w:trPr>
        <w:tc>
          <w:tcPr>
            <w:tcW w:w="1500" w:type="dxa"/>
            <w:vAlign w:val="bottom"/>
          </w:tcPr>
          <w:p>
            <w:pPr>
              <w:spacing w:after="0"/>
              <w:rPr>
                <w:sz w:val="12"/>
                <w:szCs w:val="12"/>
                <w:color w:val="auto"/>
              </w:rPr>
            </w:pPr>
          </w:p>
        </w:tc>
        <w:tc>
          <w:tcPr>
            <w:tcW w:w="9340" w:type="dxa"/>
            <w:vAlign w:val="bottom"/>
            <w:gridSpan w:val="18"/>
          </w:tcPr>
          <w:p>
            <w:pPr>
              <w:spacing w:after="0" w:line="149" w:lineRule="exact"/>
              <w:rPr>
                <w:rFonts w:ascii="Arial" w:cs="Arial" w:eastAsia="Arial" w:hAnsi="Arial"/>
                <w:sz w:val="17"/>
                <w:szCs w:val="17"/>
                <w:color w:val="0000FF"/>
                <w:highlight w:val="white"/>
              </w:rPr>
            </w:pPr>
            <w:hyperlink r:id="rId516">
              <w:r>
                <w:rPr>
                  <w:rFonts w:ascii="Arial" w:cs="Arial" w:eastAsia="Arial" w:hAnsi="Arial"/>
                  <w:sz w:val="17"/>
                  <w:szCs w:val="17"/>
                  <w:color w:val="0000FF"/>
                  <w:highlight w:val="white"/>
                </w:rPr>
                <w:t>that certain Second Amendment to Office Lease dated October 23, 2018, by and between the Registrant and NS 141</w:t>
              </w:r>
            </w:hyperlink>
          </w:p>
        </w:tc>
        <w:tc>
          <w:tcPr>
            <w:tcW w:w="200" w:type="dxa"/>
            <w:vAlign w:val="bottom"/>
            <w:tcBorders>
              <w:top w:val="single" w:sz="8" w:color="0000FF"/>
            </w:tcBorders>
            <w:gridSpan w:val="4"/>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1500" w:type="dxa"/>
            <w:vAlign w:val="bottom"/>
          </w:tcPr>
          <w:p>
            <w:pPr>
              <w:spacing w:after="0"/>
              <w:rPr>
                <w:sz w:val="15"/>
                <w:szCs w:val="15"/>
                <w:color w:val="auto"/>
              </w:rPr>
            </w:pPr>
          </w:p>
        </w:tc>
        <w:tc>
          <w:tcPr>
            <w:tcW w:w="9760" w:type="dxa"/>
            <w:vAlign w:val="bottom"/>
            <w:gridSpan w:val="32"/>
          </w:tcPr>
          <w:p>
            <w:pPr>
              <w:spacing w:after="0" w:line="176" w:lineRule="exact"/>
              <w:rPr>
                <w:rFonts w:ascii="Arial" w:cs="Arial" w:eastAsia="Arial" w:hAnsi="Arial"/>
                <w:sz w:val="18"/>
                <w:szCs w:val="18"/>
                <w:color w:val="0000FF"/>
                <w:highlight w:val="white"/>
              </w:rPr>
            </w:pPr>
            <w:hyperlink r:id="rId516">
              <w:r>
                <w:rPr>
                  <w:rFonts w:ascii="Arial" w:cs="Arial" w:eastAsia="Arial" w:hAnsi="Arial"/>
                  <w:sz w:val="18"/>
                  <w:szCs w:val="18"/>
                  <w:color w:val="0000FF"/>
                  <w:highlight w:val="white"/>
                </w:rPr>
                <w:t>Tremont LLC, incorporated by reference to Exhibit 10.14 to the Registrant's Registration Statement on Form S-1/A filed on</w:t>
              </w:r>
            </w:hyperlink>
          </w:p>
        </w:tc>
      </w:tr>
      <w:tr>
        <w:trPr>
          <w:trHeight w:val="162"/>
        </w:trPr>
        <w:tc>
          <w:tcPr>
            <w:tcW w:w="1500" w:type="dxa"/>
            <w:vAlign w:val="bottom"/>
          </w:tcPr>
          <w:p>
            <w:pPr>
              <w:spacing w:after="0"/>
              <w:rPr>
                <w:sz w:val="14"/>
                <w:szCs w:val="14"/>
                <w:color w:val="auto"/>
              </w:rPr>
            </w:pPr>
          </w:p>
        </w:tc>
        <w:tc>
          <w:tcPr>
            <w:tcW w:w="1120" w:type="dxa"/>
            <w:vAlign w:val="bottom"/>
            <w:tcBorders>
              <w:bottom w:val="single" w:sz="8" w:color="0000FF"/>
            </w:tcBorders>
          </w:tcPr>
          <w:p>
            <w:pPr>
              <w:spacing w:after="0" w:line="162" w:lineRule="exact"/>
              <w:rPr>
                <w:rFonts w:ascii="Arial" w:cs="Arial" w:eastAsia="Arial" w:hAnsi="Arial"/>
                <w:sz w:val="18"/>
                <w:szCs w:val="18"/>
                <w:color w:val="0000FF"/>
                <w:highlight w:val="white"/>
                <w:w w:val="96"/>
              </w:rPr>
            </w:pPr>
            <w:hyperlink r:id="rId516">
              <w:r>
                <w:rPr>
                  <w:rFonts w:ascii="Arial" w:cs="Arial" w:eastAsia="Arial" w:hAnsi="Arial"/>
                  <w:sz w:val="18"/>
                  <w:szCs w:val="18"/>
                  <w:color w:val="0000FF"/>
                  <w:highlight w:val="white"/>
                  <w:w w:val="96"/>
                </w:rPr>
                <w:t>May 18, 2021.</w:t>
              </w:r>
            </w:hyperlink>
          </w:p>
        </w:tc>
        <w:tc>
          <w:tcPr>
            <w:tcW w:w="20" w:type="dxa"/>
            <w:vAlign w:val="bottom"/>
            <w:tcBorders>
              <w:top w:val="single" w:sz="8" w:color="0000FF"/>
              <w:bottom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gridSpan w:val="6"/>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gridSpan w:val="7"/>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338"/>
        </w:trPr>
        <w:tc>
          <w:tcPr>
            <w:tcW w:w="1500" w:type="dxa"/>
            <w:vAlign w:val="bottom"/>
          </w:tcPr>
          <w:p>
            <w:pPr>
              <w:ind w:left="20"/>
              <w:spacing w:after="0"/>
              <w:rPr>
                <w:sz w:val="20"/>
                <w:szCs w:val="20"/>
                <w:color w:val="auto"/>
              </w:rPr>
            </w:pPr>
            <w:r>
              <w:rPr>
                <w:rFonts w:ascii="Arial" w:cs="Arial" w:eastAsia="Arial" w:hAnsi="Arial"/>
                <w:sz w:val="18"/>
                <w:szCs w:val="18"/>
                <w:color w:val="auto"/>
              </w:rPr>
              <w:t>10.15</w:t>
            </w:r>
          </w:p>
        </w:tc>
        <w:tc>
          <w:tcPr>
            <w:tcW w:w="9760" w:type="dxa"/>
            <w:vAlign w:val="bottom"/>
            <w:gridSpan w:val="32"/>
          </w:tcPr>
          <w:p>
            <w:pPr>
              <w:spacing w:after="0"/>
              <w:rPr>
                <w:rFonts w:ascii="Arial" w:cs="Arial" w:eastAsia="Arial" w:hAnsi="Arial"/>
                <w:sz w:val="18"/>
                <w:szCs w:val="18"/>
                <w:color w:val="0000FF"/>
              </w:rPr>
            </w:pPr>
            <w:hyperlink r:id="rId517">
              <w:r>
                <w:rPr>
                  <w:rFonts w:ascii="Arial" w:cs="Arial" w:eastAsia="Arial" w:hAnsi="Arial"/>
                  <w:sz w:val="18"/>
                  <w:szCs w:val="18"/>
                  <w:color w:val="0000FF"/>
                </w:rPr>
                <w:t>Credit Agreement, dated as of July 29, 2021, by and among Flywire Corporation, the other Loan Parties party thereto from</w:t>
              </w:r>
            </w:hyperlink>
          </w:p>
        </w:tc>
      </w:tr>
      <w:tr>
        <w:trPr>
          <w:trHeight w:val="155"/>
        </w:trPr>
        <w:tc>
          <w:tcPr>
            <w:tcW w:w="1500" w:type="dxa"/>
            <w:vAlign w:val="bottom"/>
          </w:tcPr>
          <w:p>
            <w:pPr>
              <w:spacing w:after="0"/>
              <w:rPr>
                <w:sz w:val="13"/>
                <w:szCs w:val="13"/>
                <w:color w:val="auto"/>
              </w:rPr>
            </w:pPr>
          </w:p>
        </w:tc>
        <w:tc>
          <w:tcPr>
            <w:tcW w:w="9600" w:type="dxa"/>
            <w:vAlign w:val="bottom"/>
            <w:gridSpan w:val="25"/>
          </w:tcPr>
          <w:p>
            <w:pPr>
              <w:spacing w:after="0" w:line="149" w:lineRule="exact"/>
              <w:rPr>
                <w:rFonts w:ascii="Arial" w:cs="Arial" w:eastAsia="Arial" w:hAnsi="Arial"/>
                <w:sz w:val="17"/>
                <w:szCs w:val="17"/>
                <w:color w:val="0000FF"/>
                <w:highlight w:val="white"/>
              </w:rPr>
            </w:pPr>
            <w:hyperlink r:id="rId517">
              <w:r>
                <w:rPr>
                  <w:rFonts w:ascii="Arial" w:cs="Arial" w:eastAsia="Arial" w:hAnsi="Arial"/>
                  <w:sz w:val="17"/>
                  <w:szCs w:val="17"/>
                  <w:color w:val="0000FF"/>
                  <w:highlight w:val="white"/>
                </w:rPr>
                <w:t>time to time, the Lenders party thereto from time to time, the Issuing Banks party thereto from time to time, and Citibank,</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500" w:type="dxa"/>
            <w:vAlign w:val="bottom"/>
          </w:tcPr>
          <w:p>
            <w:pPr>
              <w:spacing w:after="0"/>
              <w:rPr>
                <w:sz w:val="14"/>
                <w:szCs w:val="14"/>
                <w:color w:val="auto"/>
              </w:rPr>
            </w:pPr>
          </w:p>
        </w:tc>
        <w:tc>
          <w:tcPr>
            <w:tcW w:w="8960" w:type="dxa"/>
            <w:vAlign w:val="bottom"/>
            <w:tcBorders>
              <w:bottom w:val="single" w:sz="8" w:color="0000FF"/>
            </w:tcBorders>
            <w:gridSpan w:val="14"/>
          </w:tcPr>
          <w:p>
            <w:pPr>
              <w:spacing w:after="0" w:line="162" w:lineRule="exact"/>
              <w:rPr>
                <w:rFonts w:ascii="Arial" w:cs="Arial" w:eastAsia="Arial" w:hAnsi="Arial"/>
                <w:sz w:val="18"/>
                <w:szCs w:val="18"/>
                <w:color w:val="0000FF"/>
                <w:highlight w:val="white"/>
                <w:w w:val="99"/>
              </w:rPr>
            </w:pPr>
            <w:hyperlink r:id="rId517">
              <w:r>
                <w:rPr>
                  <w:rFonts w:ascii="Arial" w:cs="Arial" w:eastAsia="Arial" w:hAnsi="Arial"/>
                  <w:sz w:val="18"/>
                  <w:szCs w:val="18"/>
                  <w:color w:val="0000FF"/>
                  <w:highlight w:val="white"/>
                  <w:w w:val="99"/>
                </w:rPr>
                <w:t>incorporated by reference to Exhibit 10.1 to the Registrant’s Current Report on Form 8-K filed on August 4, 2021.</w:t>
              </w:r>
            </w:hyperlink>
          </w:p>
        </w:tc>
        <w:tc>
          <w:tcPr>
            <w:tcW w:w="20" w:type="dxa"/>
            <w:vAlign w:val="bottom"/>
            <w:tcBorders>
              <w:top w:val="single" w:sz="8" w:color="0000FF"/>
              <w:bottom w:val="single" w:sz="8" w:color="0000FF"/>
            </w:tcBorders>
          </w:tcPr>
          <w:p>
            <w:pPr>
              <w:spacing w:after="0"/>
              <w:rPr>
                <w:sz w:val="14"/>
                <w:szCs w:val="14"/>
                <w:color w:val="auto"/>
              </w:rPr>
            </w:pPr>
          </w:p>
        </w:tc>
        <w:tc>
          <w:tcPr>
            <w:tcW w:w="560" w:type="dxa"/>
            <w:vAlign w:val="bottom"/>
            <w:tcBorders>
              <w:top w:val="single" w:sz="8" w:color="0000FF"/>
            </w:tcBorders>
            <w:gridSpan w:val="7"/>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500" w:type="dxa"/>
            <w:vAlign w:val="bottom"/>
          </w:tcPr>
          <w:p>
            <w:pPr>
              <w:ind w:left="20"/>
              <w:spacing w:after="0"/>
              <w:rPr>
                <w:sz w:val="20"/>
                <w:szCs w:val="20"/>
                <w:color w:val="auto"/>
              </w:rPr>
            </w:pPr>
            <w:r>
              <w:rPr>
                <w:rFonts w:ascii="Arial" w:cs="Arial" w:eastAsia="Arial" w:hAnsi="Arial"/>
                <w:sz w:val="18"/>
                <w:szCs w:val="18"/>
                <w:color w:val="auto"/>
              </w:rPr>
              <w:t>10.16</w:t>
            </w:r>
          </w:p>
        </w:tc>
        <w:tc>
          <w:tcPr>
            <w:tcW w:w="9760" w:type="dxa"/>
            <w:vAlign w:val="bottom"/>
            <w:gridSpan w:val="32"/>
          </w:tcPr>
          <w:p>
            <w:pPr>
              <w:spacing w:after="0"/>
              <w:rPr>
                <w:rFonts w:ascii="Arial" w:cs="Arial" w:eastAsia="Arial" w:hAnsi="Arial"/>
                <w:sz w:val="18"/>
                <w:szCs w:val="18"/>
                <w:color w:val="0000FF"/>
              </w:rPr>
            </w:pPr>
            <w:hyperlink r:id="rId518">
              <w:r>
                <w:rPr>
                  <w:rFonts w:ascii="Arial" w:cs="Arial" w:eastAsia="Arial" w:hAnsi="Arial"/>
                  <w:sz w:val="18"/>
                  <w:szCs w:val="18"/>
                  <w:color w:val="0000FF"/>
                </w:rPr>
                <w:t>Pledge Agreement, dated as of July 29, 2021, by and among Flywire Corporation, the Grantors and the Administrative</w:t>
              </w:r>
            </w:hyperlink>
          </w:p>
        </w:tc>
      </w:tr>
      <w:tr>
        <w:trPr>
          <w:trHeight w:val="189"/>
        </w:trPr>
        <w:tc>
          <w:tcPr>
            <w:tcW w:w="1500" w:type="dxa"/>
            <w:vAlign w:val="bottom"/>
          </w:tcPr>
          <w:p>
            <w:pPr>
              <w:spacing w:after="0"/>
              <w:rPr>
                <w:sz w:val="16"/>
                <w:szCs w:val="16"/>
                <w:color w:val="auto"/>
              </w:rPr>
            </w:pPr>
          </w:p>
        </w:tc>
        <w:tc>
          <w:tcPr>
            <w:tcW w:w="9540" w:type="dxa"/>
            <w:vAlign w:val="bottom"/>
            <w:tcBorders>
              <w:bottom w:val="single" w:sz="8" w:color="0000FF"/>
            </w:tcBorders>
            <w:gridSpan w:val="22"/>
          </w:tcPr>
          <w:p>
            <w:pPr>
              <w:spacing w:after="0" w:line="189" w:lineRule="exact"/>
              <w:rPr>
                <w:rFonts w:ascii="Arial" w:cs="Arial" w:eastAsia="Arial" w:hAnsi="Arial"/>
                <w:sz w:val="18"/>
                <w:szCs w:val="18"/>
                <w:color w:val="0000FF"/>
                <w:highlight w:val="white"/>
                <w:w w:val="99"/>
              </w:rPr>
            </w:pPr>
            <w:hyperlink r:id="rId518">
              <w:r>
                <w:rPr>
                  <w:rFonts w:ascii="Arial" w:cs="Arial" w:eastAsia="Arial" w:hAnsi="Arial"/>
                  <w:sz w:val="18"/>
                  <w:szCs w:val="18"/>
                  <w:color w:val="0000FF"/>
                  <w:highlight w:val="white"/>
                  <w:w w:val="99"/>
                </w:rPr>
                <w:t>Agent, incorporated by reference to Exhibit 10.2 to the Registrant’s Current Report on Form 8-K filed on August 4, 2021.</w:t>
              </w:r>
            </w:hyperlink>
          </w:p>
        </w:tc>
        <w:tc>
          <w:tcPr>
            <w:tcW w:w="220" w:type="dxa"/>
            <w:vAlign w:val="bottom"/>
            <w:gridSpan w:val="10"/>
          </w:tcPr>
          <w:p>
            <w:pPr>
              <w:spacing w:after="0"/>
              <w:rPr>
                <w:sz w:val="16"/>
                <w:szCs w:val="16"/>
                <w:color w:val="auto"/>
              </w:rPr>
            </w:pPr>
          </w:p>
        </w:tc>
      </w:tr>
      <w:tr>
        <w:trPr>
          <w:trHeight w:val="344"/>
        </w:trPr>
        <w:tc>
          <w:tcPr>
            <w:tcW w:w="1500" w:type="dxa"/>
            <w:vAlign w:val="bottom"/>
          </w:tcPr>
          <w:p>
            <w:pPr>
              <w:ind w:left="20"/>
              <w:spacing w:after="0"/>
              <w:rPr>
                <w:sz w:val="20"/>
                <w:szCs w:val="20"/>
                <w:color w:val="auto"/>
              </w:rPr>
            </w:pPr>
            <w:r>
              <w:rPr>
                <w:rFonts w:ascii="Arial" w:cs="Arial" w:eastAsia="Arial" w:hAnsi="Arial"/>
                <w:sz w:val="18"/>
                <w:szCs w:val="18"/>
                <w:color w:val="auto"/>
              </w:rPr>
              <w:t>21.1*</w:t>
            </w:r>
          </w:p>
        </w:tc>
        <w:tc>
          <w:tcPr>
            <w:tcW w:w="9760" w:type="dxa"/>
            <w:vAlign w:val="bottom"/>
            <w:gridSpan w:val="32"/>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List of Subsidiaries of the Registrant.</w:t>
              </w:r>
            </w:hyperlink>
          </w:p>
        </w:tc>
      </w:tr>
      <w:tr>
        <w:trPr>
          <w:trHeight w:val="20"/>
        </w:trPr>
        <w:tc>
          <w:tcPr>
            <w:tcW w:w="150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500" w:type="dxa"/>
            <w:vAlign w:val="bottom"/>
          </w:tcPr>
          <w:p>
            <w:pPr>
              <w:ind w:left="20"/>
              <w:spacing w:after="0"/>
              <w:rPr>
                <w:sz w:val="20"/>
                <w:szCs w:val="20"/>
                <w:color w:val="auto"/>
              </w:rPr>
            </w:pPr>
            <w:r>
              <w:rPr>
                <w:rFonts w:ascii="Arial" w:cs="Arial" w:eastAsia="Arial" w:hAnsi="Arial"/>
                <w:sz w:val="18"/>
                <w:szCs w:val="18"/>
                <w:color w:val="auto"/>
              </w:rPr>
              <w:t>23.1*</w:t>
            </w:r>
          </w:p>
        </w:tc>
        <w:tc>
          <w:tcPr>
            <w:tcW w:w="9760" w:type="dxa"/>
            <w:vAlign w:val="bottom"/>
            <w:gridSpan w:val="32"/>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Consent of PricewaterhouseCoopers LLP, independent registered public accounting firm.</w:t>
              </w:r>
            </w:hyperlink>
          </w:p>
        </w:tc>
      </w:tr>
      <w:tr>
        <w:trPr>
          <w:trHeight w:val="20"/>
        </w:trPr>
        <w:tc>
          <w:tcPr>
            <w:tcW w:w="150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8"/>
        </w:trPr>
        <w:tc>
          <w:tcPr>
            <w:tcW w:w="1500" w:type="dxa"/>
            <w:vAlign w:val="bottom"/>
          </w:tcPr>
          <w:p>
            <w:pPr>
              <w:ind w:left="20"/>
              <w:spacing w:after="0"/>
              <w:rPr>
                <w:sz w:val="20"/>
                <w:szCs w:val="20"/>
                <w:color w:val="auto"/>
              </w:rPr>
            </w:pPr>
            <w:r>
              <w:rPr>
                <w:rFonts w:ascii="Arial" w:cs="Arial" w:eastAsia="Arial" w:hAnsi="Arial"/>
                <w:sz w:val="18"/>
                <w:szCs w:val="18"/>
                <w:color w:val="auto"/>
              </w:rPr>
              <w:t>31.1*</w:t>
            </w:r>
          </w:p>
        </w:tc>
        <w:tc>
          <w:tcPr>
            <w:tcW w:w="9760" w:type="dxa"/>
            <w:vAlign w:val="bottom"/>
            <w:gridSpan w:val="32"/>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Certification of Principal Executive Officer Pursuant to Rules 13a-14(a) and 15d-14(a) under the Securities Exchange Act</w:t>
              </w:r>
            </w:hyperlink>
          </w:p>
        </w:tc>
      </w:tr>
      <w:tr>
        <w:trPr>
          <w:trHeight w:val="162"/>
        </w:trPr>
        <w:tc>
          <w:tcPr>
            <w:tcW w:w="1500" w:type="dxa"/>
            <w:vAlign w:val="bottom"/>
          </w:tcPr>
          <w:p>
            <w:pPr>
              <w:spacing w:after="0"/>
              <w:rPr>
                <w:sz w:val="14"/>
                <w:szCs w:val="14"/>
                <w:color w:val="auto"/>
              </w:rPr>
            </w:pPr>
          </w:p>
        </w:tc>
        <w:tc>
          <w:tcPr>
            <w:tcW w:w="6420" w:type="dxa"/>
            <w:vAlign w:val="bottom"/>
            <w:tcBorders>
              <w:bottom w:val="single" w:sz="8" w:color="0000FF"/>
            </w:tcBorders>
            <w:gridSpan w:val="6"/>
          </w:tcPr>
          <w:p>
            <w:pPr>
              <w:spacing w:after="0" w:line="162" w:lineRule="exact"/>
              <w:rPr>
                <w:rFonts w:ascii="Arial" w:cs="Arial" w:eastAsia="Arial" w:hAnsi="Arial"/>
                <w:sz w:val="18"/>
                <w:szCs w:val="18"/>
                <w:color w:val="0000FF"/>
                <w:highlight w:val="white"/>
                <w:w w:val="99"/>
              </w:rPr>
            </w:pPr>
            <w:hyperlink w:anchor="page164">
              <w:r>
                <w:rPr>
                  <w:rFonts w:ascii="Arial" w:cs="Arial" w:eastAsia="Arial" w:hAnsi="Arial"/>
                  <w:sz w:val="18"/>
                  <w:szCs w:val="18"/>
                  <w:color w:val="0000FF"/>
                  <w:highlight w:val="white"/>
                  <w:w w:val="99"/>
                </w:rPr>
                <w:t>of 1934, as Adopted Pursuant to Section 302 of the Sarbanes-Oxley Act of 2002.</w:t>
              </w:r>
            </w:hyperlink>
          </w:p>
        </w:tc>
        <w:tc>
          <w:tcPr>
            <w:tcW w:w="20" w:type="dxa"/>
            <w:vAlign w:val="bottom"/>
            <w:tcBorders>
              <w:top w:val="single" w:sz="8" w:color="0000FF"/>
              <w:bottom w:val="single" w:sz="8" w:color="0000FF"/>
            </w:tcBorders>
          </w:tcPr>
          <w:p>
            <w:pPr>
              <w:spacing w:after="0"/>
              <w:rPr>
                <w:sz w:val="14"/>
                <w:szCs w:val="14"/>
                <w:color w:val="auto"/>
              </w:rPr>
            </w:pPr>
          </w:p>
        </w:tc>
        <w:tc>
          <w:tcPr>
            <w:tcW w:w="3140" w:type="dxa"/>
            <w:vAlign w:val="bottom"/>
            <w:tcBorders>
              <w:top w:val="single" w:sz="8" w:color="0000FF"/>
            </w:tcBorders>
            <w:gridSpan w:val="17"/>
          </w:tcPr>
          <w:p>
            <w:pPr>
              <w:spacing w:after="0"/>
              <w:rPr>
                <w:sz w:val="14"/>
                <w:szCs w:val="14"/>
                <w:color w:val="auto"/>
              </w:rPr>
            </w:pPr>
          </w:p>
        </w:tc>
        <w:tc>
          <w:tcPr>
            <w:tcW w:w="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527"/>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9760" w:type="dxa"/>
            <w:vAlign w:val="bottom"/>
            <w:gridSpan w:val="32"/>
          </w:tcPr>
          <w:p>
            <w:pPr>
              <w:spacing w:after="0"/>
              <w:rPr>
                <w:rFonts w:ascii="Arial" w:cs="Arial" w:eastAsia="Arial" w:hAnsi="Arial"/>
                <w:sz w:val="18"/>
                <w:szCs w:val="18"/>
                <w:color w:val="0000FF"/>
              </w:rPr>
            </w:pPr>
            <w:hyperlink w:anchor="page165">
              <w:r>
                <w:rPr>
                  <w:rFonts w:ascii="Arial" w:cs="Arial" w:eastAsia="Arial" w:hAnsi="Arial"/>
                  <w:sz w:val="18"/>
                  <w:szCs w:val="18"/>
                  <w:color w:val="0000FF"/>
                </w:rPr>
                <w:t>Certification of Principal Financial Officer Pursuant to Rules 13a-14(a) and 15d-14(a) under the Securities Exchange Act</w:t>
              </w:r>
            </w:hyperlink>
          </w:p>
        </w:tc>
      </w:tr>
      <w:tr>
        <w:trPr>
          <w:trHeight w:val="162"/>
        </w:trPr>
        <w:tc>
          <w:tcPr>
            <w:tcW w:w="1500" w:type="dxa"/>
            <w:vAlign w:val="bottom"/>
          </w:tcPr>
          <w:p>
            <w:pPr>
              <w:spacing w:after="0"/>
              <w:rPr>
                <w:sz w:val="14"/>
                <w:szCs w:val="14"/>
                <w:color w:val="auto"/>
              </w:rPr>
            </w:pPr>
          </w:p>
        </w:tc>
        <w:tc>
          <w:tcPr>
            <w:tcW w:w="6420" w:type="dxa"/>
            <w:vAlign w:val="bottom"/>
            <w:tcBorders>
              <w:bottom w:val="single" w:sz="8" w:color="0000FF"/>
            </w:tcBorders>
            <w:gridSpan w:val="6"/>
          </w:tcPr>
          <w:p>
            <w:pPr>
              <w:spacing w:after="0" w:line="162" w:lineRule="exact"/>
              <w:rPr>
                <w:rFonts w:ascii="Arial" w:cs="Arial" w:eastAsia="Arial" w:hAnsi="Arial"/>
                <w:sz w:val="18"/>
                <w:szCs w:val="18"/>
                <w:color w:val="0000FF"/>
                <w:highlight w:val="white"/>
                <w:w w:val="99"/>
              </w:rPr>
            </w:pPr>
            <w:hyperlink w:anchor="page165">
              <w:r>
                <w:rPr>
                  <w:rFonts w:ascii="Arial" w:cs="Arial" w:eastAsia="Arial" w:hAnsi="Arial"/>
                  <w:sz w:val="18"/>
                  <w:szCs w:val="18"/>
                  <w:color w:val="0000FF"/>
                  <w:highlight w:val="white"/>
                  <w:w w:val="99"/>
                </w:rPr>
                <w:t>of 1934, as Adopted Pursuant to Section 302 of the Sarbanes-Oxley Act of 2002.</w:t>
              </w:r>
            </w:hyperlink>
          </w:p>
        </w:tc>
        <w:tc>
          <w:tcPr>
            <w:tcW w:w="20" w:type="dxa"/>
            <w:vAlign w:val="bottom"/>
            <w:tcBorders>
              <w:top w:val="single" w:sz="8" w:color="0000FF"/>
              <w:bottom w:val="single" w:sz="8" w:color="0000FF"/>
            </w:tcBorders>
          </w:tcPr>
          <w:p>
            <w:pPr>
              <w:spacing w:after="0"/>
              <w:rPr>
                <w:sz w:val="14"/>
                <w:szCs w:val="14"/>
                <w:color w:val="auto"/>
              </w:rPr>
            </w:pPr>
          </w:p>
        </w:tc>
        <w:tc>
          <w:tcPr>
            <w:tcW w:w="3140" w:type="dxa"/>
            <w:vAlign w:val="bottom"/>
            <w:tcBorders>
              <w:top w:val="single" w:sz="8" w:color="0000FF"/>
            </w:tcBorders>
            <w:gridSpan w:val="17"/>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8"/>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9760" w:type="dxa"/>
            <w:vAlign w:val="bottom"/>
            <w:gridSpan w:val="32"/>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62"/>
        </w:trPr>
        <w:tc>
          <w:tcPr>
            <w:tcW w:w="1500" w:type="dxa"/>
            <w:vAlign w:val="bottom"/>
          </w:tcPr>
          <w:p>
            <w:pPr>
              <w:spacing w:after="0"/>
              <w:rPr>
                <w:sz w:val="14"/>
                <w:szCs w:val="14"/>
                <w:color w:val="auto"/>
              </w:rPr>
            </w:pPr>
          </w:p>
        </w:tc>
        <w:tc>
          <w:tcPr>
            <w:tcW w:w="2280" w:type="dxa"/>
            <w:vAlign w:val="bottom"/>
            <w:tcBorders>
              <w:bottom w:val="single" w:sz="8" w:color="0000FF"/>
            </w:tcBorders>
            <w:gridSpan w:val="3"/>
          </w:tcPr>
          <w:p>
            <w:pPr>
              <w:spacing w:after="0" w:line="162" w:lineRule="exact"/>
              <w:rPr>
                <w:rFonts w:ascii="Arial" w:cs="Arial" w:eastAsia="Arial" w:hAnsi="Arial"/>
                <w:sz w:val="18"/>
                <w:szCs w:val="18"/>
                <w:color w:val="0000FF"/>
                <w:highlight w:val="white"/>
                <w:w w:val="98"/>
              </w:rPr>
            </w:pPr>
            <w:hyperlink w:anchor="page166">
              <w:r>
                <w:rPr>
                  <w:rFonts w:ascii="Arial" w:cs="Arial" w:eastAsia="Arial" w:hAnsi="Arial"/>
                  <w:sz w:val="18"/>
                  <w:szCs w:val="18"/>
                  <w:color w:val="0000FF"/>
                  <w:highlight w:val="white"/>
                  <w:w w:val="98"/>
                </w:rPr>
                <w:t>Sarbanes-Oxley Act of 2002.</w:t>
              </w:r>
            </w:hyperlink>
          </w:p>
        </w:tc>
        <w:tc>
          <w:tcPr>
            <w:tcW w:w="20" w:type="dxa"/>
            <w:vAlign w:val="bottom"/>
            <w:tcBorders>
              <w:top w:val="single" w:sz="8" w:color="0000FF"/>
              <w:bottom w:val="single" w:sz="8" w:color="0000FF"/>
            </w:tcBorders>
          </w:tcPr>
          <w:p>
            <w:pPr>
              <w:spacing w:after="0"/>
              <w:rPr>
                <w:sz w:val="14"/>
                <w:szCs w:val="14"/>
                <w:color w:val="auto"/>
              </w:rPr>
            </w:pPr>
          </w:p>
        </w:tc>
        <w:tc>
          <w:tcPr>
            <w:tcW w:w="7360" w:type="dxa"/>
            <w:vAlign w:val="bottom"/>
            <w:tcBorders>
              <w:top w:val="single" w:sz="8" w:color="0000FF"/>
            </w:tcBorders>
            <w:gridSpan w:val="24"/>
          </w:tcPr>
          <w:p>
            <w:pPr>
              <w:spacing w:after="0"/>
              <w:rPr>
                <w:sz w:val="14"/>
                <w:szCs w:val="14"/>
                <w:color w:val="auto"/>
              </w:rPr>
            </w:pPr>
          </w:p>
        </w:tc>
        <w:tc>
          <w:tcPr>
            <w:tcW w:w="60" w:type="dxa"/>
            <w:vAlign w:val="bottom"/>
            <w:tcBorders>
              <w:top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8"/>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9760" w:type="dxa"/>
            <w:vAlign w:val="bottom"/>
            <w:gridSpan w:val="32"/>
          </w:tcPr>
          <w:p>
            <w:pPr>
              <w:spacing w:after="0"/>
              <w:rPr>
                <w:rFonts w:ascii="Arial" w:cs="Arial" w:eastAsia="Arial" w:hAnsi="Arial"/>
                <w:sz w:val="18"/>
                <w:szCs w:val="18"/>
                <w:color w:val="0000FF"/>
              </w:rPr>
            </w:pPr>
            <w:hyperlink w:anchor="page167">
              <w:r>
                <w:rPr>
                  <w:rFonts w:ascii="Arial" w:cs="Arial" w:eastAsia="Arial" w:hAnsi="Arial"/>
                  <w:sz w:val="18"/>
                  <w:szCs w:val="18"/>
                  <w:color w:val="0000FF"/>
                </w:rPr>
                <w:t>Certification of Principal Financial Officer Pursuant to 18 U.S.C. Section 1350, as Adopted Pursuant to Section 906 of the</w:t>
              </w:r>
            </w:hyperlink>
          </w:p>
        </w:tc>
      </w:tr>
      <w:tr>
        <w:trPr>
          <w:trHeight w:val="162"/>
        </w:trPr>
        <w:tc>
          <w:tcPr>
            <w:tcW w:w="1500" w:type="dxa"/>
            <w:vAlign w:val="bottom"/>
          </w:tcPr>
          <w:p>
            <w:pPr>
              <w:spacing w:after="0"/>
              <w:rPr>
                <w:sz w:val="14"/>
                <w:szCs w:val="14"/>
                <w:color w:val="auto"/>
              </w:rPr>
            </w:pPr>
          </w:p>
        </w:tc>
        <w:tc>
          <w:tcPr>
            <w:tcW w:w="2280" w:type="dxa"/>
            <w:vAlign w:val="bottom"/>
            <w:tcBorders>
              <w:bottom w:val="single" w:sz="8" w:color="0000FF"/>
            </w:tcBorders>
            <w:gridSpan w:val="3"/>
          </w:tcPr>
          <w:p>
            <w:pPr>
              <w:spacing w:after="0" w:line="162" w:lineRule="exact"/>
              <w:rPr>
                <w:rFonts w:ascii="Arial" w:cs="Arial" w:eastAsia="Arial" w:hAnsi="Arial"/>
                <w:sz w:val="18"/>
                <w:szCs w:val="18"/>
                <w:color w:val="0000FF"/>
                <w:highlight w:val="white"/>
                <w:w w:val="98"/>
              </w:rPr>
            </w:pPr>
            <w:hyperlink w:anchor="page167">
              <w:r>
                <w:rPr>
                  <w:rFonts w:ascii="Arial" w:cs="Arial" w:eastAsia="Arial" w:hAnsi="Arial"/>
                  <w:sz w:val="18"/>
                  <w:szCs w:val="18"/>
                  <w:color w:val="0000FF"/>
                  <w:highlight w:val="white"/>
                  <w:w w:val="98"/>
                </w:rPr>
                <w:t>Sarbanes-Oxley Act of 2002.</w:t>
              </w:r>
            </w:hyperlink>
          </w:p>
        </w:tc>
        <w:tc>
          <w:tcPr>
            <w:tcW w:w="20" w:type="dxa"/>
            <w:vAlign w:val="bottom"/>
            <w:tcBorders>
              <w:top w:val="single" w:sz="8" w:color="0000FF"/>
              <w:bottom w:val="single" w:sz="8" w:color="0000FF"/>
            </w:tcBorders>
          </w:tcPr>
          <w:p>
            <w:pPr>
              <w:spacing w:after="0"/>
              <w:rPr>
                <w:sz w:val="14"/>
                <w:szCs w:val="14"/>
                <w:color w:val="auto"/>
              </w:rPr>
            </w:pPr>
          </w:p>
        </w:tc>
        <w:tc>
          <w:tcPr>
            <w:tcW w:w="7360" w:type="dxa"/>
            <w:vAlign w:val="bottom"/>
            <w:tcBorders>
              <w:top w:val="single" w:sz="8" w:color="0000FF"/>
            </w:tcBorders>
            <w:gridSpan w:val="24"/>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331"/>
        </w:trPr>
        <w:tc>
          <w:tcPr>
            <w:tcW w:w="1500" w:type="dxa"/>
            <w:vAlign w:val="bottom"/>
          </w:tcPr>
          <w:p>
            <w:pPr>
              <w:ind w:left="20"/>
              <w:spacing w:after="0"/>
              <w:rPr>
                <w:sz w:val="20"/>
                <w:szCs w:val="20"/>
                <w:color w:val="auto"/>
              </w:rPr>
            </w:pPr>
            <w:r>
              <w:rPr>
                <w:rFonts w:ascii="Arial" w:cs="Arial" w:eastAsia="Arial" w:hAnsi="Arial"/>
                <w:sz w:val="18"/>
                <w:szCs w:val="18"/>
                <w:color w:val="auto"/>
              </w:rPr>
              <w:t>101.INS</w:t>
            </w:r>
          </w:p>
        </w:tc>
        <w:tc>
          <w:tcPr>
            <w:tcW w:w="9760" w:type="dxa"/>
            <w:vAlign w:val="bottom"/>
            <w:gridSpan w:val="32"/>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39"/>
        </w:trPr>
        <w:tc>
          <w:tcPr>
            <w:tcW w:w="1500" w:type="dxa"/>
            <w:vAlign w:val="bottom"/>
          </w:tcPr>
          <w:p>
            <w:pPr>
              <w:spacing w:after="0"/>
              <w:rPr>
                <w:sz w:val="20"/>
                <w:szCs w:val="20"/>
                <w:color w:val="auto"/>
              </w:rPr>
            </w:pPr>
          </w:p>
        </w:tc>
        <w:tc>
          <w:tcPr>
            <w:tcW w:w="9760" w:type="dxa"/>
            <w:vAlign w:val="bottom"/>
            <w:gridSpan w:val="32"/>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59"/>
        </w:trPr>
        <w:tc>
          <w:tcPr>
            <w:tcW w:w="1500" w:type="dxa"/>
            <w:vAlign w:val="bottom"/>
          </w:tcPr>
          <w:p>
            <w:pPr>
              <w:ind w:left="20"/>
              <w:spacing w:after="0"/>
              <w:rPr>
                <w:sz w:val="20"/>
                <w:szCs w:val="20"/>
                <w:color w:val="auto"/>
              </w:rPr>
            </w:pPr>
            <w:r>
              <w:rPr>
                <w:rFonts w:ascii="Arial" w:cs="Arial" w:eastAsia="Arial" w:hAnsi="Arial"/>
                <w:sz w:val="18"/>
                <w:szCs w:val="18"/>
                <w:color w:val="auto"/>
              </w:rPr>
              <w:t>101.SCH</w:t>
            </w:r>
          </w:p>
        </w:tc>
        <w:tc>
          <w:tcPr>
            <w:tcW w:w="976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13"/>
        </w:trPr>
        <w:tc>
          <w:tcPr>
            <w:tcW w:w="1500" w:type="dxa"/>
            <w:vAlign w:val="bottom"/>
          </w:tcPr>
          <w:p>
            <w:pPr>
              <w:spacing w:after="0"/>
              <w:rPr>
                <w:sz w:val="24"/>
                <w:szCs w:val="24"/>
                <w:color w:val="auto"/>
              </w:rPr>
            </w:pPr>
          </w:p>
        </w:tc>
        <w:tc>
          <w:tcPr>
            <w:tcW w:w="6420" w:type="dxa"/>
            <w:vAlign w:val="bottom"/>
            <w:gridSpan w:val="6"/>
          </w:tcPr>
          <w:p>
            <w:pPr>
              <w:ind w:left="398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15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-3977005</wp:posOffset>
            </wp:positionV>
            <wp:extent cx="3175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1">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6904990</wp:posOffset>
            </wp:positionH>
            <wp:positionV relativeFrom="paragraph">
              <wp:posOffset>-3068320</wp:posOffset>
            </wp:positionV>
            <wp:extent cx="3175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2">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4" w:name="page145"/>
    <w:bookmarkEnd w:id="144"/>
    <w:tbl>
      <w:tblPr>
        <w:tblLayout w:type="fixed"/>
        <w:tblInd w:w="2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5740" w:type="dxa"/>
            <w:vAlign w:val="bottom"/>
          </w:tcPr>
          <w:p>
            <w:pPr>
              <w:ind w:left="3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5"/>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5740" w:type="dxa"/>
            <w:vAlign w:val="bottom"/>
          </w:tcPr>
          <w:p>
            <w:pPr>
              <w:ind w:left="3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5740" w:type="dxa"/>
            <w:vAlign w:val="bottom"/>
          </w:tcPr>
          <w:p>
            <w:pPr>
              <w:ind w:left="3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5740" w:type="dxa"/>
            <w:vAlign w:val="bottom"/>
          </w:tcPr>
          <w:p>
            <w:pPr>
              <w:ind w:left="380"/>
              <w:spacing w:after="0"/>
              <w:rPr>
                <w:sz w:val="20"/>
                <w:szCs w:val="20"/>
                <w:color w:val="auto"/>
              </w:rPr>
            </w:pPr>
            <w:r>
              <w:rPr>
                <w:rFonts w:ascii="Arial" w:cs="Arial" w:eastAsia="Arial" w:hAnsi="Arial"/>
                <w:sz w:val="18"/>
                <w:szCs w:val="18"/>
                <w:color w:val="auto"/>
                <w:w w:val="99"/>
              </w:rPr>
              <w:t>Inline XBRL Taxonomy Extension Presentation Linkbase Document</w:t>
            </w:r>
          </w:p>
        </w:tc>
      </w:tr>
    </w:tbl>
    <w:p>
      <w:pPr>
        <w:spacing w:after="0" w:line="126" w:lineRule="exact"/>
        <w:rPr>
          <w:sz w:val="20"/>
          <w:szCs w:val="20"/>
          <w:color w:val="auto"/>
        </w:rPr>
      </w:pPr>
    </w:p>
    <w:p>
      <w:pPr>
        <w:ind w:left="1500" w:hanging="1479"/>
        <w:spacing w:after="0"/>
        <w:tabs>
          <w:tab w:leader="none" w:pos="15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6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4230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85" w:right="1440" w:bottom="1440" w:gutter="0" w:footer="0" w:header="0"/>
        </w:sectPr>
      </w:pPr>
    </w:p>
    <w:bookmarkStart w:id="145" w:name="page146"/>
    <w:bookmarkEnd w:id="145"/>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FLYWIRE CORPORATION</w:t>
      </w:r>
    </w:p>
    <w:p>
      <w:pPr>
        <w:sectPr>
          <w:pgSz w:w="11900" w:h="16838" w:orient="portrait"/>
          <w:cols w:equalWidth="0" w:num="1">
            <w:col w:w="10840"/>
          </w:cols>
          <w:pgMar w:left="320" w:top="323" w:right="739" w:bottom="1440" w:gutter="0" w:footer="0" w:header="0"/>
        </w:sect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Date: March 29, 2022</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 Michael Massaro</w:t>
      </w:r>
    </w:p>
    <w:p>
      <w:pPr>
        <w:spacing w:after="0" w:line="21" w:lineRule="exact"/>
        <w:rPr>
          <w:sz w:val="20"/>
          <w:szCs w:val="20"/>
          <w:color w:val="auto"/>
        </w:rPr>
      </w:pPr>
    </w:p>
    <w:p>
      <w:pPr>
        <w:sectPr>
          <w:pgSz w:w="11900" w:h="16838" w:orient="portrait"/>
          <w:cols w:equalWidth="0" w:num="3">
            <w:col w:w="4180" w:space="720"/>
            <w:col w:w="1900" w:space="720"/>
            <w:col w:w="3320"/>
          </w:cols>
          <w:pgMar w:left="320" w:top="323" w:right="739" w:bottom="1440" w:gutter="0" w:footer="0" w:header="0"/>
          <w:type w:val="continuous"/>
        </w:sectPr>
      </w:pPr>
    </w:p>
    <w:p>
      <w:pPr>
        <w:jc w:val="center"/>
        <w:ind w:left="5520"/>
        <w:spacing w:after="0"/>
        <w:rPr>
          <w:sz w:val="20"/>
          <w:szCs w:val="20"/>
          <w:color w:val="auto"/>
        </w:rPr>
      </w:pPr>
      <w:r>
        <w:rPr>
          <w:rFonts w:ascii="Arial" w:cs="Arial" w:eastAsia="Arial" w:hAnsi="Arial"/>
          <w:sz w:val="18"/>
          <w:szCs w:val="18"/>
          <w:b w:val="1"/>
          <w:bCs w:val="1"/>
          <w:color w:val="auto"/>
        </w:rPr>
        <w:t>Michael Massaro</w:t>
      </w:r>
    </w:p>
    <w:p>
      <w:pPr>
        <w:jc w:val="center"/>
        <w:ind w:left="5520"/>
        <w:spacing w:after="0"/>
        <w:rPr>
          <w:sz w:val="20"/>
          <w:szCs w:val="20"/>
          <w:color w:val="auto"/>
        </w:rPr>
      </w:pPr>
      <w:r>
        <w:rPr>
          <w:rFonts w:ascii="Arial" w:cs="Arial" w:eastAsia="Arial" w:hAnsi="Arial"/>
          <w:sz w:val="17"/>
          <w:szCs w:val="17"/>
          <w:color w:val="auto"/>
        </w:rPr>
        <w:t>Chief Executive Officer and Director</w:t>
      </w:r>
    </w:p>
    <w:p>
      <w:pPr>
        <w:spacing w:after="0" w:line="30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23" w:right="739" w:bottom="144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w:t>
      </w:r>
      <w:r>
        <w:rPr>
          <w:rFonts w:ascii="Arial" w:cs="Arial" w:eastAsia="Arial" w:hAnsi="Arial"/>
          <w:sz w:val="18"/>
          <w:szCs w:val="18"/>
          <w:i w:val="1"/>
          <w:iCs w:val="1"/>
          <w:color w:val="auto"/>
        </w:rPr>
        <w:t xml:space="preserve"> </w:t>
      </w:r>
      <w:r>
        <w:rPr>
          <w:rFonts w:ascii="Arial" w:cs="Arial" w:eastAsia="Arial" w:hAnsi="Arial"/>
          <w:sz w:val="18"/>
          <w:szCs w:val="18"/>
          <w:color w:val="auto"/>
        </w:rPr>
        <w:t>Michael Massaro and Michael Ellis, and each of them, as his or her true and lawful attorneys-in-fact, proxies,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40"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this Annual Report on Form 10-K has been signed by the following persons on behalf of the registrant and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rPr>
              <w:t>Signature</w:t>
            </w:r>
          </w:p>
        </w:tc>
        <w:tc>
          <w:tcPr>
            <w:tcW w:w="2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14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Michael Massaro</w:t>
            </w:r>
          </w:p>
        </w:tc>
        <w:tc>
          <w:tcPr>
            <w:tcW w:w="20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March 29, 2022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41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(Principal Executive Officer)</w:t>
            </w:r>
          </w:p>
        </w:tc>
        <w:tc>
          <w:tcPr>
            <w:tcW w:w="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jc w:val="center"/>
              <w:spacing w:after="0" w:line="142" w:lineRule="exact"/>
              <w:rPr>
                <w:sz w:val="20"/>
                <w:szCs w:val="20"/>
                <w:color w:val="auto"/>
              </w:rPr>
            </w:pPr>
            <w:r>
              <w:rPr>
                <w:rFonts w:ascii="Arial" w:cs="Arial" w:eastAsia="Arial" w:hAnsi="Arial"/>
                <w:sz w:val="16"/>
                <w:szCs w:val="16"/>
                <w:color w:val="auto"/>
              </w:rPr>
              <w:t>Michael Massaro</w:t>
            </w:r>
          </w:p>
        </w:tc>
        <w:tc>
          <w:tcPr>
            <w:tcW w:w="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rPr>
              <w:t>March 29, 2022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w w:val="99"/>
              </w:rPr>
              <w:t>/s/ Michael Ellis</w:t>
            </w:r>
          </w:p>
        </w:tc>
        <w:tc>
          <w:tcPr>
            <w:tcW w:w="200" w:type="dxa"/>
            <w:vAlign w:val="bottom"/>
          </w:tcPr>
          <w:p>
            <w:pPr>
              <w:spacing w:after="0"/>
              <w:rPr>
                <w:sz w:val="15"/>
                <w:szCs w:val="15"/>
                <w:color w:val="auto"/>
              </w:rPr>
            </w:pPr>
          </w:p>
        </w:tc>
        <w:tc>
          <w:tcPr>
            <w:tcW w:w="4160" w:type="dxa"/>
            <w:vAlign w:val="bottom"/>
          </w:tcPr>
          <w:p>
            <w:pPr>
              <w:jc w:val="center"/>
              <w:spacing w:after="0" w:line="176" w:lineRule="exact"/>
              <w:rPr>
                <w:sz w:val="20"/>
                <w:szCs w:val="20"/>
                <w:color w:val="auto"/>
              </w:rPr>
            </w:pPr>
            <w:r>
              <w:rPr>
                <w:rFonts w:ascii="Arial" w:cs="Arial" w:eastAsia="Arial" w:hAnsi="Arial"/>
                <w:sz w:val="18"/>
                <w:szCs w:val="18"/>
                <w:color w:val="auto"/>
                <w:w w:val="99"/>
              </w:rPr>
              <w:t>Chief Financial Officer</w:t>
            </w:r>
          </w:p>
        </w:tc>
        <w:tc>
          <w:tcPr>
            <w:tcW w:w="1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41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(Principal Financial and Accounting Officer)</w:t>
            </w:r>
          </w:p>
        </w:tc>
        <w:tc>
          <w:tcPr>
            <w:tcW w:w="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jc w:val="center"/>
              <w:spacing w:after="0" w:line="142" w:lineRule="exact"/>
              <w:rPr>
                <w:sz w:val="20"/>
                <w:szCs w:val="20"/>
                <w:color w:val="auto"/>
              </w:rPr>
            </w:pPr>
            <w:r>
              <w:rPr>
                <w:rFonts w:ascii="Arial" w:cs="Arial" w:eastAsia="Arial" w:hAnsi="Arial"/>
                <w:sz w:val="16"/>
                <w:szCs w:val="16"/>
                <w:color w:val="auto"/>
              </w:rPr>
              <w:t>Michael Ellis</w:t>
            </w:r>
          </w:p>
        </w:tc>
        <w:tc>
          <w:tcPr>
            <w:tcW w:w="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rPr>
              <w:t>March 29, 2022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Phillip Riese</w:t>
            </w:r>
          </w:p>
        </w:tc>
        <w:tc>
          <w:tcPr>
            <w:tcW w:w="20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w:t>
            </w:r>
          </w:p>
        </w:tc>
        <w:tc>
          <w:tcPr>
            <w:tcW w:w="14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Phillip Riese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rPr>
              <w:t>March 29, 2022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Yvonne Hao</w:t>
            </w:r>
          </w:p>
        </w:tc>
        <w:tc>
          <w:tcPr>
            <w:tcW w:w="20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7"/>
                <w:szCs w:val="17"/>
                <w:color w:val="auto"/>
              </w:rPr>
              <w:t>Yvonne Hao</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13"/>
                <w:szCs w:val="13"/>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rPr>
              <w:t>March 29, 2022</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Jo Natauri</w:t>
            </w:r>
          </w:p>
        </w:tc>
        <w:tc>
          <w:tcPr>
            <w:tcW w:w="20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Jo Natauri</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rPr>
              <w:t>March 29, 2022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Alex Finkelstein</w:t>
            </w:r>
          </w:p>
        </w:tc>
        <w:tc>
          <w:tcPr>
            <w:tcW w:w="20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Alex Finkelstein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rPr>
              <w:t>March 29, 2022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 Matt Harris</w:t>
            </w:r>
          </w:p>
        </w:tc>
        <w:tc>
          <w:tcPr>
            <w:tcW w:w="20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Matt Harris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14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rPr>
              <w:t>March 29, 2022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/s/ Edwin Santos</w:t>
            </w:r>
          </w:p>
        </w:tc>
        <w:tc>
          <w:tcPr>
            <w:tcW w:w="20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Edwin Santos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3"/>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2"/>
          </w:tcPr>
          <w:p>
            <w:pPr>
              <w:jc w:val="right"/>
              <w:ind w:right="261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16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DESCRIPTION OF REGISTRANT’S SECURITIES</w:t>
      </w:r>
    </w:p>
    <w:p>
      <w:pPr>
        <w:ind w:left="3240"/>
        <w:spacing w:after="0" w:line="237" w:lineRule="auto"/>
        <w:rPr>
          <w:sz w:val="20"/>
          <w:szCs w:val="20"/>
          <w:color w:val="auto"/>
        </w:rPr>
      </w:pPr>
      <w:r>
        <w:rPr>
          <w:rFonts w:ascii="Times New Roman" w:cs="Times New Roman" w:eastAsia="Times New Roman" w:hAnsi="Times New Roman"/>
          <w:sz w:val="20"/>
          <w:szCs w:val="20"/>
          <w:b w:val="1"/>
          <w:bCs w:val="1"/>
          <w:color w:val="auto"/>
        </w:rPr>
        <w:t>REGISTERED PURSUANT TO SECTION 13 OF THE</w:t>
      </w:r>
    </w:p>
    <w:p>
      <w:pPr>
        <w:spacing w:after="0" w:line="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SECURITIES EXCHANGE ACT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VOTING COMMON STOCK</w:t>
      </w:r>
    </w:p>
    <w:p>
      <w:pPr>
        <w:spacing w:after="0" w:line="166" w:lineRule="exact"/>
        <w:rPr>
          <w:sz w:val="20"/>
          <w:szCs w:val="20"/>
          <w:color w:val="auto"/>
        </w:rPr>
      </w:pPr>
    </w:p>
    <w:p>
      <w:pPr>
        <w:ind w:right="40"/>
        <w:spacing w:after="0" w:line="225" w:lineRule="exact"/>
        <w:rPr>
          <w:sz w:val="20"/>
          <w:szCs w:val="20"/>
          <w:color w:val="auto"/>
        </w:rPr>
      </w:pPr>
      <w:r>
        <w:rPr>
          <w:rFonts w:ascii="Times New Roman" w:cs="Times New Roman" w:eastAsia="Times New Roman" w:hAnsi="Times New Roman"/>
          <w:sz w:val="20"/>
          <w:szCs w:val="20"/>
          <w:color w:val="auto"/>
        </w:rPr>
        <w:t>The following description of the voting common stock, par value $0.0001 per share, of Flywire Corporation (“Flywire” or the “Company”), which is the only security of the Company registered under Section 12 of the Securities Exchange Act of 1934, as amended (the “Exchange Act”), summarizes certain information regarding the voting common stock in the Company’s amended and restated certificate of incorporation, as amended (“Restated Certificate of Incorporation”), the Company’s amended and restated bylaws (“Bylaws”) and applicable provisions of the Delaware general corporate law (the “DGCL”). The summary below is not complete and is subject to, and is qualified in its entirety by express reference to, the provisions of the Restated Certificate of Incorporation and Bylaws, each of which is filed as an exhibit to the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of which this Exhibit 4.1 is a part.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Stock</w:t>
      </w:r>
    </w:p>
    <w:p>
      <w:pPr>
        <w:spacing w:after="0" w:line="206"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20"/>
          <w:szCs w:val="20"/>
          <w:color w:val="auto"/>
        </w:rPr>
        <w:t>Under the Restated Certificate of Incorporation, Flywire’s authorized capital stock consists of 2,000,000,000 shares of voting common stock, $0.0001 par value per share, 10,000,000 shares of non-voting common stock, $0.0001 par value per share and 10,000,000 shares of preferred stock, $0.0001 par value per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Common Stock and Non-voting Common Stock</w:t>
      </w:r>
    </w:p>
    <w:p>
      <w:pPr>
        <w:spacing w:after="0" w:line="20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i w:val="1"/>
          <w:iCs w:val="1"/>
          <w:color w:val="auto"/>
        </w:rPr>
        <w:t>General</w:t>
      </w:r>
      <w:r>
        <w:rPr>
          <w:rFonts w:ascii="Times New Roman" w:cs="Times New Roman" w:eastAsia="Times New Roman" w:hAnsi="Times New Roman"/>
          <w:sz w:val="19"/>
          <w:szCs w:val="19"/>
          <w:color w:val="auto"/>
        </w:rPr>
        <w:t>. The holders of the Company’s common stock and non-voting common stock have identical rights, provided that, (i) except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otherwise expressly provided in the Restated Certificate of Incorporation or as required by applicable law, on any matter that is submitted to a vote by the Company’s stockholders, holders of the Company’s common stock are entitled to one vote per share of common stock, and holders of non-voting common stock are not entitled to any votes per share of non-voting common stock, including for the election of directors, and (ii) holders of the Company’s common stock have no conversion rights, while each share of non-voting common stock automatically converts into common stock on a one-to-one basis without the payment of additional consideration upon the transfer thereof in</w:t>
      </w:r>
    </w:p>
    <w:p>
      <w:pPr>
        <w:ind w:right="20" w:firstLine="8"/>
        <w:spacing w:after="0" w:line="228" w:lineRule="auto"/>
        <w:tabs>
          <w:tab w:leader="none" w:pos="23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widespread public distribution, including pursuant to Rule 144 under the Securities Act of 1933, as amended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7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Flywire Common Stock Outstanding. </w:t>
      </w:r>
      <w:r>
        <w:rPr>
          <w:rFonts w:ascii="Times New Roman" w:cs="Times New Roman" w:eastAsia="Times New Roman" w:hAnsi="Times New Roman"/>
          <w:sz w:val="20"/>
          <w:szCs w:val="20"/>
          <w:color w:val="auto"/>
        </w:rPr>
        <w:t>The outstanding shares of the Company’s common stock are duly authorized, validly issued, fully paid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nonassessable. The Company’s voting common stock is listed and principally traded on The Nasdaq Global Select Market under the ticker symbol “FLYW.”</w:t>
      </w:r>
    </w:p>
    <w:p>
      <w:pPr>
        <w:spacing w:after="0" w:line="168"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0"/>
          <w:szCs w:val="20"/>
          <w:i w:val="1"/>
          <w:iCs w:val="1"/>
          <w:color w:val="auto"/>
        </w:rPr>
        <w:t>Voting Rights</w:t>
      </w:r>
      <w:r>
        <w:rPr>
          <w:rFonts w:ascii="Times New Roman" w:cs="Times New Roman" w:eastAsia="Times New Roman" w:hAnsi="Times New Roman"/>
          <w:sz w:val="20"/>
          <w:szCs w:val="20"/>
          <w:color w:val="auto"/>
        </w:rPr>
        <w:t>. The holders of the Company’s voting common stock are entitled to one vote per share. Stockholders do not have the ability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cumulate votes for the election of directors. Holders of shares of the Company’s non-voting common stock are not entitled to vote on any matters on which stockholders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DOCPROPERTY"SWDocID" GDSVF&amp;H\GD Draft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8" w:name="page149"/>
    <w:bookmarkEnd w:id="148"/>
    <w:p>
      <w:pPr>
        <w:ind w:right="20"/>
        <w:spacing w:after="0" w:line="234" w:lineRule="auto"/>
        <w:rPr>
          <w:sz w:val="20"/>
          <w:szCs w:val="20"/>
          <w:color w:val="auto"/>
        </w:rPr>
      </w:pPr>
      <w:r>
        <w:rPr>
          <w:rFonts w:ascii="Times New Roman" w:cs="Times New Roman" w:eastAsia="Times New Roman" w:hAnsi="Times New Roman"/>
          <w:sz w:val="20"/>
          <w:szCs w:val="20"/>
          <w:color w:val="auto"/>
        </w:rPr>
        <w:t>are entitled to vote generally, including the election or removal of directors elected by the Company’s stockholders. Accordingly, holders of a majority of the Company’s voting common stock entitled to vote at an election of directors may elect all of the directors standing for election. The Restated Certificate of Incorporation and Bylaws provide for a classified board of directors consisting of three classes of approximately equal size, each serving staggered three-year terms. Only one class of directors will be elected at each annual meeting of the Company’s stockholders, with the other classes continuing for the remainder of their respective three-year terms.</w:t>
      </w:r>
    </w:p>
    <w:p>
      <w:pPr>
        <w:spacing w:after="0" w:line="17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Subject to preferences that may apply to shares of preferred stock outstanding at the time, the holders of outstanding shares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voting common stock and non-voting common stock are entitled to receive dividends out of funds legally available if the Company’s board of directors, in its discretion, determines to issue dividends and only then at the times and in the amounts that the Company’s board of directors may determine.</w:t>
      </w:r>
    </w:p>
    <w:p>
      <w:pPr>
        <w:spacing w:after="0" w:line="17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i w:val="1"/>
          <w:iCs w:val="1"/>
          <w:color w:val="auto"/>
        </w:rPr>
        <w:t>Liquidation</w:t>
      </w:r>
      <w:r>
        <w:rPr>
          <w:rFonts w:ascii="Times New Roman" w:cs="Times New Roman" w:eastAsia="Times New Roman" w:hAnsi="Times New Roman"/>
          <w:sz w:val="20"/>
          <w:szCs w:val="20"/>
          <w:color w:val="auto"/>
        </w:rPr>
        <w:t>. Upon the Company’s dissolution, liquidation or winding-up, the assets legally available for distribution to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stockholders are distributable ratably among the holders of the Company’s common stock, subject to prior satisfaction of all outstanding debt and liabilities and the preferential rights and payment of liquidation preferences, if any, on any outstanding shares of preferred stock.</w:t>
      </w:r>
    </w:p>
    <w:p>
      <w:pPr>
        <w:spacing w:after="0" w:line="1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i w:val="1"/>
          <w:iCs w:val="1"/>
          <w:color w:val="auto"/>
        </w:rPr>
        <w:t>No Preemptive or Similar Rights</w:t>
      </w:r>
      <w:r>
        <w:rPr>
          <w:rFonts w:ascii="Times New Roman" w:cs="Times New Roman" w:eastAsia="Times New Roman" w:hAnsi="Times New Roman"/>
          <w:sz w:val="20"/>
          <w:szCs w:val="20"/>
          <w:color w:val="auto"/>
        </w:rPr>
        <w:t>.The Company’s voting common stock and non-voting common stock is not entitled to preemptive rights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not subject to conversion, redemption or sinking fund provisions.</w:t>
      </w:r>
    </w:p>
    <w:p>
      <w:pPr>
        <w:spacing w:after="0" w:line="152" w:lineRule="exact"/>
        <w:rPr>
          <w:sz w:val="20"/>
          <w:szCs w:val="20"/>
          <w:color w:val="auto"/>
        </w:rPr>
      </w:pPr>
    </w:p>
    <w:p>
      <w:pPr>
        <w:ind w:right="1820"/>
        <w:spacing w:after="0" w:line="452" w:lineRule="auto"/>
        <w:rPr>
          <w:sz w:val="20"/>
          <w:szCs w:val="20"/>
          <w:color w:val="auto"/>
        </w:rPr>
      </w:pPr>
      <w:r>
        <w:rPr>
          <w:rFonts w:ascii="Times New Roman" w:cs="Times New Roman" w:eastAsia="Times New Roman" w:hAnsi="Times New Roman"/>
          <w:sz w:val="20"/>
          <w:szCs w:val="20"/>
          <w:i w:val="1"/>
          <w:iCs w:val="1"/>
          <w:color w:val="auto"/>
        </w:rPr>
        <w:t xml:space="preserve">Transfer Agent and Registrar. </w:t>
      </w:r>
      <w:r>
        <w:rPr>
          <w:rFonts w:ascii="Times New Roman" w:cs="Times New Roman" w:eastAsia="Times New Roman" w:hAnsi="Times New Roman"/>
          <w:sz w:val="20"/>
          <w:szCs w:val="20"/>
          <w:color w:val="auto"/>
        </w:rPr>
        <w:t>The transfer agent and registrar for the Company’s common stock is Computershare Inc.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color w:val="auto"/>
        </w:rPr>
        <w:t>Preferred Stock</w:t>
      </w:r>
    </w:p>
    <w:p>
      <w:pPr>
        <w:spacing w:after="0" w:line="2"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0"/>
          <w:szCs w:val="20"/>
          <w:color w:val="auto"/>
        </w:rPr>
        <w:t>The Company’s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The Company’s board of directors also can increase or decrease the number of shares of any series, but not below the number of shares of that series then outstanding, without any further vote or action by the Company’s stockholders. The Company’s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the Company’s voting common stock and the voting and other rights of the holders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Anti-Takeover Effects of Delaware Law</w:t>
      </w:r>
    </w:p>
    <w:p>
      <w:pPr>
        <w:spacing w:after="0" w:line="206" w:lineRule="exact"/>
        <w:rPr>
          <w:sz w:val="20"/>
          <w:szCs w:val="20"/>
          <w:color w:val="auto"/>
        </w:rPr>
      </w:pPr>
    </w:p>
    <w:p>
      <w:pPr>
        <w:jc w:val="both"/>
        <w:ind w:right="460"/>
        <w:spacing w:after="0"/>
        <w:rPr>
          <w:sz w:val="20"/>
          <w:szCs w:val="20"/>
          <w:color w:val="auto"/>
        </w:rPr>
      </w:pPr>
      <w:r>
        <w:rPr>
          <w:rFonts w:ascii="Times New Roman" w:cs="Times New Roman" w:eastAsia="Times New Roman" w:hAnsi="Times New Roman"/>
          <w:sz w:val="20"/>
          <w:szCs w:val="20"/>
          <w:color w:val="auto"/>
        </w:rPr>
        <w:t>Some provisions of Delaware law and the Restated Certificate of Incorporation and Bylaws could make the following transactions more difficult: the Company’s acquisition by means of a tender offer; the Company’s acquisition by means of a proxy contest or otherwise; or removal of the Company’s incumbent officers and directors.</w:t>
      </w:r>
    </w:p>
    <w:p>
      <w:pPr>
        <w:spacing w:after="0" w:line="174"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9"/>
          <w:szCs w:val="19"/>
          <w:color w:val="auto"/>
        </w:rPr>
        <w:t>Section 203 of the DGCL is applicable to takeovers of Delaware corporations. Section 203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w:t>
      </w:r>
    </w:p>
    <w:p>
      <w:pPr>
        <w:ind w:left="40"/>
        <w:spacing w:after="0"/>
        <w:rPr>
          <w:sz w:val="20"/>
          <w:szCs w:val="20"/>
          <w:color w:val="auto"/>
        </w:rPr>
      </w:pPr>
      <w:r>
        <w:rPr>
          <w:rFonts w:ascii="Times New Roman" w:cs="Times New Roman" w:eastAsia="Times New Roman" w:hAnsi="Times New Roman"/>
          <w:sz w:val="14"/>
          <w:szCs w:val="14"/>
          <w:color w:val="auto"/>
        </w:rPr>
        <w:t>DOCPROPERTY"SWDocID" GDSVF&amp;H\GD Draft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color w:val="auto"/>
        </w:rPr>
        <w:t>the determination of interested stockholder status, did own 15% or more of the corporation’s outstanding voting stock, unless:</w:t>
      </w:r>
    </w:p>
    <w:p>
      <w:pPr>
        <w:spacing w:after="0" w:line="202" w:lineRule="exact"/>
        <w:rPr>
          <w:sz w:val="20"/>
          <w:szCs w:val="20"/>
          <w:color w:val="auto"/>
        </w:rPr>
      </w:pPr>
    </w:p>
    <w:p>
      <w:pPr>
        <w:ind w:left="820" w:right="820" w:hanging="382"/>
        <w:spacing w:after="0" w:line="255" w:lineRule="auto"/>
        <w:tabs>
          <w:tab w:leader="none" w:pos="8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is approved by the board of directors prior to the time that the interested stockholder became an interested stockholder;</w:t>
      </w:r>
    </w:p>
    <w:p>
      <w:pPr>
        <w:spacing w:after="0" w:line="159" w:lineRule="exact"/>
        <w:rPr>
          <w:rFonts w:ascii="Times New Roman" w:cs="Times New Roman" w:eastAsia="Times New Roman" w:hAnsi="Times New Roman"/>
          <w:sz w:val="20"/>
          <w:szCs w:val="20"/>
          <w:color w:val="auto"/>
        </w:rPr>
      </w:pPr>
    </w:p>
    <w:p>
      <w:pPr>
        <w:ind w:left="820" w:hanging="382"/>
        <w:spacing w:after="0" w:line="234" w:lineRule="auto"/>
        <w:tabs>
          <w:tab w:leader="none" w:pos="8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4" w:lineRule="exact"/>
        <w:rPr>
          <w:rFonts w:ascii="Times New Roman" w:cs="Times New Roman" w:eastAsia="Times New Roman" w:hAnsi="Times New Roman"/>
          <w:sz w:val="20"/>
          <w:szCs w:val="20"/>
          <w:color w:val="auto"/>
        </w:rPr>
      </w:pPr>
    </w:p>
    <w:p>
      <w:pPr>
        <w:ind w:left="820" w:right="160" w:hanging="382"/>
        <w:spacing w:after="0"/>
        <w:tabs>
          <w:tab w:leader="none" w:pos="8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7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The Company has not opted out of these provisions. As a result, mergers or other takeover or change in control attempts of the Company may be discouraged or prevented.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Provisions of the Company’s Restated Certificate of Incorporation and Bylaws</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Restated Certificate of Incorporation and Bylaws contain provisions that may have the effect of deterring hostile takeovers or delaying or preventing changes in control of the Company’s management team, including the following:</w:t>
      </w:r>
    </w:p>
    <w:p>
      <w:pPr>
        <w:spacing w:after="0" w:line="142" w:lineRule="exact"/>
        <w:rPr>
          <w:sz w:val="20"/>
          <w:szCs w:val="20"/>
          <w:color w:val="auto"/>
        </w:rPr>
      </w:pPr>
    </w:p>
    <w:p>
      <w:pPr>
        <w:ind w:left="20" w:right="80"/>
        <w:spacing w:after="0" w:line="223" w:lineRule="auto"/>
        <w:rPr>
          <w:sz w:val="20"/>
          <w:szCs w:val="20"/>
          <w:color w:val="auto"/>
        </w:rPr>
      </w:pPr>
      <w:r>
        <w:rPr>
          <w:rFonts w:ascii="Times New Roman" w:cs="Times New Roman" w:eastAsia="Times New Roman" w:hAnsi="Times New Roman"/>
          <w:sz w:val="20"/>
          <w:szCs w:val="20"/>
          <w:i w:val="1"/>
          <w:iCs w:val="1"/>
          <w:color w:val="auto"/>
        </w:rPr>
        <w:t>Board of directors vacancies</w:t>
      </w:r>
      <w:r>
        <w:rPr>
          <w:rFonts w:ascii="Times New Roman" w:cs="Times New Roman" w:eastAsia="Times New Roman" w:hAnsi="Times New Roman"/>
          <w:sz w:val="20"/>
          <w:szCs w:val="20"/>
          <w:color w:val="auto"/>
        </w:rPr>
        <w:t>. The Restated Certificate of Incorporation and Bylaws authorize the Company’s board of directors to fill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vacant directorships, including newly-created seats. In addition, the number of directors constituting the Company’s board of directors will be set only by resolution adopted by a majority vote of the Company’s entire board of directors. These provisions will prevent a stockholder from increasing the size of the Company’s board of directors and gaining control of the Company’s board of directors by filling the resulting vacancies with its own nominees.</w:t>
      </w:r>
    </w:p>
    <w:p>
      <w:pPr>
        <w:spacing w:after="0" w:line="187" w:lineRule="exact"/>
        <w:rPr>
          <w:sz w:val="20"/>
          <w:szCs w:val="20"/>
          <w:color w:val="auto"/>
        </w:rPr>
      </w:pPr>
    </w:p>
    <w:p>
      <w:pPr>
        <w:ind w:left="820" w:right="120" w:hanging="232"/>
        <w:spacing w:after="0" w:line="221" w:lineRule="auto"/>
        <w:tabs>
          <w:tab w:leader="none" w:pos="8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Classified board</w:t>
      </w:r>
      <w:r>
        <w:rPr>
          <w:rFonts w:ascii="Times New Roman" w:cs="Times New Roman" w:eastAsia="Times New Roman" w:hAnsi="Times New Roman"/>
          <w:sz w:val="20"/>
          <w:szCs w:val="20"/>
          <w:color w:val="auto"/>
        </w:rPr>
        <w:t>. The Restated Certificate of Incorporation and Bylaws provide that the Company’s board of directors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classified into three classes of directors, each of which will hold office for a three-year term. In addition, directors may only be removed from the board of directors for cause and only by the approval of 66 2/3% of the then-outstanding shares of the Company’s voting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DOCPROPERTY"SWDocID" GDSVF&amp;H\GD Draft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0" w:name="page151"/>
    <w:bookmarkEnd w:id="150"/>
    <w:p>
      <w:pPr>
        <w:ind w:left="820" w:hanging="232"/>
        <w:spacing w:after="0" w:line="221" w:lineRule="auto"/>
        <w:tabs>
          <w:tab w:leader="none" w:pos="8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Stockholder action; special meeting of stockholders</w:t>
      </w:r>
      <w:r>
        <w:rPr>
          <w:rFonts w:ascii="Times New Roman" w:cs="Times New Roman" w:eastAsia="Times New Roman" w:hAnsi="Times New Roman"/>
          <w:sz w:val="20"/>
          <w:szCs w:val="20"/>
          <w:color w:val="auto"/>
        </w:rPr>
        <w:t>. The Restated Certificate of Incorporation and Bylaws provide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stockholders are not be able to take action by written consent, and are only be able to take action at annual or special meetings of the Company’s stockholders. Stockholders are not be permitted to cumulate their votes for the election of directors. The Restated Certificate of Incorporation and Bylaws further provide that special meetings of the Company’s stockholders may be called only by a majority vote of the Company’s entire board of directors, the chairman of the Company’s board of directors or the Company’s chief executive officer.</w:t>
      </w:r>
    </w:p>
    <w:p>
      <w:pPr>
        <w:spacing w:after="0" w:line="187" w:lineRule="exact"/>
        <w:rPr>
          <w:rFonts w:ascii="Times New Roman" w:cs="Times New Roman" w:eastAsia="Times New Roman" w:hAnsi="Times New Roman"/>
          <w:sz w:val="20"/>
          <w:szCs w:val="20"/>
          <w:color w:val="auto"/>
        </w:rPr>
      </w:pPr>
    </w:p>
    <w:p>
      <w:pPr>
        <w:ind w:left="820" w:right="20" w:hanging="232"/>
        <w:spacing w:after="0" w:line="221" w:lineRule="auto"/>
        <w:tabs>
          <w:tab w:leader="none" w:pos="8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Advance notice requirements for stockholder proposals and director nominations. </w:t>
      </w:r>
      <w:r>
        <w:rPr>
          <w:rFonts w:ascii="Times New Roman" w:cs="Times New Roman" w:eastAsia="Times New Roman" w:hAnsi="Times New Roman"/>
          <w:sz w:val="20"/>
          <w:szCs w:val="20"/>
          <w:color w:val="auto"/>
        </w:rPr>
        <w:t>The Restated Certificate of Incorporation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Bylaws provide advance notice procedures for stockholders seeking to bring business before the Company’s annual meeting of stockholders, or to nominate candidates for election as directors at any meeting of stockholders. The Bylaws also specify certain requirements regarding the form and content of a stockholder’s notice. These provisions may preclude the Company’s stockholders from bringing matters before the Company’s annual meeting of stockholders or from making nominations for directors at the Company’s meetings of stockholders.</w:t>
      </w:r>
    </w:p>
    <w:p>
      <w:pPr>
        <w:spacing w:after="0" w:line="187" w:lineRule="exact"/>
        <w:rPr>
          <w:rFonts w:ascii="Times New Roman" w:cs="Times New Roman" w:eastAsia="Times New Roman" w:hAnsi="Times New Roman"/>
          <w:sz w:val="20"/>
          <w:szCs w:val="20"/>
          <w:color w:val="auto"/>
        </w:rPr>
      </w:pPr>
    </w:p>
    <w:p>
      <w:pPr>
        <w:ind w:left="820" w:right="140" w:hanging="232"/>
        <w:spacing w:after="0" w:line="223" w:lineRule="auto"/>
        <w:tabs>
          <w:tab w:leader="none" w:pos="8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Issuance of undesignated preferred stock</w:t>
      </w:r>
      <w:r>
        <w:rPr>
          <w:rFonts w:ascii="Times New Roman" w:cs="Times New Roman" w:eastAsia="Times New Roman" w:hAnsi="Times New Roman"/>
          <w:sz w:val="20"/>
          <w:szCs w:val="20"/>
          <w:color w:val="auto"/>
        </w:rPr>
        <w:t>. The Company’s board of directors have, the authority, without further action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holders of common stock, to issue up to 10,000,000 shares of undesignated preferred stock with rights and preferences, including voting rights, designated from time to time by the board of directors. The existence of authorized but unissued shares of preferred stock will enable the Company’s board of directors to render more difficult or discourage an attempt to obtain control of us by means of a merger, tender offer, proxy contest or otherwise.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Choice of Forum</w:t>
      </w:r>
    </w:p>
    <w:p>
      <w:pPr>
        <w:spacing w:after="0" w:line="179" w:lineRule="exact"/>
        <w:rPr>
          <w:sz w:val="20"/>
          <w:szCs w:val="20"/>
          <w:color w:val="auto"/>
        </w:rPr>
      </w:pPr>
    </w:p>
    <w:p>
      <w:pPr>
        <w:ind w:firstLine="509"/>
        <w:spacing w:after="0" w:line="226" w:lineRule="auto"/>
        <w:rPr>
          <w:sz w:val="20"/>
          <w:szCs w:val="20"/>
          <w:color w:val="auto"/>
        </w:rPr>
      </w:pPr>
      <w:r>
        <w:rPr>
          <w:rFonts w:ascii="Times New Roman" w:cs="Times New Roman" w:eastAsia="Times New Roman" w:hAnsi="Times New Roman"/>
          <w:sz w:val="20"/>
          <w:szCs w:val="20"/>
          <w:color w:val="auto"/>
        </w:rPr>
        <w:t>The Restated Certificate of Incorporation provides that the Court of Chancery of the State of Delaware is the exclusive forum for any derivative action or proceeding brought on the Company’s behalf, any action asserting a breach of fiduciary duty, any action asserting a claim against us arising pursuant to the DGCL, the Restated Certificate of Incorporation and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The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the Company or the Company’s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the Company’s amended and restated certificate of incorporation to be inapplicable or unenforceable in an action, the Company may incur additional costs associated with resolving such action in other jurisdictions, which could harm the Company’s business.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DOCPROPERTY"SWDocID" GDSVF&amp;H\GD Draft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PEERTRANSFER CORPORATION</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AND RESTATED EQUITY INCENTIVE PLAN</w:t>
      </w:r>
    </w:p>
    <w:p>
      <w:pPr>
        <w:spacing w:after="0" w:line="216" w:lineRule="exact"/>
        <w:rPr>
          <w:sz w:val="20"/>
          <w:szCs w:val="20"/>
          <w:color w:val="auto"/>
        </w:rPr>
      </w:pPr>
    </w:p>
    <w:p>
      <w:pPr>
        <w:ind w:right="100" w:firstLine="8"/>
        <w:spacing w:after="0" w:line="245" w:lineRule="auto"/>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and Eligibility</w:t>
      </w:r>
      <w:r>
        <w:rPr>
          <w:rFonts w:ascii="Times New Roman" w:cs="Times New Roman" w:eastAsia="Times New Roman" w:hAnsi="Times New Roman"/>
          <w:sz w:val="18"/>
          <w:szCs w:val="18"/>
          <w:color w:val="auto"/>
        </w:rPr>
        <w:t>. The purpose of this Amended and Restated Equity Incentive Plan (the “Plan”) of peerTransfer Corporation, a Delaware corporation (the “Company”) is to provide stock options, stock issuances and other equity interests in the Company (each, an “Award”) to natural persons that serve as Employees, officers, directors, Consultants and advisors of the Company and its Parents and Subsidiaries. Any person to whom an Award has been granted under the Plan is called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Additional definitions are contained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40" w:firstLine="8"/>
        <w:spacing w:after="0" w:line="238" w:lineRule="auto"/>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xml:space="preserve">. The Plan will be administered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in its sole discretion, shall have the authority to grant and amend Awards, to adopt, amend and repeal rules relating to the Plan and to interpret and correct the provisions of the Plan and any Award. The Board shall have authority, subject to the express limitations of the Plan, (i) to construe and determine the respective Award Agreement, Awards and the Plan, (ii) to prescribe, amend and rescind rules and regulations relating to the Plan and any Awards, (iii) to determine the terms and provisions of the respective Award Agreements and Awards, which need not be identical, (iv) to initiate an Option Exchange Program, and (v) to make all other determinations in the judgment of the Board of Directors necessary or desirable for the administration and interpretation of the Plan. The Board may correct any defect or supply any omission or reconcile any inconsistency in the Plan or in any Award Agreement or Award in the manner and to the extent it shall deem expedient to carry the Plan, any Award Agreement or Award into effect and it shall be the sole and final judge of such expediency. All decisions by the Board shall be final and binding on all interested persons. Neither the Company nor any member of the Board shall be liable for any action or determination relating to the Plan.</w:t>
      </w:r>
    </w:p>
    <w:p>
      <w:pPr>
        <w:spacing w:after="0" w:line="192" w:lineRule="exact"/>
        <w:rPr>
          <w:rFonts w:ascii="Times New Roman" w:cs="Times New Roman" w:eastAsia="Times New Roman" w:hAnsi="Times New Roman"/>
          <w:sz w:val="18"/>
          <w:szCs w:val="18"/>
          <w:color w:val="auto"/>
        </w:rPr>
      </w:pPr>
    </w:p>
    <w:p>
      <w:pPr>
        <w:jc w:val="both"/>
        <w:ind w:right="200" w:firstLine="517"/>
        <w:spacing w:after="0" w:line="250" w:lineRule="auto"/>
        <w:tabs>
          <w:tab w:leader="none" w:pos="68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w:t>
      </w:r>
      <w:r>
        <w:rPr>
          <w:rFonts w:ascii="Times New Roman" w:cs="Times New Roman" w:eastAsia="Times New Roman" w:hAnsi="Times New Roman"/>
          <w:sz w:val="18"/>
          <w:szCs w:val="18"/>
          <w:color w:val="auto"/>
        </w:rPr>
        <w:t xml:space="preserve">.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If so delegated, all references in the Plan to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shall mean such Committee or the Board.</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Available for Awards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right="20" w:firstLine="517"/>
        <w:spacing w:after="0"/>
        <w:tabs>
          <w:tab w:leader="none" w:pos="67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xml:space="preserve">. Subject to adjustment under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the aggregate number of shares of Common Stock that may be issued pursuant to the Plan is the Available Shares (as specified on the last page hereof). If any Award expires, or is terminated, surrendered or forfeited, in whole or in part, the unissued Common Stock covered by such Award shall again be available for the grant of Awards under the Plan. If an Award granted under the Plan shall expire or terminate for any reason without having been exercised in full, the unpurchased shares subject to such Award shall again be available for subsequent Awards under the Plan, and if shares of Common Stock issued pursuant to the Plan are repurchased by, or are surrendered or forfeited to, the Company at no more than the price paid for such shares, such shares of Common Stock shall again be available for the grant of Awards under the Plan. Shares issued under the Plan may consist in whole or in part of authorized but unissued shares or treasury shares.</w:t>
      </w:r>
    </w:p>
    <w:p>
      <w:pPr>
        <w:spacing w:after="0" w:line="76" w:lineRule="exact"/>
        <w:rPr>
          <w:rFonts w:ascii="Times New Roman" w:cs="Times New Roman" w:eastAsia="Times New Roman" w:hAnsi="Times New Roman"/>
          <w:sz w:val="18"/>
          <w:szCs w:val="18"/>
          <w:color w:val="auto"/>
        </w:rPr>
      </w:pPr>
    </w:p>
    <w:p>
      <w:pPr>
        <w:ind w:right="80" w:firstLine="517"/>
        <w:spacing w:after="0"/>
        <w:tabs>
          <w:tab w:leader="none" w:pos="68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Common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in the event of any stock split, reverse stock split, stock dividend, extraordinary cash dividend, recapitalization, reorganization, merger, consolidation, combination, exchange of shares, liquidation, spin-off, split-up, or other similar change in capitalization or similar event, (i) the number and class of Available Shares and the per-Participant share limit, (ii) the number and class of securities, vesting schedule and exercise price per share subject to each outstanding Option, (iii) the repurchase price per security subject to repurchase, and (iv) the terms of each other outstanding Award shall be adjusted by the Company (or substituted Awards may be made, if applicable) to the extent the Board shall determine, in good faith, that such an adjustment (or substitution) is appropriate. Any such adjustment to outstanding Awards will be effected in a manner that precludes the enlargement of rights and benefits under such Awards.</w:t>
      </w:r>
    </w:p>
    <w:p>
      <w:pPr>
        <w:spacing w:after="0" w:line="18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jc w:val="both"/>
        <w:ind w:right="40" w:firstLine="517"/>
        <w:spacing w:after="0" w:line="243" w:lineRule="auto"/>
        <w:tabs>
          <w:tab w:leader="none" w:pos="67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and determine the number of shares of Common Stock to be covered by each Option, the exercise price of each Option and the conditions and limitations applicable to the exercise of each Option and the shares of Common Stock issued upon the exercise of each Option, including, but not limited to, vesting provisions, repurchase provisions and restrictions relating to applicable federal or state securities laws. Each Option will be evidenced by an Award Agreement, consisting of a Notice of Stock Option Award and Stock Option Award Terms (collectively, an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An Option that the Board intends to be an incentive stock option (an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as defined in Section</w:t>
      </w:r>
    </w:p>
    <w:p>
      <w:pPr>
        <w:spacing w:after="0" w:line="1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as amended, or any successor statute (“</w:t>
      </w:r>
      <w:r>
        <w:rPr>
          <w:rFonts w:ascii="Times New Roman" w:cs="Times New Roman" w:eastAsia="Times New Roman" w:hAnsi="Times New Roman"/>
          <w:sz w:val="18"/>
          <w:szCs w:val="18"/>
          <w:b w:val="1"/>
          <w:bCs w:val="1"/>
          <w:color w:val="auto"/>
        </w:rPr>
        <w:t>Section 422</w:t>
      </w:r>
      <w:r>
        <w:rPr>
          <w:rFonts w:ascii="Times New Roman" w:cs="Times New Roman" w:eastAsia="Times New Roman" w:hAnsi="Times New Roman"/>
          <w:sz w:val="18"/>
          <w:szCs w:val="18"/>
          <w:color w:val="auto"/>
        </w:rPr>
        <w:t>”), shall be granted only to an employee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52" w:name="page153"/>
    <w:bookmarkEnd w:id="152"/>
    <w:p>
      <w:pPr>
        <w:ind w:right="20"/>
        <w:spacing w:after="0" w:line="250" w:lineRule="auto"/>
        <w:rPr>
          <w:sz w:val="20"/>
          <w:szCs w:val="20"/>
          <w:color w:val="auto"/>
        </w:rPr>
      </w:pPr>
      <w:r>
        <w:rPr>
          <w:rFonts w:ascii="Times New Roman" w:cs="Times New Roman" w:eastAsia="Times New Roman" w:hAnsi="Times New Roman"/>
          <w:sz w:val="18"/>
          <w:szCs w:val="18"/>
          <w:color w:val="auto"/>
        </w:rPr>
        <w:t>Company and shall be subject to and shall be construed consistently with the requirements of Section 422 and regulations thereunder. The Board and the Company shall have no liability if an Option or any part thereof that is intended to be an Incentive Stock Option does not qualify as such. An Option or any part thereof that does not qualify as an Incentive Stock Option is referred to herein as a “</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Dollar Limitation</w:t>
      </w:r>
      <w:r>
        <w:rPr>
          <w:rFonts w:ascii="Times New Roman" w:cs="Times New Roman" w:eastAsia="Times New Roman" w:hAnsi="Times New Roman"/>
          <w:sz w:val="18"/>
          <w:szCs w:val="18"/>
          <w:color w:val="auto"/>
        </w:rPr>
        <w:t>. For so long as the Code shall so provide, Options granted to any employee under the Plan (and any other incentive stock option plans of the Company) which are intended to qualify as Incentive Stock Options shall not qualify as Incentive Stock Options to the extent that such Options, in the aggregate, become exercisable for the first time in any one calendar year for shares of Common Stock with an aggregate Fair Market Value (as defined below) (determined as of the respective date or dates of grant) of more than $100,000. The amount of Incentive Stock Options which exceed such $100,000 limitation shall be deemed to be Nonqualified Stock Options. For the purpose of this limitation, unless otherwise required by the Code or regulations of the Internal Revenue Service or determined by the Board, Options shall be taken into account in the order granted, and the Board may designate that portion of any Incentive Stock Option that shall be treated as Nonqualified Option in the event that the provisions of this paragraph apply to a portion of any Option. The designation described in the preceding sentence may be made at such time as the Committee considers appropriate, including after the issuance of the Option or at the time of its exercise.</w:t>
      </w:r>
    </w:p>
    <w:p>
      <w:pPr>
        <w:spacing w:after="0" w:line="191"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Board shall establish the exercise price (or determine the method by which the exercise price shall be determined) at the time each Option is granted and specify the exercise price in the applicable Award Agreement, provided, however, in no event may the per share exercise price of an Incentive Stock Option be less than the Fair Market Value of the Common Stock on the date such Option is granted. In the case of an Incentive Stock Option granted to a Participant who, at the time of grant of such Option, owns stock representing more than ten percent (10%) of the voting power of all classes of stock of the Company or any Parent or Subsidiary, then the exercise price shall be no less than 110% of the Fair Market Value of the Common Stock on the date of grant. In the case of a grant of an Incentive Stock Option to any other Participant, the exercise price shall be no less than 100% of the Fair Market Value of the Common Stock on the date of grant.</w:t>
      </w:r>
    </w:p>
    <w:p>
      <w:pPr>
        <w:spacing w:after="0" w:line="185"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Each Option shall be exercisable at such times and subject to such terms and conditions as the Board may specify in the applicable Award Agreement; provided, that the term of any Incentive Stock Option may not be more than ten (10) years from the date of grant. In the case of an Incentive Stock Option granted to a Participant who, at the time of grant of such Option, owns stock representing more than ten percent (10%) of the voting power of all classes of stock of the Company or any Parent or Subsidiary, the term of the Option shall be no longer than five (5) years from the date of grant.</w:t>
      </w:r>
    </w:p>
    <w:p>
      <w:pPr>
        <w:spacing w:after="0" w:line="185" w:lineRule="exact"/>
        <w:rPr>
          <w:sz w:val="20"/>
          <w:szCs w:val="20"/>
          <w:color w:val="auto"/>
        </w:rPr>
      </w:pPr>
    </w:p>
    <w:p>
      <w:pPr>
        <w:ind w:right="600" w:firstLine="509"/>
        <w:spacing w:after="0" w:line="296"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 xml:space="preserve">. Options may be exercised only by delivery to the Company of a written notice of exercise signed by the proper person together with payment in full as specified in </w:t>
      </w:r>
      <w:r>
        <w:rPr>
          <w:rFonts w:ascii="Times New Roman" w:cs="Times New Roman" w:eastAsia="Times New Roman" w:hAnsi="Times New Roman"/>
          <w:sz w:val="17"/>
          <w:szCs w:val="17"/>
          <w:u w:val="single" w:color="auto"/>
          <w:color w:val="auto"/>
        </w:rPr>
        <w:t>Section 4(g)</w:t>
      </w:r>
      <w:r>
        <w:rPr>
          <w:rFonts w:ascii="Times New Roman" w:cs="Times New Roman" w:eastAsia="Times New Roman" w:hAnsi="Times New Roman"/>
          <w:sz w:val="17"/>
          <w:szCs w:val="17"/>
          <w:color w:val="auto"/>
        </w:rPr>
        <w:t xml:space="preserve"> and the Award Agreement for the number of shares for which the Option is exercised.</w:t>
      </w:r>
    </w:p>
    <w:p>
      <w:pPr>
        <w:spacing w:after="0" w:line="13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shall be paid for by one or any combination of the following forms of payment as permitted by the Board in its sole and absolute discretion:</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 by check payable to the order of the Company;</w:t>
      </w:r>
    </w:p>
    <w:p>
      <w:pPr>
        <w:spacing w:after="0" w:line="212" w:lineRule="exact"/>
        <w:rPr>
          <w:sz w:val="20"/>
          <w:szCs w:val="20"/>
          <w:color w:val="auto"/>
        </w:rPr>
      </w:pPr>
    </w:p>
    <w:p>
      <w:pPr>
        <w:ind w:right="80" w:firstLine="1154"/>
        <w:spacing w:after="0" w:line="250" w:lineRule="auto"/>
        <w:tabs>
          <w:tab w:leader="none" w:pos="13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if the Common Stock is then publicly traded, by delivery of an irrevocable and unconditional undertaking by a creditworthy broker to deliver promptly to the Company sufficient funds to pay the exercise price, or delivery by the Participant to the Company of a copy of irrevocable and unconditional instructions to a creditworthy broker to deliver promptly to the Company cash or a check sufficient to pay the exercise price;</w:t>
      </w:r>
    </w:p>
    <w:p>
      <w:pPr>
        <w:spacing w:after="0" w:line="176" w:lineRule="exact"/>
        <w:rPr>
          <w:rFonts w:ascii="Times New Roman" w:cs="Times New Roman" w:eastAsia="Times New Roman" w:hAnsi="Times New Roman"/>
          <w:sz w:val="18"/>
          <w:szCs w:val="18"/>
          <w:color w:val="auto"/>
        </w:rPr>
      </w:pPr>
    </w:p>
    <w:p>
      <w:pPr>
        <w:ind w:right="140" w:firstLine="1154"/>
        <w:spacing w:after="0" w:line="266" w:lineRule="auto"/>
        <w:tabs>
          <w:tab w:leader="none" w:pos="138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explicitly provided in the applicable Award Agreement, by delivery of shares of Common Stock owned by the Participant valued at Fair Market Value;</w:t>
      </w:r>
    </w:p>
    <w:p>
      <w:pPr>
        <w:spacing w:after="0" w:line="310" w:lineRule="exact"/>
        <w:rPr>
          <w:rFonts w:ascii="Times New Roman" w:cs="Times New Roman" w:eastAsia="Times New Roman" w:hAnsi="Times New Roman"/>
          <w:sz w:val="18"/>
          <w:szCs w:val="18"/>
          <w:color w:val="auto"/>
        </w:rPr>
      </w:pPr>
    </w:p>
    <w:p>
      <w:pPr>
        <w:ind w:right="160" w:firstLine="1154"/>
        <w:spacing w:after="0" w:line="266" w:lineRule="auto"/>
        <w:tabs>
          <w:tab w:leader="none" w:pos="13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of a promissory note of the Participant, with full recourse to the Participant, to the Company (and delivery to the Company by the Participant of a check in an amount equal to the par value of the shares purchased); or</w:t>
      </w:r>
    </w:p>
    <w:p>
      <w:pPr>
        <w:spacing w:after="0" w:line="162" w:lineRule="exact"/>
        <w:rPr>
          <w:rFonts w:ascii="Times New Roman" w:cs="Times New Roman" w:eastAsia="Times New Roman" w:hAnsi="Times New Roman"/>
          <w:sz w:val="18"/>
          <w:szCs w:val="18"/>
          <w:color w:val="auto"/>
        </w:rPr>
      </w:pPr>
    </w:p>
    <w:p>
      <w:pPr>
        <w:ind w:left="1320" w:hanging="166"/>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such other lawful consideration as the Board may determine.</w:t>
      </w:r>
    </w:p>
    <w:p>
      <w:pPr>
        <w:spacing w:after="0" w:line="21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Except as otherwise expressly set forth in a Award Agreement, the Board shall have no obligation to accept consideration other than cash and in particular, unless the Board so expressly provides, in no event will the Company accept the delivery of shares of Common Stock that have not been owned by the Participant at least six months prior to the exercise. The fair market value of any shares of the Company’s Common Stock or other non-cash consideration which may be delivered upon exercise of an Option shall be determined in such manner as may be prescribed by the Board.</w:t>
      </w:r>
    </w:p>
    <w:p>
      <w:pPr>
        <w:spacing w:after="0" w:line="1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Acceleration, Extension, Etc</w:t>
      </w:r>
      <w:r>
        <w:rPr>
          <w:rFonts w:ascii="Times New Roman" w:cs="Times New Roman" w:eastAsia="Times New Roman" w:hAnsi="Times New Roman"/>
          <w:sz w:val="18"/>
          <w:szCs w:val="18"/>
          <w:color w:val="auto"/>
        </w:rPr>
        <w:t>. The Board may, in its sole discretion, and in all instances subject to any relevant tax and accounting considerations which may adversely impact or impair the Company, (i) accelerate the date or dates on which all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3" w:name="page154"/>
    <w:bookmarkEnd w:id="153"/>
    <w:p>
      <w:pPr>
        <w:ind w:right="40"/>
        <w:spacing w:after="0" w:line="266" w:lineRule="auto"/>
        <w:rPr>
          <w:sz w:val="20"/>
          <w:szCs w:val="20"/>
          <w:color w:val="auto"/>
        </w:rPr>
      </w:pPr>
      <w:r>
        <w:rPr>
          <w:rFonts w:ascii="Times New Roman" w:cs="Times New Roman" w:eastAsia="Times New Roman" w:hAnsi="Times New Roman"/>
          <w:sz w:val="18"/>
          <w:szCs w:val="18"/>
          <w:color w:val="auto"/>
        </w:rPr>
        <w:t>particular Options or Awards granted under the Plan may be exercised, or (ii) extend the dates during which all or any particular Options or Awards granted under the Plan may be exercised or vest.</w:t>
      </w:r>
    </w:p>
    <w:p>
      <w:pPr>
        <w:spacing w:after="0" w:line="162" w:lineRule="exact"/>
        <w:rPr>
          <w:sz w:val="20"/>
          <w:szCs w:val="20"/>
          <w:color w:val="auto"/>
        </w:rPr>
      </w:pPr>
    </w:p>
    <w:p>
      <w:pPr>
        <w:ind w:right="120" w:firstLine="509"/>
        <w:spacing w:after="0" w:line="239"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Determination of Fair Market Value</w:t>
      </w:r>
      <w:r>
        <w:rPr>
          <w:rFonts w:ascii="Times New Roman" w:cs="Times New Roman" w:eastAsia="Times New Roman" w:hAnsi="Times New Roman"/>
          <w:sz w:val="18"/>
          <w:szCs w:val="18"/>
          <w:color w:val="auto"/>
        </w:rPr>
        <w:t xml:space="preserve">. If, at the time an Option is granted under the Plan, the Company’s Common Stock is publicly traded under the Exchange Act,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xml:space="preserve"> shall mean (i) if the Common Stock is listed on any established stock exchange or a national market system, including without limitation the Nasdaq National Market or The Nasdaq Small Cap Market of The Nasdaq Stock Market, its fair market value shall be the last reported sales price for such stock (on that date) or the closing bid, if no sales were reported as quoted on such exchange or system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Board deems reliable; or (ii) the average of the closing bid and asked prices last quoted (on that date)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quotation service for over-the-counter securities, if the Common Stock is not reported on a national market system. In the absence of an established market for the Common Stock, the fair market value thereof shall be determined in good faith by the Board after taking into consideration all factors which it deems appropriate.</w:t>
      </w:r>
    </w:p>
    <w:p>
      <w:pPr>
        <w:spacing w:after="0" w:line="187" w:lineRule="exact"/>
        <w:rPr>
          <w:sz w:val="20"/>
          <w:szCs w:val="20"/>
          <w:color w:val="auto"/>
        </w:rPr>
      </w:pPr>
    </w:p>
    <w:p>
      <w:pPr>
        <w:ind w:left="180" w:hanging="172"/>
        <w:spacing w:after="0"/>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p>
    <w:p>
      <w:pPr>
        <w:spacing w:after="0" w:line="211" w:lineRule="exact"/>
        <w:rPr>
          <w:rFonts w:ascii="Times New Roman" w:cs="Times New Roman" w:eastAsia="Times New Roman" w:hAnsi="Times New Roman"/>
          <w:sz w:val="18"/>
          <w:szCs w:val="18"/>
          <w:color w:val="auto"/>
        </w:rPr>
      </w:pPr>
    </w:p>
    <w:p>
      <w:pPr>
        <w:ind w:left="680" w:hanging="163"/>
        <w:spacing w:after="0"/>
        <w:tabs>
          <w:tab w:leader="none" w:pos="6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The Board may grant Awards to Participants of restricted shares of Common Stock, subject to (i) delivery to the Company by the</w:t>
      </w:r>
    </w:p>
    <w:p>
      <w:pPr>
        <w:spacing w:after="0" w:line="15" w:lineRule="exact"/>
        <w:rPr>
          <w:rFonts w:ascii="Times New Roman" w:cs="Times New Roman" w:eastAsia="Times New Roman" w:hAnsi="Times New Roman"/>
          <w:sz w:val="18"/>
          <w:szCs w:val="18"/>
          <w:color w:val="auto"/>
        </w:rPr>
      </w:pPr>
    </w:p>
    <w:p>
      <w:pPr>
        <w:ind w:right="2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of a check in an amount at least equal to the par value of the shares purchased, and (ii) the right of the Company to repurchase all or part of such shares at their issue price or other stated or formula price from the Participant in the event that conditions specified by the Board in the applicable Award are not satisfied prior to the end of the applicable restriction period or periods established by the Board for such Award (each, a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firstLine="517"/>
        <w:spacing w:after="0"/>
        <w:tabs>
          <w:tab w:leader="none" w:pos="68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xml:space="preserve">. The Board shall determine the terms and conditions of any such Restricted Stock Award. Any stock certificates issued in respect of a Restricted Stock Award shall be registered in the name of the Participant and, unless otherwise determined by the Board, deposited by the Participant, together with a stock power endorsed in blank, with the Company (or its designee). After the expiration of the applicable restriction periods, the Company (or such designee) shall deliver the certificates no longer subject to such restrictions to the Participant or, if the Participant has died, to the beneficiary designated by a Participant, in a manner determined by the Board, to receive amounts due or exercise rights of the Participant in the event of the Participant’s death (the </w:t>
      </w:r>
      <w:r>
        <w:rPr>
          <w:rFonts w:ascii="Times New Roman" w:cs="Times New Roman" w:eastAsia="Times New Roman" w:hAnsi="Times New Roman"/>
          <w:sz w:val="18"/>
          <w:szCs w:val="18"/>
          <w:b w:val="1"/>
          <w:bCs w:val="1"/>
          <w:color w:val="auto"/>
        </w:rPr>
        <w:t>“Designated Beneficiary”</w:t>
      </w:r>
      <w:r>
        <w:rPr>
          <w:rFonts w:ascii="Times New Roman" w:cs="Times New Roman" w:eastAsia="Times New Roman" w:hAnsi="Times New Roman"/>
          <w:sz w:val="18"/>
          <w:szCs w:val="18"/>
          <w:color w:val="auto"/>
        </w:rPr>
        <w:t>). In the absence of an effective designation by a Participant, Designated Beneficiary shall mean the Participant’s estate.</w:t>
      </w:r>
    </w:p>
    <w:p>
      <w:pPr>
        <w:spacing w:after="0" w:line="184" w:lineRule="exact"/>
        <w:rPr>
          <w:rFonts w:ascii="Times New Roman" w:cs="Times New Roman" w:eastAsia="Times New Roman" w:hAnsi="Times New Roman"/>
          <w:sz w:val="18"/>
          <w:szCs w:val="18"/>
          <w:color w:val="auto"/>
        </w:rPr>
      </w:pPr>
    </w:p>
    <w:p>
      <w:pPr>
        <w:ind w:right="20" w:firstLine="8"/>
        <w:spacing w:after="0" w:line="250" w:lineRule="auto"/>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The Board shall have the right to grant other Awards based upon the Common Stock having such terms and conditions as the Board may determine, including, without limitation, the grant of shares based upon certain conditions, the grant of securities convertible into Common Stock and the grant of stock appreciation rights, phantom stock awards or stock units.</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right="60" w:firstLine="517"/>
        <w:spacing w:after="0"/>
        <w:tabs>
          <w:tab w:leader="none" w:pos="67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provided, however, except as the Board may otherwise determine or provide in an Award, that Nonstatutory Stock Options and Restricted Stock Awards may be transferred pursuant to a qualified domestic relations order (as defined in Employee Retirement Income Security Act of 1974, as amended) or to a grantor-retained annuity trust or a similar estate-planning vehicle in which the trust is bound by all provisions of the Award Agreement and Restricted Stock Award, which are applicable to the Participant. References to a Participant, to the extent relevant in the context, shall include references to authorized transferees.</w:t>
      </w:r>
    </w:p>
    <w:p>
      <w:pPr>
        <w:spacing w:after="0" w:line="184" w:lineRule="exact"/>
        <w:rPr>
          <w:rFonts w:ascii="Times New Roman" w:cs="Times New Roman" w:eastAsia="Times New Roman" w:hAnsi="Times New Roman"/>
          <w:sz w:val="18"/>
          <w:szCs w:val="18"/>
          <w:color w:val="auto"/>
        </w:rPr>
      </w:pPr>
    </w:p>
    <w:p>
      <w:pPr>
        <w:jc w:val="both"/>
        <w:ind w:right="160" w:firstLine="517"/>
        <w:spacing w:after="0" w:line="250" w:lineRule="auto"/>
        <w:tabs>
          <w:tab w:leader="none" w:pos="68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xml:space="preserve">. Each Award under the Plan shall be evidenced by a written instrument in such form as the Board shall determine or as executed by an officer of the Company pursuant to authority delegated by the Board. Each Award may contain terms and conditions in addition to those set forth in the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terms and conditions do not contravene the provisions of the Plan or applicable law.</w:t>
      </w:r>
    </w:p>
    <w:p>
      <w:pPr>
        <w:spacing w:after="0" w:line="176" w:lineRule="exact"/>
        <w:rPr>
          <w:rFonts w:ascii="Times New Roman" w:cs="Times New Roman" w:eastAsia="Times New Roman" w:hAnsi="Times New Roman"/>
          <w:sz w:val="18"/>
          <w:szCs w:val="18"/>
          <w:color w:val="auto"/>
        </w:rPr>
      </w:pPr>
    </w:p>
    <w:p>
      <w:pPr>
        <w:ind w:left="680" w:hanging="163"/>
        <w:spacing w:after="0"/>
        <w:tabs>
          <w:tab w:leader="none" w:pos="6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Discretion</w:t>
      </w:r>
      <w:r>
        <w:rPr>
          <w:rFonts w:ascii="Times New Roman" w:cs="Times New Roman" w:eastAsia="Times New Roman" w:hAnsi="Times New Roman"/>
          <w:sz w:val="18"/>
          <w:szCs w:val="18"/>
          <w:color w:val="auto"/>
        </w:rPr>
        <w:t>. The terms of each type of Award need not be identical, and the Board need not treat Participants uniformly.</w:t>
      </w:r>
    </w:p>
    <w:p>
      <w:pPr>
        <w:spacing w:after="0" w:line="211" w:lineRule="exact"/>
        <w:rPr>
          <w:rFonts w:ascii="Times New Roman" w:cs="Times New Roman" w:eastAsia="Times New Roman" w:hAnsi="Times New Roman"/>
          <w:sz w:val="18"/>
          <w:szCs w:val="18"/>
          <w:color w:val="auto"/>
        </w:rPr>
      </w:pPr>
    </w:p>
    <w:p>
      <w:pPr>
        <w:ind w:right="100" w:firstLine="517"/>
        <w:spacing w:after="0" w:line="242" w:lineRule="auto"/>
        <w:tabs>
          <w:tab w:leader="none" w:pos="68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Award Provisions</w:t>
      </w:r>
      <w:r>
        <w:rPr>
          <w:rFonts w:ascii="Times New Roman" w:cs="Times New Roman" w:eastAsia="Times New Roman" w:hAnsi="Times New Roman"/>
          <w:sz w:val="18"/>
          <w:szCs w:val="18"/>
          <w:color w:val="auto"/>
        </w:rPr>
        <w:t>. The Board may, in its sole discretion, include additional provisions in any Award Agreement, Restricted Stock Award or other Award granted under the Plan, including without limitation restrictions on transfer, repurchase rights, commitments to pay cash bonuses, to make, arrange for or guaranty loans or to transfer other property to Participants upon exercise of Awards, or transfer other property to Participants upon exercise of Awards, or such other provisions as shall be determined by the Board; provided that such additional provisions shall not be inconsistent with any other term or condition of the Plan or applicable law.</w:t>
      </w:r>
    </w:p>
    <w:p>
      <w:pPr>
        <w:spacing w:after="0" w:line="333" w:lineRule="exact"/>
        <w:rPr>
          <w:rFonts w:ascii="Times New Roman" w:cs="Times New Roman" w:eastAsia="Times New Roman" w:hAnsi="Times New Roman"/>
          <w:sz w:val="18"/>
          <w:szCs w:val="18"/>
          <w:color w:val="auto"/>
        </w:rPr>
      </w:pPr>
    </w:p>
    <w:p>
      <w:pPr>
        <w:ind w:right="120" w:firstLine="517"/>
        <w:spacing w:after="0" w:line="266" w:lineRule="auto"/>
        <w:tabs>
          <w:tab w:leader="none" w:pos="67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retirement, authorized leave of absence or other change in the employment or other status of a Participant and the extent to which, and the period during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spacing w:after="0" w:line="266" w:lineRule="auto"/>
        <w:rPr>
          <w:sz w:val="20"/>
          <w:szCs w:val="20"/>
          <w:color w:val="auto"/>
        </w:rPr>
      </w:pPr>
      <w:r>
        <w:rPr>
          <w:rFonts w:ascii="Times New Roman" w:cs="Times New Roman" w:eastAsia="Times New Roman" w:hAnsi="Times New Roman"/>
          <w:sz w:val="18"/>
          <w:szCs w:val="18"/>
          <w:color w:val="auto"/>
        </w:rPr>
        <w:t>Participant, or the Participant’s legal representative, conservator, guardian or Designated Beneficiary, may exercise rights under the Award, subject to applicable law and the provisions of the Code related to Incentive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155" w:name="page156"/>
    <w:bookmarkEnd w:id="155"/>
    <w:p>
      <w:pPr>
        <w:ind w:left="52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Change of Control of the Company</w:t>
      </w:r>
    </w:p>
    <w:p>
      <w:pPr>
        <w:spacing w:after="0" w:line="212" w:lineRule="exact"/>
        <w:rPr>
          <w:sz w:val="20"/>
          <w:szCs w:val="20"/>
          <w:color w:val="auto"/>
        </w:rPr>
      </w:pPr>
    </w:p>
    <w:p>
      <w:pPr>
        <w:ind w:right="40" w:firstLine="1146"/>
        <w:spacing w:after="0" w:line="250" w:lineRule="auto"/>
        <w:rPr>
          <w:sz w:val="20"/>
          <w:szCs w:val="20"/>
          <w:color w:val="auto"/>
        </w:rPr>
      </w:pPr>
      <w:r>
        <w:rPr>
          <w:rFonts w:ascii="Times New Roman" w:cs="Times New Roman" w:eastAsia="Times New Roman" w:hAnsi="Times New Roman"/>
          <w:sz w:val="18"/>
          <w:szCs w:val="18"/>
          <w:color w:val="auto"/>
        </w:rPr>
        <w:t>i. Unless otherwise expressly provided in the applicable Award Agreement or Restricted Stock Award or other Award, in connection with the occurrence of a Change of Control (as defined below), the Board shall, in its sole discretion as to any outstanding Award (including any portion thereof; on the same basis or on different bases, as the Board shall specify), take one or any combination of the following actions:</w:t>
      </w:r>
    </w:p>
    <w:p>
      <w:pPr>
        <w:spacing w:after="0" w:line="177" w:lineRule="exact"/>
        <w:rPr>
          <w:sz w:val="20"/>
          <w:szCs w:val="20"/>
          <w:color w:val="auto"/>
        </w:rPr>
      </w:pPr>
    </w:p>
    <w:p>
      <w:pPr>
        <w:ind w:right="100" w:firstLine="1655"/>
        <w:spacing w:after="0" w:line="242" w:lineRule="auto"/>
        <w:rPr>
          <w:sz w:val="20"/>
          <w:szCs w:val="20"/>
          <w:color w:val="auto"/>
        </w:rPr>
      </w:pPr>
      <w:r>
        <w:rPr>
          <w:rFonts w:ascii="Times New Roman" w:cs="Times New Roman" w:eastAsia="Times New Roman" w:hAnsi="Times New Roman"/>
          <w:sz w:val="18"/>
          <w:szCs w:val="18"/>
          <w:color w:val="auto"/>
        </w:rPr>
        <w:t>A. make appropriate provision for the continuation of such Award, by the Company or the assumption of such Award by the surviving or acquiring entity and by substituting on an equitable basis for the shares then subject to such Award either (x) the consideration payable with respect to the outstanding shares of Common Stock in connection with the Change of Control, (y) shares of stock of the surviving or acquiring corporation or (z) such other securities as the Board deems appropriate, the Fair Market Value of which shall not materially differ from the Fair Market Value of the shares of Common Stock subject to such Award immediately preceding the Change of Control (as determined by the Board in its sole discretion);</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B. accelerate, in whole or in part, the date of exercise or vesting of such Award;</w:t>
      </w:r>
    </w:p>
    <w:p>
      <w:pPr>
        <w:spacing w:after="0" w:line="2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 permit the exchange of such Award for the right to participate in any stock option or other employee benefit plan of any successor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192" w:lineRule="exact"/>
        <w:rPr>
          <w:sz w:val="20"/>
          <w:szCs w:val="20"/>
          <w:color w:val="auto"/>
        </w:rPr>
      </w:pPr>
    </w:p>
    <w:p>
      <w:pPr>
        <w:ind w:right="320" w:firstLine="1655"/>
        <w:spacing w:after="0" w:line="266" w:lineRule="auto"/>
        <w:rPr>
          <w:sz w:val="20"/>
          <w:szCs w:val="20"/>
          <w:color w:val="auto"/>
        </w:rPr>
      </w:pPr>
      <w:r>
        <w:rPr>
          <w:rFonts w:ascii="Times New Roman" w:cs="Times New Roman" w:eastAsia="Times New Roman" w:hAnsi="Times New Roman"/>
          <w:sz w:val="18"/>
          <w:szCs w:val="18"/>
          <w:color w:val="auto"/>
        </w:rPr>
        <w:t>D. provide for the termination of such Award immediately prior to the consummation of the Change of Control; provided that no such termination will be effective if the Change of Control is not consummated; or</w:t>
      </w:r>
    </w:p>
    <w:p>
      <w:pPr>
        <w:spacing w:after="0" w:line="162" w:lineRule="exact"/>
        <w:rPr>
          <w:sz w:val="20"/>
          <w:szCs w:val="20"/>
          <w:color w:val="auto"/>
        </w:rPr>
      </w:pPr>
    </w:p>
    <w:p>
      <w:pPr>
        <w:ind w:right="80" w:firstLine="1655"/>
        <w:spacing w:after="0" w:line="245" w:lineRule="auto"/>
        <w:rPr>
          <w:sz w:val="20"/>
          <w:szCs w:val="20"/>
          <w:color w:val="auto"/>
        </w:rPr>
      </w:pPr>
      <w:r>
        <w:rPr>
          <w:rFonts w:ascii="Times New Roman" w:cs="Times New Roman" w:eastAsia="Times New Roman" w:hAnsi="Times New Roman"/>
          <w:sz w:val="18"/>
          <w:szCs w:val="18"/>
          <w:color w:val="auto"/>
        </w:rPr>
        <w:t>E. provide for the repurchase of the Award for an amount equal to the difference of (i) the consideration received per share for the securities underlying the Award in the Change of Control minus (ii) the per share exercise price of such securities. Such amount shall be payable in cash or the property payable in respect of such securities in connection with the Change, of Control. The value of any such property shall be determined by the Board in its discretion.</w:t>
      </w:r>
    </w:p>
    <w:p>
      <w:pPr>
        <w:spacing w:after="0" w:line="181"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Board shall notify each Participant as soon as practicable prior to the effective date of such proposed transaction. The Board in its sole discretion may provide for a Participant to have the right to exercise his or her Award until fifteen (15) days prior to such transaction as to all of the shares of Common Stock covered by the Option or Award, including shares as to which the Option or Award would not otherwise be exercisable, which exercise may in the sole discretion of the Board, be made subject to and conditioned upon the consummation of such proposed transaction. In addition, the Board may provide that any Company repurchase option applicable to any shares of Common Stock purchased upon exercise of an Option or Award shall lapse as to all such shares of Common Stock, provided the proposed dissolution and liquidation takes place at the time and in the manner contemplated. To the extent it has not been previously exercised, an Award will terminate upon the consummation of such proposed action.</w:t>
      </w:r>
    </w:p>
    <w:p>
      <w:pPr>
        <w:spacing w:after="0" w:line="187"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u w:val="single" w:color="auto"/>
          <w:color w:val="auto"/>
        </w:rPr>
        <w:t>Assumption of Options Upon Certain Events</w:t>
      </w:r>
      <w:r>
        <w:rPr>
          <w:rFonts w:ascii="Times New Roman" w:cs="Times New Roman" w:eastAsia="Times New Roman" w:hAnsi="Times New Roman"/>
          <w:sz w:val="17"/>
          <w:szCs w:val="17"/>
          <w:color w:val="auto"/>
        </w:rPr>
        <w:t>. In connection with a merger or consolidation of an entity with the Company or the acquisition by the Company of property or stock of an entity, the Board may grant Awards under the Plan in substitution for stock and stock-based awards issued by such entity or an affiliate thereof. The substitute Awards shall be granted on such terms and conditions as the Board considers appropriate in the circumstances.</w:t>
      </w:r>
    </w:p>
    <w:p>
      <w:pPr>
        <w:spacing w:after="0" w:line="159"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Parachute Payments and Parachute Awards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 xml:space="preserve">, if, in connection with a Change of Control described therein, a tax under Section 4999 of the Code would be imposed on the Participant (after taking into account the exceptions set forth in Sections 280G(b)(4) and 280G(b)(5) of the Code), then the number of Awards which shall become exercisable, realizable or vested as provided in such Section shall be reduced (or delayed), to the minimum extent necessary, so that no such tax would be imposed on the Participant (the Awards not becoming so accelerated, realizable or vested, the </w:t>
      </w:r>
      <w:r>
        <w:rPr>
          <w:rFonts w:ascii="Times New Roman" w:cs="Times New Roman" w:eastAsia="Times New Roman" w:hAnsi="Times New Roman"/>
          <w:sz w:val="18"/>
          <w:szCs w:val="18"/>
          <w:b w:val="1"/>
          <w:bCs w:val="1"/>
          <w:color w:val="auto"/>
        </w:rPr>
        <w:t>“Parachute Awards”</w:t>
      </w:r>
      <w:r>
        <w:rPr>
          <w:rFonts w:ascii="Times New Roman" w:cs="Times New Roman" w:eastAsia="Times New Roman" w:hAnsi="Times New Roman"/>
          <w:sz w:val="18"/>
          <w:szCs w:val="18"/>
          <w:color w:val="auto"/>
        </w:rPr>
        <w:t xml:space="preserve">); provided, however, that if the “aggregate present value” of the Parachute Awards would exceed the tax that, but for this sentence, would be imposed on the Participant under Section 4999 of the Code in connection with the Change of Control, then the Awards shall become immediately exercisable, realizable and vested without regard to the provisions of this sentence. For purposes of the preceding sentence, the “aggregate present value” of an Award shall be calculated on an after-tax basis (other than taxes imposed by Section 4999 of the Code) and shall be based on economic principles rather than the principles set forth under Section 280G of the Code and the regulations promulgated thereunder. All determinations required to be made under this </w:t>
      </w:r>
      <w:r>
        <w:rPr>
          <w:rFonts w:ascii="Times New Roman" w:cs="Times New Roman" w:eastAsia="Times New Roman" w:hAnsi="Times New Roman"/>
          <w:sz w:val="18"/>
          <w:szCs w:val="18"/>
          <w:u w:val="single" w:color="auto"/>
          <w:color w:val="auto"/>
        </w:rPr>
        <w:t>Section 7(i)</w:t>
      </w:r>
      <w:r>
        <w:rPr>
          <w:rFonts w:ascii="Times New Roman" w:cs="Times New Roman" w:eastAsia="Times New Roman" w:hAnsi="Times New Roman"/>
          <w:sz w:val="18"/>
          <w:szCs w:val="18"/>
          <w:color w:val="auto"/>
        </w:rPr>
        <w:t xml:space="preserve"> shall be made by the Company.</w:t>
      </w:r>
    </w:p>
    <w:p>
      <w:pPr>
        <w:spacing w:after="0" w:line="188" w:lineRule="exact"/>
        <w:rPr>
          <w:sz w:val="20"/>
          <w:szCs w:val="20"/>
          <w:color w:val="auto"/>
        </w:rPr>
      </w:pPr>
    </w:p>
    <w:p>
      <w:pPr>
        <w:ind w:right="220" w:firstLine="509"/>
        <w:spacing w:after="0" w:line="245"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xml:space="preserve">. The Board may amend, modify or terminate any outstanding Award including, but not limited to, substituting therefor another Award of the same or a different type, changing the date of exercise or realization, and converting an Incentive Stock Option to a Nonstatutory Stock Option,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Participant’s consent to such action shall be required unless the Board determines that the action, taking into account any related action, would not materially and adversely affect the Participant.</w:t>
      </w:r>
    </w:p>
    <w:p>
      <w:pPr>
        <w:spacing w:after="0" w:line="18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spacing w:after="0" w:line="250" w:lineRule="auto"/>
        <w:rPr>
          <w:sz w:val="20"/>
          <w:szCs w:val="20"/>
          <w:color w:val="auto"/>
        </w:rPr>
      </w:pPr>
      <w:r>
        <w:rPr>
          <w:rFonts w:ascii="Times New Roman" w:cs="Times New Roman" w:eastAsia="Times New Roman" w:hAnsi="Times New Roman"/>
          <w:sz w:val="18"/>
          <w:szCs w:val="18"/>
          <w:color w:val="auto"/>
        </w:rPr>
        <w:t>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32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Options shall become immediately exercisable in full or in part, that any Restricted Stock Awards shall be free of some or all restrictions, or that any other stock-based Awards may become exercisable in full or in part or free of some or all restrictions or conditions, or otherwise realizable in full or in part, as the case may be, despite the fact that the foregoing actions may (i) cause the application of Sections 280G and 4999 of the Code if a Change of Control of the Company occurs, or (ii) disqualify all or part of the Option as an Incentive Stock Option.</w:t>
      </w:r>
    </w:p>
    <w:p>
      <w:pPr>
        <w:spacing w:after="0" w:line="185"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grant of an Award shall, for all purposes, be the date on which the Company completes the corporate action relating to the grant of such Award and all conditions to the grant have been satisfied, provided that conditions to the grant, exercise or vesting of an Award shall not defer the date of grant. Notice of a grant shall be given to each Participant to whom an Award is so granted within a reasonable time after the determination has been made.</w:t>
      </w:r>
    </w:p>
    <w:p>
      <w:pPr>
        <w:spacing w:after="0" w:line="18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Participation in Foreign Countries</w:t>
      </w:r>
      <w:r>
        <w:rPr>
          <w:rFonts w:ascii="Times New Roman" w:cs="Times New Roman" w:eastAsia="Times New Roman" w:hAnsi="Times New Roman"/>
          <w:sz w:val="18"/>
          <w:szCs w:val="18"/>
          <w:color w:val="auto"/>
        </w:rPr>
        <w:t>. The Board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77" w:lineRule="exact"/>
        <w:rPr>
          <w:sz w:val="20"/>
          <w:szCs w:val="20"/>
          <w:color w:val="auto"/>
        </w:rPr>
      </w:pPr>
    </w:p>
    <w:p>
      <w:pPr>
        <w:ind w:right="40" w:firstLine="8"/>
        <w:spacing w:after="0" w:line="238" w:lineRule="auto"/>
        <w:tabs>
          <w:tab w:leader="none" w:pos="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deduct from payments of any kind otherwise due to the optionee or recipient of an Award any federal, state or local taxes of any kind required by law to be withheld with respect to any shares issued upon exercise of Options under the Plan or the purchase of shares subject to the Award. Subject to the prior approval of the Company, which may be withheld by the Company in its sole discretion, the optionee or recipient of an Award may elect to satisfy such obligation, in whole or in part, (a) by causing the Company to withhold shares of Common Stock otherwise issuable pursuant to the exercise of an Option or the purchase of shares subject to an Award or (b) by delivering to the Company shares of Common Stock already owned by the optionee or Award recipient of an Award. The shares so delivered or withheld shall have a Fair Market Value of the shares used to satisfy such withholding obligation as shall be determined by the Company as of the date that the amount of tax to be withheld is to be determined. An optionee or recipient of an Award who has made an election pursuant to this Section may only satisfy his or her withholding obligation with shares of Common Stock which are not subject to any repurchase, forfeiture, unfulfilled vesting or other similar requirements.</w:t>
      </w:r>
    </w:p>
    <w:p>
      <w:pPr>
        <w:spacing w:after="0" w:line="191" w:lineRule="exact"/>
        <w:rPr>
          <w:rFonts w:ascii="Times New Roman" w:cs="Times New Roman" w:eastAsia="Times New Roman" w:hAnsi="Times New Roman"/>
          <w:sz w:val="18"/>
          <w:szCs w:val="18"/>
          <w:color w:val="auto"/>
        </w:rPr>
      </w:pPr>
    </w:p>
    <w:p>
      <w:pPr>
        <w:ind w:firstLine="8"/>
        <w:spacing w:after="0" w:line="236" w:lineRule="auto"/>
        <w:tabs>
          <w:tab w:leader="none" w:pos="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Exercise of Option if Engagement or Employment Terminated for Cause</w:t>
      </w:r>
      <w:r>
        <w:rPr>
          <w:rFonts w:ascii="Times New Roman" w:cs="Times New Roman" w:eastAsia="Times New Roman" w:hAnsi="Times New Roman"/>
          <w:sz w:val="18"/>
          <w:szCs w:val="18"/>
          <w:color w:val="auto"/>
        </w:rPr>
        <w:t xml:space="preserve">. If the employment or engagement of any Participant is terminated “for Cause”, the Award may terminate, upon a determination of the Board, on the date of such termination and the Option shall thereupon not be exercisable to any extent whatsoever and the Company shall have the right to repurchase any shares of Common Stock subject to a Restricted Stock Award whether or not such shares have vested. For purposes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Cause”</w:t>
      </w:r>
      <w:r>
        <w:rPr>
          <w:rFonts w:ascii="Times New Roman" w:cs="Times New Roman" w:eastAsia="Times New Roman" w:hAnsi="Times New Roman"/>
          <w:sz w:val="18"/>
          <w:szCs w:val="18"/>
          <w:color w:val="auto"/>
        </w:rPr>
        <w:t xml:space="preserve"> shall be defined as follows: (i) if the Participant has executed an employment agreement, the definition of “cause” contained therein, if any, shall govern, or (ii) conduct, as determined by the Board of Directors, involving one or more of the following: (a) gross misconduct or inadequate performance by the Participant which is injurious to the Company; or (b) the commission of an act of embezzlement, fraud or theft, which results in economic loss, damage or injury to the Company; or (c) the unauthorized disclosure of any trade secret or confidential information of the Company (or any client, customer, supplier or other third party who has a business relationship with the Company) or the violation of any noncompetition or nonsolicitation covenant or assignment of inventions obligation with the Company; or (d) the commission of an act which constitutes unfair competition with the Company or which induces any customer or prospective customer of the Company to breach a contract with the Company or to decline to do business with the Company; or (e) the indictment of the Participant for a felony or serious misdemeanor offense, either in connection with the performance of his or her obligations to the Company or which shall adversely affect the Participant’s ability to perform such obligations; or (f) the commission of an act of fraud or breach of fiduciary duty which results in loss, damage or injury to the Company; or (g) the failure of the Participant to perform in a material respect his or her employment, consulting or advisory obligations without proper cause. In making such determination, the Board shall act fairly and in utmost good faith. The Board may in its discretion waive or modify the provisions of this Section at a meeting of the Board with respect to any individual Participant with regard to the facts and circumstances of any particular situation involving a determination under this Section.</w:t>
      </w:r>
    </w:p>
    <w:p>
      <w:pPr>
        <w:spacing w:after="0" w:line="19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Pre-Exercise Information Requirement.</w:t>
      </w:r>
    </w:p>
    <w:p>
      <w:pPr>
        <w:spacing w:after="0" w:line="211" w:lineRule="exact"/>
        <w:rPr>
          <w:rFonts w:ascii="Times New Roman" w:cs="Times New Roman" w:eastAsia="Times New Roman" w:hAnsi="Times New Roman"/>
          <w:sz w:val="18"/>
          <w:szCs w:val="18"/>
          <w:color w:val="auto"/>
        </w:rPr>
      </w:pPr>
    </w:p>
    <w:p>
      <w:pPr>
        <w:ind w:right="80" w:firstLine="50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Application of Requirement</w:t>
      </w:r>
      <w:r>
        <w:rPr>
          <w:rFonts w:ascii="Times New Roman" w:cs="Times New Roman" w:eastAsia="Times New Roman" w:hAnsi="Times New Roman"/>
          <w:sz w:val="18"/>
          <w:szCs w:val="18"/>
          <w:color w:val="auto"/>
        </w:rPr>
        <w:t>. This Section 10 shall apply only during a period that (i) commences when the Company begins to rely on the exemption described in Rule 12h-1(f)(1) under the Exchange Act, as determined by the Company in its sole discretion, and (ii) ends on the earlier of (A) the date when the Company ceases to rely on such exemption, as determined by the Company in its sole discretion, or (B) the date when the Company becomes subject to the reporting requirements of Section 13 or 15(d) of the Exchange Act. In addition, this Section 10 shall in no event apply to an Option holder after he or she has fully exercised all of his or her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7" w:name="page158"/>
    <w:bookmarkEnd w:id="157"/>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Scope of Requirement</w:t>
      </w:r>
      <w:r>
        <w:rPr>
          <w:rFonts w:ascii="Times New Roman" w:cs="Times New Roman" w:eastAsia="Times New Roman" w:hAnsi="Times New Roman"/>
          <w:sz w:val="18"/>
          <w:szCs w:val="18"/>
          <w:color w:val="auto"/>
        </w:rPr>
        <w:t>. The Company shall provide to each Option holder the information described in Rule 701(e)(3), (4) and (5) under the Securities Act. Such information shall be provided at six-month intervals, and the financial statements included in such information shall not be more than 180 days old. The foregoing notwithstanding, the Company shall not be required to provide such information unless the Option holder has agreed in writing, on a form prescribed by the Company, to keep such information confidential.</w:t>
      </w:r>
    </w:p>
    <w:p>
      <w:pPr>
        <w:spacing w:after="0" w:line="181" w:lineRule="exact"/>
        <w:rPr>
          <w:sz w:val="20"/>
          <w:szCs w:val="20"/>
          <w:color w:val="auto"/>
        </w:rPr>
      </w:pPr>
    </w:p>
    <w:p>
      <w:pPr>
        <w:ind w:left="280" w:hanging="272"/>
        <w:spacing w:after="0"/>
        <w:tabs>
          <w:tab w:leader="none" w:pos="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11" w:lineRule="exact"/>
        <w:rPr>
          <w:rFonts w:ascii="Times New Roman" w:cs="Times New Roman" w:eastAsia="Times New Roman" w:hAnsi="Times New Roman"/>
          <w:sz w:val="18"/>
          <w:szCs w:val="18"/>
          <w:color w:val="auto"/>
        </w:rPr>
      </w:pPr>
    </w:p>
    <w:p>
      <w:pPr>
        <w:ind w:left="680" w:hanging="163"/>
        <w:spacing w:after="0"/>
        <w:tabs>
          <w:tab w:leader="none" w:pos="6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07" w:lineRule="exact"/>
        <w:rPr>
          <w:rFonts w:ascii="Times New Roman" w:cs="Times New Roman" w:eastAsia="Times New Roman" w:hAnsi="Times New Roman"/>
          <w:sz w:val="18"/>
          <w:szCs w:val="18"/>
          <w:color w:val="auto"/>
        </w:rPr>
      </w:pPr>
    </w:p>
    <w:p>
      <w:pPr>
        <w:ind w:firstLine="1154"/>
        <w:spacing w:after="0" w:line="237" w:lineRule="auto"/>
        <w:tabs>
          <w:tab w:leader="none" w:pos="1285"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of Control” </w:t>
      </w:r>
      <w:r>
        <w:rPr>
          <w:rFonts w:ascii="Times New Roman" w:cs="Times New Roman" w:eastAsia="Times New Roman" w:hAnsi="Times New Roman"/>
          <w:sz w:val="18"/>
          <w:szCs w:val="18"/>
          <w:color w:val="auto"/>
        </w:rPr>
        <w:t>means (a) a merger, consolidation or similar transaction in which (i) the Company is a constituent party or (ii)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the Company is a constituent party and the Company issues shares of its capital stock pursuant to such merger, consolidation or similar transaction, except any such merger consolidation or similar transaction involving the Company or a subsidiary in which the holders of shares of capital stock of the Company outstanding immediately prior to such merger, consolidation or similar transaction continue to represent, or such holders’ shares are converted into or exchanged for shares of capital stock that represent, immediately following such merger, consolidation or similar transaction, at least a majority, by voting power, of the capital stock of (1) the surviving or resulting corporation or (2) if the surviving or resulting corporation is a wholly owned subsidiary of another corporation immediately following such merger, consolidation or similar transaction, the parent corporation of such surviving or resulting corporation, in each case, with rights, preferences, powers and other provisions that are substantially identical to the rights, preferences, powers and other provisions of the capital stock each such holder held immediately prior to such merger, consolidation or similar transaction; or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pacing w:after="0" w:line="189" w:lineRule="exact"/>
        <w:rPr>
          <w:rFonts w:ascii="Times New Roman" w:cs="Times New Roman" w:eastAsia="Times New Roman" w:hAnsi="Times New Roman"/>
          <w:sz w:val="18"/>
          <w:szCs w:val="18"/>
          <w:color w:val="auto"/>
        </w:rPr>
      </w:pPr>
    </w:p>
    <w:p>
      <w:pPr>
        <w:ind w:left="1340" w:hanging="186"/>
        <w:spacing w:after="0"/>
        <w:tabs>
          <w:tab w:leader="none" w:pos="13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Internal Revenue Code of 1986, as amended, and any regulations promulgated thereunder.</w:t>
      </w:r>
    </w:p>
    <w:p>
      <w:pPr>
        <w:spacing w:after="0" w:line="211" w:lineRule="exact"/>
        <w:rPr>
          <w:rFonts w:ascii="Times New Roman" w:cs="Times New Roman" w:eastAsia="Times New Roman" w:hAnsi="Times New Roman"/>
          <w:sz w:val="18"/>
          <w:szCs w:val="18"/>
          <w:color w:val="auto"/>
        </w:rPr>
      </w:pPr>
    </w:p>
    <w:p>
      <w:pPr>
        <w:ind w:left="1400" w:hanging="246"/>
        <w:spacing w:after="0"/>
        <w:tabs>
          <w:tab w:leader="none" w:pos="14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means the common stock, par value $0.0001 per share, of the Company.</w:t>
      </w:r>
    </w:p>
    <w:p>
      <w:pPr>
        <w:spacing w:after="0" w:line="211" w:lineRule="exact"/>
        <w:rPr>
          <w:rFonts w:ascii="Times New Roman" w:cs="Times New Roman" w:eastAsia="Times New Roman" w:hAnsi="Times New Roman"/>
          <w:sz w:val="18"/>
          <w:szCs w:val="18"/>
          <w:color w:val="auto"/>
        </w:rPr>
      </w:pPr>
    </w:p>
    <w:p>
      <w:pPr>
        <w:jc w:val="both"/>
        <w:ind w:right="240" w:firstLine="1154"/>
        <w:spacing w:after="0" w:line="246" w:lineRule="auto"/>
        <w:tabs>
          <w:tab w:leader="none" w:pos="136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for purposes of eligibility under the Plan, shall include any present or future subsidiary corporations of peerTransfer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as defined in Section 424(f) of the Code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and any present or future parent corporation of peerTransfer Corporation, as defined in Section 424(e) of the Code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For purposes of Awards other than Incentive Stock Options, the term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shall include any other business venture in which the Company has a direct or indirect significant interest, as determined by the Board in its sole discretion.</w:t>
      </w:r>
    </w:p>
    <w:p>
      <w:pPr>
        <w:spacing w:after="0" w:line="177" w:lineRule="exact"/>
        <w:rPr>
          <w:rFonts w:ascii="Times New Roman" w:cs="Times New Roman" w:eastAsia="Times New Roman" w:hAnsi="Times New Roman"/>
          <w:sz w:val="18"/>
          <w:szCs w:val="18"/>
          <w:color w:val="auto"/>
        </w:rPr>
      </w:pPr>
    </w:p>
    <w:p>
      <w:pPr>
        <w:ind w:right="160" w:firstLine="1154"/>
        <w:spacing w:after="0" w:line="271" w:lineRule="auto"/>
        <w:tabs>
          <w:tab w:leader="none" w:pos="131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“Consultant” </w:t>
      </w:r>
      <w:r>
        <w:rPr>
          <w:rFonts w:ascii="Times New Roman" w:cs="Times New Roman" w:eastAsia="Times New Roman" w:hAnsi="Times New Roman"/>
          <w:sz w:val="18"/>
          <w:szCs w:val="18"/>
          <w:color w:val="auto"/>
        </w:rPr>
        <w:t>means a person, excluding Employees and Outside Directors, who perform bona fide services for the Company, a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Subsidiary as a consultant or advisor and who qualifies as a consultant under Rule 701(c)(1) of the Securities Act.</w:t>
      </w:r>
    </w:p>
    <w:p>
      <w:pPr>
        <w:spacing w:after="0" w:line="153" w:lineRule="exact"/>
        <w:rPr>
          <w:rFonts w:ascii="Times New Roman" w:cs="Times New Roman" w:eastAsia="Times New Roman" w:hAnsi="Times New Roman"/>
          <w:sz w:val="18"/>
          <w:szCs w:val="18"/>
          <w:color w:val="auto"/>
        </w:rPr>
      </w:pPr>
    </w:p>
    <w:p>
      <w:pPr>
        <w:ind w:left="1380" w:hanging="226"/>
        <w:spacing w:after="0"/>
        <w:tabs>
          <w:tab w:leader="none" w:pos="13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has the meaning set forth in Code Section 22(e)(3).</w:t>
      </w:r>
    </w:p>
    <w:p>
      <w:pPr>
        <w:spacing w:after="0" w:line="211" w:lineRule="exact"/>
        <w:rPr>
          <w:rFonts w:ascii="Times New Roman" w:cs="Times New Roman" w:eastAsia="Times New Roman" w:hAnsi="Times New Roman"/>
          <w:sz w:val="18"/>
          <w:szCs w:val="18"/>
          <w:color w:val="auto"/>
        </w:rPr>
      </w:pPr>
    </w:p>
    <w:p>
      <w:pPr>
        <w:ind w:left="1440" w:hanging="286"/>
        <w:spacing w:after="0"/>
        <w:tabs>
          <w:tab w:leader="none" w:pos="14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date the Plan is adopted by the Company’s Board of Directors.</w:t>
      </w:r>
    </w:p>
    <w:p>
      <w:pPr>
        <w:spacing w:after="0" w:line="211" w:lineRule="exact"/>
        <w:rPr>
          <w:rFonts w:ascii="Times New Roman" w:cs="Times New Roman" w:eastAsia="Times New Roman" w:hAnsi="Times New Roman"/>
          <w:sz w:val="18"/>
          <w:szCs w:val="18"/>
          <w:color w:val="auto"/>
        </w:rPr>
      </w:pPr>
    </w:p>
    <w:p>
      <w:pPr>
        <w:ind w:right="220" w:firstLine="1154"/>
        <w:spacing w:after="0" w:line="271" w:lineRule="auto"/>
        <w:tabs>
          <w:tab w:leader="none" w:pos="1475"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for purposes of eligibility under the Plan shall include a person to whom an offer of employment has been extended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its Parents or Subsidiaries.</w:t>
      </w:r>
    </w:p>
    <w:p>
      <w:pPr>
        <w:spacing w:after="0" w:line="302" w:lineRule="exact"/>
        <w:rPr>
          <w:rFonts w:ascii="Times New Roman" w:cs="Times New Roman" w:eastAsia="Times New Roman" w:hAnsi="Times New Roman"/>
          <w:sz w:val="18"/>
          <w:szCs w:val="18"/>
          <w:color w:val="auto"/>
        </w:rPr>
      </w:pPr>
    </w:p>
    <w:p>
      <w:pPr>
        <w:ind w:left="1380" w:hanging="226"/>
        <w:spacing w:after="0"/>
        <w:tabs>
          <w:tab w:leader="none" w:pos="13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211" w:lineRule="exact"/>
        <w:rPr>
          <w:rFonts w:ascii="Times New Roman" w:cs="Times New Roman" w:eastAsia="Times New Roman" w:hAnsi="Times New Roman"/>
          <w:sz w:val="18"/>
          <w:szCs w:val="18"/>
          <w:color w:val="auto"/>
        </w:rPr>
      </w:pPr>
    </w:p>
    <w:p>
      <w:pPr>
        <w:ind w:left="1340" w:hanging="186"/>
        <w:spacing w:after="0"/>
        <w:tabs>
          <w:tab w:leader="none" w:pos="13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Exchange Program” </w:t>
      </w:r>
      <w:r>
        <w:rPr>
          <w:rFonts w:ascii="Times New Roman" w:cs="Times New Roman" w:eastAsia="Times New Roman" w:hAnsi="Times New Roman"/>
          <w:sz w:val="18"/>
          <w:szCs w:val="18"/>
          <w:color w:val="auto"/>
        </w:rPr>
        <w:t>means a program whereby outstanding options are exchanged for options with a lower exercise price.</w:t>
      </w:r>
    </w:p>
    <w:p>
      <w:pPr>
        <w:spacing w:after="0" w:line="211" w:lineRule="exact"/>
        <w:rPr>
          <w:rFonts w:ascii="Times New Roman" w:cs="Times New Roman" w:eastAsia="Times New Roman" w:hAnsi="Times New Roman"/>
          <w:sz w:val="18"/>
          <w:szCs w:val="18"/>
          <w:color w:val="auto"/>
        </w:rPr>
      </w:pPr>
    </w:p>
    <w:p>
      <w:pPr>
        <w:ind w:left="1380" w:hanging="226"/>
        <w:spacing w:after="0"/>
        <w:tabs>
          <w:tab w:leader="none" w:pos="13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“Outside Director” </w:t>
      </w:r>
      <w:r>
        <w:rPr>
          <w:rFonts w:ascii="Times New Roman" w:cs="Times New Roman" w:eastAsia="Times New Roman" w:hAnsi="Times New Roman"/>
          <w:sz w:val="18"/>
          <w:szCs w:val="18"/>
          <w:color w:val="auto"/>
        </w:rPr>
        <w:t>means a member of the Board who is not an Employee.</w:t>
      </w:r>
    </w:p>
    <w:p>
      <w:pPr>
        <w:spacing w:after="0" w:line="211" w:lineRule="exact"/>
        <w:rPr>
          <w:rFonts w:ascii="Times New Roman" w:cs="Times New Roman" w:eastAsia="Times New Roman" w:hAnsi="Times New Roman"/>
          <w:sz w:val="18"/>
          <w:szCs w:val="18"/>
          <w:color w:val="auto"/>
        </w:rPr>
      </w:pPr>
    </w:p>
    <w:p>
      <w:pPr>
        <w:ind w:left="1440" w:hanging="286"/>
        <w:spacing w:after="0"/>
        <w:tabs>
          <w:tab w:leader="none" w:pos="14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15" w:lineRule="exact"/>
        <w:rPr>
          <w:rFonts w:ascii="Times New Roman" w:cs="Times New Roman" w:eastAsia="Times New Roman" w:hAnsi="Times New Roman"/>
          <w:sz w:val="18"/>
          <w:szCs w:val="18"/>
          <w:color w:val="auto"/>
        </w:rPr>
      </w:pPr>
    </w:p>
    <w:p>
      <w:pPr>
        <w:jc w:val="both"/>
        <w:ind w:right="40" w:firstLine="517"/>
        <w:spacing w:after="0" w:line="250" w:lineRule="auto"/>
        <w:tabs>
          <w:tab w:leader="none" w:pos="68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8" w:name="page159"/>
    <w:bookmarkEnd w:id="158"/>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thereof.</w:t>
      </w:r>
    </w:p>
    <w:p>
      <w:pPr>
        <w:spacing w:after="0" w:line="162"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Company shall not be required to sell or issue any shares of Common Stock under any Award if the sale or issuance of such shares would constitute a violation by the Participant, any other individual exercising an Option, or the Company of any provision of any law or regulation of any governmental authority, including without limitation any federal or state securities laws or regulation. If at any time the Company shall determine, in its discretion, that the listing, registration or qualification of any share subject to an Award up on any security exchange or under any governmental regulatory body is necessary or desirable as a condition of, or in connection with, the issuance or purchase of shares hereunder, no shares of Common Stock may be issued or sold to the Participant or any other individual exercising an Option pursuant to such Award unless such listing, registration, qualification, consent, or approval shall have been effected or obtained free of any conditions not acceptable to the Company, and any delay caused thereby shall in no way effect the date of termination of the Award.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of shares of Common Stock pursuant to the Plan to comply with any law or regulation of any governmental authority. As to any jurisdiction that expressly imposes that a Option shall not be exercised until the shares of Common Stock covered by such Option are registered or exempt from registration, the exercise of such Option (under circumstances in which the laws of such jurisdiction apply) shall be deemed conditioned up on the effectiveness of such registration or availability of such an exemption.</w:t>
      </w:r>
    </w:p>
    <w:p>
      <w:pPr>
        <w:spacing w:after="0" w:line="191"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on the date on which it is adopted by the Board. No Awards shall be granted under the Plan after the completion of ten years from the date on which the Plan was adopted by the Board, but Awards previously granted may extend beyond that date.</w:t>
      </w:r>
    </w:p>
    <w:p>
      <w:pPr>
        <w:spacing w:after="0" w:line="325"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xml:space="preserve"> The Plan is intended to comply with Section 25102(o) of the California Corporations Code and any regulations relating thereto. Any provision of this Plan that is inconsistent with Section 25102(o) or any regulations relating thereto shall, without further act or amendment by the Company or the Board, be reformed to comply with the requirements of Section 25102(o) and any regulations relating thereto. The exercise of the Option and the issuance and transfer of Shares shall be subject to compliance by the Company and Participant with all applicable requirements of federal and state securities laws and with all applicable requirements of any stock exchange on which the Company’s Common Stock may be listed at the time of such issuance or transfer. Participant understands that the Company is under no obligation to register or qualify the Shares with the SEC, any state securities commission or any stock exchange to effect such compliance.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40" w:firstLine="1146"/>
        <w:spacing w:after="0" w:line="237" w:lineRule="auto"/>
        <w:rPr>
          <w:sz w:val="20"/>
          <w:szCs w:val="20"/>
          <w:color w:val="auto"/>
        </w:rPr>
      </w:pPr>
      <w:r>
        <w:rPr>
          <w:rFonts w:ascii="Times New Roman" w:cs="Times New Roman" w:eastAsia="Times New Roman" w:hAnsi="Times New Roman"/>
          <w:sz w:val="18"/>
          <w:szCs w:val="18"/>
          <w:color w:val="auto"/>
        </w:rPr>
        <w:t xml:space="preserve">i. Unless otherwise expressly set forth in an Award Agreement, it is intended that awards granted under the Plan shall be exempt from Code Section 409A, and any ambiguity in the terms of an Award Agreement and the Plan shall be interpreted consistently with this intent. To the extent an award is not exempt from Code Section 409A (any such award, a </w:t>
      </w:r>
      <w:r>
        <w:rPr>
          <w:rFonts w:ascii="Times New Roman" w:cs="Times New Roman" w:eastAsia="Times New Roman" w:hAnsi="Times New Roman"/>
          <w:sz w:val="18"/>
          <w:szCs w:val="18"/>
          <w:b w:val="1"/>
          <w:bCs w:val="1"/>
          <w:color w:val="auto"/>
        </w:rPr>
        <w:t>“409A Award”</w:t>
      </w:r>
      <w:r>
        <w:rPr>
          <w:rFonts w:ascii="Times New Roman" w:cs="Times New Roman" w:eastAsia="Times New Roman" w:hAnsi="Times New Roman"/>
          <w:sz w:val="18"/>
          <w:szCs w:val="18"/>
          <w:color w:val="auto"/>
        </w:rPr>
        <w:t>),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be given effect if such modification would cause the Award to become subject to Code Section 409A unless the parties explicitly acknowledge and consent to the modification as one having that effect. A 409A Award shall be subject to such additional rules and requirements as specified by the Board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(A) six months and one day after the Participant’s separation from service or (B) the Participant’s death, but only to the extent such delay is necessary to prevent such payment from being subject to Code Section 409A(a)(1). In addition, if a transaction subject to Section 7(f) constitutes a payment event with respect to any 409A Award, then the transaction with respect to such Award must also constitute a “change in control event” as defined in Treasury Regulation Section 1.409A3(i)(5) to the extent required by Code Section 409A.</w:t>
      </w:r>
    </w:p>
    <w:p>
      <w:pPr>
        <w:spacing w:after="0" w:line="191" w:lineRule="exact"/>
        <w:rPr>
          <w:sz w:val="20"/>
          <w:szCs w:val="20"/>
          <w:color w:val="auto"/>
        </w:rPr>
      </w:pPr>
    </w:p>
    <w:p>
      <w:pPr>
        <w:ind w:right="280" w:firstLine="1154"/>
        <w:spacing w:after="0" w:line="266" w:lineRule="auto"/>
        <w:tabs>
          <w:tab w:leader="none" w:pos="13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member of the Board shall have any liability to a Participant (or any person deriving their rights from a Participant) in the event an award held by the Participant fails to achieve its intended characterization under applicable tax law.</w:t>
      </w:r>
    </w:p>
    <w:p>
      <w:pPr>
        <w:spacing w:after="0" w:line="162" w:lineRule="exact"/>
        <w:rPr>
          <w:rFonts w:ascii="Times New Roman" w:cs="Times New Roman" w:eastAsia="Times New Roman" w:hAnsi="Times New Roman"/>
          <w:sz w:val="18"/>
          <w:szCs w:val="18"/>
          <w:color w:val="auto"/>
        </w:rPr>
      </w:pPr>
    </w:p>
    <w:p>
      <w:pPr>
        <w:ind w:right="140" w:firstLine="517"/>
        <w:spacing w:after="0" w:line="250" w:lineRule="auto"/>
        <w:tabs>
          <w:tab w:leader="none" w:pos="689" w:val="left"/>
        </w:tabs>
        <w:numPr>
          <w:ilvl w:val="0"/>
          <w:numId w:val="9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Treatment as Compensation</w:t>
      </w:r>
      <w:r>
        <w:rPr>
          <w:rFonts w:ascii="Times New Roman" w:cs="Times New Roman" w:eastAsia="Times New Roman" w:hAnsi="Times New Roman"/>
          <w:sz w:val="18"/>
          <w:szCs w:val="18"/>
          <w:color w:val="auto"/>
        </w:rPr>
        <w:t>. Any compensation that an individual earns or is deemed to earn under this Plan shall not be considered a part of his or her compensation for purposes of calculating contributions, accruals or benefits under any other plan or program that is maintained or funded by the Company, a Parent or a Subsidiary.</w:t>
      </w:r>
    </w:p>
    <w:p>
      <w:pPr>
        <w:spacing w:after="0" w:line="325" w:lineRule="exact"/>
        <w:rPr>
          <w:rFonts w:ascii="Times New Roman" w:cs="Times New Roman" w:eastAsia="Times New Roman" w:hAnsi="Times New Roman"/>
          <w:sz w:val="18"/>
          <w:szCs w:val="18"/>
          <w:u w:val="single" w:color="auto"/>
          <w:color w:val="auto"/>
        </w:rPr>
      </w:pPr>
    </w:p>
    <w:p>
      <w:pPr>
        <w:jc w:val="both"/>
        <w:ind w:firstLine="517"/>
        <w:spacing w:after="0" w:line="250" w:lineRule="auto"/>
        <w:tabs>
          <w:tab w:leader="none" w:pos="6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xml:space="preserve">. The Board may amend, suspend or terminate the Plan or any portion thereof at any time. Any amendment of the Plan shall be subject to the approval of the Company’s stockholders within 12 months of the amendment date if it (i) increases the number of Available Shares (except as provided for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(ii) materially changes the class of persons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ind w:right="40"/>
        <w:spacing w:after="0" w:line="266" w:lineRule="auto"/>
        <w:rPr>
          <w:sz w:val="20"/>
          <w:szCs w:val="20"/>
          <w:color w:val="auto"/>
        </w:rPr>
      </w:pPr>
      <w:r>
        <w:rPr>
          <w:rFonts w:ascii="Times New Roman" w:cs="Times New Roman" w:eastAsia="Times New Roman" w:hAnsi="Times New Roman"/>
          <w:sz w:val="18"/>
          <w:szCs w:val="18"/>
          <w:color w:val="auto"/>
        </w:rPr>
        <w:t>are eligible for the grant of Incentive Stock Options, or (iii) elects any other material change to the Plan terms such that stockholder approval is required by applicable law. Stockholder approval shall not be required for any other amendment of the Plan.</w:t>
      </w:r>
    </w:p>
    <w:p>
      <w:pPr>
        <w:spacing w:after="0" w:line="16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Company’s Right to Cancel Certain Options</w:t>
      </w:r>
      <w:r>
        <w:rPr>
          <w:rFonts w:ascii="Times New Roman" w:cs="Times New Roman" w:eastAsia="Times New Roman" w:hAnsi="Times New Roman"/>
          <w:sz w:val="18"/>
          <w:szCs w:val="18"/>
          <w:color w:val="auto"/>
        </w:rPr>
        <w:t xml:space="preserve"> . Any other provision of the Plan or an Award Agreement notwithstanding, the Company shall have the right at any time to cancel an Option that was not granted in compliance with Rule 701 under the Securities Act. Prior to canceling such Option, the Company shall give the Option holder not less than 30 days’ notice in writing. If the Company elects to cancel such an Option, it shall deliver to the Option holder consideration equal to the excess of (i) the Fair Market Value of the Common Stock subject to such Option as of the time of the cancellation over (ii) the Exercise Price of such Option. The consideration may be delivered in the form of cash or cash equivalents, in the form of Common Stock, or a combination of both. If the consideration would be a negative amount, such Option may be cancelled without the delivery of any consideration.</w:t>
      </w:r>
    </w:p>
    <w:p>
      <w:pPr>
        <w:spacing w:after="0" w:line="18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State of Delaware, without regard to any applicable conflicts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Approvals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Original Plan:</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Available Shares: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1,370,366</w:t>
            </w: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Adopted by the Board of Directors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8890</wp:posOffset>
            </wp:positionV>
            <wp:extent cx="23571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Approved by the Stockholder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8890</wp:posOffset>
            </wp:positionV>
            <wp:extent cx="23571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2">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61" w:name="page162"/>
    <w:bookmarkEnd w:id="161"/>
    <w:p>
      <w:pPr>
        <w:ind w:left="924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240" w:type="dxa"/>
            <w:vAlign w:val="bottom"/>
            <w:gridSpan w:val="3"/>
          </w:tcPr>
          <w:p>
            <w:pPr>
              <w:ind w:left="3720"/>
              <w:spacing w:after="0"/>
              <w:rPr>
                <w:sz w:val="20"/>
                <w:szCs w:val="20"/>
                <w:color w:val="auto"/>
              </w:rPr>
            </w:pPr>
            <w:r>
              <w:rPr>
                <w:rFonts w:ascii="Arial" w:cs="Arial" w:eastAsia="Arial" w:hAnsi="Arial"/>
                <w:sz w:val="18"/>
                <w:szCs w:val="18"/>
                <w:b w:val="1"/>
                <w:bCs w:val="1"/>
                <w:color w:val="auto"/>
              </w:rPr>
              <w:t>SUBSIDIARIES OF FLYWIRE CORPORATION</w:t>
            </w:r>
          </w:p>
        </w:tc>
      </w:tr>
      <w:tr>
        <w:trPr>
          <w:trHeight w:val="71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 of Subsidiary</w:t>
            </w:r>
          </w:p>
        </w:tc>
        <w:tc>
          <w:tcPr>
            <w:tcW w:w="12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Jurisdiction of Organization</w:t>
            </w:r>
          </w:p>
        </w:tc>
      </w:tr>
      <w:tr>
        <w:trPr>
          <w:trHeight w:val="37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LATAM Corporation</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of America</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Flywire AEA Corporation</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Healthcare Corporation</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of America</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OnPlan Holdings LLC</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Securities Corporation</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of America</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Flywire Global Corp.</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Payments Corporation</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of America</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Simplificare Inc.</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United States of America</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Pacific Pty Ltd</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Flywire Serviços Ltda.</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Canada, Inc.</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Flywire Solutions India LLP</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Simplificare Ltd.</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Israel</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Flywire G.K.</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Europe, UAB</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Lithuania</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peerTransfer Commercial Consulting (Shanghai) Co., Ltd.</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People’s Republic of China</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Flywire Romania S.R.L</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(Singapore) Pte. Ltd</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378"/>
        </w:trPr>
        <w:tc>
          <w:tcPr>
            <w:tcW w:w="5740" w:type="dxa"/>
            <w:vAlign w:val="bottom"/>
          </w:tcPr>
          <w:p>
            <w:pPr>
              <w:ind w:left="20"/>
              <w:spacing w:after="0"/>
              <w:rPr>
                <w:sz w:val="20"/>
                <w:szCs w:val="20"/>
                <w:color w:val="auto"/>
              </w:rPr>
            </w:pPr>
            <w:r>
              <w:rPr>
                <w:rFonts w:ascii="Arial" w:cs="Arial" w:eastAsia="Arial" w:hAnsi="Arial"/>
                <w:sz w:val="18"/>
                <w:szCs w:val="18"/>
                <w:color w:val="auto"/>
              </w:rPr>
              <w:t>Flywire S.L.U.</w:t>
            </w:r>
          </w:p>
        </w:tc>
        <w:tc>
          <w:tcPr>
            <w:tcW w:w="1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Flywire Payments Ltd.</w:t>
            </w:r>
          </w:p>
        </w:tc>
        <w:tc>
          <w:tcPr>
            <w:tcW w:w="120" w:type="dxa"/>
            <w:vAlign w:val="bottom"/>
            <w:shd w:val="clear" w:color="auto" w:fill="CCEEFF"/>
          </w:tcPr>
          <w:p>
            <w:pPr>
              <w:spacing w:after="0"/>
              <w:rPr>
                <w:sz w:val="24"/>
                <w:szCs w:val="24"/>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WPM Group Limited</w:t>
            </w:r>
          </w:p>
        </w:tc>
        <w:tc>
          <w:tcPr>
            <w:tcW w:w="120" w:type="dxa"/>
            <w:vAlign w:val="bottom"/>
          </w:tcPr>
          <w:p>
            <w:pPr>
              <w:spacing w:after="0"/>
              <w:rPr>
                <w:sz w:val="17"/>
                <w:szCs w:val="17"/>
                <w:color w:val="auto"/>
              </w:rPr>
            </w:pPr>
          </w:p>
        </w:tc>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WPM Education Limited</w:t>
            </w:r>
          </w:p>
        </w:tc>
        <w:tc>
          <w:tcPr>
            <w:tcW w:w="120" w:type="dxa"/>
            <w:vAlign w:val="bottom"/>
            <w:shd w:val="clear" w:color="auto" w:fill="CCEEFF"/>
          </w:tcPr>
          <w:p>
            <w:pPr>
              <w:spacing w:after="0"/>
              <w:rPr>
                <w:sz w:val="17"/>
                <w:szCs w:val="17"/>
                <w:color w:val="auto"/>
              </w:rPr>
            </w:pPr>
          </w:p>
        </w:tc>
        <w:tc>
          <w:tcPr>
            <w:tcW w:w="5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WPM Payment Security Limited</w:t>
            </w:r>
          </w:p>
        </w:tc>
        <w:tc>
          <w:tcPr>
            <w:tcW w:w="120" w:type="dxa"/>
            <w:vAlign w:val="bottom"/>
          </w:tcPr>
          <w:p>
            <w:pPr>
              <w:spacing w:after="0"/>
              <w:rPr>
                <w:sz w:val="17"/>
                <w:szCs w:val="17"/>
                <w:color w:val="auto"/>
              </w:rPr>
            </w:pPr>
          </w:p>
        </w:tc>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WPM Group Services Limited</w:t>
            </w:r>
          </w:p>
        </w:tc>
        <w:tc>
          <w:tcPr>
            <w:tcW w:w="120" w:type="dxa"/>
            <w:vAlign w:val="bottom"/>
            <w:shd w:val="clear" w:color="auto" w:fill="CCEEFF"/>
          </w:tcPr>
          <w:p>
            <w:pPr>
              <w:spacing w:after="0"/>
              <w:rPr>
                <w:sz w:val="17"/>
                <w:szCs w:val="17"/>
                <w:color w:val="auto"/>
              </w:rPr>
            </w:pPr>
          </w:p>
        </w:tc>
        <w:tc>
          <w:tcPr>
            <w:tcW w:w="5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Kingdom</w:t>
            </w:r>
          </w:p>
        </w:tc>
      </w:tr>
      <w:tr>
        <w:trPr>
          <w:trHeight w:val="239"/>
        </w:trPr>
        <w:tc>
          <w:tcPr>
            <w:tcW w:w="5740" w:type="dxa"/>
            <w:vAlign w:val="bottom"/>
          </w:tcPr>
          <w:p>
            <w:pPr>
              <w:ind w:left="20"/>
              <w:spacing w:after="0"/>
              <w:rPr>
                <w:sz w:val="20"/>
                <w:szCs w:val="20"/>
                <w:color w:val="auto"/>
              </w:rPr>
            </w:pPr>
            <w:r>
              <w:rPr>
                <w:rFonts w:ascii="Arial" w:cs="Arial" w:eastAsia="Arial" w:hAnsi="Arial"/>
                <w:sz w:val="18"/>
                <w:szCs w:val="18"/>
                <w:color w:val="auto"/>
              </w:rPr>
              <w:t>WPM Payments Limited</w:t>
            </w:r>
          </w:p>
        </w:tc>
        <w:tc>
          <w:tcPr>
            <w:tcW w:w="1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335"/>
        </w:trPr>
        <w:tc>
          <w:tcPr>
            <w:tcW w:w="5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2" w:name="page163"/>
    <w:bookmarkEnd w:id="162"/>
    <w:p>
      <w:pPr>
        <w:ind w:left="924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333-256695) of Flywire Corporation of our report dated March 29, 2022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March 29, 2022</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23" w:right="6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4"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160" w:hanging="512"/>
        <w:spacing w:after="0" w:line="271" w:lineRule="auto"/>
        <w:tabs>
          <w:tab w:leader="none" w:pos="4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5"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1560" w:hanging="407"/>
        <w:spacing w:after="0"/>
        <w:tabs>
          <w:tab w:leader="none" w:pos="15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660" w:right="280" w:hanging="507"/>
        <w:spacing w:after="0" w:line="253" w:lineRule="auto"/>
        <w:tabs>
          <w:tab w:leader="none" w:pos="1551"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right="20" w:hanging="507"/>
        <w:spacing w:after="0" w:line="275" w:lineRule="auto"/>
        <w:tabs>
          <w:tab w:leader="none" w:pos="1551" w:val="left"/>
        </w:tabs>
        <w:numPr>
          <w:ilvl w:val="1"/>
          <w:numId w:val="9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520" w:right="380" w:hanging="512"/>
        <w:spacing w:after="0" w:line="253" w:lineRule="auto"/>
        <w:tabs>
          <w:tab w:leader="none" w:pos="4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40" w:hanging="507"/>
        <w:spacing w:after="0" w:line="253" w:lineRule="auto"/>
        <w:tabs>
          <w:tab w:leader="none" w:pos="1551"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55" w:lineRule="auto"/>
        <w:tabs>
          <w:tab w:leader="none" w:pos="1551"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760" w:val="left"/>
          <w:tab w:leader="none" w:pos="8820" w:val="left"/>
        </w:tabs>
        <w:rPr>
          <w:sz w:val="20"/>
          <w:szCs w:val="20"/>
          <w:color w:val="auto"/>
        </w:rPr>
      </w:pPr>
      <w:r>
        <w:rPr>
          <w:rFonts w:ascii="Arial" w:cs="Arial" w:eastAsia="Arial" w:hAnsi="Arial"/>
          <w:sz w:val="18"/>
          <w:szCs w:val="18"/>
          <w:color w:val="auto"/>
        </w:rPr>
        <w:t>Date: March 29,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-15875</wp:posOffset>
            </wp:positionV>
            <wp:extent cx="191135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7">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6"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Michael Massaro</w:t>
      </w:r>
    </w:p>
    <w:p>
      <w:pPr>
        <w:jc w:val="center"/>
        <w:ind w:left="80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Michael Ellis, certify that:</w:t>
      </w:r>
    </w:p>
    <w:p>
      <w:pPr>
        <w:spacing w:after="0" w:line="104"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160" w:hanging="512"/>
        <w:spacing w:after="0" w:line="271" w:lineRule="auto"/>
        <w:tabs>
          <w:tab w:leader="none" w:pos="4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5"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1560" w:hanging="407"/>
        <w:spacing w:after="0"/>
        <w:tabs>
          <w:tab w:leader="none" w:pos="15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660" w:right="280" w:hanging="507"/>
        <w:spacing w:after="0" w:line="253" w:lineRule="auto"/>
        <w:tabs>
          <w:tab w:leader="none" w:pos="1551"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right="20" w:hanging="507"/>
        <w:spacing w:after="0" w:line="275" w:lineRule="auto"/>
        <w:tabs>
          <w:tab w:leader="none" w:pos="1551" w:val="left"/>
        </w:tabs>
        <w:numPr>
          <w:ilvl w:val="1"/>
          <w:numId w:val="9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520" w:right="380" w:hanging="512"/>
        <w:spacing w:after="0" w:line="253" w:lineRule="auto"/>
        <w:tabs>
          <w:tab w:leader="none" w:pos="4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40" w:hanging="507"/>
        <w:spacing w:after="0" w:line="253" w:lineRule="auto"/>
        <w:tabs>
          <w:tab w:leader="none" w:pos="155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55" w:lineRule="auto"/>
        <w:tabs>
          <w:tab w:leader="none" w:pos="155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820" w:val="left"/>
          <w:tab w:leader="none" w:pos="9040" w:val="left"/>
        </w:tabs>
        <w:rPr>
          <w:sz w:val="20"/>
          <w:szCs w:val="20"/>
          <w:color w:val="auto"/>
        </w:rPr>
      </w:pPr>
      <w:r>
        <w:rPr>
          <w:rFonts w:ascii="Arial" w:cs="Arial" w:eastAsia="Arial" w:hAnsi="Arial"/>
          <w:sz w:val="18"/>
          <w:szCs w:val="18"/>
          <w:color w:val="auto"/>
        </w:rPr>
        <w:t>Date: March 29,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-15875</wp:posOffset>
            </wp:positionV>
            <wp:extent cx="187769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9">
                      <a:extLst>
                        <a:ext uri="{28A0092B-C50C-407E-A947-70E740481C1C}"/>
                      </a:extLst>
                    </a:blip>
                    <a:srcRect/>
                    <a:stretch>
                      <a:fillRect/>
                    </a:stretch>
                  </pic:blipFill>
                  <pic:spPr bwMode="auto">
                    <a:xfrm>
                      <a:off x="0" y="0"/>
                      <a:ext cx="1877695" cy="8890"/>
                    </a:xfrm>
                    <a:prstGeom prst="rect">
                      <a:avLst/>
                    </a:prstGeom>
                    <a:noFill/>
                  </pic:spPr>
                </pic:pic>
              </a:graphicData>
            </a:graphic>
          </wp:anchor>
        </w:drawing>
      </w:r>
    </w:p>
    <w:p>
      <w:pPr>
        <w:spacing w:after="0" w:line="16" w:lineRule="exact"/>
        <w:rPr>
          <w:sz w:val="20"/>
          <w:szCs w:val="20"/>
          <w:color w:val="auto"/>
        </w:rPr>
      </w:pPr>
    </w:p>
    <w:p>
      <w:pPr>
        <w:jc w:val="center"/>
        <w:ind w:left="8100"/>
        <w:spacing w:after="0"/>
        <w:rPr>
          <w:sz w:val="20"/>
          <w:szCs w:val="20"/>
          <w:color w:val="auto"/>
        </w:rPr>
      </w:pPr>
      <w:r>
        <w:rPr>
          <w:rFonts w:ascii="Arial" w:cs="Arial" w:eastAsia="Arial" w:hAnsi="Arial"/>
          <w:sz w:val="18"/>
          <w:szCs w:val="18"/>
          <w:b w:val="1"/>
          <w:bCs w:val="1"/>
          <w:color w:val="auto"/>
        </w:rPr>
        <w:t>Michael Ellis</w:t>
      </w:r>
    </w:p>
    <w:p>
      <w:pPr>
        <w:jc w:val="center"/>
        <w:ind w:left="81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Annual Report of Flywire Corporation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55" w:lineRule="auto"/>
        <w:tabs>
          <w:tab w:leader="none" w:pos="155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 w:lineRule="exact"/>
        <w:rPr>
          <w:sz w:val="20"/>
          <w:szCs w:val="20"/>
          <w:color w:val="auto"/>
        </w:rPr>
      </w:pPr>
    </w:p>
    <w:p>
      <w:pPr>
        <w:ind w:left="20"/>
        <w:spacing w:after="0"/>
        <w:tabs>
          <w:tab w:leader="none" w:pos="8000" w:val="left"/>
          <w:tab w:leader="none" w:pos="8960" w:val="left"/>
        </w:tabs>
        <w:rPr>
          <w:sz w:val="20"/>
          <w:szCs w:val="20"/>
          <w:color w:val="auto"/>
        </w:rPr>
      </w:pPr>
      <w:r>
        <w:rPr>
          <w:rFonts w:ascii="Arial" w:cs="Arial" w:eastAsia="Arial" w:hAnsi="Arial"/>
          <w:sz w:val="18"/>
          <w:szCs w:val="18"/>
          <w:color w:val="auto"/>
        </w:rPr>
        <w:t>Date: March 29,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-15875</wp:posOffset>
            </wp:positionV>
            <wp:extent cx="17576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1">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16"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Michael Massaro</w:t>
      </w:r>
    </w:p>
    <w:p>
      <w:pPr>
        <w:jc w:val="center"/>
        <w:ind w:left="83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Annual Report of Flywire Corporation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55" w:lineRule="auto"/>
        <w:tabs>
          <w:tab w:leader="none" w:pos="155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 w:lineRule="exact"/>
        <w:rPr>
          <w:sz w:val="20"/>
          <w:szCs w:val="20"/>
          <w:color w:val="auto"/>
        </w:rPr>
      </w:pPr>
    </w:p>
    <w:p>
      <w:pPr>
        <w:ind w:left="20"/>
        <w:spacing w:after="0"/>
        <w:tabs>
          <w:tab w:leader="none" w:pos="8000" w:val="left"/>
          <w:tab w:leader="none" w:pos="9140" w:val="left"/>
        </w:tabs>
        <w:rPr>
          <w:sz w:val="20"/>
          <w:szCs w:val="20"/>
          <w:color w:val="auto"/>
        </w:rPr>
      </w:pPr>
      <w:r>
        <w:rPr>
          <w:rFonts w:ascii="Arial" w:cs="Arial" w:eastAsia="Arial" w:hAnsi="Arial"/>
          <w:sz w:val="18"/>
          <w:szCs w:val="18"/>
          <w:color w:val="auto"/>
        </w:rPr>
        <w:t>Date: March 29,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-15875</wp:posOffset>
            </wp:positionV>
            <wp:extent cx="17576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3">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16"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Michael Ellis</w:t>
      </w:r>
    </w:p>
    <w:p>
      <w:pPr>
        <w:jc w:val="center"/>
        <w:ind w:left="83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decimal"/>
      <w:start w:val="3"/>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1)"/>
      <w:numFmt w:val="decimal"/>
      <w:start w:val="2"/>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1)"/>
      <w:numFmt w:val="lowerRoman"/>
      <w:start w:val="2"/>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lowerRoman"/>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lowerRoman"/>
      <w:start w:val="1"/>
    </w:lvl>
  </w:abstractNum>
  <w:abstractNum w:abstractNumId="55">
    <w:nsid w:val="11447B73"/>
    <w:multiLevelType w:val="hybridMultilevel"/>
    <w:lvl w:ilvl="0">
      <w:lvlJc w:val="left"/>
      <w:lvlText w:val="(%1)"/>
      <w:numFmt w:val="lowerRoman"/>
      <w:start w:val="1"/>
    </w:lvl>
  </w:abstractNum>
  <w:abstractNum w:abstractNumId="56">
    <w:nsid w:val="42963E5A"/>
    <w:multiLevelType w:val="hybridMultilevel"/>
    <w:lvl w:ilvl="0">
      <w:lvlJc w:val="left"/>
      <w:lvlText w:val="%1."/>
      <w:numFmt w:val="decimal"/>
      <w:start w:val="2"/>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decimal"/>
      <w:start w:val="3"/>
    </w:lvl>
  </w:abstractNum>
  <w:abstractNum w:abstractNumId="59">
    <w:nsid w:val="1A32234B"/>
    <w:multiLevelType w:val="hybridMultilevel"/>
    <w:lvl w:ilvl="0">
      <w:lvlJc w:val="left"/>
      <w:lvlText w:val="%1."/>
      <w:numFmt w:val="decimal"/>
      <w:start w:val="4"/>
    </w:lvl>
  </w:abstractNum>
  <w:abstractNum w:abstractNumId="60">
    <w:nsid w:val="3B0FD379"/>
    <w:multiLevelType w:val="hybridMultilevel"/>
    <w:lvl w:ilvl="0">
      <w:lvlJc w:val="left"/>
      <w:lvlText w:val="%1."/>
      <w:numFmt w:val="decimal"/>
      <w:start w:val="4"/>
    </w:lvl>
    <w:lvl w:ilvl="1">
      <w:lvlJc w:val="left"/>
      <w:lvlText w:val="*"/>
      <w:numFmt w:val="bullet"/>
      <w:start w:val="1"/>
    </w:lvl>
  </w:abstractNum>
  <w:abstractNum w:abstractNumId="61">
    <w:nsid w:val="68EB2F63"/>
    <w:multiLevelType w:val="hybridMultilevel"/>
    <w:lvl w:ilvl="0">
      <w:lvlJc w:val="left"/>
      <w:lvlText w:val="%1."/>
      <w:numFmt w:val="decimal"/>
      <w:start w:val="6"/>
    </w:lvl>
  </w:abstractNum>
  <w:abstractNum w:abstractNumId="62">
    <w:nsid w:val="4962813B"/>
    <w:multiLevelType w:val="hybridMultilevel"/>
    <w:lvl w:ilvl="0">
      <w:lvlJc w:val="left"/>
      <w:lvlText w:val="%1."/>
      <w:numFmt w:val="decimal"/>
      <w:start w:val="7"/>
    </w:lvl>
  </w:abstractNum>
  <w:abstractNum w:abstractNumId="63">
    <w:nsid w:val="60B6DF70"/>
    <w:multiLevelType w:val="hybridMultilevel"/>
    <w:lvl w:ilvl="0">
      <w:lvlJc w:val="left"/>
      <w:lvlText w:val="%1."/>
      <w:numFmt w:val="decimal"/>
      <w:start w:val="8"/>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1."/>
      <w:numFmt w:val="decimal"/>
      <w:start w:val="9"/>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1."/>
      <w:numFmt w:val="decimal"/>
      <w:start w:val="10"/>
    </w:lvl>
  </w:abstractNum>
  <w:abstractNum w:abstractNumId="69">
    <w:nsid w:val="100F59DC"/>
    <w:multiLevelType w:val="hybridMultilevel"/>
    <w:lvl w:ilvl="0">
      <w:lvlJc w:val="left"/>
      <w:lvlText w:val="%1."/>
      <w:numFmt w:val="decimal"/>
      <w:start w:val="11"/>
    </w:lvl>
  </w:abstractNum>
  <w:abstractNum w:abstractNumId="70">
    <w:nsid w:val="7FB7E0AA"/>
    <w:multiLevelType w:val="hybridMultilevel"/>
    <w:lvl w:ilvl="0">
      <w:lvlJc w:val="left"/>
      <w:lvlText w:val="(%1)"/>
      <w:numFmt w:val="lowerRoman"/>
      <w:start w:val="2"/>
    </w:lvl>
  </w:abstractNum>
  <w:abstractNum w:abstractNumId="71">
    <w:nsid w:val="6EB5BD4"/>
    <w:multiLevelType w:val="hybridMultilevel"/>
    <w:lvl w:ilvl="0">
      <w:lvlJc w:val="left"/>
      <w:lvlText w:val="(%1)"/>
      <w:numFmt w:val="lowerRoman"/>
      <w:start w:val="1"/>
    </w:lvl>
  </w:abstractNum>
  <w:abstractNum w:abstractNumId="72">
    <w:nsid w:val="6F6DD9AC"/>
    <w:multiLevelType w:val="hybridMultilevel"/>
    <w:lvl w:ilvl="0">
      <w:lvlJc w:val="left"/>
      <w:lvlText w:val="%1."/>
      <w:numFmt w:val="decimal"/>
      <w:start w:val="12"/>
    </w:lvl>
  </w:abstractNum>
  <w:abstractNum w:abstractNumId="73">
    <w:nsid w:val="94211F2"/>
    <w:multiLevelType w:val="hybridMultilevel"/>
    <w:lvl w:ilvl="0">
      <w:lvlJc w:val="left"/>
      <w:lvlText w:val="%1."/>
      <w:numFmt w:val="decimal"/>
      <w:start w:val="13"/>
    </w:lvl>
  </w:abstractNum>
  <w:abstractNum w:abstractNumId="74">
    <w:nsid w:val="885E1B"/>
    <w:multiLevelType w:val="hybridMultilevel"/>
    <w:lvl w:ilvl="0">
      <w:lvlJc w:val="left"/>
      <w:lvlText w:val="%1."/>
      <w:numFmt w:val="decimal"/>
      <w:start w:val="14"/>
    </w:lvl>
  </w:abstractNum>
  <w:abstractNum w:abstractNumId="75">
    <w:nsid w:val="76272110"/>
    <w:multiLevelType w:val="hybridMultilevel"/>
    <w:lvl w:ilvl="0">
      <w:lvlJc w:val="left"/>
      <w:lvlText w:val="%1."/>
      <w:numFmt w:val="decimal"/>
      <w:start w:val="15"/>
    </w:lvl>
  </w:abstractNum>
  <w:abstractNum w:abstractNumId="76">
    <w:nsid w:val="4C04A8AF"/>
    <w:multiLevelType w:val="hybridMultilevel"/>
    <w:lvl w:ilvl="0">
      <w:lvlJc w:val="left"/>
      <w:lvlText w:val="%1."/>
      <w:numFmt w:val="decimal"/>
      <w:start w:val="16"/>
    </w:lvl>
  </w:abstractNum>
  <w:abstractNum w:abstractNumId="77">
    <w:nsid w:val="1716703B"/>
    <w:multiLevelType w:val="hybridMultilevel"/>
    <w:lvl w:ilvl="0">
      <w:lvlJc w:val="left"/>
      <w:lvlText w:val="%1."/>
      <w:numFmt w:val="decimal"/>
      <w:start w:val="17"/>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
      <w:numFmt w:val="bullet"/>
      <w:start w:val="1"/>
    </w:lvl>
    <w:lvl w:ilvl="1">
      <w:lvlJc w:val="left"/>
      <w:lvlText w:val="%2"/>
      <w:numFmt w:val="decimal"/>
      <w:start w:val="104"/>
    </w:lvl>
  </w:abstractNum>
  <w:abstractNum w:abstractNumId="80">
    <w:nsid w:val="74DE0EE3"/>
    <w:multiLevelType w:val="hybridMultilevel"/>
    <w:lvl w:ilvl="0">
      <w:lvlJc w:val="left"/>
      <w:lvlText w:val="(%1)"/>
      <w:numFmt w:val="lowerRoman"/>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1."/>
      <w:numFmt w:val="decimal"/>
      <w:start w:val="1"/>
    </w:lvl>
    <w:lvl w:ilvl="1">
      <w:lvlJc w:val="left"/>
      <w:lvlText w:val="%2."/>
      <w:numFmt w:val="lowerLetter"/>
      <w:start w:val="2"/>
    </w:lvl>
  </w:abstractNum>
  <w:abstractNum w:abstractNumId="85">
    <w:nsid w:val="39EE015C"/>
    <w:multiLevelType w:val="hybridMultilevel"/>
    <w:lvl w:ilvl="0">
      <w:lvlJc w:val="left"/>
      <w:lvlText w:val="%1"/>
      <w:numFmt w:val="decimal"/>
      <w:start w:val="1"/>
    </w:lvl>
    <w:lvl w:ilvl="1">
      <w:lvlJc w:val="left"/>
      <w:lvlText w:val="%2."/>
      <w:numFmt w:val="lowerLetter"/>
      <w:start w:val="1"/>
    </w:lvl>
  </w:abstractNum>
  <w:abstractNum w:abstractNumId="86">
    <w:nsid w:val="57FC4FBB"/>
    <w:multiLevelType w:val="hybridMultilevel"/>
    <w:lvl w:ilvl="0">
      <w:lvlJc w:val="left"/>
      <w:lvlText w:val="%1."/>
      <w:numFmt w:val="decimal"/>
      <w:start w:val="4"/>
    </w:lvl>
    <w:lvl w:ilvl="1">
      <w:lvlJc w:val="left"/>
      <w:lvlText w:val="%2."/>
      <w:numFmt w:val="lowerLetter"/>
      <w:start w:val="1"/>
    </w:lvl>
  </w:abstractNum>
  <w:abstractNum w:abstractNumId="87">
    <w:nsid w:val="CC1016F"/>
    <w:multiLevelType w:val="hybridMultilevel"/>
    <w:lvl w:ilvl="0">
      <w:lvlJc w:val="left"/>
      <w:lvlText w:val="%1"/>
      <w:numFmt w:val="decimal"/>
      <w:start w:val="422"/>
    </w:lvl>
    <w:lvl w:ilvl="1">
      <w:lvlJc w:val="left"/>
      <w:lvlText w:val="%2"/>
      <w:numFmt w:val="lowerLetter"/>
      <w:start w:val="1"/>
    </w:lvl>
  </w:abstractNum>
  <w:abstractNum w:abstractNumId="88">
    <w:nsid w:val="43F18422"/>
    <w:multiLevelType w:val="hybridMultilevel"/>
    <w:lvl w:ilvl="0">
      <w:lvlJc w:val="left"/>
      <w:lvlText w:val="%1."/>
      <w:numFmt w:val="lowerRoman"/>
      <w:start w:val="2"/>
    </w:lvl>
  </w:abstractNum>
  <w:abstractNum w:abstractNumId="89">
    <w:nsid w:val="60EF0119"/>
    <w:multiLevelType w:val="hybridMultilevel"/>
    <w:lvl w:ilvl="0">
      <w:lvlJc w:val="left"/>
      <w:lvlText w:val="%1."/>
      <w:numFmt w:val="decimal"/>
      <w:start w:val="5"/>
    </w:lvl>
    <w:lvl w:ilvl="1">
      <w:lvlJc w:val="left"/>
      <w:lvlText w:val="%2."/>
      <w:numFmt w:val="lowerLetter"/>
      <w:start w:val="1"/>
    </w:lvl>
  </w:abstractNum>
  <w:abstractNum w:abstractNumId="90">
    <w:nsid w:val="26F324BA"/>
    <w:multiLevelType w:val="hybridMultilevel"/>
    <w:lvl w:ilvl="0">
      <w:lvlJc w:val="left"/>
      <w:lvlText w:val="%1."/>
      <w:numFmt w:val="decimal"/>
      <w:start w:val="8"/>
    </w:lvl>
    <w:lvl w:ilvl="1">
      <w:lvlJc w:val="left"/>
      <w:lvlText w:val="%2"/>
      <w:numFmt w:val="lowerLetter"/>
      <w:start w:val="1"/>
    </w:lvl>
  </w:abstractNum>
  <w:abstractNum w:abstractNumId="91">
    <w:nsid w:val="7F01579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92">
    <w:nsid w:val="49DA307D"/>
    <w:multiLevelType w:val="hybridMultilevel"/>
    <w:lvl w:ilvl="0">
      <w:lvlJc w:val="left"/>
      <w:lvlText w:val="%1"/>
      <w:numFmt w:val="lowerLetter"/>
      <w:start w:val="1"/>
    </w:lvl>
    <w:lvl w:ilvl="1">
      <w:lvlJc w:val="left"/>
      <w:lvlText w:val="%2."/>
      <w:numFmt w:val="lowerLetter"/>
      <w:start w:val="35"/>
    </w:lvl>
  </w:abstractNum>
  <w:abstractNum w:abstractNumId="93">
    <w:nsid w:val="7055A5F5"/>
    <w:multiLevelType w:val="hybridMultilevel"/>
    <w:lvl w:ilvl="0">
      <w:lvlJc w:val="left"/>
      <w:lvlText w:val="%1."/>
      <w:numFmt w:val="lowerLetter"/>
      <w:start w:val="8"/>
    </w:lvl>
    <w:lvl w:ilvl="1">
      <w:lvlJc w:val="left"/>
      <w:lvlText w:val="%2"/>
      <w:numFmt w:val="lowerLetter"/>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9" Type="http://schemas.openxmlformats.org/officeDocument/2006/relationships/image" Target="media/image494.png"/><Relationship Id="rId520" Type="http://schemas.openxmlformats.org/officeDocument/2006/relationships/image" Target="media/image495.png"/><Relationship Id="rId521" Type="http://schemas.openxmlformats.org/officeDocument/2006/relationships/image" Target="media/image496.png"/><Relationship Id="rId522" Type="http://schemas.openxmlformats.org/officeDocument/2006/relationships/image" Target="media/image497.png"/><Relationship Id="rId523" Type="http://schemas.openxmlformats.org/officeDocument/2006/relationships/image" Target="media/image498.png"/><Relationship Id="rId524" Type="http://schemas.openxmlformats.org/officeDocument/2006/relationships/image" Target="media/image499.png"/><Relationship Id="rId525" Type="http://schemas.openxmlformats.org/officeDocument/2006/relationships/image" Target="media/image500.png"/><Relationship Id="rId526" Type="http://schemas.openxmlformats.org/officeDocument/2006/relationships/image" Target="media/image501.png"/><Relationship Id="rId527" Type="http://schemas.openxmlformats.org/officeDocument/2006/relationships/image" Target="media/image502.png"/><Relationship Id="rId528" Type="http://schemas.openxmlformats.org/officeDocument/2006/relationships/image" Target="media/image503.png"/><Relationship Id="rId529" Type="http://schemas.openxmlformats.org/officeDocument/2006/relationships/image" Target="media/image504.png"/><Relationship Id="rId530" Type="http://schemas.openxmlformats.org/officeDocument/2006/relationships/image" Target="media/image505.png"/><Relationship Id="rId531" Type="http://schemas.openxmlformats.org/officeDocument/2006/relationships/image" Target="media/image506.png"/><Relationship Id="rId532" Type="http://schemas.openxmlformats.org/officeDocument/2006/relationships/image" Target="media/image507.png"/><Relationship Id="rId533" Type="http://schemas.openxmlformats.org/officeDocument/2006/relationships/image" Target="media/image508.png"/><Relationship Id="rId534" Type="http://schemas.openxmlformats.org/officeDocument/2006/relationships/image" Target="media/image509.png"/><Relationship Id="rId535" Type="http://schemas.openxmlformats.org/officeDocument/2006/relationships/image" Target="media/image510.png"/><Relationship Id="rId536" Type="http://schemas.openxmlformats.org/officeDocument/2006/relationships/image" Target="media/image511.png"/><Relationship Id="rId537" Type="http://schemas.openxmlformats.org/officeDocument/2006/relationships/image" Target="media/image512.png"/><Relationship Id="rId538" Type="http://schemas.openxmlformats.org/officeDocument/2006/relationships/image" Target="media/image513.png"/><Relationship Id="rId539" Type="http://schemas.openxmlformats.org/officeDocument/2006/relationships/image" Target="media/image514.png"/><Relationship Id="rId540" Type="http://schemas.openxmlformats.org/officeDocument/2006/relationships/image" Target="media/image515.png"/><Relationship Id="rId541" Type="http://schemas.openxmlformats.org/officeDocument/2006/relationships/image" Target="media/image516.png"/><Relationship Id="rId542" Type="http://schemas.openxmlformats.org/officeDocument/2006/relationships/image" Target="media/image517.png"/><Relationship Id="rId543" Type="http://schemas.openxmlformats.org/officeDocument/2006/relationships/image" Target="media/image518.png"/><Relationship Id="rId544" Type="http://schemas.openxmlformats.org/officeDocument/2006/relationships/image" Target="media/image519.png"/><Relationship Id="rId545" Type="http://schemas.openxmlformats.org/officeDocument/2006/relationships/image" Target="media/image520.png"/><Relationship Id="rId546" Type="http://schemas.openxmlformats.org/officeDocument/2006/relationships/image" Target="media/image521.png"/><Relationship Id="rId547" Type="http://schemas.openxmlformats.org/officeDocument/2006/relationships/image" Target="media/image522.png"/><Relationship Id="rId548" Type="http://schemas.openxmlformats.org/officeDocument/2006/relationships/image" Target="media/image523.png"/><Relationship Id="rId549" Type="http://schemas.openxmlformats.org/officeDocument/2006/relationships/image" Target="media/image524.png"/><Relationship Id="rId550" Type="http://schemas.openxmlformats.org/officeDocument/2006/relationships/image" Target="media/image525.png"/><Relationship Id="rId551" Type="http://schemas.openxmlformats.org/officeDocument/2006/relationships/image" Target="media/image526.png"/><Relationship Id="rId552" Type="http://schemas.openxmlformats.org/officeDocument/2006/relationships/image" Target="media/image527.png"/><Relationship Id="rId553" Type="http://schemas.openxmlformats.org/officeDocument/2006/relationships/image" Target="media/image528.png"/><Relationship Id="rId554" Type="http://schemas.openxmlformats.org/officeDocument/2006/relationships/image" Target="media/image529.png"/><Relationship Id="rId499" Type="http://schemas.openxmlformats.org/officeDocument/2006/relationships/hyperlink" Target="https://www.sec.gov/Archives/edgar/data/1580560/000119312521178711/d109060dex31.htm" TargetMode="External"/><Relationship Id="rId500" Type="http://schemas.openxmlformats.org/officeDocument/2006/relationships/hyperlink" Target="https://www.sec.gov/Archives/edgar/data/1580560/000119312521178711/d109060dex32.htm" TargetMode="External"/><Relationship Id="rId501" Type="http://schemas.openxmlformats.org/officeDocument/2006/relationships/hyperlink" Target="https://www.sec.gov/Archives/edgar/data/1580560/000119312521146481/d469729dex42.htm" TargetMode="External"/><Relationship Id="rId502" Type="http://schemas.openxmlformats.org/officeDocument/2006/relationships/hyperlink" Target="https://www.sec.gov/Archives/edgar/data/0001580560/000119312521164506/d469729dex101.htm" TargetMode="External"/><Relationship Id="rId503" Type="http://schemas.openxmlformats.org/officeDocument/2006/relationships/hyperlink" Target="https://www.sec.gov/Archives/edgar/data/0001580560/000119312521164506/d469729dex103.htm" TargetMode="External"/><Relationship Id="rId504" Type="http://schemas.openxmlformats.org/officeDocument/2006/relationships/hyperlink" Target="https://www.sec.gov/Archives/edgar/data/1580560/000119312521146481/d469729dex104.htm" TargetMode="External"/><Relationship Id="rId505" Type="http://schemas.openxmlformats.org/officeDocument/2006/relationships/hyperlink" Target="https://www.sec.gov/Archives/edgar/data/1580560/000119312521146481/d469729dex105.htm" TargetMode="External"/><Relationship Id="rId506" Type="http://schemas.openxmlformats.org/officeDocument/2006/relationships/hyperlink" Target="https://www.sec.gov/Archives/edgar/data/0001580560/000119312521164506/d469729dex106.htm" TargetMode="External"/><Relationship Id="rId507" Type="http://schemas.openxmlformats.org/officeDocument/2006/relationships/hyperlink" Target="https://www.sec.gov/Archives/edgar/data/0001580560/000119312521164506/d469729dex107.htm" TargetMode="External"/><Relationship Id="rId510" Type="http://schemas.openxmlformats.org/officeDocument/2006/relationships/hyperlink" Target="https://www.sec.gov/Archives/edgar/data/0001580560/000119312521164506/d469729dex108.htm" TargetMode="External"/><Relationship Id="rId511" Type="http://schemas.openxmlformats.org/officeDocument/2006/relationships/hyperlink" Target="https://www.sec.gov/Archives/edgar/data/0001580560/000119312521164506/d469729dex109.htm" TargetMode="External"/><Relationship Id="rId512" Type="http://schemas.openxmlformats.org/officeDocument/2006/relationships/hyperlink" Target="https://www.sec.gov/Archives/edgar/data/0001580560/000119312521164506/d469729dex1010.htm" TargetMode="External"/><Relationship Id="rId513" Type="http://schemas.openxmlformats.org/officeDocument/2006/relationships/hyperlink" Target="https://www.sec.gov/Archives/edgar/data/0001580560/000119312521164506/d469729dex1011.htm" TargetMode="External"/><Relationship Id="rId514" Type="http://schemas.openxmlformats.org/officeDocument/2006/relationships/hyperlink" Target="https://www.sec.gov/Archives/edgar/data/0001580560/000119312521164506/d469729dex1012.htm" TargetMode="External"/><Relationship Id="rId515" Type="http://schemas.openxmlformats.org/officeDocument/2006/relationships/hyperlink" Target="https://www.sec.gov/Archives/edgar/data/0001580560/000119312521164506/d469729dex1013.htm" TargetMode="External"/><Relationship Id="rId516" Type="http://schemas.openxmlformats.org/officeDocument/2006/relationships/hyperlink" Target="https://www.sec.gov/Archives/edgar/data/1580560/000119312521146481/d469729dex1014.htm" TargetMode="External"/><Relationship Id="rId517" Type="http://schemas.openxmlformats.org/officeDocument/2006/relationships/hyperlink" Target="https://www.sec.gov/Archives/edgar/data/1580560/000119312521236325/d209980dex101.htm" TargetMode="External"/><Relationship Id="rId518" Type="http://schemas.openxmlformats.org/officeDocument/2006/relationships/hyperlink" Target="https://www.sec.gov/Archives/edgar/data/1580560/000119312521236325/d20998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2022-03-29T16:13:00Z</dcterms:created>
  <dcterms:modified xsi:type="dcterms:W3CDTF">2022-03-29T16:13:00Z</dcterms:modified>
</cp:coreProperties>
</file>