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Butterfield Peter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0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FLYWIRE CORPORATION 141 TREMONT STREET, SUITE 10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02111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Flywire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FLYW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12/05/2023</w:t>
            </w: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General Counsel and CCO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1,339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23.402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144,368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of common stock were automatically sold in a non-discretionary transaction by the Reporting Person in order to cover tax withholding obligations upon the settlement of certain time-based restricted stock unit awards.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Peter Butterfield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12/07/2023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2133" TargetMode="External"/><Relationship Id="rId13" Type="http://schemas.openxmlformats.org/officeDocument/2006/relationships/hyperlink" Target="http://www.sec.gov/cgi-bin/browse-edgar?action=getcompany&amp;CIK=00015805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2023-12-07T15:22:08Z</dcterms:created>
  <dcterms:modified xsi:type="dcterms:W3CDTF">2023-12-07T15:22:08Z</dcterms:modified>
</cp:coreProperties>
</file>