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ind w:left="160"/>
        <w:spacing w:after="0"/>
        <w:rPr>
          <w:sz w:val="20"/>
          <w:szCs w:val="20"/>
          <w:color w:val="auto"/>
        </w:rPr>
      </w:pPr>
      <w:r>
        <w:rPr>
          <w:rFonts w:ascii="Arial" w:cs="Arial" w:eastAsia="Arial" w:hAnsi="Arial"/>
          <w:sz w:val="21"/>
          <w:szCs w:val="21"/>
          <w:b w:val="1"/>
          <w:bCs w:val="1"/>
          <w:color w:val="auto"/>
        </w:rPr>
        <w:t>INFORMATION TO BE INCLUDED IN STATEMENTS FILED PURSUANT TO § 240.13d-1(b), (c) AND (d) AND</w:t>
      </w:r>
    </w:p>
    <w:p>
      <w:pPr>
        <w:spacing w:after="0" w:line="26" w:lineRule="exact"/>
        <w:rPr>
          <w:sz w:val="24"/>
          <w:szCs w:val="24"/>
          <w:color w:val="auto"/>
        </w:rPr>
      </w:pPr>
    </w:p>
    <w:p>
      <w:pPr>
        <w:ind w:left="2440"/>
        <w:spacing w:after="0"/>
        <w:rPr>
          <w:sz w:val="20"/>
          <w:szCs w:val="20"/>
          <w:color w:val="auto"/>
        </w:rPr>
      </w:pPr>
      <w:r>
        <w:rPr>
          <w:rFonts w:ascii="Arial" w:cs="Arial" w:eastAsia="Arial" w:hAnsi="Arial"/>
          <w:sz w:val="22"/>
          <w:szCs w:val="22"/>
          <w:b w:val="1"/>
          <w:bCs w:val="1"/>
          <w:color w:val="auto"/>
        </w:rPr>
        <w:t>AMENDMENTS THERETO FILED PURSUANT TO § 240.13d-2</w:t>
      </w:r>
    </w:p>
    <w:p>
      <w:pPr>
        <w:spacing w:after="0" w:line="182"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Flywire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Voting common stock, $0.0001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302492103</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(CUSIP Number)</w:t>
      </w:r>
    </w:p>
    <w:p>
      <w:pPr>
        <w:spacing w:after="0" w:line="200" w:lineRule="exact"/>
        <w:rPr>
          <w:sz w:val="24"/>
          <w:szCs w:val="24"/>
          <w:color w:val="auto"/>
        </w:rPr>
      </w:pP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19" w:lineRule="exact"/>
        <w:rPr>
          <w:sz w:val="24"/>
          <w:szCs w:val="24"/>
          <w:color w:val="auto"/>
        </w:rPr>
      </w:pPr>
    </w:p>
    <w:p>
      <w:pPr>
        <w:ind w:left="42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6"/>
          <w:szCs w:val="16"/>
          <w:color w:val="auto"/>
        </w:rPr>
        <w:t>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
        <w:spacing w:after="0"/>
        <w:tabs>
          <w:tab w:leader="none" w:pos="134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w:t>
      </w:r>
      <w:r>
        <w:rPr>
          <w:sz w:val="20"/>
          <w:szCs w:val="20"/>
          <w:color w:val="auto"/>
        </w:rPr>
        <w:tab/>
      </w:r>
      <w:r>
        <w:rPr>
          <w:rFonts w:ascii="Arial" w:cs="Arial" w:eastAsia="Arial" w:hAnsi="Arial"/>
          <w:sz w:val="18"/>
          <w:szCs w:val="18"/>
          <w:color w:val="auto"/>
        </w:rPr>
        <w:t>302492103</w:t>
      </w:r>
      <w:r>
        <w:rPr>
          <w:sz w:val="20"/>
          <w:szCs w:val="20"/>
          <w:color w:val="auto"/>
        </w:rPr>
        <w:tab/>
      </w:r>
      <w:r>
        <w:rPr>
          <w:rFonts w:ascii="Arial" w:cs="Arial" w:eastAsia="Arial" w:hAnsi="Arial"/>
          <w:sz w:val="16"/>
          <w:szCs w:val="16"/>
          <w:color w:val="auto"/>
        </w:rPr>
        <w:t>Page 2 of 10</w:t>
      </w:r>
    </w:p>
    <w:p>
      <w:pPr>
        <w:spacing w:after="0" w:line="171" w:lineRule="exact"/>
        <w:rPr>
          <w:sz w:val="20"/>
          <w:szCs w:val="20"/>
          <w:color w:val="auto"/>
        </w:rPr>
      </w:pPr>
    </w:p>
    <w:p>
      <w:pPr>
        <w:ind w:left="764" w:hanging="517"/>
        <w:spacing w:after="0"/>
        <w:tabs>
          <w:tab w:leader="none" w:pos="764"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60870" cy="5238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5238115"/>
                    </a:xfrm>
                    <a:prstGeom prst="rect">
                      <a:avLst/>
                    </a:prstGeom>
                    <a:noFill/>
                  </pic:spPr>
                </pic:pic>
              </a:graphicData>
            </a:graphic>
          </wp:anchor>
        </w:drawing>
      </w:r>
    </w:p>
    <w:p>
      <w:pPr>
        <w:spacing w:after="0" w:line="225" w:lineRule="exact"/>
        <w:rPr>
          <w:sz w:val="20"/>
          <w:szCs w:val="20"/>
          <w:color w:val="auto"/>
        </w:rPr>
      </w:pPr>
    </w:p>
    <w:p>
      <w:pPr>
        <w:ind w:left="764"/>
        <w:spacing w:after="0"/>
        <w:rPr>
          <w:sz w:val="20"/>
          <w:szCs w:val="20"/>
          <w:color w:val="auto"/>
        </w:rPr>
      </w:pPr>
      <w:r>
        <w:rPr>
          <w:rFonts w:ascii="Arial" w:cs="Arial" w:eastAsia="Arial" w:hAnsi="Arial"/>
          <w:sz w:val="22"/>
          <w:szCs w:val="22"/>
          <w:color w:val="auto"/>
        </w:rPr>
        <w:t>Temasek Holdings (Private) Limited</w:t>
      </w:r>
    </w:p>
    <w:p>
      <w:pPr>
        <w:spacing w:after="0" w:line="24" w:lineRule="exact"/>
        <w:rPr>
          <w:sz w:val="20"/>
          <w:szCs w:val="20"/>
          <w:color w:val="auto"/>
        </w:rPr>
      </w:pPr>
    </w:p>
    <w:p>
      <w:pPr>
        <w:ind w:left="764" w:hanging="517"/>
        <w:spacing w:after="0"/>
        <w:tabs>
          <w:tab w:leader="none" w:pos="764"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764"/>
        <w:spacing w:after="0" w:line="207" w:lineRule="exact"/>
        <w:tabs>
          <w:tab w:leader="none" w:pos="15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64" w:hanging="517"/>
        <w:spacing w:after="0"/>
        <w:tabs>
          <w:tab w:leader="none" w:pos="76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64" w:hanging="517"/>
        <w:spacing w:after="0"/>
        <w:tabs>
          <w:tab w:leader="none" w:pos="764"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764"/>
        <w:spacing w:after="0"/>
        <w:rPr>
          <w:sz w:val="20"/>
          <w:szCs w:val="20"/>
          <w:color w:val="auto"/>
        </w:rPr>
      </w:pPr>
      <w:r>
        <w:rPr>
          <w:rFonts w:ascii="Arial" w:cs="Arial" w:eastAsia="Arial" w:hAnsi="Arial"/>
          <w:sz w:val="22"/>
          <w:szCs w:val="22"/>
          <w:color w:val="auto"/>
        </w:rPr>
        <w:t>Republic of Singapore</w:t>
      </w:r>
    </w:p>
    <w:p>
      <w:pPr>
        <w:spacing w:after="0" w:line="24" w:lineRule="exact"/>
        <w:rPr>
          <w:sz w:val="20"/>
          <w:szCs w:val="20"/>
          <w:color w:val="auto"/>
        </w:rPr>
      </w:pPr>
    </w:p>
    <w:p>
      <w:pPr>
        <w:ind w:left="1884" w:hanging="251"/>
        <w:spacing w:after="0"/>
        <w:tabs>
          <w:tab w:leader="none" w:pos="1884"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45" w:lineRule="exact"/>
        <w:rPr>
          <w:sz w:val="20"/>
          <w:szCs w:val="20"/>
          <w:color w:val="auto"/>
        </w:rPr>
      </w:pPr>
    </w:p>
    <w:tbl>
      <w:tblPr>
        <w:tblLayout w:type="fixed"/>
        <w:tblInd w:w="164" w:type="dxa"/>
        <w:tblCellMar>
          <w:top w:w="0" w:type="dxa"/>
          <w:left w:w="0" w:type="dxa"/>
          <w:bottom w:w="0" w:type="dxa"/>
          <w:right w:w="0" w:type="dxa"/>
        </w:tblCellMar>
      </w:tblPr>
      <w:tr>
        <w:trPr>
          <w:trHeight w:val="276"/>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340" w:type="dxa"/>
            <w:vAlign w:val="bottom"/>
            <w:vMerge w:val="continue"/>
          </w:tcPr>
          <w:p>
            <w:pPr>
              <w:spacing w:after="0"/>
              <w:rPr>
                <w:sz w:val="4"/>
                <w:szCs w:val="4"/>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0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3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BENEFICIALLY</w:t>
            </w:r>
          </w:p>
        </w:tc>
        <w:tc>
          <w:tcPr>
            <w:tcW w:w="300" w:type="dxa"/>
            <w:vAlign w:val="bottom"/>
          </w:tcPr>
          <w:p>
            <w:pPr>
              <w:spacing w:after="0"/>
              <w:rPr>
                <w:sz w:val="18"/>
                <w:szCs w:val="18"/>
                <w:color w:val="auto"/>
              </w:rPr>
            </w:pPr>
          </w:p>
        </w:tc>
        <w:tc>
          <w:tcPr>
            <w:tcW w:w="9160" w:type="dxa"/>
            <w:vAlign w:val="bottom"/>
            <w:vMerge w:val="restart"/>
          </w:tcPr>
          <w:p>
            <w:pPr>
              <w:ind w:left="80"/>
              <w:spacing w:after="0"/>
              <w:rPr>
                <w:sz w:val="20"/>
                <w:szCs w:val="20"/>
                <w:color w:val="auto"/>
              </w:rPr>
            </w:pPr>
            <w:r>
              <w:rPr>
                <w:rFonts w:ascii="Arial" w:cs="Arial" w:eastAsia="Arial" w:hAnsi="Arial"/>
                <w:sz w:val="22"/>
                <w:szCs w:val="22"/>
                <w:color w:val="auto"/>
              </w:rPr>
              <w:t>10,635,573</w:t>
            </w:r>
          </w:p>
        </w:tc>
        <w:tc>
          <w:tcPr>
            <w:tcW w:w="0" w:type="dxa"/>
            <w:vAlign w:val="bottom"/>
          </w:tcPr>
          <w:p>
            <w:pPr>
              <w:spacing w:after="0"/>
              <w:rPr>
                <w:sz w:val="1"/>
                <w:szCs w:val="1"/>
                <w:color w:val="auto"/>
              </w:rPr>
            </w:pPr>
          </w:p>
        </w:tc>
      </w:tr>
      <w:tr>
        <w:trPr>
          <w:trHeight w:val="230"/>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00" w:type="dxa"/>
            <w:vAlign w:val="bottom"/>
          </w:tcPr>
          <w:p>
            <w:pPr>
              <w:spacing w:after="0"/>
              <w:rPr>
                <w:sz w:val="20"/>
                <w:szCs w:val="20"/>
                <w:color w:val="auto"/>
              </w:rPr>
            </w:pPr>
          </w:p>
        </w:tc>
        <w:tc>
          <w:tcPr>
            <w:tcW w:w="9160" w:type="dxa"/>
            <w:vAlign w:val="bottom"/>
          </w:tcPr>
          <w:p>
            <w:pPr>
              <w:ind w:left="8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00" w:type="dxa"/>
            <w:vAlign w:val="bottom"/>
            <w:tcBorders>
              <w:bottom w:val="single" w:sz="8" w:color="auto"/>
            </w:tcBorders>
          </w:tcPr>
          <w:p>
            <w:pPr>
              <w:spacing w:after="0"/>
              <w:rPr>
                <w:sz w:val="6"/>
                <w:szCs w:val="6"/>
                <w:color w:val="auto"/>
              </w:rPr>
            </w:pPr>
          </w:p>
        </w:tc>
        <w:tc>
          <w:tcPr>
            <w:tcW w:w="9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340" w:type="dxa"/>
            <w:vAlign w:val="bottom"/>
            <w:vMerge w:val="continue"/>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7"/>
        </w:trPr>
        <w:tc>
          <w:tcPr>
            <w:tcW w:w="13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9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884"/>
        <w:spacing w:after="0"/>
        <w:rPr>
          <w:sz w:val="20"/>
          <w:szCs w:val="20"/>
          <w:color w:val="auto"/>
        </w:rPr>
      </w:pPr>
      <w:r>
        <w:rPr>
          <w:rFonts w:ascii="Arial" w:cs="Arial" w:eastAsia="Arial" w:hAnsi="Arial"/>
          <w:sz w:val="22"/>
          <w:szCs w:val="22"/>
          <w:color w:val="auto"/>
        </w:rPr>
        <w:t>10,635,573</w:t>
      </w:r>
    </w:p>
    <w:p>
      <w:pPr>
        <w:spacing w:after="0" w:line="24" w:lineRule="exact"/>
        <w:rPr>
          <w:sz w:val="20"/>
          <w:szCs w:val="20"/>
          <w:color w:val="auto"/>
        </w:rPr>
      </w:pPr>
    </w:p>
    <w:p>
      <w:pPr>
        <w:ind w:left="764" w:hanging="517"/>
        <w:spacing w:after="0"/>
        <w:tabs>
          <w:tab w:leader="none" w:pos="764"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764"/>
        <w:spacing w:after="0"/>
        <w:rPr>
          <w:sz w:val="20"/>
          <w:szCs w:val="20"/>
          <w:color w:val="auto"/>
        </w:rPr>
      </w:pPr>
      <w:r>
        <w:rPr>
          <w:rFonts w:ascii="Arial" w:cs="Arial" w:eastAsia="Arial" w:hAnsi="Arial"/>
          <w:sz w:val="22"/>
          <w:szCs w:val="22"/>
          <w:color w:val="auto"/>
        </w:rPr>
        <w:t>10,635,573</w:t>
      </w:r>
    </w:p>
    <w:p>
      <w:pPr>
        <w:spacing w:after="0" w:line="21" w:lineRule="exact"/>
        <w:rPr>
          <w:sz w:val="20"/>
          <w:szCs w:val="20"/>
          <w:color w:val="auto"/>
        </w:rPr>
      </w:pPr>
    </w:p>
    <w:p>
      <w:pPr>
        <w:ind w:left="764" w:hanging="607"/>
        <w:spacing w:after="0" w:line="207" w:lineRule="exact"/>
        <w:tabs>
          <w:tab w:leader="none" w:pos="764"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b w:val="1"/>
          <w:bCs w:val="1"/>
          <w:color w:val="auto"/>
        </w:rPr>
      </w:pPr>
    </w:p>
    <w:p>
      <w:pPr>
        <w:ind w:left="764" w:hanging="607"/>
        <w:spacing w:after="0"/>
        <w:tabs>
          <w:tab w:leader="none" w:pos="764"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764"/>
        <w:spacing w:after="0"/>
        <w:rPr>
          <w:sz w:val="20"/>
          <w:szCs w:val="20"/>
          <w:color w:val="auto"/>
        </w:rPr>
      </w:pPr>
      <w:r>
        <w:rPr>
          <w:rFonts w:ascii="Arial" w:cs="Arial" w:eastAsia="Arial" w:hAnsi="Arial"/>
          <w:sz w:val="22"/>
          <w:szCs w:val="22"/>
          <w:color w:val="auto"/>
        </w:rPr>
        <w:t>10.8%</w:t>
      </w:r>
      <w:r>
        <w:rPr>
          <w:rFonts w:ascii="Arial" w:cs="Arial" w:eastAsia="Arial" w:hAnsi="Arial"/>
          <w:sz w:val="18"/>
          <w:szCs w:val="18"/>
          <w:color w:val="auto"/>
        </w:rPr>
        <w:t>(1)</w:t>
      </w:r>
    </w:p>
    <w:p>
      <w:pPr>
        <w:spacing w:after="0" w:line="24" w:lineRule="exact"/>
        <w:rPr>
          <w:sz w:val="20"/>
          <w:szCs w:val="20"/>
          <w:color w:val="auto"/>
        </w:rPr>
      </w:pPr>
    </w:p>
    <w:p>
      <w:pPr>
        <w:ind w:left="764" w:hanging="607"/>
        <w:spacing w:after="0"/>
        <w:tabs>
          <w:tab w:leader="none" w:pos="764"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764"/>
        <w:spacing w:after="0"/>
        <w:rPr>
          <w:sz w:val="20"/>
          <w:szCs w:val="20"/>
          <w:color w:val="auto"/>
        </w:rPr>
      </w:pPr>
      <w:r>
        <w:rPr>
          <w:rFonts w:ascii="Arial" w:cs="Arial" w:eastAsia="Arial" w:hAnsi="Arial"/>
          <w:sz w:val="22"/>
          <w:szCs w:val="22"/>
          <w:color w:val="auto"/>
        </w:rPr>
        <w:t>HC</w:t>
      </w:r>
    </w:p>
    <w:p>
      <w:pPr>
        <w:spacing w:after="0" w:line="267" w:lineRule="exact"/>
        <w:rPr>
          <w:sz w:val="20"/>
          <w:szCs w:val="20"/>
          <w:color w:val="auto"/>
        </w:rPr>
      </w:pPr>
    </w:p>
    <w:p>
      <w:pPr>
        <w:ind w:left="424" w:right="460" w:hanging="424"/>
        <w:spacing w:after="0" w:line="342" w:lineRule="auto"/>
        <w:tabs>
          <w:tab w:leader="none" w:pos="424" w:val="left"/>
        </w:tabs>
        <w:numPr>
          <w:ilvl w:val="0"/>
          <w:numId w:val="11"/>
        </w:numPr>
        <w:rPr>
          <w:rFonts w:ascii="Arial" w:cs="Arial" w:eastAsia="Arial" w:hAnsi="Arial"/>
          <w:sz w:val="13"/>
          <w:szCs w:val="13"/>
          <w:color w:val="auto"/>
        </w:rPr>
      </w:pPr>
      <w:r>
        <w:rPr>
          <w:rFonts w:ascii="Arial" w:cs="Arial" w:eastAsia="Arial" w:hAnsi="Arial"/>
          <w:sz w:val="16"/>
          <w:szCs w:val="16"/>
          <w:color w:val="auto"/>
        </w:rPr>
        <w:t>Based on 98,693,094 shares of the Issuer’s (as defined herein) voting common stock outstanding as of November 8, 2021, as set forth in the Issuer’s quarterly report on Form 10-Q filed with the Securities and Exchange Commission (the “Commission”) on November 12, 2021.</w:t>
      </w:r>
    </w:p>
    <w:p>
      <w:pPr>
        <w:sectPr>
          <w:pgSz w:w="11900" w:h="16838" w:orient="portrait"/>
          <w:cols w:equalWidth="0" w:num="1">
            <w:col w:w="10964"/>
          </w:cols>
          <w:pgMar w:left="436" w:top="274" w:right="499" w:bottom="1440" w:gutter="0" w:footer="0" w:header="0"/>
        </w:sectPr>
      </w:pPr>
    </w:p>
    <w:bookmarkStart w:id="2" w:name="page3"/>
    <w:bookmarkEnd w:id="2"/>
    <w:p>
      <w:pPr>
        <w:ind w:left="4"/>
        <w:spacing w:after="0"/>
        <w:tabs>
          <w:tab w:leader="none" w:pos="134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w:t>
      </w:r>
      <w:r>
        <w:rPr>
          <w:sz w:val="20"/>
          <w:szCs w:val="20"/>
          <w:color w:val="auto"/>
        </w:rPr>
        <w:tab/>
      </w:r>
      <w:r>
        <w:rPr>
          <w:rFonts w:ascii="Arial" w:cs="Arial" w:eastAsia="Arial" w:hAnsi="Arial"/>
          <w:sz w:val="18"/>
          <w:szCs w:val="18"/>
          <w:color w:val="auto"/>
        </w:rPr>
        <w:t>302492103</w:t>
      </w:r>
      <w:r>
        <w:rPr>
          <w:sz w:val="20"/>
          <w:szCs w:val="20"/>
          <w:color w:val="auto"/>
        </w:rPr>
        <w:tab/>
      </w:r>
      <w:r>
        <w:rPr>
          <w:rFonts w:ascii="Arial" w:cs="Arial" w:eastAsia="Arial" w:hAnsi="Arial"/>
          <w:sz w:val="16"/>
          <w:szCs w:val="16"/>
          <w:color w:val="auto"/>
        </w:rPr>
        <w:t>Page 3 of 10</w:t>
      </w:r>
    </w:p>
    <w:p>
      <w:pPr>
        <w:spacing w:after="0" w:line="171" w:lineRule="exact"/>
        <w:rPr>
          <w:sz w:val="20"/>
          <w:szCs w:val="20"/>
          <w:color w:val="auto"/>
        </w:rPr>
      </w:pPr>
    </w:p>
    <w:p>
      <w:pPr>
        <w:ind w:left="764" w:hanging="517"/>
        <w:spacing w:after="0"/>
        <w:tabs>
          <w:tab w:leader="none" w:pos="764"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60870" cy="5237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0870" cy="5237480"/>
                    </a:xfrm>
                    <a:prstGeom prst="rect">
                      <a:avLst/>
                    </a:prstGeom>
                    <a:noFill/>
                  </pic:spPr>
                </pic:pic>
              </a:graphicData>
            </a:graphic>
          </wp:anchor>
        </w:drawing>
      </w:r>
    </w:p>
    <w:p>
      <w:pPr>
        <w:spacing w:after="0" w:line="225" w:lineRule="exact"/>
        <w:rPr>
          <w:sz w:val="20"/>
          <w:szCs w:val="20"/>
          <w:color w:val="auto"/>
        </w:rPr>
      </w:pPr>
    </w:p>
    <w:p>
      <w:pPr>
        <w:ind w:left="764"/>
        <w:spacing w:after="0"/>
        <w:rPr>
          <w:sz w:val="20"/>
          <w:szCs w:val="20"/>
          <w:color w:val="auto"/>
        </w:rPr>
      </w:pPr>
      <w:r>
        <w:rPr>
          <w:rFonts w:ascii="Arial" w:cs="Arial" w:eastAsia="Arial" w:hAnsi="Arial"/>
          <w:sz w:val="22"/>
          <w:szCs w:val="22"/>
          <w:color w:val="auto"/>
        </w:rPr>
        <w:t>Fullerton Management Pte Ltd</w:t>
      </w:r>
    </w:p>
    <w:p>
      <w:pPr>
        <w:spacing w:after="0" w:line="24" w:lineRule="exact"/>
        <w:rPr>
          <w:sz w:val="20"/>
          <w:szCs w:val="20"/>
          <w:color w:val="auto"/>
        </w:rPr>
      </w:pPr>
    </w:p>
    <w:p>
      <w:pPr>
        <w:ind w:left="764" w:hanging="517"/>
        <w:spacing w:after="0"/>
        <w:tabs>
          <w:tab w:leader="none" w:pos="764"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764"/>
        <w:spacing w:after="0" w:line="207" w:lineRule="exact"/>
        <w:tabs>
          <w:tab w:leader="none" w:pos="15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64" w:hanging="517"/>
        <w:spacing w:after="0"/>
        <w:tabs>
          <w:tab w:leader="none" w:pos="764"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64" w:hanging="517"/>
        <w:spacing w:after="0"/>
        <w:tabs>
          <w:tab w:leader="none" w:pos="764"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764"/>
        <w:spacing w:after="0"/>
        <w:rPr>
          <w:sz w:val="20"/>
          <w:szCs w:val="20"/>
          <w:color w:val="auto"/>
        </w:rPr>
      </w:pPr>
      <w:r>
        <w:rPr>
          <w:rFonts w:ascii="Arial" w:cs="Arial" w:eastAsia="Arial" w:hAnsi="Arial"/>
          <w:sz w:val="22"/>
          <w:szCs w:val="22"/>
          <w:color w:val="auto"/>
        </w:rPr>
        <w:t>Republic of Singapore</w:t>
      </w:r>
    </w:p>
    <w:p>
      <w:pPr>
        <w:spacing w:after="0" w:line="24" w:lineRule="exact"/>
        <w:rPr>
          <w:sz w:val="20"/>
          <w:szCs w:val="20"/>
          <w:color w:val="auto"/>
        </w:rPr>
      </w:pPr>
    </w:p>
    <w:p>
      <w:pPr>
        <w:ind w:left="1884" w:hanging="251"/>
        <w:spacing w:after="0"/>
        <w:tabs>
          <w:tab w:leader="none" w:pos="1884"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45" w:lineRule="exact"/>
        <w:rPr>
          <w:sz w:val="20"/>
          <w:szCs w:val="20"/>
          <w:color w:val="auto"/>
        </w:rPr>
      </w:pPr>
    </w:p>
    <w:tbl>
      <w:tblPr>
        <w:tblLayout w:type="fixed"/>
        <w:tblInd w:w="164" w:type="dxa"/>
        <w:tblCellMar>
          <w:top w:w="0" w:type="dxa"/>
          <w:left w:w="0" w:type="dxa"/>
          <w:bottom w:w="0" w:type="dxa"/>
          <w:right w:w="0" w:type="dxa"/>
        </w:tblCellMar>
      </w:tblPr>
      <w:tr>
        <w:trPr>
          <w:trHeight w:val="276"/>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340" w:type="dxa"/>
            <w:vAlign w:val="bottom"/>
            <w:vMerge w:val="continue"/>
          </w:tcPr>
          <w:p>
            <w:pPr>
              <w:spacing w:after="0"/>
              <w:rPr>
                <w:sz w:val="4"/>
                <w:szCs w:val="4"/>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0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3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BENEFICIALLY</w:t>
            </w:r>
          </w:p>
        </w:tc>
        <w:tc>
          <w:tcPr>
            <w:tcW w:w="300" w:type="dxa"/>
            <w:vAlign w:val="bottom"/>
          </w:tcPr>
          <w:p>
            <w:pPr>
              <w:spacing w:after="0"/>
              <w:rPr>
                <w:sz w:val="18"/>
                <w:szCs w:val="18"/>
                <w:color w:val="auto"/>
              </w:rPr>
            </w:pPr>
          </w:p>
        </w:tc>
        <w:tc>
          <w:tcPr>
            <w:tcW w:w="9160" w:type="dxa"/>
            <w:vAlign w:val="bottom"/>
            <w:vMerge w:val="restart"/>
          </w:tcPr>
          <w:p>
            <w:pPr>
              <w:ind w:left="80"/>
              <w:spacing w:after="0"/>
              <w:rPr>
                <w:sz w:val="20"/>
                <w:szCs w:val="20"/>
                <w:color w:val="auto"/>
              </w:rPr>
            </w:pPr>
            <w:r>
              <w:rPr>
                <w:rFonts w:ascii="Arial" w:cs="Arial" w:eastAsia="Arial" w:hAnsi="Arial"/>
                <w:sz w:val="22"/>
                <w:szCs w:val="22"/>
                <w:color w:val="auto"/>
              </w:rPr>
              <w:t>10,635,573</w:t>
            </w:r>
          </w:p>
        </w:tc>
        <w:tc>
          <w:tcPr>
            <w:tcW w:w="0" w:type="dxa"/>
            <w:vAlign w:val="bottom"/>
          </w:tcPr>
          <w:p>
            <w:pPr>
              <w:spacing w:after="0"/>
              <w:rPr>
                <w:sz w:val="1"/>
                <w:szCs w:val="1"/>
                <w:color w:val="auto"/>
              </w:rPr>
            </w:pPr>
          </w:p>
        </w:tc>
      </w:tr>
      <w:tr>
        <w:trPr>
          <w:trHeight w:val="230"/>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00" w:type="dxa"/>
            <w:vAlign w:val="bottom"/>
          </w:tcPr>
          <w:p>
            <w:pPr>
              <w:spacing w:after="0"/>
              <w:rPr>
                <w:sz w:val="20"/>
                <w:szCs w:val="20"/>
                <w:color w:val="auto"/>
              </w:rPr>
            </w:pPr>
          </w:p>
        </w:tc>
        <w:tc>
          <w:tcPr>
            <w:tcW w:w="9160" w:type="dxa"/>
            <w:vAlign w:val="bottom"/>
          </w:tcPr>
          <w:p>
            <w:pPr>
              <w:ind w:left="8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00" w:type="dxa"/>
            <w:vAlign w:val="bottom"/>
            <w:tcBorders>
              <w:bottom w:val="single" w:sz="8" w:color="auto"/>
            </w:tcBorders>
          </w:tcPr>
          <w:p>
            <w:pPr>
              <w:spacing w:after="0"/>
              <w:rPr>
                <w:sz w:val="6"/>
                <w:szCs w:val="6"/>
                <w:color w:val="auto"/>
              </w:rPr>
            </w:pPr>
          </w:p>
        </w:tc>
        <w:tc>
          <w:tcPr>
            <w:tcW w:w="9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340" w:type="dxa"/>
            <w:vAlign w:val="bottom"/>
            <w:vMerge w:val="continue"/>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7"/>
        </w:trPr>
        <w:tc>
          <w:tcPr>
            <w:tcW w:w="13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9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884"/>
        <w:spacing w:after="0"/>
        <w:rPr>
          <w:sz w:val="20"/>
          <w:szCs w:val="20"/>
          <w:color w:val="auto"/>
        </w:rPr>
      </w:pPr>
      <w:r>
        <w:rPr>
          <w:rFonts w:ascii="Arial" w:cs="Arial" w:eastAsia="Arial" w:hAnsi="Arial"/>
          <w:sz w:val="22"/>
          <w:szCs w:val="22"/>
          <w:color w:val="auto"/>
        </w:rPr>
        <w:t>10,635,573</w:t>
      </w:r>
    </w:p>
    <w:p>
      <w:pPr>
        <w:spacing w:after="0" w:line="24" w:lineRule="exact"/>
        <w:rPr>
          <w:sz w:val="20"/>
          <w:szCs w:val="20"/>
          <w:color w:val="auto"/>
        </w:rPr>
      </w:pPr>
    </w:p>
    <w:p>
      <w:pPr>
        <w:ind w:left="764" w:hanging="517"/>
        <w:spacing w:after="0"/>
        <w:tabs>
          <w:tab w:leader="none" w:pos="764"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764"/>
        <w:spacing w:after="0"/>
        <w:rPr>
          <w:sz w:val="20"/>
          <w:szCs w:val="20"/>
          <w:color w:val="auto"/>
        </w:rPr>
      </w:pPr>
      <w:r>
        <w:rPr>
          <w:rFonts w:ascii="Arial" w:cs="Arial" w:eastAsia="Arial" w:hAnsi="Arial"/>
          <w:sz w:val="22"/>
          <w:szCs w:val="22"/>
          <w:color w:val="auto"/>
        </w:rPr>
        <w:t>10,635,573</w:t>
      </w:r>
    </w:p>
    <w:p>
      <w:pPr>
        <w:spacing w:after="0" w:line="21" w:lineRule="exact"/>
        <w:rPr>
          <w:sz w:val="20"/>
          <w:szCs w:val="20"/>
          <w:color w:val="auto"/>
        </w:rPr>
      </w:pPr>
    </w:p>
    <w:p>
      <w:pPr>
        <w:ind w:left="764" w:hanging="607"/>
        <w:spacing w:after="0" w:line="207" w:lineRule="exact"/>
        <w:tabs>
          <w:tab w:leader="none" w:pos="764"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b w:val="1"/>
          <w:bCs w:val="1"/>
          <w:color w:val="auto"/>
        </w:rPr>
      </w:pPr>
    </w:p>
    <w:p>
      <w:pPr>
        <w:ind w:left="764" w:hanging="607"/>
        <w:spacing w:after="0"/>
        <w:tabs>
          <w:tab w:leader="none" w:pos="764"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764"/>
        <w:spacing w:after="0"/>
        <w:rPr>
          <w:sz w:val="20"/>
          <w:szCs w:val="20"/>
          <w:color w:val="auto"/>
        </w:rPr>
      </w:pPr>
      <w:r>
        <w:rPr>
          <w:rFonts w:ascii="Arial" w:cs="Arial" w:eastAsia="Arial" w:hAnsi="Arial"/>
          <w:sz w:val="22"/>
          <w:szCs w:val="22"/>
          <w:color w:val="auto"/>
        </w:rPr>
        <w:t>10.8%</w:t>
      </w:r>
      <w:r>
        <w:rPr>
          <w:rFonts w:ascii="Arial" w:cs="Arial" w:eastAsia="Arial" w:hAnsi="Arial"/>
          <w:sz w:val="18"/>
          <w:szCs w:val="18"/>
          <w:color w:val="auto"/>
        </w:rPr>
        <w:t>(1)</w:t>
      </w:r>
    </w:p>
    <w:p>
      <w:pPr>
        <w:spacing w:after="0" w:line="24" w:lineRule="exact"/>
        <w:rPr>
          <w:sz w:val="20"/>
          <w:szCs w:val="20"/>
          <w:color w:val="auto"/>
        </w:rPr>
      </w:pPr>
    </w:p>
    <w:p>
      <w:pPr>
        <w:ind w:left="764" w:hanging="607"/>
        <w:spacing w:after="0"/>
        <w:tabs>
          <w:tab w:leader="none" w:pos="764"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764"/>
        <w:spacing w:after="0"/>
        <w:rPr>
          <w:sz w:val="20"/>
          <w:szCs w:val="20"/>
          <w:color w:val="auto"/>
        </w:rPr>
      </w:pPr>
      <w:r>
        <w:rPr>
          <w:rFonts w:ascii="Arial" w:cs="Arial" w:eastAsia="Arial" w:hAnsi="Arial"/>
          <w:sz w:val="22"/>
          <w:szCs w:val="22"/>
          <w:color w:val="auto"/>
        </w:rPr>
        <w:t>HC</w:t>
      </w:r>
    </w:p>
    <w:p>
      <w:pPr>
        <w:spacing w:after="0" w:line="267" w:lineRule="exact"/>
        <w:rPr>
          <w:sz w:val="20"/>
          <w:szCs w:val="20"/>
          <w:color w:val="auto"/>
        </w:rPr>
      </w:pPr>
    </w:p>
    <w:p>
      <w:pPr>
        <w:ind w:left="424" w:right="80" w:hanging="424"/>
        <w:spacing w:after="0" w:line="277" w:lineRule="auto"/>
        <w:tabs>
          <w:tab w:leader="none" w:pos="424" w:val="left"/>
        </w:tabs>
        <w:numPr>
          <w:ilvl w:val="0"/>
          <w:numId w:val="20"/>
        </w:numPr>
        <w:rPr>
          <w:rFonts w:ascii="Arial" w:cs="Arial" w:eastAsia="Arial" w:hAnsi="Arial"/>
          <w:sz w:val="15"/>
          <w:szCs w:val="15"/>
          <w:color w:val="auto"/>
        </w:rPr>
      </w:pPr>
      <w:r>
        <w:rPr>
          <w:rFonts w:ascii="Arial" w:cs="Arial" w:eastAsia="Arial" w:hAnsi="Arial"/>
          <w:sz w:val="18"/>
          <w:szCs w:val="18"/>
          <w:color w:val="auto"/>
        </w:rPr>
        <w:t>Based on 98,693,094 shares of the Issuer’s voting common stock outstanding as of November 8, 2021, as set forth in the Issuer’s quarterly report on Form 10-Q filed with the Commission on November 12, 2021.</w:t>
      </w:r>
    </w:p>
    <w:p>
      <w:pPr>
        <w:sectPr>
          <w:pgSz w:w="11900" w:h="16838" w:orient="portrait"/>
          <w:cols w:equalWidth="0" w:num="1">
            <w:col w:w="10964"/>
          </w:cols>
          <w:pgMar w:left="436" w:top="274" w:right="499" w:bottom="1440" w:gutter="0" w:footer="0" w:header="0"/>
        </w:sectPr>
      </w:pPr>
    </w:p>
    <w:bookmarkStart w:id="3" w:name="page4"/>
    <w:bookmarkEnd w:id="3"/>
    <w:p>
      <w:pPr>
        <w:ind w:left="4"/>
        <w:spacing w:after="0"/>
        <w:tabs>
          <w:tab w:leader="none" w:pos="134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w:t>
      </w:r>
      <w:r>
        <w:rPr>
          <w:sz w:val="20"/>
          <w:szCs w:val="20"/>
          <w:color w:val="auto"/>
        </w:rPr>
        <w:tab/>
      </w:r>
      <w:r>
        <w:rPr>
          <w:rFonts w:ascii="Arial" w:cs="Arial" w:eastAsia="Arial" w:hAnsi="Arial"/>
          <w:sz w:val="18"/>
          <w:szCs w:val="18"/>
          <w:color w:val="auto"/>
        </w:rPr>
        <w:t>302492103</w:t>
      </w:r>
      <w:r>
        <w:rPr>
          <w:sz w:val="20"/>
          <w:szCs w:val="20"/>
          <w:color w:val="auto"/>
        </w:rPr>
        <w:tab/>
      </w:r>
      <w:r>
        <w:rPr>
          <w:rFonts w:ascii="Arial" w:cs="Arial" w:eastAsia="Arial" w:hAnsi="Arial"/>
          <w:sz w:val="16"/>
          <w:szCs w:val="16"/>
          <w:color w:val="auto"/>
        </w:rPr>
        <w:t>Page 4 of 10</w:t>
      </w:r>
    </w:p>
    <w:p>
      <w:pPr>
        <w:spacing w:after="0" w:line="171" w:lineRule="exact"/>
        <w:rPr>
          <w:sz w:val="20"/>
          <w:szCs w:val="20"/>
          <w:color w:val="auto"/>
        </w:rPr>
      </w:pPr>
    </w:p>
    <w:p>
      <w:pPr>
        <w:ind w:left="764" w:hanging="517"/>
        <w:spacing w:after="0"/>
        <w:tabs>
          <w:tab w:leader="none" w:pos="764"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60870" cy="5238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5238115"/>
                    </a:xfrm>
                    <a:prstGeom prst="rect">
                      <a:avLst/>
                    </a:prstGeom>
                    <a:noFill/>
                  </pic:spPr>
                </pic:pic>
              </a:graphicData>
            </a:graphic>
          </wp:anchor>
        </w:drawing>
      </w:r>
    </w:p>
    <w:p>
      <w:pPr>
        <w:spacing w:after="0" w:line="225" w:lineRule="exact"/>
        <w:rPr>
          <w:sz w:val="20"/>
          <w:szCs w:val="20"/>
          <w:color w:val="auto"/>
        </w:rPr>
      </w:pPr>
    </w:p>
    <w:p>
      <w:pPr>
        <w:ind w:left="764"/>
        <w:spacing w:after="0"/>
        <w:rPr>
          <w:sz w:val="20"/>
          <w:szCs w:val="20"/>
          <w:color w:val="auto"/>
        </w:rPr>
      </w:pPr>
      <w:r>
        <w:rPr>
          <w:rFonts w:ascii="Arial" w:cs="Arial" w:eastAsia="Arial" w:hAnsi="Arial"/>
          <w:sz w:val="22"/>
          <w:szCs w:val="22"/>
          <w:color w:val="auto"/>
        </w:rPr>
        <w:t>Hotham Investments Pte. Ltd.</w:t>
      </w:r>
    </w:p>
    <w:p>
      <w:pPr>
        <w:spacing w:after="0" w:line="24" w:lineRule="exact"/>
        <w:rPr>
          <w:sz w:val="20"/>
          <w:szCs w:val="20"/>
          <w:color w:val="auto"/>
        </w:rPr>
      </w:pPr>
    </w:p>
    <w:p>
      <w:pPr>
        <w:ind w:left="764" w:hanging="517"/>
        <w:spacing w:after="0"/>
        <w:tabs>
          <w:tab w:leader="none" w:pos="764"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764"/>
        <w:spacing w:after="0" w:line="207" w:lineRule="exact"/>
        <w:tabs>
          <w:tab w:leader="none" w:pos="15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64" w:hanging="517"/>
        <w:spacing w:after="0"/>
        <w:tabs>
          <w:tab w:leader="none" w:pos="764"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64" w:hanging="517"/>
        <w:spacing w:after="0"/>
        <w:tabs>
          <w:tab w:leader="none" w:pos="764"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764"/>
        <w:spacing w:after="0"/>
        <w:rPr>
          <w:sz w:val="20"/>
          <w:szCs w:val="20"/>
          <w:color w:val="auto"/>
        </w:rPr>
      </w:pPr>
      <w:r>
        <w:rPr>
          <w:rFonts w:ascii="Arial" w:cs="Arial" w:eastAsia="Arial" w:hAnsi="Arial"/>
          <w:sz w:val="22"/>
          <w:szCs w:val="22"/>
          <w:color w:val="auto"/>
        </w:rPr>
        <w:t>Republic of Singapore</w:t>
      </w:r>
    </w:p>
    <w:p>
      <w:pPr>
        <w:spacing w:after="0" w:line="24" w:lineRule="exact"/>
        <w:rPr>
          <w:sz w:val="20"/>
          <w:szCs w:val="20"/>
          <w:color w:val="auto"/>
        </w:rPr>
      </w:pPr>
    </w:p>
    <w:p>
      <w:pPr>
        <w:ind w:left="1884" w:hanging="251"/>
        <w:spacing w:after="0"/>
        <w:tabs>
          <w:tab w:leader="none" w:pos="1884"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45" w:lineRule="exact"/>
        <w:rPr>
          <w:sz w:val="20"/>
          <w:szCs w:val="20"/>
          <w:color w:val="auto"/>
        </w:rPr>
      </w:pPr>
    </w:p>
    <w:tbl>
      <w:tblPr>
        <w:tblLayout w:type="fixed"/>
        <w:tblInd w:w="164" w:type="dxa"/>
        <w:tblCellMar>
          <w:top w:w="0" w:type="dxa"/>
          <w:left w:w="0" w:type="dxa"/>
          <w:bottom w:w="0" w:type="dxa"/>
          <w:right w:w="0" w:type="dxa"/>
        </w:tblCellMar>
      </w:tblPr>
      <w:tr>
        <w:trPr>
          <w:trHeight w:val="276"/>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340" w:type="dxa"/>
            <w:vAlign w:val="bottom"/>
            <w:vMerge w:val="continue"/>
          </w:tcPr>
          <w:p>
            <w:pPr>
              <w:spacing w:after="0"/>
              <w:rPr>
                <w:sz w:val="4"/>
                <w:szCs w:val="4"/>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0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3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BENEFICIALLY</w:t>
            </w:r>
          </w:p>
        </w:tc>
        <w:tc>
          <w:tcPr>
            <w:tcW w:w="300" w:type="dxa"/>
            <w:vAlign w:val="bottom"/>
          </w:tcPr>
          <w:p>
            <w:pPr>
              <w:spacing w:after="0"/>
              <w:rPr>
                <w:sz w:val="18"/>
                <w:szCs w:val="18"/>
                <w:color w:val="auto"/>
              </w:rPr>
            </w:pPr>
          </w:p>
        </w:tc>
        <w:tc>
          <w:tcPr>
            <w:tcW w:w="9160" w:type="dxa"/>
            <w:vAlign w:val="bottom"/>
            <w:vMerge w:val="restart"/>
          </w:tcPr>
          <w:p>
            <w:pPr>
              <w:ind w:left="80"/>
              <w:spacing w:after="0"/>
              <w:rPr>
                <w:sz w:val="20"/>
                <w:szCs w:val="20"/>
                <w:color w:val="auto"/>
              </w:rPr>
            </w:pPr>
            <w:r>
              <w:rPr>
                <w:rFonts w:ascii="Arial" w:cs="Arial" w:eastAsia="Arial" w:hAnsi="Arial"/>
                <w:sz w:val="22"/>
                <w:szCs w:val="22"/>
                <w:color w:val="auto"/>
              </w:rPr>
              <w:t>10,635,573</w:t>
            </w:r>
          </w:p>
        </w:tc>
        <w:tc>
          <w:tcPr>
            <w:tcW w:w="0" w:type="dxa"/>
            <w:vAlign w:val="bottom"/>
          </w:tcPr>
          <w:p>
            <w:pPr>
              <w:spacing w:after="0"/>
              <w:rPr>
                <w:sz w:val="1"/>
                <w:szCs w:val="1"/>
                <w:color w:val="auto"/>
              </w:rPr>
            </w:pPr>
          </w:p>
        </w:tc>
      </w:tr>
      <w:tr>
        <w:trPr>
          <w:trHeight w:val="230"/>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00" w:type="dxa"/>
            <w:vAlign w:val="bottom"/>
          </w:tcPr>
          <w:p>
            <w:pPr>
              <w:spacing w:after="0"/>
              <w:rPr>
                <w:sz w:val="20"/>
                <w:szCs w:val="20"/>
                <w:color w:val="auto"/>
              </w:rPr>
            </w:pPr>
          </w:p>
        </w:tc>
        <w:tc>
          <w:tcPr>
            <w:tcW w:w="9160" w:type="dxa"/>
            <w:vAlign w:val="bottom"/>
          </w:tcPr>
          <w:p>
            <w:pPr>
              <w:ind w:left="8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00" w:type="dxa"/>
            <w:vAlign w:val="bottom"/>
            <w:tcBorders>
              <w:bottom w:val="single" w:sz="8" w:color="auto"/>
            </w:tcBorders>
          </w:tcPr>
          <w:p>
            <w:pPr>
              <w:spacing w:after="0"/>
              <w:rPr>
                <w:sz w:val="6"/>
                <w:szCs w:val="6"/>
                <w:color w:val="auto"/>
              </w:rPr>
            </w:pPr>
          </w:p>
        </w:tc>
        <w:tc>
          <w:tcPr>
            <w:tcW w:w="9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340" w:type="dxa"/>
            <w:vAlign w:val="bottom"/>
            <w:vMerge w:val="continue"/>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7"/>
        </w:trPr>
        <w:tc>
          <w:tcPr>
            <w:tcW w:w="13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9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884"/>
        <w:spacing w:after="0"/>
        <w:rPr>
          <w:sz w:val="20"/>
          <w:szCs w:val="20"/>
          <w:color w:val="auto"/>
        </w:rPr>
      </w:pPr>
      <w:r>
        <w:rPr>
          <w:rFonts w:ascii="Arial" w:cs="Arial" w:eastAsia="Arial" w:hAnsi="Arial"/>
          <w:sz w:val="22"/>
          <w:szCs w:val="22"/>
          <w:color w:val="auto"/>
        </w:rPr>
        <w:t>10,635,573</w:t>
      </w:r>
    </w:p>
    <w:p>
      <w:pPr>
        <w:spacing w:after="0" w:line="24" w:lineRule="exact"/>
        <w:rPr>
          <w:sz w:val="20"/>
          <w:szCs w:val="20"/>
          <w:color w:val="auto"/>
        </w:rPr>
      </w:pPr>
    </w:p>
    <w:p>
      <w:pPr>
        <w:ind w:left="764" w:hanging="517"/>
        <w:spacing w:after="0"/>
        <w:tabs>
          <w:tab w:leader="none" w:pos="764"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764"/>
        <w:spacing w:after="0"/>
        <w:rPr>
          <w:sz w:val="20"/>
          <w:szCs w:val="20"/>
          <w:color w:val="auto"/>
        </w:rPr>
      </w:pPr>
      <w:r>
        <w:rPr>
          <w:rFonts w:ascii="Arial" w:cs="Arial" w:eastAsia="Arial" w:hAnsi="Arial"/>
          <w:sz w:val="22"/>
          <w:szCs w:val="22"/>
          <w:color w:val="auto"/>
        </w:rPr>
        <w:t>10,635,573</w:t>
      </w:r>
    </w:p>
    <w:p>
      <w:pPr>
        <w:spacing w:after="0" w:line="21" w:lineRule="exact"/>
        <w:rPr>
          <w:sz w:val="20"/>
          <w:szCs w:val="20"/>
          <w:color w:val="auto"/>
        </w:rPr>
      </w:pPr>
    </w:p>
    <w:p>
      <w:pPr>
        <w:ind w:left="764" w:hanging="607"/>
        <w:spacing w:after="0" w:line="207" w:lineRule="exact"/>
        <w:tabs>
          <w:tab w:leader="none" w:pos="764"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b w:val="1"/>
          <w:bCs w:val="1"/>
          <w:color w:val="auto"/>
        </w:rPr>
      </w:pPr>
    </w:p>
    <w:p>
      <w:pPr>
        <w:ind w:left="764" w:hanging="607"/>
        <w:spacing w:after="0"/>
        <w:tabs>
          <w:tab w:leader="none" w:pos="764"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764"/>
        <w:spacing w:after="0"/>
        <w:rPr>
          <w:sz w:val="20"/>
          <w:szCs w:val="20"/>
          <w:color w:val="auto"/>
        </w:rPr>
      </w:pPr>
      <w:r>
        <w:rPr>
          <w:rFonts w:ascii="Arial" w:cs="Arial" w:eastAsia="Arial" w:hAnsi="Arial"/>
          <w:sz w:val="22"/>
          <w:szCs w:val="22"/>
          <w:color w:val="auto"/>
        </w:rPr>
        <w:t>10.8%</w:t>
      </w:r>
      <w:r>
        <w:rPr>
          <w:rFonts w:ascii="Arial" w:cs="Arial" w:eastAsia="Arial" w:hAnsi="Arial"/>
          <w:sz w:val="18"/>
          <w:szCs w:val="18"/>
          <w:color w:val="auto"/>
        </w:rPr>
        <w:t>(1)</w:t>
      </w:r>
    </w:p>
    <w:p>
      <w:pPr>
        <w:spacing w:after="0" w:line="24" w:lineRule="exact"/>
        <w:rPr>
          <w:sz w:val="20"/>
          <w:szCs w:val="20"/>
          <w:color w:val="auto"/>
        </w:rPr>
      </w:pPr>
    </w:p>
    <w:p>
      <w:pPr>
        <w:ind w:left="764" w:hanging="607"/>
        <w:spacing w:after="0"/>
        <w:tabs>
          <w:tab w:leader="none" w:pos="764"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764"/>
        <w:spacing w:after="0"/>
        <w:rPr>
          <w:sz w:val="20"/>
          <w:szCs w:val="20"/>
          <w:color w:val="auto"/>
        </w:rPr>
      </w:pPr>
      <w:r>
        <w:rPr>
          <w:rFonts w:ascii="Arial" w:cs="Arial" w:eastAsia="Arial" w:hAnsi="Arial"/>
          <w:sz w:val="22"/>
          <w:szCs w:val="22"/>
          <w:color w:val="auto"/>
        </w:rPr>
        <w:t>HC</w:t>
      </w:r>
    </w:p>
    <w:p>
      <w:pPr>
        <w:spacing w:after="0" w:line="267" w:lineRule="exact"/>
        <w:rPr>
          <w:sz w:val="20"/>
          <w:szCs w:val="20"/>
          <w:color w:val="auto"/>
        </w:rPr>
      </w:pPr>
    </w:p>
    <w:p>
      <w:pPr>
        <w:ind w:left="424" w:right="80" w:hanging="424"/>
        <w:spacing w:after="0" w:line="277" w:lineRule="auto"/>
        <w:tabs>
          <w:tab w:leader="none" w:pos="424" w:val="left"/>
        </w:tabs>
        <w:numPr>
          <w:ilvl w:val="0"/>
          <w:numId w:val="29"/>
        </w:numPr>
        <w:rPr>
          <w:rFonts w:ascii="Arial" w:cs="Arial" w:eastAsia="Arial" w:hAnsi="Arial"/>
          <w:sz w:val="15"/>
          <w:szCs w:val="15"/>
          <w:color w:val="auto"/>
        </w:rPr>
      </w:pPr>
      <w:r>
        <w:rPr>
          <w:rFonts w:ascii="Arial" w:cs="Arial" w:eastAsia="Arial" w:hAnsi="Arial"/>
          <w:sz w:val="18"/>
          <w:szCs w:val="18"/>
          <w:color w:val="auto"/>
        </w:rPr>
        <w:t>Based on 98,693,094 shares of the Issuer’s voting common stock outstanding as of November 8, 2021, as set forth in the Issuer’s quarterly report on Form 10-Q filed with the Commission on November 12, 2021.</w:t>
      </w:r>
    </w:p>
    <w:p>
      <w:pPr>
        <w:sectPr>
          <w:pgSz w:w="11900" w:h="16838" w:orient="portrait"/>
          <w:cols w:equalWidth="0" w:num="1">
            <w:col w:w="10964"/>
          </w:cols>
          <w:pgMar w:left="436" w:top="274" w:right="499" w:bottom="1440" w:gutter="0" w:footer="0" w:header="0"/>
        </w:sectPr>
      </w:pPr>
    </w:p>
    <w:bookmarkStart w:id="4" w:name="page5"/>
    <w:bookmarkEnd w:id="4"/>
    <w:p>
      <w:pPr>
        <w:ind w:left="4"/>
        <w:spacing w:after="0"/>
        <w:tabs>
          <w:tab w:leader="none" w:pos="134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w:t>
      </w:r>
      <w:r>
        <w:rPr>
          <w:sz w:val="20"/>
          <w:szCs w:val="20"/>
          <w:color w:val="auto"/>
        </w:rPr>
        <w:tab/>
      </w:r>
      <w:r>
        <w:rPr>
          <w:rFonts w:ascii="Arial" w:cs="Arial" w:eastAsia="Arial" w:hAnsi="Arial"/>
          <w:sz w:val="18"/>
          <w:szCs w:val="18"/>
          <w:color w:val="auto"/>
        </w:rPr>
        <w:t>302492103</w:t>
      </w:r>
      <w:r>
        <w:rPr>
          <w:sz w:val="20"/>
          <w:szCs w:val="20"/>
          <w:color w:val="auto"/>
        </w:rPr>
        <w:tab/>
      </w:r>
      <w:r>
        <w:rPr>
          <w:rFonts w:ascii="Arial" w:cs="Arial" w:eastAsia="Arial" w:hAnsi="Arial"/>
          <w:sz w:val="16"/>
          <w:szCs w:val="16"/>
          <w:color w:val="auto"/>
        </w:rPr>
        <w:t>Page 5 of 10</w:t>
      </w:r>
    </w:p>
    <w:p>
      <w:pPr>
        <w:spacing w:after="0" w:line="171" w:lineRule="exact"/>
        <w:rPr>
          <w:sz w:val="20"/>
          <w:szCs w:val="20"/>
          <w:color w:val="auto"/>
        </w:rPr>
      </w:pPr>
    </w:p>
    <w:p>
      <w:pPr>
        <w:ind w:left="764" w:hanging="517"/>
        <w:spacing w:after="0"/>
        <w:tabs>
          <w:tab w:leader="none" w:pos="764"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60870" cy="5237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5237480"/>
                    </a:xfrm>
                    <a:prstGeom prst="rect">
                      <a:avLst/>
                    </a:prstGeom>
                    <a:noFill/>
                  </pic:spPr>
                </pic:pic>
              </a:graphicData>
            </a:graphic>
          </wp:anchor>
        </w:drawing>
      </w:r>
    </w:p>
    <w:p>
      <w:pPr>
        <w:spacing w:after="0" w:line="225" w:lineRule="exact"/>
        <w:rPr>
          <w:sz w:val="20"/>
          <w:szCs w:val="20"/>
          <w:color w:val="auto"/>
        </w:rPr>
      </w:pPr>
    </w:p>
    <w:p>
      <w:pPr>
        <w:ind w:left="764"/>
        <w:spacing w:after="0"/>
        <w:rPr>
          <w:sz w:val="20"/>
          <w:szCs w:val="20"/>
          <w:color w:val="auto"/>
        </w:rPr>
      </w:pPr>
      <w:r>
        <w:rPr>
          <w:rFonts w:ascii="Arial" w:cs="Arial" w:eastAsia="Arial" w:hAnsi="Arial"/>
          <w:sz w:val="22"/>
          <w:szCs w:val="22"/>
          <w:color w:val="auto"/>
        </w:rPr>
        <w:t>Ossa Investments Pte. Ltd.</w:t>
      </w:r>
    </w:p>
    <w:p>
      <w:pPr>
        <w:spacing w:after="0" w:line="24" w:lineRule="exact"/>
        <w:rPr>
          <w:sz w:val="20"/>
          <w:szCs w:val="20"/>
          <w:color w:val="auto"/>
        </w:rPr>
      </w:pPr>
    </w:p>
    <w:p>
      <w:pPr>
        <w:ind w:left="764" w:hanging="517"/>
        <w:spacing w:after="0"/>
        <w:tabs>
          <w:tab w:leader="none" w:pos="764"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764"/>
        <w:spacing w:after="0" w:line="207" w:lineRule="exact"/>
        <w:tabs>
          <w:tab w:leader="none" w:pos="15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64" w:hanging="517"/>
        <w:spacing w:after="0"/>
        <w:tabs>
          <w:tab w:leader="none" w:pos="764"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64" w:hanging="517"/>
        <w:spacing w:after="0"/>
        <w:tabs>
          <w:tab w:leader="none" w:pos="764"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764"/>
        <w:spacing w:after="0"/>
        <w:rPr>
          <w:sz w:val="20"/>
          <w:szCs w:val="20"/>
          <w:color w:val="auto"/>
        </w:rPr>
      </w:pPr>
      <w:r>
        <w:rPr>
          <w:rFonts w:ascii="Arial" w:cs="Arial" w:eastAsia="Arial" w:hAnsi="Arial"/>
          <w:sz w:val="22"/>
          <w:szCs w:val="22"/>
          <w:color w:val="auto"/>
        </w:rPr>
        <w:t>Republic of Singapore</w:t>
      </w:r>
    </w:p>
    <w:p>
      <w:pPr>
        <w:spacing w:after="0" w:line="24" w:lineRule="exact"/>
        <w:rPr>
          <w:sz w:val="20"/>
          <w:szCs w:val="20"/>
          <w:color w:val="auto"/>
        </w:rPr>
      </w:pPr>
    </w:p>
    <w:p>
      <w:pPr>
        <w:ind w:left="1884" w:hanging="251"/>
        <w:spacing w:after="0"/>
        <w:tabs>
          <w:tab w:leader="none" w:pos="1884"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45" w:lineRule="exact"/>
        <w:rPr>
          <w:sz w:val="20"/>
          <w:szCs w:val="20"/>
          <w:color w:val="auto"/>
        </w:rPr>
      </w:pPr>
    </w:p>
    <w:tbl>
      <w:tblPr>
        <w:tblLayout w:type="fixed"/>
        <w:tblInd w:w="164" w:type="dxa"/>
        <w:tblCellMar>
          <w:top w:w="0" w:type="dxa"/>
          <w:left w:w="0" w:type="dxa"/>
          <w:bottom w:w="0" w:type="dxa"/>
          <w:right w:w="0" w:type="dxa"/>
        </w:tblCellMar>
      </w:tblPr>
      <w:tr>
        <w:trPr>
          <w:trHeight w:val="276"/>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340" w:type="dxa"/>
            <w:vAlign w:val="bottom"/>
            <w:vMerge w:val="continue"/>
          </w:tcPr>
          <w:p>
            <w:pPr>
              <w:spacing w:after="0"/>
              <w:rPr>
                <w:sz w:val="4"/>
                <w:szCs w:val="4"/>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0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3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BENEFICIALLY</w:t>
            </w:r>
          </w:p>
        </w:tc>
        <w:tc>
          <w:tcPr>
            <w:tcW w:w="300" w:type="dxa"/>
            <w:vAlign w:val="bottom"/>
          </w:tcPr>
          <w:p>
            <w:pPr>
              <w:spacing w:after="0"/>
              <w:rPr>
                <w:sz w:val="18"/>
                <w:szCs w:val="18"/>
                <w:color w:val="auto"/>
              </w:rPr>
            </w:pPr>
          </w:p>
        </w:tc>
        <w:tc>
          <w:tcPr>
            <w:tcW w:w="9160" w:type="dxa"/>
            <w:vAlign w:val="bottom"/>
            <w:vMerge w:val="restart"/>
          </w:tcPr>
          <w:p>
            <w:pPr>
              <w:ind w:left="80"/>
              <w:spacing w:after="0"/>
              <w:rPr>
                <w:sz w:val="20"/>
                <w:szCs w:val="20"/>
                <w:color w:val="auto"/>
              </w:rPr>
            </w:pPr>
            <w:r>
              <w:rPr>
                <w:rFonts w:ascii="Arial" w:cs="Arial" w:eastAsia="Arial" w:hAnsi="Arial"/>
                <w:sz w:val="22"/>
                <w:szCs w:val="22"/>
                <w:color w:val="auto"/>
              </w:rPr>
              <w:t>10,635,573</w:t>
            </w:r>
          </w:p>
        </w:tc>
        <w:tc>
          <w:tcPr>
            <w:tcW w:w="0" w:type="dxa"/>
            <w:vAlign w:val="bottom"/>
          </w:tcPr>
          <w:p>
            <w:pPr>
              <w:spacing w:after="0"/>
              <w:rPr>
                <w:sz w:val="1"/>
                <w:szCs w:val="1"/>
                <w:color w:val="auto"/>
              </w:rPr>
            </w:pPr>
          </w:p>
        </w:tc>
      </w:tr>
      <w:tr>
        <w:trPr>
          <w:trHeight w:val="230"/>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00" w:type="dxa"/>
            <w:vAlign w:val="bottom"/>
          </w:tcPr>
          <w:p>
            <w:pPr>
              <w:spacing w:after="0"/>
              <w:rPr>
                <w:sz w:val="20"/>
                <w:szCs w:val="20"/>
                <w:color w:val="auto"/>
              </w:rPr>
            </w:pPr>
          </w:p>
        </w:tc>
        <w:tc>
          <w:tcPr>
            <w:tcW w:w="9160" w:type="dxa"/>
            <w:vAlign w:val="bottom"/>
          </w:tcPr>
          <w:p>
            <w:pPr>
              <w:ind w:left="8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00" w:type="dxa"/>
            <w:vAlign w:val="bottom"/>
            <w:tcBorders>
              <w:bottom w:val="single" w:sz="8" w:color="auto"/>
            </w:tcBorders>
          </w:tcPr>
          <w:p>
            <w:pPr>
              <w:spacing w:after="0"/>
              <w:rPr>
                <w:sz w:val="6"/>
                <w:szCs w:val="6"/>
                <w:color w:val="auto"/>
              </w:rPr>
            </w:pPr>
          </w:p>
        </w:tc>
        <w:tc>
          <w:tcPr>
            <w:tcW w:w="9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340" w:type="dxa"/>
            <w:vAlign w:val="bottom"/>
            <w:vMerge w:val="continue"/>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7"/>
        </w:trPr>
        <w:tc>
          <w:tcPr>
            <w:tcW w:w="13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9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884"/>
        <w:spacing w:after="0"/>
        <w:rPr>
          <w:sz w:val="20"/>
          <w:szCs w:val="20"/>
          <w:color w:val="auto"/>
        </w:rPr>
      </w:pPr>
      <w:r>
        <w:rPr>
          <w:rFonts w:ascii="Arial" w:cs="Arial" w:eastAsia="Arial" w:hAnsi="Arial"/>
          <w:sz w:val="22"/>
          <w:szCs w:val="22"/>
          <w:color w:val="auto"/>
        </w:rPr>
        <w:t>10,635,573</w:t>
      </w:r>
    </w:p>
    <w:p>
      <w:pPr>
        <w:spacing w:after="0" w:line="24" w:lineRule="exact"/>
        <w:rPr>
          <w:sz w:val="20"/>
          <w:szCs w:val="20"/>
          <w:color w:val="auto"/>
        </w:rPr>
      </w:pPr>
    </w:p>
    <w:p>
      <w:pPr>
        <w:ind w:left="764" w:hanging="517"/>
        <w:spacing w:after="0"/>
        <w:tabs>
          <w:tab w:leader="none" w:pos="764"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764"/>
        <w:spacing w:after="0"/>
        <w:rPr>
          <w:sz w:val="20"/>
          <w:szCs w:val="20"/>
          <w:color w:val="auto"/>
        </w:rPr>
      </w:pPr>
      <w:r>
        <w:rPr>
          <w:rFonts w:ascii="Arial" w:cs="Arial" w:eastAsia="Arial" w:hAnsi="Arial"/>
          <w:sz w:val="22"/>
          <w:szCs w:val="22"/>
          <w:color w:val="auto"/>
        </w:rPr>
        <w:t>10,635,573</w:t>
      </w:r>
    </w:p>
    <w:p>
      <w:pPr>
        <w:spacing w:after="0" w:line="21" w:lineRule="exact"/>
        <w:rPr>
          <w:sz w:val="20"/>
          <w:szCs w:val="20"/>
          <w:color w:val="auto"/>
        </w:rPr>
      </w:pPr>
    </w:p>
    <w:p>
      <w:pPr>
        <w:ind w:left="764" w:hanging="607"/>
        <w:spacing w:after="0" w:line="207" w:lineRule="exact"/>
        <w:tabs>
          <w:tab w:leader="none" w:pos="764"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b w:val="1"/>
          <w:bCs w:val="1"/>
          <w:color w:val="auto"/>
        </w:rPr>
      </w:pPr>
    </w:p>
    <w:p>
      <w:pPr>
        <w:ind w:left="764" w:hanging="607"/>
        <w:spacing w:after="0"/>
        <w:tabs>
          <w:tab w:leader="none" w:pos="764"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764"/>
        <w:spacing w:after="0"/>
        <w:rPr>
          <w:sz w:val="20"/>
          <w:szCs w:val="20"/>
          <w:color w:val="auto"/>
        </w:rPr>
      </w:pPr>
      <w:r>
        <w:rPr>
          <w:rFonts w:ascii="Arial" w:cs="Arial" w:eastAsia="Arial" w:hAnsi="Arial"/>
          <w:sz w:val="22"/>
          <w:szCs w:val="22"/>
          <w:color w:val="auto"/>
        </w:rPr>
        <w:t>10.8%</w:t>
      </w:r>
      <w:r>
        <w:rPr>
          <w:rFonts w:ascii="Arial" w:cs="Arial" w:eastAsia="Arial" w:hAnsi="Arial"/>
          <w:sz w:val="18"/>
          <w:szCs w:val="18"/>
          <w:color w:val="auto"/>
        </w:rPr>
        <w:t>(1)</w:t>
      </w:r>
    </w:p>
    <w:p>
      <w:pPr>
        <w:spacing w:after="0" w:line="24" w:lineRule="exact"/>
        <w:rPr>
          <w:sz w:val="20"/>
          <w:szCs w:val="20"/>
          <w:color w:val="auto"/>
        </w:rPr>
      </w:pPr>
    </w:p>
    <w:p>
      <w:pPr>
        <w:ind w:left="764" w:hanging="607"/>
        <w:spacing w:after="0"/>
        <w:tabs>
          <w:tab w:leader="none" w:pos="764"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764"/>
        <w:spacing w:after="0"/>
        <w:rPr>
          <w:sz w:val="20"/>
          <w:szCs w:val="20"/>
          <w:color w:val="auto"/>
        </w:rPr>
      </w:pPr>
      <w:r>
        <w:rPr>
          <w:rFonts w:ascii="Arial" w:cs="Arial" w:eastAsia="Arial" w:hAnsi="Arial"/>
          <w:sz w:val="22"/>
          <w:szCs w:val="22"/>
          <w:color w:val="auto"/>
        </w:rPr>
        <w:t>CO</w:t>
      </w:r>
    </w:p>
    <w:p>
      <w:pPr>
        <w:spacing w:after="0" w:line="267" w:lineRule="exact"/>
        <w:rPr>
          <w:sz w:val="20"/>
          <w:szCs w:val="20"/>
          <w:color w:val="auto"/>
        </w:rPr>
      </w:pPr>
    </w:p>
    <w:p>
      <w:pPr>
        <w:ind w:left="424" w:right="80" w:hanging="424"/>
        <w:spacing w:after="0" w:line="277" w:lineRule="auto"/>
        <w:tabs>
          <w:tab w:leader="none" w:pos="424" w:val="left"/>
        </w:tabs>
        <w:numPr>
          <w:ilvl w:val="0"/>
          <w:numId w:val="38"/>
        </w:numPr>
        <w:rPr>
          <w:rFonts w:ascii="Arial" w:cs="Arial" w:eastAsia="Arial" w:hAnsi="Arial"/>
          <w:sz w:val="15"/>
          <w:szCs w:val="15"/>
          <w:color w:val="auto"/>
        </w:rPr>
      </w:pPr>
      <w:r>
        <w:rPr>
          <w:rFonts w:ascii="Arial" w:cs="Arial" w:eastAsia="Arial" w:hAnsi="Arial"/>
          <w:sz w:val="18"/>
          <w:szCs w:val="18"/>
          <w:color w:val="auto"/>
        </w:rPr>
        <w:t>Based on 98,693,094 shares of the Issuer’s voting common stock outstanding as of November 8, 2021, as set forth in the Issuer’s quarterly report on Form 10-Q filed with the Commission on November 12, 2021.</w:t>
      </w:r>
    </w:p>
    <w:p>
      <w:pPr>
        <w:sectPr>
          <w:pgSz w:w="11900" w:h="16838" w:orient="portrait"/>
          <w:cols w:equalWidth="0" w:num="1">
            <w:col w:w="10964"/>
          </w:cols>
          <w:pgMar w:left="436" w:top="274" w:right="499" w:bottom="1440" w:gutter="0" w:footer="0" w:header="0"/>
        </w:sectPr>
      </w:pPr>
    </w:p>
    <w:bookmarkStart w:id="5" w:name="page6"/>
    <w:bookmarkEnd w:id="5"/>
    <w:p>
      <w:pPr>
        <w:spacing w:after="0"/>
        <w:tabs>
          <w:tab w:leader="none" w:pos="134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w:t>
      </w:r>
      <w:r>
        <w:rPr>
          <w:sz w:val="20"/>
          <w:szCs w:val="20"/>
          <w:color w:val="auto"/>
        </w:rPr>
        <w:tab/>
      </w:r>
      <w:r>
        <w:rPr>
          <w:rFonts w:ascii="Arial" w:cs="Arial" w:eastAsia="Arial" w:hAnsi="Arial"/>
          <w:sz w:val="18"/>
          <w:szCs w:val="18"/>
          <w:color w:val="auto"/>
        </w:rPr>
        <w:t>302492103</w:t>
      </w:r>
      <w:r>
        <w:rPr>
          <w:sz w:val="20"/>
          <w:szCs w:val="20"/>
          <w:color w:val="auto"/>
        </w:rPr>
        <w:tab/>
      </w:r>
      <w:r>
        <w:rPr>
          <w:rFonts w:ascii="Arial" w:cs="Arial" w:eastAsia="Arial" w:hAnsi="Arial"/>
          <w:sz w:val="16"/>
          <w:szCs w:val="16"/>
          <w:color w:val="auto"/>
        </w:rPr>
        <w:t>Page 6 of 10</w:t>
      </w:r>
    </w:p>
    <w:p>
      <w:pPr>
        <w:spacing w:after="0" w:line="15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Flywire Corporation (the “Issuer”)</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141 Tremont St #10, Boston, MA 02111</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35" w:lineRule="exact"/>
        <w:rPr>
          <w:sz w:val="20"/>
          <w:szCs w:val="20"/>
          <w:color w:val="auto"/>
        </w:rPr>
      </w:pPr>
    </w:p>
    <w:p>
      <w:pPr>
        <w:ind w:left="1620" w:hanging="423"/>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Temasek Holdings (Private) Limited (“Temasek”);</w:t>
      </w:r>
    </w:p>
    <w:p>
      <w:pPr>
        <w:spacing w:after="0" w:line="23" w:lineRule="exact"/>
        <w:rPr>
          <w:rFonts w:ascii="Arial" w:cs="Arial" w:eastAsia="Arial" w:hAnsi="Arial"/>
          <w:sz w:val="18"/>
          <w:szCs w:val="18"/>
          <w:color w:val="auto"/>
        </w:rPr>
      </w:pPr>
    </w:p>
    <w:p>
      <w:pPr>
        <w:ind w:left="1620" w:hanging="423"/>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Fullerton Management Pte Ltd (“Fullerton”);</w:t>
      </w:r>
    </w:p>
    <w:p>
      <w:pPr>
        <w:spacing w:after="0" w:line="9" w:lineRule="exact"/>
        <w:rPr>
          <w:rFonts w:ascii="Arial" w:cs="Arial" w:eastAsia="Arial" w:hAnsi="Arial"/>
          <w:sz w:val="18"/>
          <w:szCs w:val="18"/>
          <w:color w:val="auto"/>
        </w:rPr>
      </w:pPr>
    </w:p>
    <w:p>
      <w:pPr>
        <w:ind w:left="1620" w:hanging="423"/>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Hotham Investments Pte. Ltd. (“Hotham”); and</w:t>
      </w:r>
    </w:p>
    <w:p>
      <w:pPr>
        <w:spacing w:after="0" w:line="9" w:lineRule="exact"/>
        <w:rPr>
          <w:rFonts w:ascii="Arial" w:cs="Arial" w:eastAsia="Arial" w:hAnsi="Arial"/>
          <w:sz w:val="18"/>
          <w:szCs w:val="18"/>
          <w:color w:val="auto"/>
        </w:rPr>
      </w:pPr>
    </w:p>
    <w:p>
      <w:pPr>
        <w:ind w:left="1620" w:hanging="423"/>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Ossa Investments Pte. Ltd. (“Ossa” and, together with Temasek, Fullerton and Hotham, the “Reporting Persons”)</w:t>
      </w:r>
    </w:p>
    <w:p>
      <w:pPr>
        <w:spacing w:after="0" w:line="35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Each of the Reporting Persons:</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60B Orchard Road</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#06-18 Tower 2</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Atrium@Orchard</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Singapore 238891.</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9940" w:type="dxa"/>
            <w:vAlign w:val="bottom"/>
            <w:gridSpan w:val="2"/>
          </w:tcPr>
          <w:p>
            <w:pPr>
              <w:ind w:left="220"/>
              <w:spacing w:after="0"/>
              <w:rPr>
                <w:sz w:val="20"/>
                <w:szCs w:val="20"/>
                <w:color w:val="auto"/>
              </w:rPr>
            </w:pPr>
            <w:r>
              <w:rPr>
                <w:rFonts w:ascii="Arial" w:cs="Arial" w:eastAsia="Arial" w:hAnsi="Arial"/>
                <w:sz w:val="18"/>
                <w:szCs w:val="18"/>
                <w:b w:val="1"/>
                <w:bCs w:val="1"/>
                <w:color w:val="auto"/>
              </w:rPr>
              <w:t>Citizenship:</w:t>
            </w:r>
          </w:p>
        </w:tc>
      </w:tr>
      <w:tr>
        <w:trPr>
          <w:trHeight w:val="324"/>
        </w:trPr>
        <w:tc>
          <w:tcPr>
            <w:tcW w:w="980" w:type="dxa"/>
            <w:vAlign w:val="bottom"/>
          </w:tcPr>
          <w:p>
            <w:pPr>
              <w:spacing w:after="0"/>
              <w:rPr>
                <w:sz w:val="24"/>
                <w:szCs w:val="24"/>
                <w:color w:val="auto"/>
              </w:rPr>
            </w:pPr>
          </w:p>
        </w:tc>
        <w:tc>
          <w:tcPr>
            <w:tcW w:w="9940" w:type="dxa"/>
            <w:vAlign w:val="bottom"/>
            <w:gridSpan w:val="2"/>
          </w:tcPr>
          <w:p>
            <w:pPr>
              <w:ind w:left="220"/>
              <w:spacing w:after="0"/>
              <w:rPr>
                <w:sz w:val="20"/>
                <w:szCs w:val="20"/>
                <w:color w:val="auto"/>
              </w:rPr>
            </w:pPr>
            <w:r>
              <w:rPr>
                <w:rFonts w:ascii="Arial" w:cs="Arial" w:eastAsia="Arial" w:hAnsi="Arial"/>
                <w:sz w:val="18"/>
                <w:szCs w:val="18"/>
                <w:color w:val="auto"/>
              </w:rPr>
              <w:t>Each of the Reporting Persons: Republic of Singapore</w:t>
            </w:r>
          </w:p>
        </w:tc>
      </w:tr>
      <w:tr>
        <w:trPr>
          <w:trHeight w:val="580"/>
        </w:trPr>
        <w:tc>
          <w:tcPr>
            <w:tcW w:w="98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9940" w:type="dxa"/>
            <w:vAlign w:val="bottom"/>
            <w:gridSpan w:val="2"/>
          </w:tcPr>
          <w:p>
            <w:pPr>
              <w:ind w:left="220"/>
              <w:spacing w:after="0"/>
              <w:rPr>
                <w:sz w:val="20"/>
                <w:szCs w:val="20"/>
                <w:color w:val="auto"/>
              </w:rPr>
            </w:pPr>
            <w:r>
              <w:rPr>
                <w:rFonts w:ascii="Arial" w:cs="Arial" w:eastAsia="Arial" w:hAnsi="Arial"/>
                <w:sz w:val="18"/>
                <w:szCs w:val="18"/>
                <w:b w:val="1"/>
                <w:bCs w:val="1"/>
                <w:color w:val="auto"/>
              </w:rPr>
              <w:t>Title of Class of Securities:</w:t>
            </w:r>
          </w:p>
        </w:tc>
      </w:tr>
      <w:tr>
        <w:trPr>
          <w:trHeight w:val="324"/>
        </w:trPr>
        <w:tc>
          <w:tcPr>
            <w:tcW w:w="980" w:type="dxa"/>
            <w:vAlign w:val="bottom"/>
          </w:tcPr>
          <w:p>
            <w:pPr>
              <w:spacing w:after="0"/>
              <w:rPr>
                <w:sz w:val="24"/>
                <w:szCs w:val="24"/>
                <w:color w:val="auto"/>
              </w:rPr>
            </w:pPr>
          </w:p>
        </w:tc>
        <w:tc>
          <w:tcPr>
            <w:tcW w:w="9940" w:type="dxa"/>
            <w:vAlign w:val="bottom"/>
            <w:gridSpan w:val="2"/>
          </w:tcPr>
          <w:p>
            <w:pPr>
              <w:ind w:left="220"/>
              <w:spacing w:after="0"/>
              <w:rPr>
                <w:sz w:val="20"/>
                <w:szCs w:val="20"/>
                <w:color w:val="auto"/>
              </w:rPr>
            </w:pPr>
            <w:r>
              <w:rPr>
                <w:rFonts w:ascii="Arial" w:cs="Arial" w:eastAsia="Arial" w:hAnsi="Arial"/>
                <w:sz w:val="18"/>
                <w:szCs w:val="18"/>
                <w:color w:val="auto"/>
              </w:rPr>
              <w:t>Voting common stock, $0.0001 par value per share.</w:t>
            </w:r>
          </w:p>
        </w:tc>
      </w:tr>
      <w:tr>
        <w:trPr>
          <w:trHeight w:val="580"/>
        </w:trPr>
        <w:tc>
          <w:tcPr>
            <w:tcW w:w="98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9940" w:type="dxa"/>
            <w:vAlign w:val="bottom"/>
            <w:gridSpan w:val="2"/>
          </w:tcPr>
          <w:p>
            <w:pPr>
              <w:ind w:left="220"/>
              <w:spacing w:after="0"/>
              <w:rPr>
                <w:sz w:val="20"/>
                <w:szCs w:val="20"/>
                <w:color w:val="auto"/>
              </w:rPr>
            </w:pPr>
            <w:r>
              <w:rPr>
                <w:rFonts w:ascii="Arial" w:cs="Arial" w:eastAsia="Arial" w:hAnsi="Arial"/>
                <w:sz w:val="18"/>
                <w:szCs w:val="18"/>
                <w:b w:val="1"/>
                <w:bCs w:val="1"/>
                <w:color w:val="auto"/>
              </w:rPr>
              <w:t>CUSIP Number:</w:t>
            </w:r>
          </w:p>
        </w:tc>
      </w:tr>
      <w:tr>
        <w:trPr>
          <w:trHeight w:val="324"/>
        </w:trPr>
        <w:tc>
          <w:tcPr>
            <w:tcW w:w="980" w:type="dxa"/>
            <w:vAlign w:val="bottom"/>
          </w:tcPr>
          <w:p>
            <w:pPr>
              <w:spacing w:after="0"/>
              <w:rPr>
                <w:sz w:val="24"/>
                <w:szCs w:val="24"/>
                <w:color w:val="auto"/>
              </w:rPr>
            </w:pPr>
          </w:p>
        </w:tc>
        <w:tc>
          <w:tcPr>
            <w:tcW w:w="9940" w:type="dxa"/>
            <w:vAlign w:val="bottom"/>
            <w:gridSpan w:val="2"/>
          </w:tcPr>
          <w:p>
            <w:pPr>
              <w:ind w:left="220"/>
              <w:spacing w:after="0"/>
              <w:rPr>
                <w:sz w:val="20"/>
                <w:szCs w:val="20"/>
                <w:color w:val="auto"/>
              </w:rPr>
            </w:pPr>
            <w:r>
              <w:rPr>
                <w:rFonts w:ascii="Arial" w:cs="Arial" w:eastAsia="Arial" w:hAnsi="Arial"/>
                <w:sz w:val="18"/>
                <w:szCs w:val="18"/>
                <w:color w:val="auto"/>
              </w:rPr>
              <w:t>302492103</w:t>
            </w:r>
          </w:p>
        </w:tc>
      </w:tr>
      <w:tr>
        <w:trPr>
          <w:trHeight w:val="580"/>
        </w:trPr>
        <w:tc>
          <w:tcPr>
            <w:tcW w:w="9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940" w:type="dxa"/>
            <w:vAlign w:val="bottom"/>
            <w:gridSpan w:val="2"/>
          </w:tcPr>
          <w:p>
            <w:pPr>
              <w:ind w:left="220"/>
              <w:spacing w:after="0"/>
              <w:rPr>
                <w:sz w:val="20"/>
                <w:szCs w:val="20"/>
                <w:color w:val="auto"/>
              </w:rPr>
            </w:pPr>
            <w:r>
              <w:rPr>
                <w:rFonts w:ascii="Arial" w:cs="Arial" w:eastAsia="Arial" w:hAnsi="Arial"/>
                <w:sz w:val="18"/>
                <w:szCs w:val="18"/>
                <w:b w:val="1"/>
                <w:bCs w:val="1"/>
                <w:color w:val="auto"/>
              </w:rPr>
              <w:t>If this statement is filed pursuant to §§240.13d-1(b) or 240.13d-2(b) or (c), check whether the person filing is a:</w:t>
            </w:r>
          </w:p>
        </w:tc>
      </w:tr>
      <w:tr>
        <w:trPr>
          <w:trHeight w:val="324"/>
        </w:trPr>
        <w:tc>
          <w:tcPr>
            <w:tcW w:w="980" w:type="dxa"/>
            <w:vAlign w:val="bottom"/>
          </w:tcPr>
          <w:p>
            <w:pPr>
              <w:spacing w:after="0"/>
              <w:rPr>
                <w:sz w:val="24"/>
                <w:szCs w:val="24"/>
                <w:color w:val="auto"/>
              </w:rPr>
            </w:pPr>
          </w:p>
        </w:tc>
        <w:tc>
          <w:tcPr>
            <w:tcW w:w="9940" w:type="dxa"/>
            <w:vAlign w:val="bottom"/>
            <w:gridSpan w:val="2"/>
          </w:tcPr>
          <w:p>
            <w:pPr>
              <w:ind w:left="220"/>
              <w:spacing w:after="0"/>
              <w:rPr>
                <w:sz w:val="20"/>
                <w:szCs w:val="20"/>
                <w:color w:val="auto"/>
              </w:rPr>
            </w:pPr>
            <w:r>
              <w:rPr>
                <w:rFonts w:ascii="Arial" w:cs="Arial" w:eastAsia="Arial" w:hAnsi="Arial"/>
                <w:sz w:val="18"/>
                <w:szCs w:val="18"/>
                <w:color w:val="auto"/>
              </w:rPr>
              <w:t>Not applicable.</w:t>
            </w:r>
          </w:p>
        </w:tc>
      </w:tr>
      <w:tr>
        <w:trPr>
          <w:trHeight w:val="580"/>
        </w:trPr>
        <w:tc>
          <w:tcPr>
            <w:tcW w:w="9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940" w:type="dxa"/>
            <w:vAlign w:val="bottom"/>
            <w:gridSpan w:val="2"/>
          </w:tcPr>
          <w:p>
            <w:pPr>
              <w:ind w:left="220"/>
              <w:spacing w:after="0"/>
              <w:rPr>
                <w:sz w:val="20"/>
                <w:szCs w:val="20"/>
                <w:color w:val="auto"/>
              </w:rPr>
            </w:pPr>
            <w:r>
              <w:rPr>
                <w:rFonts w:ascii="Arial" w:cs="Arial" w:eastAsia="Arial" w:hAnsi="Arial"/>
                <w:sz w:val="18"/>
                <w:szCs w:val="18"/>
                <w:b w:val="1"/>
                <w:bCs w:val="1"/>
                <w:color w:val="auto"/>
              </w:rPr>
              <w:t>Ownership.</w:t>
            </w:r>
          </w:p>
        </w:tc>
      </w:tr>
      <w:tr>
        <w:trPr>
          <w:trHeight w:val="338"/>
        </w:trPr>
        <w:tc>
          <w:tcPr>
            <w:tcW w:w="980" w:type="dxa"/>
            <w:vAlign w:val="bottom"/>
          </w:tcPr>
          <w:p>
            <w:pPr>
              <w:spacing w:after="0"/>
              <w:rPr>
                <w:sz w:val="24"/>
                <w:szCs w:val="24"/>
                <w:color w:val="auto"/>
              </w:rPr>
            </w:pPr>
          </w:p>
        </w:tc>
        <w:tc>
          <w:tcPr>
            <w:tcW w:w="540" w:type="dxa"/>
            <w:vAlign w:val="bottom"/>
          </w:tcPr>
          <w:p>
            <w:pPr>
              <w:ind w:left="220"/>
              <w:spacing w:after="0"/>
              <w:rPr>
                <w:sz w:val="20"/>
                <w:szCs w:val="20"/>
                <w:color w:val="auto"/>
              </w:rPr>
            </w:pPr>
            <w:r>
              <w:rPr>
                <w:rFonts w:ascii="Arial" w:cs="Arial" w:eastAsia="Arial" w:hAnsi="Arial"/>
                <w:sz w:val="18"/>
                <w:szCs w:val="18"/>
                <w:color w:val="auto"/>
              </w:rPr>
              <w:t>(a)</w:t>
            </w:r>
          </w:p>
        </w:tc>
        <w:tc>
          <w:tcPr>
            <w:tcW w:w="9400" w:type="dxa"/>
            <w:vAlign w:val="bottom"/>
          </w:tcPr>
          <w:p>
            <w:pPr>
              <w:ind w:left="100"/>
              <w:spacing w:after="0"/>
              <w:rPr>
                <w:sz w:val="20"/>
                <w:szCs w:val="20"/>
                <w:color w:val="auto"/>
              </w:rPr>
            </w:pPr>
            <w:r>
              <w:rPr>
                <w:rFonts w:ascii="Arial" w:cs="Arial" w:eastAsia="Arial" w:hAnsi="Arial"/>
                <w:sz w:val="18"/>
                <w:szCs w:val="18"/>
                <w:color w:val="auto"/>
              </w:rPr>
              <w:t>Amount beneficially owned:</w:t>
            </w:r>
          </w:p>
        </w:tc>
      </w:tr>
      <w:tr>
        <w:trPr>
          <w:trHeight w:val="324"/>
        </w:trPr>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rPr>
              <w:t>As of December 31, 2021, Ossa directly owned in aggregate 10,635,573 voting common stock.</w:t>
            </w:r>
          </w:p>
        </w:tc>
      </w:tr>
      <w:tr>
        <w:trPr>
          <w:trHeight w:val="310"/>
        </w:trPr>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7"/>
              </w:rPr>
              <w:t>Ossa is a wholly-owned subsidiary of Hotham, which in turn is a wholly-owned subsidiary of Fullerton, which in turn is a</w:t>
            </w:r>
          </w:p>
        </w:tc>
      </w:tr>
      <w:tr>
        <w:trPr>
          <w:trHeight w:val="216"/>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0"/>
              </w:rPr>
              <w:t>wholly-owned subsidiary of Temasek. Temasek, Fullerton and Hotham, through the ownership described herein, may be deemed</w:t>
            </w:r>
          </w:p>
        </w:tc>
      </w:tr>
      <w:tr>
        <w:trPr>
          <w:trHeight w:val="230"/>
        </w:trPr>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rPr>
              <w:t>to beneficially own the shares of the Issuer’s voting common stock directly owned by Ossa.</w:t>
            </w:r>
          </w:p>
        </w:tc>
      </w:tr>
      <w:tr>
        <w:trPr>
          <w:trHeight w:val="338"/>
        </w:trPr>
        <w:tc>
          <w:tcPr>
            <w:tcW w:w="980" w:type="dxa"/>
            <w:vAlign w:val="bottom"/>
          </w:tcPr>
          <w:p>
            <w:pPr>
              <w:spacing w:after="0"/>
              <w:rPr>
                <w:sz w:val="24"/>
                <w:szCs w:val="24"/>
                <w:color w:val="auto"/>
              </w:rPr>
            </w:pPr>
          </w:p>
        </w:tc>
        <w:tc>
          <w:tcPr>
            <w:tcW w:w="540" w:type="dxa"/>
            <w:vAlign w:val="bottom"/>
          </w:tcPr>
          <w:p>
            <w:pPr>
              <w:ind w:left="220"/>
              <w:spacing w:after="0"/>
              <w:rPr>
                <w:sz w:val="20"/>
                <w:szCs w:val="20"/>
                <w:color w:val="auto"/>
              </w:rPr>
            </w:pPr>
            <w:r>
              <w:rPr>
                <w:rFonts w:ascii="Arial" w:cs="Arial" w:eastAsia="Arial" w:hAnsi="Arial"/>
                <w:sz w:val="18"/>
                <w:szCs w:val="18"/>
                <w:color w:val="auto"/>
              </w:rPr>
              <w:t>(b)</w:t>
            </w:r>
          </w:p>
        </w:tc>
        <w:tc>
          <w:tcPr>
            <w:tcW w:w="9400" w:type="dxa"/>
            <w:vAlign w:val="bottom"/>
          </w:tcPr>
          <w:p>
            <w:pPr>
              <w:ind w:left="100"/>
              <w:spacing w:after="0"/>
              <w:rPr>
                <w:sz w:val="20"/>
                <w:szCs w:val="20"/>
                <w:color w:val="auto"/>
              </w:rPr>
            </w:pPr>
            <w:r>
              <w:rPr>
                <w:rFonts w:ascii="Arial" w:cs="Arial" w:eastAsia="Arial" w:hAnsi="Arial"/>
                <w:sz w:val="18"/>
                <w:szCs w:val="18"/>
                <w:color w:val="auto"/>
              </w:rPr>
              <w:t>Percent of class:</w:t>
            </w:r>
          </w:p>
        </w:tc>
      </w:tr>
      <w:tr>
        <w:trPr>
          <w:trHeight w:val="324"/>
        </w:trPr>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rPr>
              <w:t>As of December 31, 2021:</w:t>
            </w:r>
          </w:p>
        </w:tc>
      </w:tr>
      <w:tr>
        <w:trPr>
          <w:trHeight w:val="324"/>
        </w:trPr>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rPr>
              <w:t>Temasek, Fullerton, Hotham and Ossa: 10.8%</w:t>
            </w:r>
          </w:p>
        </w:tc>
      </w:tr>
    </w:tbl>
    <w:p>
      <w:pPr>
        <w:spacing w:after="0" w:line="94" w:lineRule="exact"/>
        <w:rPr>
          <w:sz w:val="20"/>
          <w:szCs w:val="20"/>
          <w:color w:val="auto"/>
        </w:rPr>
      </w:pPr>
    </w:p>
    <w:p>
      <w:pPr>
        <w:ind w:left="1640"/>
        <w:spacing w:after="0" w:line="308" w:lineRule="auto"/>
        <w:rPr>
          <w:sz w:val="20"/>
          <w:szCs w:val="20"/>
          <w:color w:val="auto"/>
        </w:rPr>
      </w:pPr>
      <w:r>
        <w:rPr>
          <w:rFonts w:ascii="Arial" w:cs="Arial" w:eastAsia="Arial" w:hAnsi="Arial"/>
          <w:sz w:val="17"/>
          <w:szCs w:val="17"/>
          <w:color w:val="auto"/>
        </w:rPr>
        <w:t>The percentages above are based on 98,693,094 shares of the Issuer’s voting common stock outstanding as of November 8, 2021, as set forth in the Issuer’s quarterly report on Form 10-Q filed with the Commission on November 12, 2021.</w:t>
      </w:r>
    </w:p>
    <w:p>
      <w:pPr>
        <w:sectPr>
          <w:pgSz w:w="11900" w:h="16838" w:orient="portrait"/>
          <w:cols w:equalWidth="0" w:num="1">
            <w:col w:w="10960"/>
          </w:cols>
          <w:pgMar w:left="440" w:top="274" w:right="499" w:bottom="1440" w:gutter="0" w:footer="0" w:header="0"/>
        </w:sectPr>
      </w:pPr>
    </w:p>
    <w:bookmarkStart w:id="6" w:name="page7"/>
    <w:bookmarkEnd w:id="6"/>
    <w:p>
      <w:pPr>
        <w:spacing w:after="0"/>
        <w:tabs>
          <w:tab w:leader="none" w:pos="134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w:t>
      </w:r>
      <w:r>
        <w:rPr>
          <w:sz w:val="20"/>
          <w:szCs w:val="20"/>
          <w:color w:val="auto"/>
        </w:rPr>
        <w:tab/>
      </w:r>
      <w:r>
        <w:rPr>
          <w:rFonts w:ascii="Arial" w:cs="Arial" w:eastAsia="Arial" w:hAnsi="Arial"/>
          <w:sz w:val="18"/>
          <w:szCs w:val="18"/>
          <w:color w:val="auto"/>
        </w:rPr>
        <w:t>302492103</w:t>
      </w:r>
      <w:r>
        <w:rPr>
          <w:sz w:val="20"/>
          <w:szCs w:val="20"/>
          <w:color w:val="auto"/>
        </w:rPr>
        <w:tab/>
      </w:r>
      <w:r>
        <w:rPr>
          <w:rFonts w:ascii="Arial" w:cs="Arial" w:eastAsia="Arial" w:hAnsi="Arial"/>
          <w:sz w:val="16"/>
          <w:szCs w:val="16"/>
          <w:color w:val="auto"/>
        </w:rPr>
        <w:t>Page 7 of 10</w:t>
      </w:r>
    </w:p>
    <w:p>
      <w:pPr>
        <w:spacing w:after="0" w:line="158" w:lineRule="exact"/>
        <w:rPr>
          <w:sz w:val="20"/>
          <w:szCs w:val="20"/>
          <w:color w:val="auto"/>
        </w:rPr>
      </w:pPr>
    </w:p>
    <w:p>
      <w:pPr>
        <w:ind w:left="1620" w:hanging="423"/>
        <w:spacing w:after="0"/>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640" w:right="200"/>
        <w:spacing w:after="0" w:line="308" w:lineRule="auto"/>
        <w:rPr>
          <w:rFonts w:ascii="Arial" w:cs="Arial" w:eastAsia="Arial" w:hAnsi="Arial"/>
          <w:sz w:val="18"/>
          <w:szCs w:val="18"/>
          <w:color w:val="auto"/>
        </w:rPr>
      </w:pPr>
      <w:r>
        <w:rPr>
          <w:rFonts w:ascii="Arial" w:cs="Arial" w:eastAsia="Arial" w:hAnsi="Arial"/>
          <w:sz w:val="17"/>
          <w:szCs w:val="17"/>
          <w:color w:val="auto"/>
        </w:rPr>
        <w:t>With respect to the shared power to vote, or to direct the vote, and to dispose, or to direct the disposition of, the shares of the Issuer’s voting common stock, please see Item 4(a) above regarding qualifications as to beneficial ownership.</w:t>
      </w:r>
    </w:p>
    <w:p>
      <w:pPr>
        <w:spacing w:after="0" w:line="51" w:lineRule="exact"/>
        <w:rPr>
          <w:rFonts w:ascii="Arial" w:cs="Arial" w:eastAsia="Arial" w:hAnsi="Arial"/>
          <w:sz w:val="18"/>
          <w:szCs w:val="18"/>
          <w:color w:val="auto"/>
        </w:rPr>
      </w:pPr>
    </w:p>
    <w:p>
      <w:pPr>
        <w:ind w:left="2200" w:right="5780" w:hanging="557"/>
        <w:spacing w:after="0" w:line="383" w:lineRule="auto"/>
        <w:tabs>
          <w:tab w:leader="none" w:pos="2184" w:val="left"/>
        </w:tabs>
        <w:numPr>
          <w:ilvl w:val="1"/>
          <w:numId w:val="4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ind w:left="2200" w:right="5600" w:hanging="557"/>
        <w:spacing w:after="0" w:line="383" w:lineRule="auto"/>
        <w:tabs>
          <w:tab w:leader="none" w:pos="2184" w:val="left"/>
        </w:tabs>
        <w:numPr>
          <w:ilvl w:val="1"/>
          <w:numId w:val="40"/>
        </w:numPr>
        <w:rPr>
          <w:rFonts w:ascii="Arial" w:cs="Arial" w:eastAsia="Arial" w:hAnsi="Arial"/>
          <w:sz w:val="18"/>
          <w:szCs w:val="18"/>
          <w:color w:val="auto"/>
        </w:rPr>
      </w:pPr>
      <w:r>
        <w:rPr>
          <w:rFonts w:ascii="Arial" w:cs="Arial" w:eastAsia="Arial" w:hAnsi="Arial"/>
          <w:sz w:val="18"/>
          <w:szCs w:val="18"/>
          <w:color w:val="auto"/>
        </w:rPr>
        <w:t>Shared power to vote or to direct the vote: 10,635,573.</w:t>
      </w:r>
    </w:p>
    <w:p>
      <w:pPr>
        <w:ind w:left="2200" w:right="4880" w:hanging="557"/>
        <w:spacing w:after="0" w:line="383" w:lineRule="auto"/>
        <w:tabs>
          <w:tab w:leader="none" w:pos="2184" w:val="left"/>
        </w:tabs>
        <w:numPr>
          <w:ilvl w:val="1"/>
          <w:numId w:val="4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ind w:left="2200" w:right="4700" w:hanging="557"/>
        <w:spacing w:after="0" w:line="402" w:lineRule="auto"/>
        <w:tabs>
          <w:tab w:leader="none" w:pos="2184" w:val="left"/>
        </w:tabs>
        <w:numPr>
          <w:ilvl w:val="1"/>
          <w:numId w:val="4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10,635,573.</w:t>
      </w:r>
    </w:p>
    <w:p>
      <w:pPr>
        <w:sectPr>
          <w:pgSz w:w="11900" w:h="16838" w:orient="portrait"/>
          <w:cols w:equalWidth="0" w:num="1">
            <w:col w:w="10820"/>
          </w:cols>
          <w:pgMar w:left="440" w:top="274" w:right="6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Five Percent or Less of a Class.</w:t>
      </w:r>
    </w:p>
    <w:p>
      <w:pPr>
        <w:spacing w:after="0" w:line="144" w:lineRule="exact"/>
        <w:rPr>
          <w:sz w:val="20"/>
          <w:szCs w:val="20"/>
          <w:color w:val="auto"/>
        </w:rPr>
      </w:pPr>
    </w:p>
    <w:p>
      <w:pPr>
        <w:sectPr>
          <w:pgSz w:w="11900" w:h="16838" w:orient="portrait"/>
          <w:cols w:equalWidth="0" w:num="2">
            <w:col w:w="540" w:space="660"/>
            <w:col w:w="9620"/>
          </w:cols>
          <w:pgMar w:left="440" w:top="274" w:right="639" w:bottom="1440" w:gutter="0" w:footer="0" w:header="0"/>
          <w:type w:val="continuous"/>
        </w:sectPr>
      </w:pPr>
    </w:p>
    <w:p>
      <w:pPr>
        <w:ind w:left="12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p>
    <w:p>
      <w:pPr>
        <w:sectPr>
          <w:pgSz w:w="11900" w:h="16838" w:orient="portrait"/>
          <w:cols w:equalWidth="0" w:num="1">
            <w:col w:w="10820"/>
          </w:cols>
          <w:pgMar w:left="440" w:top="274" w:right="639" w:bottom="1440" w:gutter="0" w:footer="0" w:header="0"/>
          <w:type w:val="continuous"/>
        </w:sect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144" w:lineRule="exact"/>
        <w:rPr>
          <w:sz w:val="20"/>
          <w:szCs w:val="20"/>
          <w:color w:val="auto"/>
        </w:rPr>
      </w:pPr>
    </w:p>
    <w:p>
      <w:pPr>
        <w:sectPr>
          <w:pgSz w:w="11900" w:h="16838" w:orient="portrait"/>
          <w:cols w:equalWidth="0" w:num="2">
            <w:col w:w="540" w:space="660"/>
            <w:col w:w="9620"/>
          </w:cols>
          <w:pgMar w:left="440" w:top="274" w:right="639" w:bottom="1440" w:gutter="0" w:footer="0" w:header="0"/>
          <w:type w:val="continuous"/>
        </w:sectPr>
      </w:pPr>
    </w:p>
    <w:p>
      <w:pPr>
        <w:ind w:left="120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0820"/>
          </w:cols>
          <w:pgMar w:left="440" w:top="274" w:right="6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sectPr>
          <w:pgSz w:w="11900" w:h="16838" w:orient="portrait"/>
          <w:cols w:equalWidth="0" w:num="2">
            <w:col w:w="540" w:space="660"/>
            <w:col w:w="9620"/>
          </w:cols>
          <w:pgMar w:left="440" w:top="274" w:right="639" w:bottom="1440" w:gutter="0" w:footer="0" w:header="0"/>
          <w:type w:val="continuous"/>
        </w:sectPr>
      </w:pPr>
    </w:p>
    <w:p>
      <w:pPr>
        <w:ind w:left="120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0820"/>
          </w:cols>
          <w:pgMar w:left="440" w:top="274" w:right="6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144" w:lineRule="exact"/>
        <w:rPr>
          <w:sz w:val="20"/>
          <w:szCs w:val="20"/>
          <w:color w:val="auto"/>
        </w:rPr>
      </w:pPr>
    </w:p>
    <w:p>
      <w:pPr>
        <w:sectPr>
          <w:pgSz w:w="11900" w:h="16838" w:orient="portrait"/>
          <w:cols w:equalWidth="0" w:num="2">
            <w:col w:w="540" w:space="660"/>
            <w:col w:w="9620"/>
          </w:cols>
          <w:pgMar w:left="440" w:top="274" w:right="639" w:bottom="1440" w:gutter="0" w:footer="0" w:header="0"/>
          <w:type w:val="continuous"/>
        </w:sectPr>
      </w:pPr>
    </w:p>
    <w:p>
      <w:pPr>
        <w:ind w:left="120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0820"/>
          </w:cols>
          <w:pgMar w:left="440" w:top="274" w:right="6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144" w:lineRule="exact"/>
        <w:rPr>
          <w:sz w:val="20"/>
          <w:szCs w:val="20"/>
          <w:color w:val="auto"/>
        </w:rPr>
      </w:pPr>
    </w:p>
    <w:p>
      <w:pPr>
        <w:sectPr>
          <w:pgSz w:w="11900" w:h="16838" w:orient="portrait"/>
          <w:cols w:equalWidth="0" w:num="2">
            <w:col w:w="540" w:space="660"/>
            <w:col w:w="9620"/>
          </w:cols>
          <w:pgMar w:left="440" w:top="274" w:right="639" w:bottom="1440" w:gutter="0" w:footer="0" w:header="0"/>
          <w:type w:val="continuous"/>
        </w:sectPr>
      </w:pPr>
    </w:p>
    <w:p>
      <w:pPr>
        <w:ind w:left="120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0820"/>
          </w:cols>
          <w:pgMar w:left="440" w:top="274" w:right="6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144" w:lineRule="exact"/>
        <w:rPr>
          <w:sz w:val="20"/>
          <w:szCs w:val="20"/>
          <w:color w:val="auto"/>
        </w:rPr>
      </w:pPr>
    </w:p>
    <w:p>
      <w:pPr>
        <w:sectPr>
          <w:pgSz w:w="11900" w:h="16838" w:orient="portrait"/>
          <w:cols w:equalWidth="0" w:num="2">
            <w:col w:w="620" w:space="580"/>
            <w:col w:w="9620"/>
          </w:cols>
          <w:pgMar w:left="440" w:top="274" w:right="639"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820"/>
          </w:cols>
          <w:pgMar w:left="440" w:top="274" w:right="639" w:bottom="1440" w:gutter="0" w:footer="0" w:header="0"/>
          <w:type w:val="continuous"/>
        </w:sectPr>
      </w:pPr>
    </w:p>
    <w:bookmarkStart w:id="7" w:name="page8"/>
    <w:bookmarkEnd w:id="7"/>
    <w:p>
      <w:pPr>
        <w:spacing w:after="0"/>
        <w:tabs>
          <w:tab w:leader="none" w:pos="134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w:t>
      </w:r>
      <w:r>
        <w:rPr>
          <w:sz w:val="20"/>
          <w:szCs w:val="20"/>
          <w:color w:val="auto"/>
        </w:rPr>
        <w:tab/>
      </w:r>
      <w:r>
        <w:rPr>
          <w:rFonts w:ascii="Arial" w:cs="Arial" w:eastAsia="Arial" w:hAnsi="Arial"/>
          <w:sz w:val="18"/>
          <w:szCs w:val="18"/>
          <w:color w:val="auto"/>
        </w:rPr>
        <w:t>302492103</w:t>
      </w:r>
      <w:r>
        <w:rPr>
          <w:sz w:val="20"/>
          <w:szCs w:val="20"/>
          <w:color w:val="auto"/>
        </w:rPr>
        <w:tab/>
      </w:r>
      <w:r>
        <w:rPr>
          <w:rFonts w:ascii="Arial" w:cs="Arial" w:eastAsia="Arial" w:hAnsi="Arial"/>
          <w:sz w:val="16"/>
          <w:szCs w:val="16"/>
          <w:color w:val="auto"/>
        </w:rPr>
        <w:t>Page 8 of 10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color w:val="auto"/>
              </w:rPr>
              <w:t>Dated: February 14, 2022</w:t>
            </w:r>
          </w:p>
        </w:tc>
        <w:tc>
          <w:tcPr>
            <w:tcW w:w="6900" w:type="dxa"/>
            <w:vAlign w:val="bottom"/>
            <w:gridSpan w:val="4"/>
          </w:tcPr>
          <w:p>
            <w:pPr>
              <w:ind w:left="2260"/>
              <w:spacing w:after="0"/>
              <w:rPr>
                <w:sz w:val="20"/>
                <w:szCs w:val="20"/>
                <w:color w:val="auto"/>
              </w:rPr>
            </w:pPr>
            <w:r>
              <w:rPr>
                <w:rFonts w:ascii="Arial" w:cs="Arial" w:eastAsia="Arial" w:hAnsi="Arial"/>
                <w:sz w:val="18"/>
                <w:szCs w:val="18"/>
                <w:b w:val="1"/>
                <w:bCs w:val="1"/>
                <w:color w:val="auto"/>
              </w:rPr>
              <w:t>TEMASEK HOLDINGS (PRIVATE) LIMITED</w:t>
            </w:r>
          </w:p>
        </w:tc>
      </w:tr>
      <w:tr>
        <w:trPr>
          <w:trHeight w:val="432"/>
        </w:trPr>
        <w:tc>
          <w:tcPr>
            <w:tcW w:w="4120" w:type="dxa"/>
            <w:vAlign w:val="bottom"/>
          </w:tcPr>
          <w:p>
            <w:pPr>
              <w:spacing w:after="0"/>
              <w:rPr>
                <w:sz w:val="24"/>
                <w:szCs w:val="24"/>
                <w:color w:val="auto"/>
              </w:rPr>
            </w:pPr>
          </w:p>
        </w:tc>
        <w:tc>
          <w:tcPr>
            <w:tcW w:w="2740" w:type="dxa"/>
            <w:vAlign w:val="bottom"/>
          </w:tcPr>
          <w:p>
            <w:pPr>
              <w:ind w:left="2260"/>
              <w:spacing w:after="0"/>
              <w:rPr>
                <w:sz w:val="20"/>
                <w:szCs w:val="20"/>
                <w:color w:val="auto"/>
              </w:rPr>
            </w:pPr>
            <w:r>
              <w:rPr>
                <w:rFonts w:ascii="Arial" w:cs="Arial" w:eastAsia="Arial" w:hAnsi="Arial"/>
                <w:sz w:val="18"/>
                <w:szCs w:val="18"/>
                <w:b w:val="1"/>
                <w:bCs w:val="1"/>
                <w:color w:val="auto"/>
              </w:rPr>
              <w:t>By:</w:t>
            </w:r>
          </w:p>
        </w:tc>
        <w:tc>
          <w:tcPr>
            <w:tcW w:w="4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Jason Norman Lee</w:t>
            </w:r>
          </w:p>
        </w:tc>
      </w:tr>
      <w:tr>
        <w:trPr>
          <w:trHeight w:val="209"/>
        </w:trPr>
        <w:tc>
          <w:tcPr>
            <w:tcW w:w="4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5"/>
              </w:rPr>
              <w:t>Name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Jason Norman Lee</w:t>
            </w:r>
          </w:p>
        </w:tc>
      </w:tr>
      <w:tr>
        <w:trPr>
          <w:trHeight w:val="230"/>
        </w:trPr>
        <w:tc>
          <w:tcPr>
            <w:tcW w:w="4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Authorized Signatory</w:t>
            </w:r>
          </w:p>
        </w:tc>
      </w:tr>
      <w:tr>
        <w:trPr>
          <w:trHeight w:val="432"/>
        </w:trPr>
        <w:tc>
          <w:tcPr>
            <w:tcW w:w="4120" w:type="dxa"/>
            <w:vAlign w:val="bottom"/>
          </w:tcPr>
          <w:p>
            <w:pPr>
              <w:spacing w:after="0"/>
              <w:rPr>
                <w:sz w:val="20"/>
                <w:szCs w:val="20"/>
                <w:color w:val="auto"/>
              </w:rPr>
            </w:pPr>
            <w:r>
              <w:rPr>
                <w:rFonts w:ascii="Arial" w:cs="Arial" w:eastAsia="Arial" w:hAnsi="Arial"/>
                <w:sz w:val="18"/>
                <w:szCs w:val="18"/>
                <w:color w:val="auto"/>
              </w:rPr>
              <w:t>Dated: February 14, 2022</w:t>
            </w:r>
          </w:p>
        </w:tc>
        <w:tc>
          <w:tcPr>
            <w:tcW w:w="6900" w:type="dxa"/>
            <w:vAlign w:val="bottom"/>
            <w:gridSpan w:val="4"/>
          </w:tcPr>
          <w:p>
            <w:pPr>
              <w:ind w:left="2260"/>
              <w:spacing w:after="0"/>
              <w:rPr>
                <w:sz w:val="20"/>
                <w:szCs w:val="20"/>
                <w:color w:val="auto"/>
              </w:rPr>
            </w:pPr>
            <w:r>
              <w:rPr>
                <w:rFonts w:ascii="Arial" w:cs="Arial" w:eastAsia="Arial" w:hAnsi="Arial"/>
                <w:sz w:val="18"/>
                <w:szCs w:val="18"/>
                <w:b w:val="1"/>
                <w:bCs w:val="1"/>
                <w:color w:val="auto"/>
              </w:rPr>
              <w:t>FULLERTON MANAGEMENT PTE LTD</w:t>
            </w:r>
          </w:p>
        </w:tc>
      </w:tr>
      <w:tr>
        <w:trPr>
          <w:trHeight w:val="432"/>
        </w:trPr>
        <w:tc>
          <w:tcPr>
            <w:tcW w:w="4120" w:type="dxa"/>
            <w:vAlign w:val="bottom"/>
          </w:tcPr>
          <w:p>
            <w:pPr>
              <w:spacing w:after="0"/>
              <w:rPr>
                <w:sz w:val="24"/>
                <w:szCs w:val="24"/>
                <w:color w:val="auto"/>
              </w:rPr>
            </w:pPr>
          </w:p>
        </w:tc>
        <w:tc>
          <w:tcPr>
            <w:tcW w:w="2740" w:type="dxa"/>
            <w:vAlign w:val="bottom"/>
          </w:tcPr>
          <w:p>
            <w:pPr>
              <w:ind w:left="2260"/>
              <w:spacing w:after="0"/>
              <w:rPr>
                <w:sz w:val="20"/>
                <w:szCs w:val="20"/>
                <w:color w:val="auto"/>
              </w:rPr>
            </w:pPr>
            <w:r>
              <w:rPr>
                <w:rFonts w:ascii="Arial" w:cs="Arial" w:eastAsia="Arial" w:hAnsi="Arial"/>
                <w:sz w:val="18"/>
                <w:szCs w:val="18"/>
                <w:b w:val="1"/>
                <w:bCs w:val="1"/>
                <w:color w:val="auto"/>
              </w:rPr>
              <w:t>By:</w:t>
            </w:r>
          </w:p>
        </w:tc>
        <w:tc>
          <w:tcPr>
            <w:tcW w:w="4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Gregory Tan</w:t>
            </w:r>
          </w:p>
        </w:tc>
      </w:tr>
      <w:tr>
        <w:trPr>
          <w:trHeight w:val="209"/>
        </w:trPr>
        <w:tc>
          <w:tcPr>
            <w:tcW w:w="4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5"/>
              </w:rPr>
              <w:t>Name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Gregory Tan</w:t>
            </w:r>
          </w:p>
        </w:tc>
      </w:tr>
      <w:tr>
        <w:trPr>
          <w:trHeight w:val="230"/>
        </w:trPr>
        <w:tc>
          <w:tcPr>
            <w:tcW w:w="4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32"/>
        </w:trPr>
        <w:tc>
          <w:tcPr>
            <w:tcW w:w="4120" w:type="dxa"/>
            <w:vAlign w:val="bottom"/>
          </w:tcPr>
          <w:p>
            <w:pPr>
              <w:spacing w:after="0"/>
              <w:rPr>
                <w:sz w:val="20"/>
                <w:szCs w:val="20"/>
                <w:color w:val="auto"/>
              </w:rPr>
            </w:pPr>
            <w:r>
              <w:rPr>
                <w:rFonts w:ascii="Arial" w:cs="Arial" w:eastAsia="Arial" w:hAnsi="Arial"/>
                <w:sz w:val="18"/>
                <w:szCs w:val="18"/>
                <w:color w:val="auto"/>
              </w:rPr>
              <w:t>Dated: February 14, 2022</w:t>
            </w:r>
          </w:p>
        </w:tc>
        <w:tc>
          <w:tcPr>
            <w:tcW w:w="6900" w:type="dxa"/>
            <w:vAlign w:val="bottom"/>
            <w:gridSpan w:val="4"/>
          </w:tcPr>
          <w:p>
            <w:pPr>
              <w:ind w:left="2260"/>
              <w:spacing w:after="0"/>
              <w:rPr>
                <w:sz w:val="20"/>
                <w:szCs w:val="20"/>
                <w:color w:val="auto"/>
              </w:rPr>
            </w:pPr>
            <w:r>
              <w:rPr>
                <w:rFonts w:ascii="Arial" w:cs="Arial" w:eastAsia="Arial" w:hAnsi="Arial"/>
                <w:sz w:val="18"/>
                <w:szCs w:val="18"/>
                <w:b w:val="1"/>
                <w:bCs w:val="1"/>
                <w:color w:val="auto"/>
              </w:rPr>
              <w:t>HOTHAM INVESTMENTS PTE. LTD.</w:t>
            </w:r>
          </w:p>
        </w:tc>
      </w:tr>
      <w:tr>
        <w:trPr>
          <w:trHeight w:val="432"/>
        </w:trPr>
        <w:tc>
          <w:tcPr>
            <w:tcW w:w="4120" w:type="dxa"/>
            <w:vAlign w:val="bottom"/>
          </w:tcPr>
          <w:p>
            <w:pPr>
              <w:spacing w:after="0"/>
              <w:rPr>
                <w:sz w:val="24"/>
                <w:szCs w:val="24"/>
                <w:color w:val="auto"/>
              </w:rPr>
            </w:pPr>
          </w:p>
        </w:tc>
        <w:tc>
          <w:tcPr>
            <w:tcW w:w="2740" w:type="dxa"/>
            <w:vAlign w:val="bottom"/>
          </w:tcPr>
          <w:p>
            <w:pPr>
              <w:ind w:left="2260"/>
              <w:spacing w:after="0"/>
              <w:rPr>
                <w:sz w:val="20"/>
                <w:szCs w:val="20"/>
                <w:color w:val="auto"/>
              </w:rPr>
            </w:pPr>
            <w:r>
              <w:rPr>
                <w:rFonts w:ascii="Arial" w:cs="Arial" w:eastAsia="Arial" w:hAnsi="Arial"/>
                <w:sz w:val="18"/>
                <w:szCs w:val="18"/>
                <w:b w:val="1"/>
                <w:bCs w:val="1"/>
                <w:color w:val="auto"/>
              </w:rPr>
              <w:t>By:</w:t>
            </w:r>
          </w:p>
        </w:tc>
        <w:tc>
          <w:tcPr>
            <w:tcW w:w="4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Lim Ming Pey</w:t>
            </w:r>
          </w:p>
        </w:tc>
      </w:tr>
      <w:tr>
        <w:trPr>
          <w:trHeight w:val="209"/>
        </w:trPr>
        <w:tc>
          <w:tcPr>
            <w:tcW w:w="4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5"/>
              </w:rPr>
              <w:t>Name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Lim Ming Pey</w:t>
            </w:r>
          </w:p>
        </w:tc>
      </w:tr>
      <w:tr>
        <w:trPr>
          <w:trHeight w:val="230"/>
        </w:trPr>
        <w:tc>
          <w:tcPr>
            <w:tcW w:w="4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32"/>
        </w:trPr>
        <w:tc>
          <w:tcPr>
            <w:tcW w:w="4120" w:type="dxa"/>
            <w:vAlign w:val="bottom"/>
          </w:tcPr>
          <w:p>
            <w:pPr>
              <w:spacing w:after="0"/>
              <w:rPr>
                <w:sz w:val="20"/>
                <w:szCs w:val="20"/>
                <w:color w:val="auto"/>
              </w:rPr>
            </w:pPr>
            <w:r>
              <w:rPr>
                <w:rFonts w:ascii="Arial" w:cs="Arial" w:eastAsia="Arial" w:hAnsi="Arial"/>
                <w:sz w:val="18"/>
                <w:szCs w:val="18"/>
                <w:color w:val="auto"/>
              </w:rPr>
              <w:t>Dated: February 14, 2022</w:t>
            </w:r>
          </w:p>
        </w:tc>
        <w:tc>
          <w:tcPr>
            <w:tcW w:w="6900" w:type="dxa"/>
            <w:vAlign w:val="bottom"/>
            <w:gridSpan w:val="4"/>
          </w:tcPr>
          <w:p>
            <w:pPr>
              <w:ind w:left="2260"/>
              <w:spacing w:after="0"/>
              <w:rPr>
                <w:sz w:val="20"/>
                <w:szCs w:val="20"/>
                <w:color w:val="auto"/>
              </w:rPr>
            </w:pPr>
            <w:r>
              <w:rPr>
                <w:rFonts w:ascii="Arial" w:cs="Arial" w:eastAsia="Arial" w:hAnsi="Arial"/>
                <w:sz w:val="18"/>
                <w:szCs w:val="18"/>
                <w:b w:val="1"/>
                <w:bCs w:val="1"/>
                <w:color w:val="auto"/>
              </w:rPr>
              <w:t>OSSA INVESTMENTS PTE. LTD.</w:t>
            </w:r>
          </w:p>
        </w:tc>
      </w:tr>
      <w:tr>
        <w:trPr>
          <w:trHeight w:val="432"/>
        </w:trPr>
        <w:tc>
          <w:tcPr>
            <w:tcW w:w="4120" w:type="dxa"/>
            <w:vAlign w:val="bottom"/>
          </w:tcPr>
          <w:p>
            <w:pPr>
              <w:spacing w:after="0"/>
              <w:rPr>
                <w:sz w:val="24"/>
                <w:szCs w:val="24"/>
                <w:color w:val="auto"/>
              </w:rPr>
            </w:pPr>
          </w:p>
        </w:tc>
        <w:tc>
          <w:tcPr>
            <w:tcW w:w="2740" w:type="dxa"/>
            <w:vAlign w:val="bottom"/>
          </w:tcPr>
          <w:p>
            <w:pPr>
              <w:ind w:left="2260"/>
              <w:spacing w:after="0"/>
              <w:rPr>
                <w:sz w:val="20"/>
                <w:szCs w:val="20"/>
                <w:color w:val="auto"/>
              </w:rPr>
            </w:pPr>
            <w:r>
              <w:rPr>
                <w:rFonts w:ascii="Arial" w:cs="Arial" w:eastAsia="Arial" w:hAnsi="Arial"/>
                <w:sz w:val="18"/>
                <w:szCs w:val="18"/>
                <w:b w:val="1"/>
                <w:bCs w:val="1"/>
                <w:color w:val="auto"/>
              </w:rPr>
              <w:t>By:</w:t>
            </w:r>
          </w:p>
        </w:tc>
        <w:tc>
          <w:tcPr>
            <w:tcW w:w="4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Lim Ming Pey</w:t>
            </w:r>
          </w:p>
        </w:tc>
      </w:tr>
      <w:tr>
        <w:trPr>
          <w:trHeight w:val="209"/>
        </w:trPr>
        <w:tc>
          <w:tcPr>
            <w:tcW w:w="4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5"/>
              </w:rPr>
              <w:t>Name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Lim Ming Pey</w:t>
            </w:r>
          </w:p>
        </w:tc>
      </w:tr>
      <w:tr>
        <w:trPr>
          <w:trHeight w:val="230"/>
        </w:trPr>
        <w:tc>
          <w:tcPr>
            <w:tcW w:w="4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Director</w:t>
            </w:r>
          </w:p>
        </w:tc>
      </w:tr>
    </w:tbl>
    <w:p>
      <w:pPr>
        <w:sectPr>
          <w:pgSz w:w="11900" w:h="16838" w:orient="portrait"/>
          <w:cols w:equalWidth="0" w:num="1">
            <w:col w:w="11020"/>
          </w:cols>
          <w:pgMar w:left="440" w:top="274" w:right="4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220" w:type="dxa"/>
            <w:vAlign w:val="bottom"/>
            <w:gridSpan w:val="2"/>
          </w:tcPr>
          <w:p>
            <w:pPr>
              <w:spacing w:after="0"/>
              <w:rPr>
                <w:sz w:val="20"/>
                <w:szCs w:val="20"/>
                <w:color w:val="auto"/>
              </w:rPr>
            </w:pPr>
            <w:r>
              <w:rPr>
                <w:rFonts w:ascii="Arial" w:cs="Arial" w:eastAsia="Arial" w:hAnsi="Arial"/>
                <w:sz w:val="18"/>
                <w:szCs w:val="18"/>
                <w:color w:val="auto"/>
              </w:rPr>
              <w:t>CUSIP No.</w:t>
            </w:r>
          </w:p>
        </w:tc>
        <w:tc>
          <w:tcPr>
            <w:tcW w:w="7860" w:type="dxa"/>
            <w:vAlign w:val="bottom"/>
            <w:gridSpan w:val="2"/>
          </w:tcPr>
          <w:p>
            <w:pPr>
              <w:jc w:val="right"/>
              <w:ind w:right="6830"/>
              <w:spacing w:after="0"/>
              <w:rPr>
                <w:sz w:val="20"/>
                <w:szCs w:val="20"/>
                <w:color w:val="auto"/>
              </w:rPr>
            </w:pPr>
            <w:r>
              <w:rPr>
                <w:rFonts w:ascii="Arial" w:cs="Arial" w:eastAsia="Arial" w:hAnsi="Arial"/>
                <w:sz w:val="18"/>
                <w:szCs w:val="18"/>
                <w:color w:val="auto"/>
              </w:rPr>
              <w:t>302492103</w:t>
            </w:r>
          </w:p>
        </w:tc>
        <w:tc>
          <w:tcPr>
            <w:tcW w:w="1580" w:type="dxa"/>
            <w:vAlign w:val="bottom"/>
          </w:tcPr>
          <w:p>
            <w:pPr>
              <w:ind w:left="660"/>
              <w:spacing w:after="0"/>
              <w:rPr>
                <w:sz w:val="20"/>
                <w:szCs w:val="20"/>
                <w:color w:val="auto"/>
              </w:rPr>
            </w:pPr>
            <w:r>
              <w:rPr>
                <w:rFonts w:ascii="Arial" w:cs="Arial" w:eastAsia="Arial" w:hAnsi="Arial"/>
                <w:sz w:val="18"/>
                <w:szCs w:val="18"/>
                <w:color w:val="auto"/>
                <w:w w:val="88"/>
              </w:rPr>
              <w:t>Page 9 of 10</w:t>
            </w:r>
          </w:p>
        </w:tc>
      </w:tr>
      <w:tr>
        <w:trPr>
          <w:trHeight w:val="364"/>
        </w:trPr>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140" w:type="dxa"/>
            <w:vAlign w:val="bottom"/>
          </w:tcPr>
          <w:p>
            <w:pPr>
              <w:jc w:val="right"/>
              <w:ind w:right="2670"/>
              <w:spacing w:after="0"/>
              <w:rPr>
                <w:sz w:val="20"/>
                <w:szCs w:val="20"/>
                <w:color w:val="auto"/>
              </w:rPr>
            </w:pPr>
            <w:r>
              <w:rPr>
                <w:rFonts w:ascii="Arial" w:cs="Arial" w:eastAsia="Arial" w:hAnsi="Arial"/>
                <w:sz w:val="18"/>
                <w:szCs w:val="18"/>
                <w:b w:val="1"/>
                <w:bCs w:val="1"/>
                <w:color w:val="auto"/>
              </w:rPr>
              <w:t>LIST OF EXHIBITS</w:t>
            </w:r>
          </w:p>
        </w:tc>
        <w:tc>
          <w:tcPr>
            <w:tcW w:w="1580" w:type="dxa"/>
            <w:vAlign w:val="bottom"/>
          </w:tcPr>
          <w:p>
            <w:pPr>
              <w:spacing w:after="0"/>
              <w:rPr>
                <w:sz w:val="24"/>
                <w:szCs w:val="24"/>
                <w:color w:val="auto"/>
              </w:rPr>
            </w:pPr>
          </w:p>
        </w:tc>
      </w:tr>
      <w:tr>
        <w:trPr>
          <w:trHeight w:val="392"/>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0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7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78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Joint Filing Agreement, dated as of February 14, 2022, by and among Temasek, Fullerton, Hotham and Ossa.</w:t>
              </w:r>
            </w:hyperlink>
          </w:p>
        </w:tc>
        <w:tc>
          <w:tcPr>
            <w:tcW w:w="1580" w:type="dxa"/>
            <w:vAlign w:val="bottom"/>
          </w:tcPr>
          <w:p>
            <w:pPr>
              <w:spacing w:after="0"/>
              <w:rPr>
                <w:sz w:val="24"/>
                <w:szCs w:val="24"/>
                <w:color w:val="auto"/>
              </w:rPr>
            </w:pPr>
          </w:p>
        </w:tc>
      </w:tr>
    </w:tbl>
    <w:p>
      <w:pPr>
        <w:sectPr>
          <w:pgSz w:w="11900" w:h="16838" w:orient="portrait"/>
          <w:cols w:equalWidth="0" w:num="1">
            <w:col w:w="10660"/>
          </w:cols>
          <w:pgMar w:left="440" w:top="274" w:right="79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The undersigned hereby agree that the statement on Schedule 13G, dated February 14, 2022 (the “Schedule 13G”), with respect to the voting common stock, $0.0001 par value per share, of Flywire Corporation is, and any amendments thereto executed by each of us shall be, filed on behalf of each of us pursuant to and in accordance with the provisions of Rule 13d-1(k)(1) under the Securities and Exchange Act of 1934, as amended, and that this Agreement shall be included as an exhibit to the Schedule 13G and each such amendment.</w:t>
      </w:r>
    </w:p>
    <w:p>
      <w:pPr>
        <w:spacing w:after="0" w:line="171"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Each of the undersigned agrees to be responsible for the timely filing of the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may be executed in any number of counterparts, all of which taken together shall constitute one and the same instrument.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hereby execute this Joint Filing Agreement as of the 14th day of February,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color w:val="auto"/>
              </w:rPr>
              <w:t>Dated: February 14, 2022</w:t>
            </w:r>
          </w:p>
        </w:tc>
        <w:tc>
          <w:tcPr>
            <w:tcW w:w="6900" w:type="dxa"/>
            <w:vAlign w:val="bottom"/>
            <w:gridSpan w:val="4"/>
          </w:tcPr>
          <w:p>
            <w:pPr>
              <w:ind w:left="2260"/>
              <w:spacing w:after="0"/>
              <w:rPr>
                <w:sz w:val="20"/>
                <w:szCs w:val="20"/>
                <w:color w:val="auto"/>
              </w:rPr>
            </w:pPr>
            <w:r>
              <w:rPr>
                <w:rFonts w:ascii="Arial" w:cs="Arial" w:eastAsia="Arial" w:hAnsi="Arial"/>
                <w:sz w:val="18"/>
                <w:szCs w:val="18"/>
                <w:b w:val="1"/>
                <w:bCs w:val="1"/>
                <w:color w:val="auto"/>
              </w:rPr>
              <w:t>TEMASEK HOLDINGS (PRIVATE) LIMITED</w:t>
            </w:r>
          </w:p>
        </w:tc>
      </w:tr>
      <w:tr>
        <w:trPr>
          <w:trHeight w:val="432"/>
        </w:trPr>
        <w:tc>
          <w:tcPr>
            <w:tcW w:w="4120" w:type="dxa"/>
            <w:vAlign w:val="bottom"/>
          </w:tcPr>
          <w:p>
            <w:pPr>
              <w:spacing w:after="0"/>
              <w:rPr>
                <w:sz w:val="24"/>
                <w:szCs w:val="24"/>
                <w:color w:val="auto"/>
              </w:rPr>
            </w:pPr>
          </w:p>
        </w:tc>
        <w:tc>
          <w:tcPr>
            <w:tcW w:w="2740" w:type="dxa"/>
            <w:vAlign w:val="bottom"/>
          </w:tcPr>
          <w:p>
            <w:pPr>
              <w:ind w:left="2260"/>
              <w:spacing w:after="0"/>
              <w:rPr>
                <w:sz w:val="20"/>
                <w:szCs w:val="20"/>
                <w:color w:val="auto"/>
              </w:rPr>
            </w:pPr>
            <w:r>
              <w:rPr>
                <w:rFonts w:ascii="Arial" w:cs="Arial" w:eastAsia="Arial" w:hAnsi="Arial"/>
                <w:sz w:val="18"/>
                <w:szCs w:val="18"/>
                <w:b w:val="1"/>
                <w:bCs w:val="1"/>
                <w:color w:val="auto"/>
              </w:rPr>
              <w:t>By:</w:t>
            </w:r>
          </w:p>
        </w:tc>
        <w:tc>
          <w:tcPr>
            <w:tcW w:w="4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Jason Norman Lee</w:t>
            </w:r>
          </w:p>
        </w:tc>
      </w:tr>
      <w:tr>
        <w:trPr>
          <w:trHeight w:val="209"/>
        </w:trPr>
        <w:tc>
          <w:tcPr>
            <w:tcW w:w="4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5"/>
              </w:rPr>
              <w:t>Name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Jason Norman Lee</w:t>
            </w:r>
          </w:p>
        </w:tc>
      </w:tr>
      <w:tr>
        <w:trPr>
          <w:trHeight w:val="230"/>
        </w:trPr>
        <w:tc>
          <w:tcPr>
            <w:tcW w:w="4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Authorized Signatory</w:t>
            </w:r>
          </w:p>
        </w:tc>
      </w:tr>
      <w:tr>
        <w:trPr>
          <w:trHeight w:val="432"/>
        </w:trPr>
        <w:tc>
          <w:tcPr>
            <w:tcW w:w="4120" w:type="dxa"/>
            <w:vAlign w:val="bottom"/>
          </w:tcPr>
          <w:p>
            <w:pPr>
              <w:spacing w:after="0"/>
              <w:rPr>
                <w:sz w:val="20"/>
                <w:szCs w:val="20"/>
                <w:color w:val="auto"/>
              </w:rPr>
            </w:pPr>
            <w:r>
              <w:rPr>
                <w:rFonts w:ascii="Arial" w:cs="Arial" w:eastAsia="Arial" w:hAnsi="Arial"/>
                <w:sz w:val="18"/>
                <w:szCs w:val="18"/>
                <w:color w:val="auto"/>
              </w:rPr>
              <w:t>Dated: February 14, 2022</w:t>
            </w:r>
          </w:p>
        </w:tc>
        <w:tc>
          <w:tcPr>
            <w:tcW w:w="6900" w:type="dxa"/>
            <w:vAlign w:val="bottom"/>
            <w:gridSpan w:val="4"/>
          </w:tcPr>
          <w:p>
            <w:pPr>
              <w:ind w:left="2260"/>
              <w:spacing w:after="0"/>
              <w:rPr>
                <w:sz w:val="20"/>
                <w:szCs w:val="20"/>
                <w:color w:val="auto"/>
              </w:rPr>
            </w:pPr>
            <w:r>
              <w:rPr>
                <w:rFonts w:ascii="Arial" w:cs="Arial" w:eastAsia="Arial" w:hAnsi="Arial"/>
                <w:sz w:val="18"/>
                <w:szCs w:val="18"/>
                <w:b w:val="1"/>
                <w:bCs w:val="1"/>
                <w:color w:val="auto"/>
              </w:rPr>
              <w:t>FULLERTON MANAGEMENT PTE LTD</w:t>
            </w:r>
          </w:p>
        </w:tc>
      </w:tr>
      <w:tr>
        <w:trPr>
          <w:trHeight w:val="432"/>
        </w:trPr>
        <w:tc>
          <w:tcPr>
            <w:tcW w:w="4120" w:type="dxa"/>
            <w:vAlign w:val="bottom"/>
          </w:tcPr>
          <w:p>
            <w:pPr>
              <w:spacing w:after="0"/>
              <w:rPr>
                <w:sz w:val="24"/>
                <w:szCs w:val="24"/>
                <w:color w:val="auto"/>
              </w:rPr>
            </w:pPr>
          </w:p>
        </w:tc>
        <w:tc>
          <w:tcPr>
            <w:tcW w:w="2740" w:type="dxa"/>
            <w:vAlign w:val="bottom"/>
          </w:tcPr>
          <w:p>
            <w:pPr>
              <w:ind w:left="2260"/>
              <w:spacing w:after="0"/>
              <w:rPr>
                <w:sz w:val="20"/>
                <w:szCs w:val="20"/>
                <w:color w:val="auto"/>
              </w:rPr>
            </w:pPr>
            <w:r>
              <w:rPr>
                <w:rFonts w:ascii="Arial" w:cs="Arial" w:eastAsia="Arial" w:hAnsi="Arial"/>
                <w:sz w:val="18"/>
                <w:szCs w:val="18"/>
                <w:b w:val="1"/>
                <w:bCs w:val="1"/>
                <w:color w:val="auto"/>
              </w:rPr>
              <w:t>By:</w:t>
            </w:r>
          </w:p>
        </w:tc>
        <w:tc>
          <w:tcPr>
            <w:tcW w:w="4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Gregory Tan</w:t>
            </w:r>
          </w:p>
        </w:tc>
      </w:tr>
      <w:tr>
        <w:trPr>
          <w:trHeight w:val="209"/>
        </w:trPr>
        <w:tc>
          <w:tcPr>
            <w:tcW w:w="4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5"/>
              </w:rPr>
              <w:t>Name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Gregory Tan</w:t>
            </w:r>
          </w:p>
        </w:tc>
      </w:tr>
      <w:tr>
        <w:trPr>
          <w:trHeight w:val="230"/>
        </w:trPr>
        <w:tc>
          <w:tcPr>
            <w:tcW w:w="4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32"/>
        </w:trPr>
        <w:tc>
          <w:tcPr>
            <w:tcW w:w="4120" w:type="dxa"/>
            <w:vAlign w:val="bottom"/>
          </w:tcPr>
          <w:p>
            <w:pPr>
              <w:spacing w:after="0"/>
              <w:rPr>
                <w:sz w:val="20"/>
                <w:szCs w:val="20"/>
                <w:color w:val="auto"/>
              </w:rPr>
            </w:pPr>
            <w:r>
              <w:rPr>
                <w:rFonts w:ascii="Arial" w:cs="Arial" w:eastAsia="Arial" w:hAnsi="Arial"/>
                <w:sz w:val="18"/>
                <w:szCs w:val="18"/>
                <w:color w:val="auto"/>
              </w:rPr>
              <w:t>Dated: February 14, 2022</w:t>
            </w:r>
          </w:p>
        </w:tc>
        <w:tc>
          <w:tcPr>
            <w:tcW w:w="6900" w:type="dxa"/>
            <w:vAlign w:val="bottom"/>
            <w:gridSpan w:val="4"/>
          </w:tcPr>
          <w:p>
            <w:pPr>
              <w:ind w:left="2260"/>
              <w:spacing w:after="0"/>
              <w:rPr>
                <w:sz w:val="20"/>
                <w:szCs w:val="20"/>
                <w:color w:val="auto"/>
              </w:rPr>
            </w:pPr>
            <w:r>
              <w:rPr>
                <w:rFonts w:ascii="Arial" w:cs="Arial" w:eastAsia="Arial" w:hAnsi="Arial"/>
                <w:sz w:val="18"/>
                <w:szCs w:val="18"/>
                <w:b w:val="1"/>
                <w:bCs w:val="1"/>
                <w:color w:val="auto"/>
              </w:rPr>
              <w:t>HOTHAM INVESTMENTS PTE. LTD.</w:t>
            </w:r>
          </w:p>
        </w:tc>
      </w:tr>
      <w:tr>
        <w:trPr>
          <w:trHeight w:val="432"/>
        </w:trPr>
        <w:tc>
          <w:tcPr>
            <w:tcW w:w="4120" w:type="dxa"/>
            <w:vAlign w:val="bottom"/>
          </w:tcPr>
          <w:p>
            <w:pPr>
              <w:spacing w:after="0"/>
              <w:rPr>
                <w:sz w:val="24"/>
                <w:szCs w:val="24"/>
                <w:color w:val="auto"/>
              </w:rPr>
            </w:pPr>
          </w:p>
        </w:tc>
        <w:tc>
          <w:tcPr>
            <w:tcW w:w="2740" w:type="dxa"/>
            <w:vAlign w:val="bottom"/>
          </w:tcPr>
          <w:p>
            <w:pPr>
              <w:ind w:left="2260"/>
              <w:spacing w:after="0"/>
              <w:rPr>
                <w:sz w:val="20"/>
                <w:szCs w:val="20"/>
                <w:color w:val="auto"/>
              </w:rPr>
            </w:pPr>
            <w:r>
              <w:rPr>
                <w:rFonts w:ascii="Arial" w:cs="Arial" w:eastAsia="Arial" w:hAnsi="Arial"/>
                <w:sz w:val="18"/>
                <w:szCs w:val="18"/>
                <w:b w:val="1"/>
                <w:bCs w:val="1"/>
                <w:color w:val="auto"/>
              </w:rPr>
              <w:t>By:</w:t>
            </w:r>
          </w:p>
        </w:tc>
        <w:tc>
          <w:tcPr>
            <w:tcW w:w="4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Lim Ming Pey</w:t>
            </w:r>
          </w:p>
        </w:tc>
      </w:tr>
      <w:tr>
        <w:trPr>
          <w:trHeight w:val="209"/>
        </w:trPr>
        <w:tc>
          <w:tcPr>
            <w:tcW w:w="4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5"/>
              </w:rPr>
              <w:t>Name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Lim Ming Pey</w:t>
            </w:r>
          </w:p>
        </w:tc>
      </w:tr>
      <w:tr>
        <w:trPr>
          <w:trHeight w:val="230"/>
        </w:trPr>
        <w:tc>
          <w:tcPr>
            <w:tcW w:w="4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32"/>
        </w:trPr>
        <w:tc>
          <w:tcPr>
            <w:tcW w:w="4120" w:type="dxa"/>
            <w:vAlign w:val="bottom"/>
          </w:tcPr>
          <w:p>
            <w:pPr>
              <w:spacing w:after="0"/>
              <w:rPr>
                <w:sz w:val="20"/>
                <w:szCs w:val="20"/>
                <w:color w:val="auto"/>
              </w:rPr>
            </w:pPr>
            <w:r>
              <w:rPr>
                <w:rFonts w:ascii="Arial" w:cs="Arial" w:eastAsia="Arial" w:hAnsi="Arial"/>
                <w:sz w:val="18"/>
                <w:szCs w:val="18"/>
                <w:color w:val="auto"/>
              </w:rPr>
              <w:t>Dated: February 14, 2022</w:t>
            </w:r>
          </w:p>
        </w:tc>
        <w:tc>
          <w:tcPr>
            <w:tcW w:w="6900" w:type="dxa"/>
            <w:vAlign w:val="bottom"/>
            <w:gridSpan w:val="4"/>
          </w:tcPr>
          <w:p>
            <w:pPr>
              <w:ind w:left="2260"/>
              <w:spacing w:after="0"/>
              <w:rPr>
                <w:sz w:val="20"/>
                <w:szCs w:val="20"/>
                <w:color w:val="auto"/>
              </w:rPr>
            </w:pPr>
            <w:r>
              <w:rPr>
                <w:rFonts w:ascii="Arial" w:cs="Arial" w:eastAsia="Arial" w:hAnsi="Arial"/>
                <w:sz w:val="18"/>
                <w:szCs w:val="18"/>
                <w:b w:val="1"/>
                <w:bCs w:val="1"/>
                <w:color w:val="auto"/>
              </w:rPr>
              <w:t>OSSA INVESTMENTS PTE. LTD.</w:t>
            </w:r>
          </w:p>
        </w:tc>
      </w:tr>
      <w:tr>
        <w:trPr>
          <w:trHeight w:val="432"/>
        </w:trPr>
        <w:tc>
          <w:tcPr>
            <w:tcW w:w="4120" w:type="dxa"/>
            <w:vAlign w:val="bottom"/>
          </w:tcPr>
          <w:p>
            <w:pPr>
              <w:spacing w:after="0"/>
              <w:rPr>
                <w:sz w:val="24"/>
                <w:szCs w:val="24"/>
                <w:color w:val="auto"/>
              </w:rPr>
            </w:pPr>
          </w:p>
        </w:tc>
        <w:tc>
          <w:tcPr>
            <w:tcW w:w="2740" w:type="dxa"/>
            <w:vAlign w:val="bottom"/>
          </w:tcPr>
          <w:p>
            <w:pPr>
              <w:ind w:left="2260"/>
              <w:spacing w:after="0"/>
              <w:rPr>
                <w:sz w:val="20"/>
                <w:szCs w:val="20"/>
                <w:color w:val="auto"/>
              </w:rPr>
            </w:pPr>
            <w:r>
              <w:rPr>
                <w:rFonts w:ascii="Arial" w:cs="Arial" w:eastAsia="Arial" w:hAnsi="Arial"/>
                <w:sz w:val="18"/>
                <w:szCs w:val="18"/>
                <w:b w:val="1"/>
                <w:bCs w:val="1"/>
                <w:color w:val="auto"/>
              </w:rPr>
              <w:t>By:</w:t>
            </w:r>
          </w:p>
        </w:tc>
        <w:tc>
          <w:tcPr>
            <w:tcW w:w="4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Lim Ming Pey</w:t>
            </w:r>
          </w:p>
        </w:tc>
      </w:tr>
      <w:tr>
        <w:trPr>
          <w:trHeight w:val="209"/>
        </w:trPr>
        <w:tc>
          <w:tcPr>
            <w:tcW w:w="4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5"/>
              </w:rPr>
              <w:t>Name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Lim Ming Pey</w:t>
            </w:r>
          </w:p>
        </w:tc>
      </w:tr>
      <w:tr>
        <w:trPr>
          <w:trHeight w:val="230"/>
        </w:trPr>
        <w:tc>
          <w:tcPr>
            <w:tcW w:w="4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Director</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bullet"/>
      <w:start w:val="1"/>
    </w:lvl>
  </w:abstractNum>
  <w:abstractNum w:abstractNumId="3">
    <w:nsid w:val="721DA317"/>
    <w:multiLevelType w:val="hybridMultilevel"/>
    <w:lvl w:ilvl="0">
      <w:lvlJc w:val="left"/>
      <w:lvlText w:val="2"/>
      <w:numFmt w:val="bullet"/>
      <w:start w:val="1"/>
    </w:lvl>
  </w:abstractNum>
  <w:abstractNum w:abstractNumId="4">
    <w:nsid w:val="2443A858"/>
    <w:multiLevelType w:val="hybridMultilevel"/>
    <w:lvl w:ilvl="0">
      <w:lvlJc w:val="left"/>
      <w:lvlText w:val="3"/>
      <w:numFmt w:val="bullet"/>
      <w:start w:val="1"/>
    </w:lvl>
  </w:abstractNum>
  <w:abstractNum w:abstractNumId="5">
    <w:nsid w:val="2D1D5AE9"/>
    <w:multiLevelType w:val="hybridMultilevel"/>
    <w:lvl w:ilvl="0">
      <w:lvlJc w:val="left"/>
      <w:lvlText w:val="4"/>
      <w:numFmt w:val="bullet"/>
      <w:start w:val="1"/>
    </w:lvl>
  </w:abstractNum>
  <w:abstractNum w:abstractNumId="6">
    <w:nsid w:val="6763845E"/>
    <w:multiLevelType w:val="hybridMultilevel"/>
    <w:lvl w:ilvl="0">
      <w:lvlJc w:val="left"/>
      <w:lvlText w:val="5"/>
      <w:numFmt w:val="bullet"/>
      <w:start w:val="1"/>
    </w:lvl>
  </w:abstractNum>
  <w:abstractNum w:abstractNumId="7">
    <w:nsid w:val="75A2A8D4"/>
    <w:multiLevelType w:val="hybridMultilevel"/>
    <w:lvl w:ilvl="0">
      <w:lvlJc w:val="left"/>
      <w:lvlText w:val="9"/>
      <w:numFmt w:val="bullet"/>
      <w:start w:val="1"/>
    </w:lvl>
  </w:abstractNum>
  <w:abstractNum w:abstractNumId="8">
    <w:nsid w:val="8EDBDAB"/>
    <w:multiLevelType w:val="hybridMultilevel"/>
    <w:lvl w:ilvl="0">
      <w:lvlJc w:val="left"/>
      <w:lvlText w:val="%1"/>
      <w:numFmt w:val="decimal"/>
      <w:start w:val="10"/>
    </w:lvl>
  </w:abstractNum>
  <w:abstractNum w:abstractNumId="9">
    <w:nsid w:val="79838CB2"/>
    <w:multiLevelType w:val="hybridMultilevel"/>
    <w:lvl w:ilvl="0">
      <w:lvlJc w:val="left"/>
      <w:lvlText w:val="%1"/>
      <w:numFmt w:val="decimal"/>
      <w:start w:val="12"/>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bullet"/>
      <w:start w:val="1"/>
    </w:lvl>
  </w:abstractNum>
  <w:abstractNum w:abstractNumId="12">
    <w:nsid w:val="189A769B"/>
    <w:multiLevelType w:val="hybridMultilevel"/>
    <w:lvl w:ilvl="0">
      <w:lvlJc w:val="left"/>
      <w:lvlText w:val="2"/>
      <w:numFmt w:val="bullet"/>
      <w:start w:val="1"/>
    </w:lvl>
  </w:abstractNum>
  <w:abstractNum w:abstractNumId="13">
    <w:nsid w:val="54E49EB4"/>
    <w:multiLevelType w:val="hybridMultilevel"/>
    <w:lvl w:ilvl="0">
      <w:lvlJc w:val="left"/>
      <w:lvlText w:val="3"/>
      <w:numFmt w:val="bullet"/>
      <w:start w:val="1"/>
    </w:lvl>
  </w:abstractNum>
  <w:abstractNum w:abstractNumId="14">
    <w:nsid w:val="71F32454"/>
    <w:multiLevelType w:val="hybridMultilevel"/>
    <w:lvl w:ilvl="0">
      <w:lvlJc w:val="left"/>
      <w:lvlText w:val="4"/>
      <w:numFmt w:val="bullet"/>
      <w:start w:val="1"/>
    </w:lvl>
  </w:abstractNum>
  <w:abstractNum w:abstractNumId="15">
    <w:nsid w:val="2CA88611"/>
    <w:multiLevelType w:val="hybridMultilevel"/>
    <w:lvl w:ilvl="0">
      <w:lvlJc w:val="left"/>
      <w:lvlText w:val="5"/>
      <w:numFmt w:val="bullet"/>
      <w:start w:val="1"/>
    </w:lvl>
  </w:abstractNum>
  <w:abstractNum w:abstractNumId="16">
    <w:nsid w:val="836C40E"/>
    <w:multiLevelType w:val="hybridMultilevel"/>
    <w:lvl w:ilvl="0">
      <w:lvlJc w:val="left"/>
      <w:lvlText w:val="9"/>
      <w:numFmt w:val="bullet"/>
      <w:start w:val="1"/>
    </w:lvl>
  </w:abstractNum>
  <w:abstractNum w:abstractNumId="17">
    <w:nsid w:val="2901D82"/>
    <w:multiLevelType w:val="hybridMultilevel"/>
    <w:lvl w:ilvl="0">
      <w:lvlJc w:val="left"/>
      <w:lvlText w:val="%1"/>
      <w:numFmt w:val="decimal"/>
      <w:start w:val="10"/>
    </w:lvl>
  </w:abstractNum>
  <w:abstractNum w:abstractNumId="18">
    <w:nsid w:val="3A95F874"/>
    <w:multiLevelType w:val="hybridMultilevel"/>
    <w:lvl w:ilvl="0">
      <w:lvlJc w:val="left"/>
      <w:lvlText w:val="%1"/>
      <w:numFmt w:val="decimal"/>
      <w:start w:val="12"/>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bullet"/>
      <w:start w:val="1"/>
    </w:lvl>
  </w:abstractNum>
  <w:abstractNum w:abstractNumId="21">
    <w:nsid w:val="7C3DBD3D"/>
    <w:multiLevelType w:val="hybridMultilevel"/>
    <w:lvl w:ilvl="0">
      <w:lvlJc w:val="left"/>
      <w:lvlText w:val="2"/>
      <w:numFmt w:val="bullet"/>
      <w:start w:val="1"/>
    </w:lvl>
  </w:abstractNum>
  <w:abstractNum w:abstractNumId="22">
    <w:nsid w:val="737B8DDC"/>
    <w:multiLevelType w:val="hybridMultilevel"/>
    <w:lvl w:ilvl="0">
      <w:lvlJc w:val="left"/>
      <w:lvlText w:val="3"/>
      <w:numFmt w:val="bullet"/>
      <w:start w:val="1"/>
    </w:lvl>
  </w:abstractNum>
  <w:abstractNum w:abstractNumId="23">
    <w:nsid w:val="6CEAF087"/>
    <w:multiLevelType w:val="hybridMultilevel"/>
    <w:lvl w:ilvl="0">
      <w:lvlJc w:val="left"/>
      <w:lvlText w:val="4"/>
      <w:numFmt w:val="bullet"/>
      <w:start w:val="1"/>
    </w:lvl>
  </w:abstractNum>
  <w:abstractNum w:abstractNumId="24">
    <w:nsid w:val="22221A70"/>
    <w:multiLevelType w:val="hybridMultilevel"/>
    <w:lvl w:ilvl="0">
      <w:lvlJc w:val="left"/>
      <w:lvlText w:val="5"/>
      <w:numFmt w:val="bullet"/>
      <w:start w:val="1"/>
    </w:lvl>
  </w:abstractNum>
  <w:abstractNum w:abstractNumId="25">
    <w:nsid w:val="4516DDE9"/>
    <w:multiLevelType w:val="hybridMultilevel"/>
    <w:lvl w:ilvl="0">
      <w:lvlJc w:val="left"/>
      <w:lvlText w:val="9"/>
      <w:numFmt w:val="bullet"/>
      <w:start w:val="1"/>
    </w:lvl>
  </w:abstractNum>
  <w:abstractNum w:abstractNumId="26">
    <w:nsid w:val="3006C83E"/>
    <w:multiLevelType w:val="hybridMultilevel"/>
    <w:lvl w:ilvl="0">
      <w:lvlJc w:val="left"/>
      <w:lvlText w:val="%1"/>
      <w:numFmt w:val="decimal"/>
      <w:start w:val="10"/>
    </w:lvl>
  </w:abstractNum>
  <w:abstractNum w:abstractNumId="27">
    <w:nsid w:val="614FD4A1"/>
    <w:multiLevelType w:val="hybridMultilevel"/>
    <w:lvl w:ilvl="0">
      <w:lvlJc w:val="left"/>
      <w:lvlText w:val="%1"/>
      <w:numFmt w:val="decimal"/>
      <w:start w:val="12"/>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bullet"/>
      <w:start w:val="1"/>
    </w:lvl>
  </w:abstractNum>
  <w:abstractNum w:abstractNumId="30">
    <w:nsid w:val="440BADFC"/>
    <w:multiLevelType w:val="hybridMultilevel"/>
    <w:lvl w:ilvl="0">
      <w:lvlJc w:val="left"/>
      <w:lvlText w:val="2"/>
      <w:numFmt w:val="bullet"/>
      <w:start w:val="1"/>
    </w:lvl>
  </w:abstractNum>
  <w:abstractNum w:abstractNumId="31">
    <w:nsid w:val="5072367"/>
    <w:multiLevelType w:val="hybridMultilevel"/>
    <w:lvl w:ilvl="0">
      <w:lvlJc w:val="left"/>
      <w:lvlText w:val="3"/>
      <w:numFmt w:val="bullet"/>
      <w:start w:val="1"/>
    </w:lvl>
  </w:abstractNum>
  <w:abstractNum w:abstractNumId="32">
    <w:nsid w:val="3804823E"/>
    <w:multiLevelType w:val="hybridMultilevel"/>
    <w:lvl w:ilvl="0">
      <w:lvlJc w:val="left"/>
      <w:lvlText w:val="4"/>
      <w:numFmt w:val="bullet"/>
      <w:start w:val="1"/>
    </w:lvl>
  </w:abstractNum>
  <w:abstractNum w:abstractNumId="33">
    <w:nsid w:val="77465F01"/>
    <w:multiLevelType w:val="hybridMultilevel"/>
    <w:lvl w:ilvl="0">
      <w:lvlJc w:val="left"/>
      <w:lvlText w:val="5"/>
      <w:numFmt w:val="bullet"/>
      <w:start w:val="1"/>
    </w:lvl>
  </w:abstractNum>
  <w:abstractNum w:abstractNumId="34">
    <w:nsid w:val="7724C67E"/>
    <w:multiLevelType w:val="hybridMultilevel"/>
    <w:lvl w:ilvl="0">
      <w:lvlJc w:val="left"/>
      <w:lvlText w:val="9"/>
      <w:numFmt w:val="bullet"/>
      <w:start w:val="1"/>
    </w:lvl>
  </w:abstractNum>
  <w:abstractNum w:abstractNumId="35">
    <w:nsid w:val="5C482A97"/>
    <w:multiLevelType w:val="hybridMultilevel"/>
    <w:lvl w:ilvl="0">
      <w:lvlJc w:val="left"/>
      <w:lvlText w:val="%1"/>
      <w:numFmt w:val="decimal"/>
      <w:start w:val="10"/>
    </w:lvl>
  </w:abstractNum>
  <w:abstractNum w:abstractNumId="36">
    <w:nsid w:val="2463B9EA"/>
    <w:multiLevelType w:val="hybridMultilevel"/>
    <w:lvl w:ilvl="0">
      <w:lvlJc w:val="left"/>
      <w:lvlText w:val="%1"/>
      <w:numFmt w:val="decimal"/>
      <w:start w:val="12"/>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lowerRoman"/>
      <w:start w:val="1"/>
    </w:lvl>
  </w:abstractNum>
  <w:abstractNum w:abstractNumId="39">
    <w:nsid w:val="2D51779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2022-02-14T05:40:28Z</dcterms:created>
  <dcterms:modified xsi:type="dcterms:W3CDTF">2022-02-14T05:40:28Z</dcterms:modified>
</cp:coreProperties>
</file>