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34"/>
        </w:rPr>
      </w:pPr>
      <w:r>
        <w:rPr>
          <w:rFonts w:ascii="Arial;sans-serif" w:hAnsi="Arial;sans-serif"/>
          <w:b/>
          <w:color w:val="000000"/>
          <w:sz w:val="34"/>
        </w:rPr>
        <w:t>UNITED STATES</w:t>
      </w:r>
    </w:p>
    <w:p>
      <w:pPr>
        <w:pStyle w:val="TextBody"/>
        <w:bidi w:val="0"/>
        <w:spacing w:lineRule="auto" w:line="288" w:before="0" w:after="0"/>
        <w:jc w:val="center"/>
        <w:rPr>
          <w:rFonts w:ascii="Arial;sans-serif" w:hAnsi="Arial;sans-serif"/>
          <w:b/>
          <w:color w:val="000000"/>
          <w:sz w:val="34"/>
        </w:rPr>
      </w:pPr>
      <w:r>
        <w:rPr>
          <w:rFonts w:ascii="Arial;sans-serif" w:hAnsi="Arial;sans-serif"/>
          <w:b/>
          <w:color w:val="000000"/>
          <w:sz w:val="34"/>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4"/>
        </w:rPr>
      </w:pPr>
      <w:r>
        <w:rPr>
          <w:rFonts w:ascii="Arial;sans-serif" w:hAnsi="Arial;sans-serif"/>
          <w:b/>
          <w:color w:val="000000"/>
          <w:sz w:val="34"/>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quarterly period ended September 30, 2026</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transition period from ______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Commission File Number: 001-40430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46"/>
        </w:rPr>
      </w:pPr>
      <w:r>
        <w:rPr>
          <w:rFonts w:ascii="Arial;sans-serif" w:hAnsi="Arial;sans-serif"/>
          <w:b/>
          <w:color w:val="000000"/>
          <w:sz w:val="46"/>
        </w:rPr>
        <w:t>FLYWIRE CORPORATION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798" w:type="dxa"/>
        <w:jc w:val="left"/>
        <w:tblInd w:w="0" w:type="dxa"/>
        <w:tblLayout w:type="fixed"/>
        <w:tblCellMar>
          <w:top w:w="28" w:type="dxa"/>
          <w:left w:w="28" w:type="dxa"/>
          <w:bottom w:w="28" w:type="dxa"/>
          <w:right w:w="28" w:type="dxa"/>
        </w:tblCellMar>
      </w:tblPr>
      <w:tblGrid>
        <w:gridCol w:w="1166"/>
        <w:gridCol w:w="1022"/>
        <w:gridCol w:w="1036"/>
        <w:gridCol w:w="460"/>
        <w:gridCol w:w="460"/>
        <w:gridCol w:w="654"/>
      </w:tblGrid>
      <w:tr>
        <w:tc>
          <w:tcPr>
            <w:tcW w:w="116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c>
          <w:tcPr>
            <w:tcW w:w="322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8"/>
              </w:rPr>
            </w:pPr>
            <w:r>
              <w:rPr>
                <w:rFonts w:ascii="Arial;sans-serif" w:hAnsi="Arial;sans-serif"/>
                <w:b/>
                <w:color w:val="000000"/>
                <w:sz w:val="18"/>
              </w:rPr>
              <w:t>Delaware</w:t>
            </w:r>
          </w:p>
        </w:tc>
        <w:tc>
          <w:tcPr>
            <w:tcW w:w="157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8"/>
              </w:rPr>
            </w:pPr>
            <w:r>
              <w:rPr>
                <w:rFonts w:ascii="Arial;sans-serif" w:hAnsi="Arial;sans-serif"/>
                <w:b/>
                <w:color w:val="000000"/>
                <w:sz w:val="18"/>
              </w:rPr>
              <w:t>27-0690799</w:t>
            </w:r>
          </w:p>
        </w:tc>
      </w:tr>
      <w:tr>
        <w:tc>
          <w:tcPr>
            <w:tcW w:w="32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76" w:before="0" w:after="20"/>
              <w:jc w:val="center"/>
              <w:rPr>
                <w:rFonts w:ascii="Arial;sans-serif" w:hAnsi="Arial;sans-serif"/>
                <w:b/>
                <w:color w:val="000000"/>
                <w:sz w:val="16"/>
              </w:rPr>
            </w:pPr>
            <w:r>
              <w:rPr>
                <w:rFonts w:ascii="Arial;sans-serif" w:hAnsi="Arial;sans-serif"/>
                <w:b/>
                <w:color w:val="000000"/>
                <w:sz w:val="16"/>
              </w:rPr>
              <w:t>incorporation or organization)</w:t>
            </w:r>
          </w:p>
        </w:tc>
        <w:tc>
          <w:tcPr>
            <w:tcW w:w="15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76" w:before="0" w:after="20"/>
              <w:jc w:val="center"/>
              <w:rPr>
                <w:rFonts w:ascii="Arial;sans-serif" w:hAnsi="Arial;sans-serif"/>
                <w:b/>
                <w:color w:val="000000"/>
                <w:sz w:val="16"/>
              </w:rPr>
            </w:pPr>
            <w:r>
              <w:rPr>
                <w:rFonts w:ascii="Arial;sans-serif" w:hAnsi="Arial;sans-serif"/>
                <w:b/>
                <w:color w:val="000000"/>
                <w:sz w:val="16"/>
              </w:rPr>
              <w:t>Identification No.)</w:t>
            </w:r>
          </w:p>
        </w:tc>
      </w:tr>
      <w:t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4" w:type="dxa"/>
            <w:gridSpan w:val="3"/>
            <w:tcBorders/>
            <w:tcMar>
              <w:top w:w="0" w:type="dxa"/>
              <w:left w:w="0" w:type="dxa"/>
              <w:bottom w:w="0" w:type="dxa"/>
              <w:right w:w="0" w:type="dxa"/>
            </w:tcMar>
            <w:vAlign w:val="center"/>
          </w:tcPr>
          <w:p>
            <w:pPr>
              <w:pStyle w:val="TableContents"/>
              <w:bidi w:val="0"/>
              <w:spacing w:lineRule="auto" w:line="276" w:before="0" w:after="20"/>
              <w:jc w:val="center"/>
              <w:rPr>
                <w:rFonts w:ascii="Arial;sans-serif" w:hAnsi="Arial;sans-serif"/>
                <w:b/>
                <w:color w:val="000000"/>
                <w:sz w:val="18"/>
              </w:rPr>
            </w:pPr>
            <w:r>
              <w:rPr>
                <w:rFonts w:ascii="Arial;sans-serif" w:hAnsi="Arial;sans-serif"/>
                <w:b/>
                <w:color w:val="000000"/>
                <w:sz w:val="18"/>
              </w:rPr>
              <w:t>141 Tremont St #10</w:t>
            </w:r>
          </w:p>
          <w:p>
            <w:pPr>
              <w:pStyle w:val="TableContents"/>
              <w:bidi w:val="0"/>
              <w:spacing w:lineRule="auto" w:line="276" w:before="0" w:after="20"/>
              <w:jc w:val="center"/>
              <w:rPr>
                <w:rFonts w:ascii="Arial;sans-serif" w:hAnsi="Arial;sans-serif"/>
                <w:b/>
                <w:color w:val="000000"/>
                <w:sz w:val="18"/>
              </w:rPr>
            </w:pPr>
            <w:r>
              <w:rPr>
                <w:rFonts w:ascii="Arial;sans-serif" w:hAnsi="Arial;sans-serif"/>
                <w:b/>
                <w:color w:val="000000"/>
                <w:sz w:val="18"/>
              </w:rPr>
              <w:t>Boston, MA</w:t>
            </w:r>
          </w:p>
        </w:tc>
        <w:tc>
          <w:tcPr>
            <w:tcW w:w="157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8"/>
              </w:rPr>
            </w:pPr>
            <w:r>
              <w:rPr>
                <w:rFonts w:ascii="Arial;sans-serif" w:hAnsi="Arial;sans-serif"/>
                <w:b/>
                <w:color w:val="000000"/>
                <w:sz w:val="18"/>
              </w:rPr>
              <w:t>02111</w:t>
            </w:r>
          </w:p>
        </w:tc>
      </w:tr>
      <w:tr>
        <w:tc>
          <w:tcPr>
            <w:tcW w:w="32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0" w:after="80"/>
        <w:jc w:val="center"/>
        <w:rPr>
          <w:rFonts w:ascii="Arial;sans-serif" w:hAnsi="Arial;sans-serif"/>
          <w:b/>
          <w:color w:val="000000"/>
          <w:sz w:val="18"/>
        </w:rPr>
      </w:pPr>
      <w:r>
        <w:rPr>
          <w:rFonts w:ascii="Arial;sans-serif" w:hAnsi="Arial;sans-serif"/>
          <w:b/>
          <w:color w:val="000000"/>
          <w:sz w:val="18"/>
        </w:rPr>
        <w:t>Registrant’s telephone number, including area code: (617) 329-4524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8768" w:type="dxa"/>
        <w:jc w:val="left"/>
        <w:tblInd w:w="0" w:type="dxa"/>
        <w:tblLayout w:type="fixed"/>
        <w:tblCellMar>
          <w:top w:w="28" w:type="dxa"/>
          <w:left w:w="28" w:type="dxa"/>
          <w:bottom w:w="28" w:type="dxa"/>
          <w:right w:w="28" w:type="dxa"/>
        </w:tblCellMar>
      </w:tblPr>
      <w:tblGrid>
        <w:gridCol w:w="1610"/>
        <w:gridCol w:w="1414"/>
        <w:gridCol w:w="1431"/>
        <w:gridCol w:w="109"/>
        <w:gridCol w:w="109"/>
        <w:gridCol w:w="109"/>
        <w:gridCol w:w="304"/>
        <w:gridCol w:w="304"/>
        <w:gridCol w:w="306"/>
        <w:gridCol w:w="109"/>
        <w:gridCol w:w="109"/>
        <w:gridCol w:w="109"/>
        <w:gridCol w:w="804"/>
        <w:gridCol w:w="804"/>
        <w:gridCol w:w="1137"/>
      </w:tblGrid>
      <w:tr>
        <w:tc>
          <w:tcPr>
            <w:tcW w:w="1610"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Name of each exchange</w:t>
            </w:r>
          </w:p>
          <w:p>
            <w:pPr>
              <w:pStyle w:val="TableContents"/>
              <w:bidi w:val="0"/>
              <w:spacing w:lineRule="auto" w:line="276" w:before="0" w:after="160"/>
              <w:jc w:val="center"/>
              <w:rPr>
                <w:rFonts w:ascii="Arial;sans-serif" w:hAnsi="Arial;sans-serif"/>
                <w:b/>
                <w:color w:val="000000"/>
                <w:sz w:val="16"/>
              </w:rPr>
            </w:pPr>
            <w:r>
              <w:rPr>
                <w:rFonts w:ascii="Arial;sans-serif" w:hAnsi="Arial;sans-serif"/>
                <w:b/>
                <w:color w:val="000000"/>
                <w:sz w:val="16"/>
              </w:rPr>
              <w:t>on which registered</w:t>
            </w:r>
          </w:p>
        </w:tc>
      </w:tr>
      <w:tr>
        <w:tc>
          <w:tcPr>
            <w:tcW w:w="4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8"/>
              </w:rPr>
            </w:pPr>
            <w:r>
              <w:rPr>
                <w:rFonts w:ascii="Arial;sans-serif" w:hAnsi="Arial;sans-serif"/>
                <w:b/>
                <w:color w:val="000000"/>
                <w:sz w:val="18"/>
              </w:rPr>
              <w:t>Voting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8"/>
              </w:rPr>
            </w:pPr>
            <w:r>
              <w:rPr>
                <w:rFonts w:ascii="Arial;sans-serif" w:hAnsi="Arial;sans-serif"/>
                <w:b/>
                <w:color w:val="000000"/>
                <w:sz w:val="18"/>
              </w:rPr>
              <w:t>FLYW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The Nasdaq Stock Market LLC</w:t>
            </w:r>
          </w:p>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(Nasdaq Global Select Market)</w:t>
            </w:r>
          </w:p>
        </w:tc>
      </w:tr>
    </w:tbl>
    <w:p>
      <w:pPr>
        <w:pStyle w:val="TextBody"/>
        <w:bidi w:val="0"/>
        <w:spacing w:lineRule="auto" w:line="288" w:before="0" w:after="100"/>
        <w:jc w:val="left"/>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0" w:after="100"/>
        <w:jc w:val="left"/>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958"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769"/>
        <w:gridCol w:w="769"/>
        <w:gridCol w:w="772"/>
        <w:gridCol w:w="109"/>
        <w:gridCol w:w="109"/>
        <w:gridCol w:w="154"/>
      </w:tblGrid>
      <w:t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c>
          <w:tcPr>
            <w:tcW w:w="19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100"/>
        <w:jc w:val="left"/>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100"/>
        <w:jc w:val="left"/>
      </w:pPr>
      <w:r>
        <w:rPr>
          <w:rFonts w:ascii="Arial;sans-serif" w:hAnsi="Arial;sans-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w:t>
      </w:r>
      <w:r>
        <w:rPr>
          <w:rFonts w:ascii="Arial;sans-serif" w:hAnsi="Arial;sans-serif"/>
          <w:b w:val="false"/>
          <w:color w:val="000000"/>
          <w:sz w:val="18"/>
        </w:rPr>
        <w:t>No  </w:t>
      </w:r>
      <w:r>
        <w:rPr>
          <w:rFonts w:ascii="Wingdings;sans-serif" w:hAnsi="Wingdings;sans-serif"/>
          <w:b w:val="false"/>
          <w:color w:val="000000"/>
          <w:sz w:val="18"/>
        </w:rPr>
        <w:t>x</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As of October 30, 2026, the registrant had 122,542,824 shares of voting common stock, $0.0001 par value per share, outstanding and no shares of non-voting common stock $0.0001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160"/>
        <w:ind w:left="0" w:right="0" w:firstLine="490"/>
        <w:jc w:val="center"/>
        <w:rPr>
          <w:rFonts w:ascii="Arial;sans-serif" w:hAnsi="Arial;sans-serif"/>
          <w:b/>
          <w:color w:val="000000"/>
          <w:sz w:val="20"/>
        </w:rPr>
      </w:pPr>
      <w:r>
        <w:rPr>
          <w:rFonts w:ascii="Arial;sans-serif" w:hAnsi="Arial;sans-serif"/>
          <w:b/>
          <w:color w:val="000000"/>
          <w:sz w:val="20"/>
        </w:rPr>
        <w:t>Table of Contents</w:t>
      </w:r>
    </w:p>
    <w:tbl>
      <w:tblPr>
        <w:tblW w:w="9151" w:type="dxa"/>
        <w:jc w:val="center"/>
        <w:tblInd w:w="0" w:type="dxa"/>
        <w:tblLayout w:type="fixed"/>
        <w:tblCellMar>
          <w:top w:w="28" w:type="dxa"/>
          <w:left w:w="28" w:type="dxa"/>
          <w:bottom w:w="28" w:type="dxa"/>
          <w:right w:w="28" w:type="dxa"/>
        </w:tblCellMar>
      </w:tblPr>
      <w:tblGrid>
        <w:gridCol w:w="3090"/>
        <w:gridCol w:w="2717"/>
        <w:gridCol w:w="2728"/>
        <w:gridCol w:w="180"/>
        <w:gridCol w:w="180"/>
        <w:gridCol w:w="256"/>
      </w:tblGrid>
      <w:tr>
        <w:tc>
          <w:tcPr>
            <w:tcW w:w="3090"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c>
          <w:tcPr>
            <w:tcW w:w="8535" w:type="dxa"/>
            <w:gridSpan w:val="3"/>
            <w:tcBorders/>
            <w:tcMar>
              <w:top w:w="0" w:type="dxa"/>
              <w:left w:w="0" w:type="dxa"/>
              <w:bottom w:w="0" w:type="dxa"/>
              <w:right w:w="0" w:type="dxa"/>
            </w:tcMar>
            <w:vAlign w:val="center"/>
          </w:tcPr>
          <w:p>
            <w:pPr>
              <w:pStyle w:val="TableContents"/>
              <w:bidi w:val="0"/>
              <w:spacing w:before="0" w:after="0"/>
              <w:jc w:val="center"/>
            </w:p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Page</w:t>
            </w:r>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e9d3df66913142fcbe3eb44fde48797e">
              <w:r>
                <w:rPr>
                  <w:rStyle w:val="InternetLink"/>
                  <w:rFonts w:ascii="Arial;sans-serif" w:hAnsi="Arial;sans-serif"/>
                  <w:b w:val="false"/>
                  <w:color w:val="0000FF"/>
                  <w:sz w:val="20"/>
                  <w:u w:val="single"/>
                </w:rPr>
                <w:t>Special Note Regarding Forward-looking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e9d3df66913142fcbe3eb44fde48797e">
              <w:r>
                <w:rPr>
                  <w:rStyle w:val="InternetLink"/>
                  <w:rFonts w:ascii="Arial;sans-serif" w:hAnsi="Arial;sans-serif"/>
                  <w:b w:val="false"/>
                  <w:color w:val="0000FF"/>
                  <w:sz w:val="20"/>
                  <w:u w:val="single"/>
                </w:rPr>
                <w:t>1</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e2f81b66e0146dba4ba44a8a93c31eb">
              <w:r>
                <w:rPr>
                  <w:rStyle w:val="InternetLink"/>
                  <w:rFonts w:ascii="Arial;sans-serif" w:hAnsi="Arial;sans-serif"/>
                  <w:b w:val="false"/>
                  <w:color w:val="0000FF"/>
                  <w:sz w:val="20"/>
                  <w:u w:val="single"/>
                </w:rPr>
                <w:t>PART I—FINANCIAL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ae2f81b66e0146dba4ba44a8a93c31eb">
              <w:r>
                <w:rPr>
                  <w:rStyle w:val="InternetLink"/>
                  <w:rFonts w:ascii="Arial;sans-serif" w:hAnsi="Arial;sans-serif"/>
                  <w:b w:val="false"/>
                  <w:color w:val="0000FF"/>
                  <w:sz w:val="20"/>
                  <w:u w:val="single"/>
                </w:rPr>
                <w:t>3</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c8c9e287dd8433c8ef54b26df8226b2">
              <w:r>
                <w:rPr>
                  <w:rStyle w:val="InternetLink"/>
                  <w:rFonts w:ascii="Arial;sans-serif" w:hAnsi="Arial;sans-serif"/>
                  <w:b w:val="false"/>
                  <w:color w:val="0000FF"/>
                  <w:sz w:val="20"/>
                  <w:u w:val="single"/>
                </w:rPr>
                <w:t>Item 1. 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fc8c9e287dd8433c8ef54b26df8226b2">
              <w:r>
                <w:rPr>
                  <w:rStyle w:val="InternetLink"/>
                  <w:rFonts w:ascii="Arial;sans-serif" w:hAnsi="Arial;sans-serif"/>
                  <w:b w:val="false"/>
                  <w:color w:val="0000FF"/>
                  <w:sz w:val="20"/>
                  <w:u w:val="single"/>
                </w:rPr>
                <w:t>3</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7d622e7aaa54421c91268b80bd735563">
              <w:r>
                <w:rPr>
                  <w:rStyle w:val="InternetLink"/>
                  <w:rFonts w:ascii="Arial;sans-serif" w:hAnsi="Arial;sans-serif"/>
                  <w:b w:val="false"/>
                  <w:color w:val="0000FF"/>
                  <w:sz w:val="20"/>
                  <w:u w:val="single"/>
                </w:rPr>
                <w:t>Condensed Consolidated Balance Sheets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7d622e7aaa54421c91268b80bd735563">
              <w:r>
                <w:rPr>
                  <w:rStyle w:val="InternetLink"/>
                  <w:rFonts w:ascii="Arial;sans-serif" w:hAnsi="Arial;sans-serif"/>
                  <w:b w:val="false"/>
                  <w:color w:val="0000FF"/>
                  <w:sz w:val="20"/>
                  <w:u w:val="single"/>
                </w:rPr>
                <w:t>3</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04a36ee924704d3584d3ead13e42652d">
              <w:r>
                <w:rPr>
                  <w:rStyle w:val="InternetLink"/>
                  <w:rFonts w:ascii="Arial;sans-serif" w:hAnsi="Arial;sans-serif"/>
                  <w:b w:val="false"/>
                  <w:color w:val="0000FF"/>
                  <w:sz w:val="20"/>
                  <w:u w:val="single"/>
                </w:rPr>
                <w:t>Condensed Consolidated Statements Of Operations And Comprehensive Income</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04a36ee924704d3584d3ead13e42652d">
              <w:r>
                <w:rPr>
                  <w:rStyle w:val="InternetLink"/>
                  <w:rFonts w:ascii="Arial;sans-serif" w:hAnsi="Arial;sans-serif"/>
                  <w:b w:val="false"/>
                  <w:color w:val="0000FF"/>
                  <w:sz w:val="20"/>
                  <w:u w:val="single"/>
                </w:rPr>
                <w:t>4</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158ba0fd32f4627b7a28597a9ab5439">
              <w:r>
                <w:rPr>
                  <w:rStyle w:val="InternetLink"/>
                  <w:rFonts w:ascii="Arial;sans-serif" w:hAnsi="Arial;sans-serif"/>
                  <w:b w:val="false"/>
                  <w:color w:val="0000FF"/>
                  <w:sz w:val="20"/>
                  <w:u w:val="single"/>
                </w:rPr>
                <w:t>Condensed Consolidated Statements Of Stockholders’ Equity</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b158ba0fd32f4627b7a28597a9ab5439">
              <w:r>
                <w:rPr>
                  <w:rStyle w:val="InternetLink"/>
                  <w:rFonts w:ascii="Arial;sans-serif" w:hAnsi="Arial;sans-serif"/>
                  <w:b w:val="false"/>
                  <w:color w:val="0000FF"/>
                  <w:sz w:val="20"/>
                  <w:u w:val="single"/>
                </w:rPr>
                <w:t>5</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4b3b6fb3b3064b37b7887d10eb3458dc">
              <w:r>
                <w:rPr>
                  <w:rStyle w:val="InternetLink"/>
                  <w:rFonts w:ascii="Arial;sans-serif" w:hAnsi="Arial;sans-serif"/>
                  <w:b w:val="false"/>
                  <w:color w:val="0000FF"/>
                  <w:sz w:val="20"/>
                  <w:u w:val="single"/>
                </w:rPr>
                <w:t>Condensed Consolidated Statement Of Cash Flows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4b3b6fb3b3064b37b7887d10eb3458dc">
              <w:r>
                <w:rPr>
                  <w:rStyle w:val="InternetLink"/>
                  <w:rFonts w:ascii="Arial;sans-serif" w:hAnsi="Arial;sans-serif"/>
                  <w:b w:val="false"/>
                  <w:color w:val="0000FF"/>
                  <w:sz w:val="20"/>
                  <w:u w:val="single"/>
                </w:rPr>
                <w:t>7</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79cc67b38ac7461681976232d7942d4c">
              <w:r>
                <w:rPr>
                  <w:rStyle w:val="InternetLink"/>
                  <w:rFonts w:ascii="Arial;sans-serif" w:hAnsi="Arial;sans-serif"/>
                  <w:b w:val="false"/>
                  <w:color w:val="0000FF"/>
                  <w:sz w:val="20"/>
                  <w:u w:val="single"/>
                </w:rPr>
                <w:t>Notes To Condensed Consolidated 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79cc67b38ac7461681976232d7942d4c">
              <w:r>
                <w:rPr>
                  <w:rStyle w:val="InternetLink"/>
                  <w:rFonts w:ascii="Arial;sans-serif" w:hAnsi="Arial;sans-serif"/>
                  <w:b w:val="false"/>
                  <w:color w:val="0000FF"/>
                  <w:sz w:val="20"/>
                  <w:u w:val="single"/>
                </w:rPr>
                <w:t>8</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18a9d278c804fe195dbd093d8702efb">
              <w:r>
                <w:rPr>
                  <w:rStyle w:val="InternetLink"/>
                  <w:rFonts w:ascii="Arial;sans-serif" w:hAnsi="Arial;sans-serif"/>
                  <w:b w:val="false"/>
                  <w:color w:val="0000FF"/>
                  <w:sz w:val="20"/>
                  <w:u w:val="single"/>
                </w:rPr>
                <w:t>Note 1.  Business Overview and Summary of Significant Accounting Policies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f18a9d278c804fe195dbd093d8702efb">
              <w:r>
                <w:rPr>
                  <w:rStyle w:val="InternetLink"/>
                  <w:rFonts w:ascii="Arial;sans-serif" w:hAnsi="Arial;sans-serif"/>
                  <w:b w:val="false"/>
                  <w:color w:val="0000FF"/>
                  <w:sz w:val="20"/>
                  <w:u w:val="single"/>
                </w:rPr>
                <w:t>8</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3e6292af56884cc9a42978fbcbd8dc82">
              <w:r>
                <w:rPr>
                  <w:rStyle w:val="InternetLink"/>
                  <w:rFonts w:ascii="Arial;sans-serif" w:hAnsi="Arial;sans-serif"/>
                  <w:b w:val="false"/>
                  <w:color w:val="0000FF"/>
                  <w:sz w:val="20"/>
                  <w:u w:val="single"/>
                </w:rPr>
                <w:t>Note 2.  Revenue and Recognition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3e6292af56884cc9a42978fbcbd8dc82">
              <w:r>
                <w:rPr>
                  <w:rStyle w:val="InternetLink"/>
                  <w:rFonts w:ascii="Arial;sans-serif" w:hAnsi="Arial;sans-serif"/>
                  <w:b w:val="false"/>
                  <w:color w:val="0000FF"/>
                  <w:sz w:val="20"/>
                  <w:u w:val="single"/>
                </w:rPr>
                <w:t>11</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950e6204a2234e49b57e21a34d343e47">
              <w:r>
                <w:rPr>
                  <w:rStyle w:val="InternetLink"/>
                  <w:rFonts w:ascii="Arial;sans-serif" w:hAnsi="Arial;sans-serif"/>
                  <w:b w:val="false"/>
                  <w:color w:val="0000FF"/>
                  <w:sz w:val="20"/>
                  <w:u w:val="single"/>
                </w:rPr>
                <w:t>Note 3.  Segment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950e6204a2234e49b57e21a34d343e47">
              <w:r>
                <w:rPr>
                  <w:rStyle w:val="InternetLink"/>
                  <w:rFonts w:ascii="Arial;sans-serif" w:hAnsi="Arial;sans-serif"/>
                  <w:b w:val="false"/>
                  <w:color w:val="0000FF"/>
                  <w:sz w:val="20"/>
                  <w:u w:val="single"/>
                </w:rPr>
                <w:t>11</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e72ff8489c674ca1a719df06968d09d7">
              <w:r>
                <w:rPr>
                  <w:rStyle w:val="InternetLink"/>
                  <w:rFonts w:ascii="Arial;sans-serif" w:hAnsi="Arial;sans-serif"/>
                  <w:b w:val="false"/>
                  <w:color w:val="0000FF"/>
                  <w:sz w:val="20"/>
                  <w:u w:val="single"/>
                </w:rPr>
                <w:t>Note 4.  Investments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e72ff8489c674ca1a719df06968d09d7">
              <w:r>
                <w:rPr>
                  <w:rStyle w:val="InternetLink"/>
                  <w:rFonts w:ascii="Arial;sans-serif" w:hAnsi="Arial;sans-serif"/>
                  <w:b w:val="false"/>
                  <w:color w:val="0000FF"/>
                  <w:sz w:val="20"/>
                  <w:u w:val="single"/>
                </w:rPr>
                <w:t>12</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c42dd8a6ba1449f886236b4038de31f0">
              <w:r>
                <w:rPr>
                  <w:rStyle w:val="InternetLink"/>
                  <w:rFonts w:ascii="Arial;sans-serif" w:hAnsi="Arial;sans-serif"/>
                  <w:b w:val="false"/>
                  <w:color w:val="0000FF"/>
                  <w:sz w:val="20"/>
                  <w:u w:val="single"/>
                </w:rPr>
                <w:t>Note 5.  Fair Value Measurements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c42dd8a6ba1449f886236b4038de31f0">
              <w:r>
                <w:rPr>
                  <w:rStyle w:val="InternetLink"/>
                  <w:rFonts w:ascii="Arial;sans-serif" w:hAnsi="Arial;sans-serif"/>
                  <w:b w:val="false"/>
                  <w:color w:val="0000FF"/>
                  <w:sz w:val="20"/>
                  <w:u w:val="single"/>
                </w:rPr>
                <w:t>13</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33afb0ff38e94e058ef068e2de80f7a6">
              <w:r>
                <w:rPr>
                  <w:rStyle w:val="InternetLink"/>
                  <w:rFonts w:ascii="Arial;sans-serif" w:hAnsi="Arial;sans-serif"/>
                  <w:b w:val="false"/>
                  <w:color w:val="0000FF"/>
                  <w:sz w:val="20"/>
                  <w:u w:val="single"/>
                </w:rPr>
                <w:t>Note 6.  Derivative Instruments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33afb0ff38e94e058ef068e2de80f7a6">
              <w:r>
                <w:rPr>
                  <w:rStyle w:val="InternetLink"/>
                  <w:rFonts w:ascii="Arial;sans-serif" w:hAnsi="Arial;sans-serif"/>
                  <w:b w:val="false"/>
                  <w:color w:val="0000FF"/>
                  <w:sz w:val="20"/>
                  <w:u w:val="single"/>
                </w:rPr>
                <w:t>15</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a622067fb374a5093ca7c85cd137f32">
              <w:r>
                <w:rPr>
                  <w:rStyle w:val="InternetLink"/>
                  <w:rFonts w:ascii="Arial;sans-serif" w:hAnsi="Arial;sans-serif"/>
                  <w:b w:val="false"/>
                  <w:color w:val="0000FF"/>
                  <w:sz w:val="20"/>
                  <w:u w:val="single"/>
                </w:rPr>
                <w:t>Note 7.  Accrued Expenses and Other Current Liabilities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ba622067fb374a5093ca7c85cd137f32">
              <w:r>
                <w:rPr>
                  <w:rStyle w:val="InternetLink"/>
                  <w:rFonts w:ascii="Arial;sans-serif" w:hAnsi="Arial;sans-serif"/>
                  <w:b w:val="false"/>
                  <w:color w:val="0000FF"/>
                  <w:sz w:val="20"/>
                  <w:u w:val="single"/>
                </w:rPr>
                <w:t>16</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e7093ba6df254ec9bedd7a553f2b8aee">
              <w:r>
                <w:rPr>
                  <w:rStyle w:val="InternetLink"/>
                  <w:rFonts w:ascii="Arial;sans-serif" w:hAnsi="Arial;sans-serif"/>
                  <w:b w:val="false"/>
                  <w:color w:val="0000FF"/>
                  <w:sz w:val="20"/>
                  <w:u w:val="single"/>
                </w:rPr>
                <w:t>Note 8.  Property and Equipment, net</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e7093ba6df254ec9bedd7a553f2b8aee">
              <w:r>
                <w:rPr>
                  <w:rStyle w:val="InternetLink"/>
                  <w:rFonts w:ascii="Arial;sans-serif" w:hAnsi="Arial;sans-serif"/>
                  <w:b w:val="false"/>
                  <w:color w:val="0000FF"/>
                  <w:sz w:val="20"/>
                  <w:u w:val="single"/>
                </w:rPr>
                <w:t>16</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222334182e94467c999b637e39bcff3f">
              <w:r>
                <w:rPr>
                  <w:rStyle w:val="InternetLink"/>
                  <w:rFonts w:ascii="Arial;sans-serif" w:hAnsi="Arial;sans-serif"/>
                  <w:b w:val="false"/>
                  <w:color w:val="0000FF"/>
                  <w:sz w:val="20"/>
                  <w:u w:val="single"/>
                </w:rPr>
                <w:t>Note 9. Restructuring</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222334182e94467c999b637e39bcff3f">
              <w:r>
                <w:rPr>
                  <w:rStyle w:val="InternetLink"/>
                  <w:rFonts w:ascii="Arial;sans-serif" w:hAnsi="Arial;sans-serif"/>
                  <w:b w:val="false"/>
                  <w:color w:val="0000FF"/>
                  <w:sz w:val="20"/>
                  <w:u w:val="single"/>
                </w:rPr>
                <w:t>16</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6e11149329548189d62faacb34f69dc">
              <w:r>
                <w:rPr>
                  <w:rStyle w:val="InternetLink"/>
                  <w:rFonts w:ascii="Arial;sans-serif" w:hAnsi="Arial;sans-serif"/>
                  <w:b w:val="false"/>
                  <w:color w:val="0000FF"/>
                  <w:sz w:val="20"/>
                  <w:u w:val="single"/>
                </w:rPr>
                <w:t>Note 10. Business Combinations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a6e11149329548189d62faacb34f69dc">
              <w:r>
                <w:rPr>
                  <w:rStyle w:val="InternetLink"/>
                  <w:rFonts w:ascii="Arial;sans-serif" w:hAnsi="Arial;sans-serif"/>
                  <w:b w:val="false"/>
                  <w:color w:val="0000FF"/>
                  <w:sz w:val="20"/>
                  <w:u w:val="single"/>
                </w:rPr>
                <w:t>17</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257a19aa71dd41cf88ccb87b948dc816">
              <w:r>
                <w:rPr>
                  <w:rStyle w:val="InternetLink"/>
                  <w:rFonts w:ascii="Arial;sans-serif" w:hAnsi="Arial;sans-serif"/>
                  <w:b w:val="false"/>
                  <w:color w:val="0000FF"/>
                  <w:sz w:val="20"/>
                  <w:u w:val="single"/>
                </w:rPr>
                <w:t>Note 11.  Goodwill and Acquired Intangible Assets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257a19aa71dd41cf88ccb87b948dc816">
              <w:r>
                <w:rPr>
                  <w:rStyle w:val="InternetLink"/>
                  <w:rFonts w:ascii="Arial;sans-serif" w:hAnsi="Arial;sans-serif"/>
                  <w:b w:val="false"/>
                  <w:color w:val="0000FF"/>
                  <w:sz w:val="20"/>
                  <w:u w:val="single"/>
                </w:rPr>
                <w:t>19</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a715a8a1442a4756b3af5b7120813891">
              <w:r>
                <w:rPr>
                  <w:rStyle w:val="InternetLink"/>
                  <w:rFonts w:ascii="Arial;sans-serif" w:hAnsi="Arial;sans-serif"/>
                  <w:b w:val="false"/>
                  <w:color w:val="0000FF"/>
                  <w:sz w:val="20"/>
                  <w:u w:val="single"/>
                </w:rPr>
                <w:t>Note 12.  Debt</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a715a8a1442a4756b3af5b7120813891">
              <w:r>
                <w:rPr>
                  <w:rStyle w:val="InternetLink"/>
                  <w:rFonts w:ascii="Arial;sans-serif" w:hAnsi="Arial;sans-serif"/>
                  <w:b w:val="false"/>
                  <w:color w:val="0000FF"/>
                  <w:sz w:val="20"/>
                  <w:u w:val="single"/>
                </w:rPr>
                <w:t>20</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6afcb68b499b46d1a859fa1913989c5a">
              <w:r>
                <w:rPr>
                  <w:rStyle w:val="InternetLink"/>
                  <w:rFonts w:ascii="Arial;sans-serif" w:hAnsi="Arial;sans-serif"/>
                  <w:b w:val="false"/>
                  <w:color w:val="0000FF"/>
                  <w:sz w:val="20"/>
                  <w:u w:val="single"/>
                </w:rPr>
                <w:t>Note 13.  Stockholders’ Equity</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6afcb68b499b46d1a859fa1913989c5a">
              <w:r>
                <w:rPr>
                  <w:rStyle w:val="InternetLink"/>
                  <w:rFonts w:ascii="Arial;sans-serif" w:hAnsi="Arial;sans-serif"/>
                  <w:b w:val="false"/>
                  <w:color w:val="0000FF"/>
                  <w:sz w:val="20"/>
                  <w:u w:val="single"/>
                </w:rPr>
                <w:t>21</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b6e4e4a340045f39a75f87f15b99fc9">
              <w:r>
                <w:rPr>
                  <w:rStyle w:val="InternetLink"/>
                  <w:rFonts w:ascii="Arial;sans-serif" w:hAnsi="Arial;sans-serif"/>
                  <w:b w:val="false"/>
                  <w:color w:val="0000FF"/>
                  <w:sz w:val="20"/>
                  <w:u w:val="single"/>
                </w:rPr>
                <w:t>Note 14.  Stock-Based Compensation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fb6e4e4a340045f39a75f87f15b99fc9">
              <w:r>
                <w:rPr>
                  <w:rStyle w:val="InternetLink"/>
                  <w:rFonts w:ascii="Arial;sans-serif" w:hAnsi="Arial;sans-serif"/>
                  <w:b w:val="false"/>
                  <w:color w:val="0000FF"/>
                  <w:sz w:val="20"/>
                  <w:u w:val="single"/>
                </w:rPr>
                <w:t>22</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2b268da8070c419aa4454db958c93c81">
              <w:r>
                <w:rPr>
                  <w:rStyle w:val="InternetLink"/>
                  <w:rFonts w:ascii="Arial;sans-serif" w:hAnsi="Arial;sans-serif"/>
                  <w:b w:val="false"/>
                  <w:color w:val="0000FF"/>
                  <w:sz w:val="20"/>
                  <w:u w:val="single"/>
                </w:rPr>
                <w:t>Note 15.  Net Income per Share</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2b268da8070c419aa4454db958c93c81">
              <w:r>
                <w:rPr>
                  <w:rStyle w:val="InternetLink"/>
                  <w:rFonts w:ascii="Arial;sans-serif" w:hAnsi="Arial;sans-serif"/>
                  <w:b w:val="false"/>
                  <w:color w:val="0000FF"/>
                  <w:sz w:val="20"/>
                  <w:u w:val="single"/>
                </w:rPr>
                <w:t>23</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2b1389f8f285432aa278153de374fb04">
              <w:r>
                <w:rPr>
                  <w:rStyle w:val="InternetLink"/>
                  <w:rFonts w:ascii="Arial;sans-serif" w:hAnsi="Arial;sans-serif"/>
                  <w:b w:val="false"/>
                  <w:color w:val="0000FF"/>
                  <w:sz w:val="20"/>
                  <w:u w:val="single"/>
                </w:rPr>
                <w:t>Note 16.  Income Taxes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2b1389f8f285432aa278153de374fb04">
              <w:r>
                <w:rPr>
                  <w:rStyle w:val="InternetLink"/>
                  <w:rFonts w:ascii="Arial;sans-serif" w:hAnsi="Arial;sans-serif"/>
                  <w:b w:val="false"/>
                  <w:color w:val="0000FF"/>
                  <w:sz w:val="20"/>
                  <w:u w:val="single"/>
                </w:rPr>
                <w:t>24</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cc8a4524d5b14c3a98ebc9baf74a963d">
              <w:r>
                <w:rPr>
                  <w:rStyle w:val="InternetLink"/>
                  <w:rFonts w:ascii="Arial;sans-serif" w:hAnsi="Arial;sans-serif"/>
                  <w:b w:val="false"/>
                  <w:color w:val="0000FF"/>
                  <w:sz w:val="20"/>
                  <w:u w:val="single"/>
                </w:rPr>
                <w:t>Note 17.  Commitments and Contingencies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cc8a4524d5b14c3a98ebc9baf74a963d">
              <w:r>
                <w:rPr>
                  <w:rStyle w:val="InternetLink"/>
                  <w:rFonts w:ascii="Arial;sans-serif" w:hAnsi="Arial;sans-serif"/>
                  <w:b w:val="false"/>
                  <w:color w:val="0000FF"/>
                  <w:sz w:val="20"/>
                  <w:u w:val="single"/>
                </w:rPr>
                <w:t>26</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8264b03f153c41788ff8cb89762eadb2">
              <w:r>
                <w:rPr>
                  <w:rStyle w:val="InternetLink"/>
                  <w:rFonts w:ascii="Arial;sans-serif" w:hAnsi="Arial;sans-serif"/>
                  <w:b w:val="false"/>
                  <w:color w:val="0000FF"/>
                  <w:sz w:val="20"/>
                  <w:u w:val="single"/>
                </w:rPr>
                <w:t>Item 2. Management’s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8264b03f153c41788ff8cb89762eadb2">
              <w:r>
                <w:rPr>
                  <w:rStyle w:val="InternetLink"/>
                  <w:rFonts w:ascii="Arial;sans-serif" w:hAnsi="Arial;sans-serif"/>
                  <w:b w:val="false"/>
                  <w:color w:val="0000FF"/>
                  <w:sz w:val="20"/>
                  <w:u w:val="single"/>
                </w:rPr>
                <w:t>27</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e32b01ba5e794d9e91829549514151b5">
              <w:r>
                <w:rPr>
                  <w:rStyle w:val="InternetLink"/>
                  <w:rFonts w:ascii="Arial;sans-serif" w:hAnsi="Arial;sans-serif"/>
                  <w:b w:val="false"/>
                  <w:color w:val="0000FF"/>
                  <w:sz w:val="20"/>
                  <w:u w:val="single"/>
                </w:rPr>
                <w:t>Item 3. 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e32b01ba5e794d9e91829549514151b5">
              <w:r>
                <w:rPr>
                  <w:rStyle w:val="InternetLink"/>
                  <w:rFonts w:ascii="Arial;sans-serif" w:hAnsi="Arial;sans-serif"/>
                  <w:b w:val="false"/>
                  <w:color w:val="0000FF"/>
                  <w:sz w:val="20"/>
                  <w:u w:val="single"/>
                </w:rPr>
                <w:t>52</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26d5a8baa223471baaba96e86c370315">
              <w:r>
                <w:rPr>
                  <w:rStyle w:val="InternetLink"/>
                  <w:rFonts w:ascii="Arial;sans-serif" w:hAnsi="Arial;sans-serif"/>
                  <w:b w:val="false"/>
                  <w:color w:val="0000FF"/>
                  <w:sz w:val="20"/>
                  <w:u w:val="single"/>
                </w:rPr>
                <w:t>Item 4. 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26d5a8baa223471baaba96e86c370315">
              <w:r>
                <w:rPr>
                  <w:rStyle w:val="InternetLink"/>
                  <w:rFonts w:ascii="Arial;sans-serif" w:hAnsi="Arial;sans-serif"/>
                  <w:b w:val="false"/>
                  <w:color w:val="0000FF"/>
                  <w:sz w:val="20"/>
                  <w:u w:val="single"/>
                </w:rPr>
                <w:t>53</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0d4380b8700c49e6958ff7dd704b522f">
              <w:r>
                <w:rPr>
                  <w:rStyle w:val="InternetLink"/>
                  <w:rFonts w:ascii="Arial;sans-serif" w:hAnsi="Arial;sans-serif"/>
                  <w:b w:val="false"/>
                  <w:color w:val="0000FF"/>
                  <w:sz w:val="20"/>
                  <w:u w:val="single"/>
                </w:rPr>
                <w:t>PART II - 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0d4380b8700c49e6958ff7dd704b522f">
              <w:r>
                <w:rPr>
                  <w:rStyle w:val="InternetLink"/>
                  <w:rFonts w:ascii="Arial;sans-serif" w:hAnsi="Arial;sans-serif"/>
                  <w:b w:val="false"/>
                  <w:color w:val="0000FF"/>
                  <w:sz w:val="20"/>
                  <w:u w:val="single"/>
                </w:rPr>
                <w:t>55</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5e6dd24719c4ad5b249c76ec64d245e">
              <w:r>
                <w:rPr>
                  <w:rStyle w:val="InternetLink"/>
                  <w:rFonts w:ascii="Arial;sans-serif" w:hAnsi="Arial;sans-serif"/>
                  <w:b w:val="false"/>
                  <w:color w:val="0000FF"/>
                  <w:sz w:val="20"/>
                  <w:u w:val="single"/>
                </w:rPr>
                <w:t>Item 1. 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f5e6dd24719c4ad5b249c76ec64d245e">
              <w:r>
                <w:rPr>
                  <w:rStyle w:val="InternetLink"/>
                  <w:rFonts w:ascii="Arial;sans-serif" w:hAnsi="Arial;sans-serif"/>
                  <w:b w:val="false"/>
                  <w:color w:val="0000FF"/>
                  <w:sz w:val="20"/>
                  <w:u w:val="single"/>
                </w:rPr>
                <w:t>55</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310c72167924882b369cc32ad273a10">
              <w:r>
                <w:rPr>
                  <w:rStyle w:val="InternetLink"/>
                  <w:rFonts w:ascii="Arial;sans-serif" w:hAnsi="Arial;sans-serif"/>
                  <w:b w:val="false"/>
                  <w:color w:val="0000FF"/>
                  <w:sz w:val="20"/>
                  <w:u w:val="single"/>
                </w:rPr>
                <w:t>Item 1A. 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b310c72167924882b369cc32ad273a10">
              <w:r>
                <w:rPr>
                  <w:rStyle w:val="InternetLink"/>
                  <w:rFonts w:ascii="Arial;sans-serif" w:hAnsi="Arial;sans-serif"/>
                  <w:b w:val="false"/>
                  <w:color w:val="0000FF"/>
                  <w:sz w:val="20"/>
                  <w:u w:val="single"/>
                </w:rPr>
                <w:t>55</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f2a315604de14fd398d42b1415cc5382">
              <w:r>
                <w:rPr>
                  <w:rStyle w:val="InternetLink"/>
                  <w:rFonts w:ascii="Arial;sans-serif" w:hAnsi="Arial;sans-serif"/>
                  <w:b w:val="false"/>
                  <w:color w:val="0000FF"/>
                  <w:sz w:val="20"/>
                  <w:u w:val="single"/>
                </w:rPr>
                <w:t>Item 2. Unregistered Sales of Equity Securities and Use of Proceeds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f2a315604de14fd398d42b1415cc5382">
              <w:r>
                <w:rPr>
                  <w:rStyle w:val="InternetLink"/>
                  <w:rFonts w:ascii="Arial;sans-serif" w:hAnsi="Arial;sans-serif"/>
                  <w:b w:val="false"/>
                  <w:color w:val="0000FF"/>
                  <w:sz w:val="20"/>
                  <w:u w:val="single"/>
                </w:rPr>
                <w:t>109</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e3064b367bde49d9853f55e888d85ad2">
              <w:r>
                <w:rPr>
                  <w:rStyle w:val="InternetLink"/>
                  <w:rFonts w:ascii="Arial;sans-serif" w:hAnsi="Arial;sans-serif"/>
                  <w:b w:val="false"/>
                  <w:color w:val="0000FF"/>
                  <w:sz w:val="20"/>
                  <w:u w:val="single"/>
                </w:rPr>
                <w:t>Item 3. Defaults Upon Senior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e3064b367bde49d9853f55e888d85ad2">
              <w:r>
                <w:rPr>
                  <w:rStyle w:val="InternetLink"/>
                  <w:rFonts w:ascii="Arial;sans-serif" w:hAnsi="Arial;sans-serif"/>
                  <w:b w:val="false"/>
                  <w:color w:val="0000FF"/>
                  <w:sz w:val="20"/>
                  <w:u w:val="single"/>
                </w:rPr>
                <w:t>109</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2e1f5919f60744708b615aea75f64c59">
              <w:r>
                <w:rPr>
                  <w:rStyle w:val="InternetLink"/>
                  <w:rFonts w:ascii="Arial;sans-serif" w:hAnsi="Arial;sans-serif"/>
                  <w:b w:val="false"/>
                  <w:color w:val="0000FF"/>
                  <w:sz w:val="20"/>
                  <w:u w:val="single"/>
                </w:rPr>
                <w:t>Item 4. Mine Safety Disclosures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2e1f5919f60744708b615aea75f64c59">
              <w:r>
                <w:rPr>
                  <w:rStyle w:val="InternetLink"/>
                  <w:rFonts w:ascii="Arial;sans-serif" w:hAnsi="Arial;sans-serif"/>
                  <w:b w:val="false"/>
                  <w:color w:val="0000FF"/>
                  <w:sz w:val="20"/>
                  <w:u w:val="single"/>
                </w:rPr>
                <w:t>109</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5fd3e4ee713f4585b193d3e2338f644d">
              <w:r>
                <w:rPr>
                  <w:rStyle w:val="InternetLink"/>
                  <w:rFonts w:ascii="Arial;sans-serif" w:hAnsi="Arial;sans-serif"/>
                  <w:b w:val="false"/>
                  <w:color w:val="0000FF"/>
                  <w:sz w:val="20"/>
                  <w:u w:val="single"/>
                </w:rPr>
                <w:t>Item 5. 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5fd3e4ee713f4585b193d3e2338f644d">
              <w:r>
                <w:rPr>
                  <w:rStyle w:val="InternetLink"/>
                  <w:rFonts w:ascii="Arial;sans-serif" w:hAnsi="Arial;sans-serif"/>
                  <w:b w:val="false"/>
                  <w:color w:val="0000FF"/>
                  <w:sz w:val="20"/>
                  <w:u w:val="single"/>
                </w:rPr>
                <w:t>109</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29bcb09c30be485791ed8b7bb4b38c78">
              <w:r>
                <w:rPr>
                  <w:rStyle w:val="InternetLink"/>
                  <w:rFonts w:ascii="Arial;sans-serif" w:hAnsi="Arial;sans-serif"/>
                  <w:b w:val="false"/>
                  <w:color w:val="0000FF"/>
                  <w:sz w:val="20"/>
                  <w:u w:val="single"/>
                </w:rPr>
                <w:t>Item 6. Exhibits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29bcb09c30be485791ed8b7bb4b38c78">
              <w:r>
                <w:rPr>
                  <w:rStyle w:val="InternetLink"/>
                  <w:rFonts w:ascii="Arial;sans-serif" w:hAnsi="Arial;sans-serif"/>
                  <w:b w:val="false"/>
                  <w:color w:val="0000FF"/>
                  <w:sz w:val="20"/>
                  <w:u w:val="single"/>
                </w:rPr>
                <w:t>111</w:t>
              </w:r>
            </w:hyperlink>
          </w:p>
        </w:tc>
      </w:tr>
      <w:tr>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32ebc8eac5814f8185b2f1416fe812c2">
              <w:r>
                <w:rPr>
                  <w:rStyle w:val="InternetLink"/>
                  <w:rFonts w:ascii="Arial;sans-serif" w:hAnsi="Arial;sans-serif"/>
                  <w:b w:val="false"/>
                  <w:color w:val="0000FF"/>
                  <w:sz w:val="20"/>
                  <w:u w:val="single"/>
                </w:rPr>
                <w:t>SIGNATURES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32ebc8eac5814f8185b2f1416fe812c2">
              <w:r>
                <w:rPr>
                  <w:rStyle w:val="InternetLink"/>
                  <w:rFonts w:ascii="Arial;sans-serif" w:hAnsi="Arial;sans-serif"/>
                  <w:b w:val="false"/>
                  <w:color w:val="0000FF"/>
                  <w:sz w:val="20"/>
                  <w:u w:val="single"/>
                </w:rPr>
                <w:t>112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center"/>
        <w:rPr>
          <w:rFonts w:ascii="Arial;sans-serif" w:hAnsi="Arial;sans-serif"/>
          <w:b/>
          <w:color w:val="000000"/>
          <w:sz w:val="20"/>
        </w:rPr>
      </w:pPr>
      <w:bookmarkStart w:id="0" w:name="ie9d3df66913142fcbe3eb44fde48797e"/>
      <w:bookmarkEnd w:id="0"/>
      <w:r>
        <w:rPr>
          <w:rFonts w:ascii="Arial;sans-serif" w:hAnsi="Arial;sans-serif"/>
          <w:b/>
          <w:color w:val="000000"/>
          <w:sz w:val="20"/>
        </w:rPr>
        <w:t>SPECIAL NOTE REGARDING FORWARD-LOOKING STATEMENTS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This Quarterly Report on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business plan and our ability to effectively manage our growth;</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cross-border expansion plans and ability to expand internationally;</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anticipated trends, growth rates, and challenges in our business and in the markets in which we operate;</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the sufficiency of, and ability to access, our cash and cash equivalents to meet our liquidity needs;</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political, economic, foreign currency exchange rate, inflation, tariffs and international trade conflict, banking, legal, immigration and visa, social and health risks and public health measures that may affect cross-border commerce, education and travel, our business or the global economy;</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beliefs and objectives for future operations;</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ability to maintain, enhance and protect our brand;</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ability to maintain and grow the payment volume that we process;</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ability to further attract, retain, and expand our client base;</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ability to develop new solutions and services and bring them to market in a timely and cost-effective manner;</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expectations concerning relationships with third parties, including financial institutions and strategic partners;</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the effects of increased competition in our markets and our ability to compete effectively;</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recent and future acquisitions or investments in complementary companies, products, services, or technologies, including the expected benefits and synergies of the acquisition of Sertifi LLC (Sertifi), including the potential benefits of Sertifi’s platform, financial results and margins;</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ability to enter new client verticals and sub-verticals, including our relatively new business-to-business (B2B) sector;</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expectations regarding anticipated technology needs and developments and our ability to address those needs and developments with our solutions;</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expectations regarding litigation and legal and regulatory matters;</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expectations regarding our ability to meet existing performance obligations and maintain the operability of our solutions;</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expectations regarding the effects of existing and developing laws and regulations, including with respect to payments and other financial services, economic and trade sanctions, anti-money laundering (AML) and countering the financing of terrorism (CFT), taxation, privacy and data protection;</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economic and industry trends, projected growth, or trend analysis;</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the effects of global events and geopolitical conflict, including without limitation the hostilities in Ukraine and involving Israel, Hamas, the U.S. and Iran;</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ability to adapt to recommended or implemented U.S. policy changes, in particular those that impact higher education, the desire for foreign students to study in the U.S., immigration and visa policy, and changes to regulatory agencies and depth of enforcement of regulations;</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ability to adapt to changes in U.S. federal income or other tax laws or the interpretation of tax laws, including without limitation the Inflation Reduction Act of 2022 and The One Big Beautiful Bill Act of 2025;</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ability to attract and retain qualified employees;</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ability to maintain, protect, and enhance our intellectual property;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ability to maintain the security and availability of our solutions;</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our ability to successfully execute initiatives intended to improve our internal systems and processes to allow us to scale for growth, as well as to manage the opportunities and challenges of artificial intelligence (AI);</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the increased expenses associated with being a public company; and</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the future market price of our common stock.</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Other sections of this Quarterly Report on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Unless otherwise noted or unless the context provides otherwise, all references in this Quarterly Report on Form 10-Q to our “common stock” refer to our voting common stock.</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Investors, the media, and others should note that we intend to announce material information to the public through filings with the Securities and Exchange Commission (SEC), the investor relations page on our website (https://ir.flywire.com), blog posts on our website (www.flywire.com), press releases, public conference calls, webcasts, and social media channels, including our X feed (@flywire), Facebook page (https://www.facebook.com/Flywire) and LinkedIn page (https://www.linkedin.com/company/flywire).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120"/>
        <w:jc w:val="center"/>
        <w:rPr>
          <w:rFonts w:ascii="Arial;sans-serif" w:hAnsi="Arial;sans-serif"/>
          <w:b/>
          <w:color w:val="000000"/>
          <w:sz w:val="20"/>
        </w:rPr>
      </w:pPr>
      <w:bookmarkStart w:id="1" w:name="iae2f81b66e0146dba4ba44a8a93c31eb"/>
      <w:bookmarkEnd w:id="1"/>
      <w:r>
        <w:rPr>
          <w:rFonts w:ascii="Arial;sans-serif" w:hAnsi="Arial;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bookmarkStart w:id="2" w:name="ifc8c9e287dd8433c8ef54b26df8226b2"/>
      <w:bookmarkEnd w:id="2"/>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0"/>
        <w:jc w:val="center"/>
        <w:rPr>
          <w:rFonts w:ascii="Arial;sans-serif" w:hAnsi="Arial;sans-serif"/>
          <w:b/>
          <w:color w:val="000000"/>
          <w:sz w:val="20"/>
        </w:rPr>
      </w:pPr>
      <w:r>
        <w:rPr>
          <w:rFonts w:ascii="Arial;sans-serif" w:hAnsi="Arial;sans-serif"/>
          <w:b/>
          <w:color w:val="000000"/>
          <w:sz w:val="20"/>
        </w:rPr>
        <w:t>FLYWIRE CORPORATION</w:t>
      </w:r>
    </w:p>
    <w:p>
      <w:pPr>
        <w:pStyle w:val="TextBody"/>
        <w:bidi w:val="0"/>
        <w:spacing w:lineRule="auto" w:line="288" w:before="0" w:after="0"/>
        <w:jc w:val="center"/>
        <w:rPr>
          <w:rFonts w:ascii="Arial;sans-serif" w:hAnsi="Arial;sans-serif"/>
          <w:b/>
          <w:color w:val="000000"/>
          <w:sz w:val="20"/>
        </w:rPr>
      </w:pPr>
      <w:bookmarkStart w:id="3" w:name="i7d622e7aaa54421c91268b80bd735563"/>
      <w:bookmarkEnd w:id="3"/>
      <w:r>
        <w:rPr>
          <w:rFonts w:ascii="Arial;sans-serif" w:hAnsi="Arial;sans-serif"/>
          <w:b/>
          <w:color w:val="000000"/>
          <w:sz w:val="20"/>
        </w:rPr>
        <w:t>CONDENSED CONSOLIDATED BALANCE SHEETS</w:t>
      </w:r>
    </w:p>
    <w:p>
      <w:pPr>
        <w:pStyle w:val="TextBody"/>
        <w:bidi w:val="0"/>
        <w:spacing w:lineRule="auto" w:line="288" w:before="0" w:after="120"/>
        <w:ind w:left="0" w:right="0" w:firstLine="490"/>
        <w:jc w:val="center"/>
        <w:rPr>
          <w:rFonts w:ascii="Arial;sans-serif" w:hAnsi="Arial;sans-serif"/>
          <w:b w:val="false"/>
          <w:color w:val="000000"/>
          <w:sz w:val="20"/>
        </w:rPr>
      </w:pPr>
      <w:r>
        <w:rPr>
          <w:rFonts w:ascii="Arial;sans-serif" w:hAnsi="Arial;sans-serif"/>
          <w:b w:val="false"/>
          <w:color w:val="000000"/>
          <w:sz w:val="20"/>
        </w:rPr>
        <w:t>(Unaudited) (Amounts in thousands, except par value per share and share amounts)</w:t>
      </w:r>
    </w:p>
    <w:tbl>
      <w:tblPr>
        <w:tblW w:w="10205" w:type="dxa"/>
        <w:jc w:val="left"/>
        <w:tblInd w:w="0" w:type="dxa"/>
        <w:tblLayout w:type="fixed"/>
        <w:tblCellMar>
          <w:top w:w="28" w:type="dxa"/>
          <w:left w:w="28" w:type="dxa"/>
          <w:bottom w:w="28" w:type="dxa"/>
          <w:right w:w="28" w:type="dxa"/>
        </w:tblCellMar>
      </w:tblPr>
      <w:tblGrid>
        <w:gridCol w:w="2826"/>
        <w:gridCol w:w="2225"/>
        <w:gridCol w:w="2170"/>
        <w:gridCol w:w="213"/>
        <w:gridCol w:w="988"/>
        <w:gridCol w:w="110"/>
        <w:gridCol w:w="109"/>
        <w:gridCol w:w="109"/>
        <w:gridCol w:w="109"/>
        <w:gridCol w:w="211"/>
        <w:gridCol w:w="978"/>
        <w:gridCol w:w="157"/>
      </w:tblGrid>
      <w:tr>
        <w:tc>
          <w:tcPr>
            <w:tcW w:w="2826"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September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December 31,</w:t>
              <w:br/>
              <w:t>2025</w:t>
            </w:r>
          </w:p>
        </w:tc>
      </w:tr>
      <w:tr>
        <w:tc>
          <w:tcPr>
            <w:tcW w:w="722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Assets</w:t>
            </w:r>
          </w:p>
        </w:tc>
        <w:tc>
          <w:tcPr>
            <w:tcW w:w="13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407,173 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330,303 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24,692 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 of $2,402 and $834, respectively</w:t>
            </w:r>
          </w:p>
        </w:tc>
        <w:tc>
          <w:tcPr>
            <w:tcW w:w="120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48,294 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34,776 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Unbilled receivables, net of allowance of $43 and $45, respectively</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Funds receivable from payment partners</w:t>
            </w:r>
          </w:p>
        </w:tc>
        <w:tc>
          <w:tcPr>
            <w:tcW w:w="120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158,772 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155,455 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47,436 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36,540 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20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684,023 </w:t>
            </w:r>
          </w:p>
        </w:tc>
        <w:tc>
          <w:tcPr>
            <w:tcW w:w="11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602,288 </w:t>
            </w:r>
          </w:p>
        </w:tc>
        <w:tc>
          <w:tcPr>
            <w:tcW w:w="15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29,089 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22,125 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20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177,229 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189,050 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407,646 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406,507 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20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72,326 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33,343 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assets</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1,370,313 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1,253,313 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31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21,420 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15,298 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Funds payable to clients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334,974 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310,799 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20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67,788 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55,715 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23,100 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20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447,282 </w:t>
            </w:r>
          </w:p>
        </w:tc>
        <w:tc>
          <w:tcPr>
            <w:tcW w:w="11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401,763 </w:t>
            </w:r>
          </w:p>
        </w:tc>
        <w:tc>
          <w:tcPr>
            <w:tcW w:w="15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20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2,618 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3,479 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liabilities</w:t>
            </w:r>
          </w:p>
        </w:tc>
        <w:tc>
          <w:tcPr>
            <w:tcW w:w="12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460,915 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418,142 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17)</w:t>
            </w:r>
          </w:p>
        </w:tc>
        <w:tc>
          <w:tcPr>
            <w:tcW w:w="13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Preferred stock, $0.0001 par value; 10,000,000 shares authorized, none issued and outstanding as of September 30, 2026 and December 31, 2025</w:t>
            </w:r>
          </w:p>
        </w:tc>
        <w:tc>
          <w:tcPr>
            <w:tcW w:w="120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Voting common stock, $0.0001 par value; 2,000,000,000 shares authorized, 134,837,558 shares issued and 122,494,955 shares outstanding as of September 30, 2026; 130,335,519 shares issued and 120,086,090 shares outstanding as of December 31, 2025</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Non-voting common stock, $0.0001 par value; 10,000,000 shares authorized, none issued and outstanding as of September 30, 2026, and 1,873,320 shares issued and outstanding as of December 31, 2025, respectively</w:t>
            </w:r>
          </w:p>
        </w:tc>
        <w:tc>
          <w:tcPr>
            <w:tcW w:w="120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Treasury voting common stock, at cost; 12,342,603 and 10,249,429 shares as of September 30, 2026 and December 31, 2025, respectively</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(147,828)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(118,636)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20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1,130,086 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1,108,679 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20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(78,459)</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(157,373)</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stockholders’ equity</w:t>
            </w:r>
          </w:p>
        </w:tc>
        <w:tc>
          <w:tcPr>
            <w:tcW w:w="12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909,398 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835,171 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2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1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8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1,370,313 </w:t>
            </w:r>
          </w:p>
        </w:tc>
        <w:tc>
          <w:tcPr>
            <w:tcW w:w="11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1,253,313 </w:t>
            </w:r>
          </w:p>
        </w:tc>
        <w:tc>
          <w:tcPr>
            <w:tcW w:w="15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9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0"/>
        <w:ind w:left="0" w:right="0" w:firstLine="490"/>
        <w:jc w:val="center"/>
        <w:rPr>
          <w:rFonts w:ascii="Arial;sans-serif" w:hAnsi="Arial;sans-serif"/>
          <w:b/>
          <w:color w:val="000000"/>
          <w:sz w:val="20"/>
        </w:rPr>
      </w:pPr>
      <w:r>
        <w:rPr>
          <w:rFonts w:ascii="Arial;sans-serif" w:hAnsi="Arial;sans-serif"/>
          <w:b/>
          <w:color w:val="000000"/>
          <w:sz w:val="20"/>
        </w:rPr>
        <w:t>FLYWIRE CORPORATION</w:t>
      </w:r>
    </w:p>
    <w:p>
      <w:pPr>
        <w:pStyle w:val="TextBody"/>
        <w:bidi w:val="0"/>
        <w:spacing w:lineRule="auto" w:line="288" w:before="0" w:after="0"/>
        <w:jc w:val="center"/>
        <w:rPr>
          <w:rFonts w:ascii="Arial;sans-serif" w:hAnsi="Arial;sans-serif"/>
          <w:b/>
          <w:color w:val="000000"/>
          <w:sz w:val="20"/>
        </w:rPr>
      </w:pPr>
      <w:bookmarkStart w:id="4" w:name="i04a36ee924704d3584d3ead13e42652d"/>
      <w:bookmarkEnd w:id="4"/>
      <w:r>
        <w:rPr>
          <w:rFonts w:ascii="Arial;sans-serif" w:hAnsi="Arial;sans-serif"/>
          <w:b/>
          <w:color w:val="000000"/>
          <w:sz w:val="20"/>
        </w:rPr>
        <w:t>CONDENSED CONSOLIDATED STATEMENTS OF OPERATIONS AND COMPREHENSIVE INCOME</w:t>
      </w:r>
    </w:p>
    <w:p>
      <w:pPr>
        <w:pStyle w:val="TextBody"/>
        <w:bidi w:val="0"/>
        <w:spacing w:lineRule="auto" w:line="288" w:before="0" w:after="120"/>
        <w:ind w:left="0" w:right="0" w:firstLine="490"/>
        <w:jc w:val="center"/>
        <w:rPr>
          <w:rFonts w:ascii="Arial;sans-serif" w:hAnsi="Arial;sans-serif"/>
          <w:b w:val="false"/>
          <w:color w:val="000000"/>
          <w:sz w:val="20"/>
        </w:rPr>
      </w:pPr>
      <w:r>
        <w:rPr>
          <w:rFonts w:ascii="Arial;sans-serif" w:hAnsi="Arial;sans-serif"/>
          <w:b w:val="false"/>
          <w:color w:val="000000"/>
          <w:sz w:val="20"/>
        </w:rPr>
        <w:t>(Unaudited) (Amounts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655"/>
        <w:gridCol w:w="1203"/>
        <w:gridCol w:w="1217"/>
        <w:gridCol w:w="233"/>
        <w:gridCol w:w="917"/>
        <w:gridCol w:w="121"/>
        <w:gridCol w:w="121"/>
        <w:gridCol w:w="121"/>
        <w:gridCol w:w="121"/>
        <w:gridCol w:w="233"/>
        <w:gridCol w:w="917"/>
        <w:gridCol w:w="121"/>
        <w:gridCol w:w="109"/>
        <w:gridCol w:w="109"/>
        <w:gridCol w:w="109"/>
        <w:gridCol w:w="229"/>
        <w:gridCol w:w="898"/>
        <w:gridCol w:w="118"/>
        <w:gridCol w:w="118"/>
        <w:gridCol w:w="118"/>
        <w:gridCol w:w="118"/>
        <w:gridCol w:w="229"/>
        <w:gridCol w:w="898"/>
        <w:gridCol w:w="172"/>
      </w:tblGrid>
      <w:tr>
        <w:tc>
          <w:tcPr>
            <w:tcW w:w="165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c>
          <w:tcPr>
            <w:tcW w:w="4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r>
      <w:tr>
        <w:tc>
          <w:tcPr>
            <w:tcW w:w="40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Revenue</w:t>
            </w:r>
          </w:p>
        </w:tc>
        <w:tc>
          <w:tcPr>
            <w:tcW w:w="2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250,300 </w:t>
            </w:r>
          </w:p>
        </w:tc>
        <w:tc>
          <w:tcPr>
            <w:tcW w:w="12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200,138 </w:t>
            </w:r>
          </w:p>
        </w:tc>
        <w:tc>
          <w:tcPr>
            <w:tcW w:w="12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606,156 </w:t>
            </w:r>
          </w:p>
        </w:tc>
        <w:tc>
          <w:tcPr>
            <w:tcW w:w="11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465,481 </w:t>
            </w:r>
          </w:p>
        </w:tc>
        <w:tc>
          <w:tcPr>
            <w:tcW w:w="17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Costs and operating expenses:</w:t>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Payment processing services costs</w:t>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93,989 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72,318 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246,188 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176,768 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Technology and development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54,472 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51,667 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Selling and marketing</w:t>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42,570 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41,911 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121,975 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116,857 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44,330 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36,006 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122,750 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99,239 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8,690 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costs and operating expenses</w:t>
            </w:r>
          </w:p>
        </w:tc>
        <w:tc>
          <w:tcPr>
            <w:tcW w:w="11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197,541 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167,885 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545,385 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453,221 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Income from operations</w:t>
            </w:r>
          </w:p>
        </w:tc>
        <w:tc>
          <w:tcPr>
            <w:tcW w:w="2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52,759 </w:t>
            </w:r>
          </w:p>
        </w:tc>
        <w:tc>
          <w:tcPr>
            <w:tcW w:w="12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32,253 </w:t>
            </w:r>
          </w:p>
        </w:tc>
        <w:tc>
          <w:tcPr>
            <w:tcW w:w="12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60,771 </w:t>
            </w:r>
          </w:p>
        </w:tc>
        <w:tc>
          <w:tcPr>
            <w:tcW w:w="11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12,260 </w:t>
            </w:r>
          </w:p>
        </w:tc>
        <w:tc>
          <w:tcPr>
            <w:tcW w:w="17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(expense) income:</w:t>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(1,197)</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(1,079)</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(2,986)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(Loss) gain from remeasurement of foreign currency</w:t>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(451)</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(626)</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6,897 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Gain on available-for-sale debt securities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other (expense) income, net</w:t>
            </w:r>
          </w:p>
        </w:tc>
        <w:tc>
          <w:tcPr>
            <w:tcW w:w="115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(405)</w:t>
            </w:r>
          </w:p>
        </w:tc>
        <w:tc>
          <w:tcPr>
            <w:tcW w:w="12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(1,054)</w:t>
            </w:r>
          </w:p>
        </w:tc>
        <w:tc>
          <w:tcPr>
            <w:tcW w:w="12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954 </w:t>
            </w:r>
          </w:p>
        </w:tc>
        <w:tc>
          <w:tcPr>
            <w:tcW w:w="11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8,869 </w:t>
            </w:r>
          </w:p>
        </w:tc>
        <w:tc>
          <w:tcPr>
            <w:tcW w:w="17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1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52,354 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31,199 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61,725 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21,129 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(Benefit from) provision for income taxes</w:t>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(22,189)</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1,568 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(17,189)</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7,665 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income</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74,543 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29,631 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78,914 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13,464 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comprehensive (loss) income:</w:t>
            </w:r>
          </w:p>
        </w:tc>
        <w:tc>
          <w:tcPr>
            <w:tcW w:w="127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7,415 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Unrealized (losses) gains on available-for-sale debt securities, net of taxes</w:t>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other comprehensive income (loss)</w:t>
            </w:r>
          </w:p>
        </w:tc>
        <w:tc>
          <w:tcPr>
            <w:tcW w:w="11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1,169 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(1,897)</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3,098 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7,270 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Comprehensive income</w:t>
            </w:r>
          </w:p>
        </w:tc>
        <w:tc>
          <w:tcPr>
            <w:tcW w:w="2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75,712 </w:t>
            </w:r>
          </w:p>
        </w:tc>
        <w:tc>
          <w:tcPr>
            <w:tcW w:w="12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27,734 </w:t>
            </w:r>
          </w:p>
        </w:tc>
        <w:tc>
          <w:tcPr>
            <w:tcW w:w="12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82,012 </w:t>
            </w:r>
          </w:p>
        </w:tc>
        <w:tc>
          <w:tcPr>
            <w:tcW w:w="11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20,734 </w:t>
            </w:r>
          </w:p>
        </w:tc>
        <w:tc>
          <w:tcPr>
            <w:tcW w:w="17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 attributable to common stockholders – basic and diluted</w:t>
            </w:r>
          </w:p>
        </w:tc>
        <w:tc>
          <w:tcPr>
            <w:tcW w:w="23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74,543 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29,631 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78,914 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13,464 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 per share attributable to common stockholders – basic</w:t>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 per share attributable to common stockholders – diluted</w:t>
            </w:r>
          </w:p>
        </w:tc>
        <w:tc>
          <w:tcPr>
            <w:tcW w:w="23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0.23 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0.61 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 basic</w:t>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121,956,220</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122,434,615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122,177,966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122,504,476</w:t>
            </w:r>
          </w:p>
        </w:tc>
      </w:tr>
      <w:tr>
        <w:tc>
          <w:tcPr>
            <w:tcW w:w="40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 diluted</w:t>
            </w:r>
          </w:p>
        </w:tc>
        <w:tc>
          <w:tcPr>
            <w:tcW w:w="12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129,703,126</w:t>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127,675,613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129,002,208</w:t>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127,495,177</w:t>
            </w:r>
          </w:p>
        </w:tc>
      </w:tr>
    </w:tbl>
    <w:p>
      <w:pPr>
        <w:pStyle w:val="TextBody"/>
        <w:bidi w:val="0"/>
        <w:spacing w:lineRule="auto" w:line="288" w:before="0" w:after="800"/>
        <w:ind w:left="0" w:right="0" w:firstLine="49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FLYWIRE CORPORATION</w:t>
      </w:r>
    </w:p>
    <w:p>
      <w:pPr>
        <w:pStyle w:val="TextBody"/>
        <w:bidi w:val="0"/>
        <w:spacing w:lineRule="auto" w:line="288" w:before="0" w:after="0"/>
        <w:jc w:val="center"/>
        <w:rPr>
          <w:rFonts w:ascii="Arial;sans-serif" w:hAnsi="Arial;sans-serif"/>
          <w:b/>
          <w:color w:val="000000"/>
          <w:sz w:val="20"/>
        </w:rPr>
      </w:pPr>
      <w:bookmarkStart w:id="5" w:name="ib158ba0fd32f4627b7a28597a9ab5439"/>
      <w:bookmarkEnd w:id="5"/>
      <w:r>
        <w:rPr>
          <w:rFonts w:ascii="Arial;sans-serif" w:hAnsi="Arial;sans-serif"/>
          <w:b/>
          <w:color w:val="000000"/>
          <w:sz w:val="20"/>
        </w:rPr>
        <w:t>CONDENSED CONSOLIDATED STATEMENTS OF STOCKHOLDERS’ EQUITY</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(Unaudited) (Amounts in thousands, except share amounts)</w:t>
      </w:r>
    </w:p>
    <w:tbl>
      <w:tblPr>
        <w:tblW w:w="12762" w:type="dxa"/>
        <w:jc w:val="left"/>
        <w:tblInd w:w="0" w:type="dxa"/>
        <w:tblLayout w:type="fixed"/>
        <w:tblCellMar>
          <w:top w:w="28" w:type="dxa"/>
          <w:left w:w="28" w:type="dxa"/>
          <w:bottom w:w="28" w:type="dxa"/>
          <w:right w:w="28" w:type="dxa"/>
        </w:tblCellMar>
      </w:tblPr>
      <w:tblGrid>
        <w:gridCol w:w="720"/>
        <w:gridCol w:w="225"/>
        <w:gridCol w:w="226"/>
        <w:gridCol w:w="289"/>
        <w:gridCol w:w="289"/>
        <w:gridCol w:w="293"/>
        <w:gridCol w:w="109"/>
        <w:gridCol w:w="109"/>
        <w:gridCol w:w="109"/>
        <w:gridCol w:w="181"/>
        <w:gridCol w:w="301"/>
        <w:gridCol w:w="109"/>
        <w:gridCol w:w="109"/>
        <w:gridCol w:w="109"/>
        <w:gridCol w:w="109"/>
        <w:gridCol w:w="160"/>
        <w:gridCol w:w="160"/>
        <w:gridCol w:w="161"/>
        <w:gridCol w:w="109"/>
        <w:gridCol w:w="109"/>
        <w:gridCol w:w="109"/>
        <w:gridCol w:w="181"/>
        <w:gridCol w:w="406"/>
        <w:gridCol w:w="109"/>
        <w:gridCol w:w="109"/>
        <w:gridCol w:w="109"/>
        <w:gridCol w:w="109"/>
        <w:gridCol w:w="420"/>
        <w:gridCol w:w="421"/>
        <w:gridCol w:w="283"/>
        <w:gridCol w:w="109"/>
        <w:gridCol w:w="109"/>
        <w:gridCol w:w="109"/>
        <w:gridCol w:w="181"/>
        <w:gridCol w:w="646"/>
        <w:gridCol w:w="109"/>
        <w:gridCol w:w="109"/>
        <w:gridCol w:w="109"/>
        <w:gridCol w:w="109"/>
        <w:gridCol w:w="181"/>
        <w:gridCol w:w="766"/>
        <w:gridCol w:w="109"/>
        <w:gridCol w:w="109"/>
        <w:gridCol w:w="109"/>
        <w:gridCol w:w="109"/>
        <w:gridCol w:w="223"/>
        <w:gridCol w:w="615"/>
        <w:gridCol w:w="138"/>
        <w:gridCol w:w="109"/>
        <w:gridCol w:w="109"/>
        <w:gridCol w:w="109"/>
        <w:gridCol w:w="181"/>
        <w:gridCol w:w="646"/>
        <w:gridCol w:w="109"/>
        <w:gridCol w:w="109"/>
        <w:gridCol w:w="109"/>
        <w:gridCol w:w="109"/>
        <w:gridCol w:w="181"/>
        <w:gridCol w:w="646"/>
        <w:gridCol w:w="154"/>
      </w:tblGrid>
      <w:tr>
        <w:tc>
          <w:tcPr>
            <w:tcW w:w="7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1" w:type="dxa"/>
            <w:gridSpan w:val="57"/>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 September 30, 2026</w:t>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Voting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Non-Voting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Treasury Voting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Total</w:t>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Stockholders’</w:t>
            </w:r>
          </w:p>
        </w:tc>
      </w:tr>
      <w:t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Equity</w:t>
            </w:r>
          </w:p>
        </w:tc>
      </w:tr>
      <w:tr>
        <w:tc>
          <w:tcPr>
            <w:tcW w:w="1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Balances at June 30, 2026</w:t>
            </w:r>
          </w:p>
        </w:tc>
        <w:tc>
          <w:tcPr>
            <w:tcW w:w="87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133,968,610</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(12,359,463)</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(148,375)</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1,113,537 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1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4,417 </w:t>
            </w:r>
          </w:p>
        </w:tc>
        <w:tc>
          <w:tcPr>
            <w:tcW w:w="13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(153,002)</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816,590 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upon exercise of stock options, net of tax withheld</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154,880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upon settlement of restricted stock units, net of tax withheld</w:t>
            </w:r>
          </w:p>
        </w:tc>
        <w:tc>
          <w:tcPr>
            <w:tcW w:w="8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714,068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(2,134)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(2,134)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treasury stock under equity incentive plans</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16,860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Common stock repurchases, including related costs</w:t>
            </w:r>
          </w:p>
        </w:tc>
        <w:tc>
          <w:tcPr>
            <w:tcW w:w="8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Foreign currency translation adjustment</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1,176 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Unrealized losses on available-for-sale debt securities, net of taxes</w:t>
            </w:r>
          </w:p>
        </w:tc>
        <w:tc>
          <w:tcPr>
            <w:tcW w:w="8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8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74,543 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74,543 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Balances at September 30, 2026</w:t>
            </w:r>
          </w:p>
        </w:tc>
        <w:tc>
          <w:tcPr>
            <w:tcW w:w="87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134,837,558</w:t>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(12,342,603)</w:t>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(147,828)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1,130,086 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5,586 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(78,459)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909,398 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644" w:type="dxa"/>
        <w:jc w:val="left"/>
        <w:tblInd w:w="0" w:type="dxa"/>
        <w:tblLayout w:type="fixed"/>
        <w:tblCellMar>
          <w:top w:w="28" w:type="dxa"/>
          <w:left w:w="28" w:type="dxa"/>
          <w:bottom w:w="28" w:type="dxa"/>
          <w:right w:w="28" w:type="dxa"/>
        </w:tblCellMar>
      </w:tblPr>
      <w:tblGrid>
        <w:gridCol w:w="720"/>
        <w:gridCol w:w="225"/>
        <w:gridCol w:w="226"/>
        <w:gridCol w:w="289"/>
        <w:gridCol w:w="289"/>
        <w:gridCol w:w="293"/>
        <w:gridCol w:w="109"/>
        <w:gridCol w:w="109"/>
        <w:gridCol w:w="109"/>
        <w:gridCol w:w="181"/>
        <w:gridCol w:w="301"/>
        <w:gridCol w:w="109"/>
        <w:gridCol w:w="109"/>
        <w:gridCol w:w="109"/>
        <w:gridCol w:w="109"/>
        <w:gridCol w:w="239"/>
        <w:gridCol w:w="239"/>
        <w:gridCol w:w="243"/>
        <w:gridCol w:w="109"/>
        <w:gridCol w:w="109"/>
        <w:gridCol w:w="109"/>
        <w:gridCol w:w="181"/>
        <w:gridCol w:w="406"/>
        <w:gridCol w:w="109"/>
        <w:gridCol w:w="109"/>
        <w:gridCol w:w="109"/>
        <w:gridCol w:w="109"/>
        <w:gridCol w:w="254"/>
        <w:gridCol w:w="254"/>
        <w:gridCol w:w="258"/>
        <w:gridCol w:w="109"/>
        <w:gridCol w:w="109"/>
        <w:gridCol w:w="109"/>
        <w:gridCol w:w="181"/>
        <w:gridCol w:w="646"/>
        <w:gridCol w:w="109"/>
        <w:gridCol w:w="109"/>
        <w:gridCol w:w="109"/>
        <w:gridCol w:w="109"/>
        <w:gridCol w:w="181"/>
        <w:gridCol w:w="766"/>
        <w:gridCol w:w="109"/>
        <w:gridCol w:w="109"/>
        <w:gridCol w:w="109"/>
        <w:gridCol w:w="109"/>
        <w:gridCol w:w="223"/>
        <w:gridCol w:w="615"/>
        <w:gridCol w:w="138"/>
        <w:gridCol w:w="109"/>
        <w:gridCol w:w="109"/>
        <w:gridCol w:w="109"/>
        <w:gridCol w:w="181"/>
        <w:gridCol w:w="646"/>
        <w:gridCol w:w="109"/>
        <w:gridCol w:w="109"/>
        <w:gridCol w:w="109"/>
        <w:gridCol w:w="109"/>
        <w:gridCol w:w="181"/>
        <w:gridCol w:w="646"/>
        <w:gridCol w:w="154"/>
      </w:tblGrid>
      <w:tr>
        <w:tc>
          <w:tcPr>
            <w:tcW w:w="7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3" w:type="dxa"/>
            <w:gridSpan w:val="57"/>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 September 30, 2025</w:t>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Voting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Non-Voting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Treasury Voting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Total</w:t>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pPr>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Stockholders’</w:t>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Equity</w:t>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Balances at June 30, 2025</w:t>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129,076,628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1,873,320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(8,769,147)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(98,739)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1,071,085 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7,101 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(187,037)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792,423 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upon exercise of stock options, net of tax withheld</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105,486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upon settlement of restricted stock units, net of tax withheld</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450,612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treasury stock under equity incentive plans</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under employee stock purchase plan</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129,118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Common stock repurchases, including related costs</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(762,379)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(10,045)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Foreign currency translation adjustment</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(1,917)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Unrealized gains on available-for-sale debt securities, net of taxes</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Balances at September 30, 2025</w:t>
            </w:r>
          </w:p>
        </w:tc>
        <w:tc>
          <w:tcPr>
            <w:tcW w:w="87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129,761,844</w:t>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1,873,320</w:t>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(9,522,905)</w:t>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(108,687)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1,090,002 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5,204 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(157,406)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829,126 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tbl>
      <w:tblPr>
        <w:tblW w:w="12764" w:type="dxa"/>
        <w:jc w:val="left"/>
        <w:tblInd w:w="0" w:type="dxa"/>
        <w:tblLayout w:type="fixed"/>
        <w:tblCellMar>
          <w:top w:w="28" w:type="dxa"/>
          <w:left w:w="28" w:type="dxa"/>
          <w:bottom w:w="28" w:type="dxa"/>
          <w:right w:w="28" w:type="dxa"/>
        </w:tblCellMar>
      </w:tblPr>
      <w:tblGrid>
        <w:gridCol w:w="682"/>
        <w:gridCol w:w="244"/>
        <w:gridCol w:w="245"/>
        <w:gridCol w:w="289"/>
        <w:gridCol w:w="289"/>
        <w:gridCol w:w="293"/>
        <w:gridCol w:w="109"/>
        <w:gridCol w:w="109"/>
        <w:gridCol w:w="109"/>
        <w:gridCol w:w="181"/>
        <w:gridCol w:w="301"/>
        <w:gridCol w:w="109"/>
        <w:gridCol w:w="109"/>
        <w:gridCol w:w="109"/>
        <w:gridCol w:w="109"/>
        <w:gridCol w:w="253"/>
        <w:gridCol w:w="253"/>
        <w:gridCol w:w="260"/>
        <w:gridCol w:w="109"/>
        <w:gridCol w:w="109"/>
        <w:gridCol w:w="109"/>
        <w:gridCol w:w="181"/>
        <w:gridCol w:w="406"/>
        <w:gridCol w:w="109"/>
        <w:gridCol w:w="109"/>
        <w:gridCol w:w="109"/>
        <w:gridCol w:w="109"/>
        <w:gridCol w:w="279"/>
        <w:gridCol w:w="279"/>
        <w:gridCol w:w="283"/>
        <w:gridCol w:w="109"/>
        <w:gridCol w:w="109"/>
        <w:gridCol w:w="109"/>
        <w:gridCol w:w="181"/>
        <w:gridCol w:w="646"/>
        <w:gridCol w:w="109"/>
        <w:gridCol w:w="109"/>
        <w:gridCol w:w="109"/>
        <w:gridCol w:w="109"/>
        <w:gridCol w:w="181"/>
        <w:gridCol w:w="766"/>
        <w:gridCol w:w="109"/>
        <w:gridCol w:w="109"/>
        <w:gridCol w:w="109"/>
        <w:gridCol w:w="109"/>
        <w:gridCol w:w="223"/>
        <w:gridCol w:w="615"/>
        <w:gridCol w:w="138"/>
        <w:gridCol w:w="109"/>
        <w:gridCol w:w="109"/>
        <w:gridCol w:w="109"/>
        <w:gridCol w:w="181"/>
        <w:gridCol w:w="646"/>
        <w:gridCol w:w="109"/>
        <w:gridCol w:w="109"/>
        <w:gridCol w:w="109"/>
        <w:gridCol w:w="109"/>
        <w:gridCol w:w="181"/>
        <w:gridCol w:w="646"/>
        <w:gridCol w:w="154"/>
      </w:tblGrid>
      <w:tr>
        <w:tc>
          <w:tcPr>
            <w:tcW w:w="6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3"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 September 30, 2026</w:t>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Voting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Non-Voting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Treasury Voting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Total</w:t>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pPr>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Stockholders’</w:t>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Equity</w:t>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Balances at December 31, 2025</w:t>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130,335,519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1,873,320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(10,249,429)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(118,636)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1,108,679 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2,488 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(157,373)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835,171 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upon exercise of stock options, net of tax withheld</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867,430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upon settlement of restricted stock units, net of tax withheld</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3,498,619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treasury stock under equity incentive plans</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80,753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under employee stock purchase plan</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135,990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Common stock repurchases, including related costs</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(2,173,927)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Repurchase and retirement of non-voting common stock</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(1,873,320)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(29,036)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Foreign currency translation adjustment</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3,152 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Unrealized losses on available-for-sale debt securities, net of taxes</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54,410 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78,914 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Balances at September 30, 2026</w:t>
            </w:r>
          </w:p>
        </w:tc>
        <w:tc>
          <w:tcPr>
            <w:tcW w:w="87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134,837,558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(12,342,603)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(147,828)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1,130,086 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5,586 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(78,459)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909,398 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644" w:type="dxa"/>
        <w:jc w:val="left"/>
        <w:tblInd w:w="0" w:type="dxa"/>
        <w:tblLayout w:type="fixed"/>
        <w:tblCellMar>
          <w:top w:w="28" w:type="dxa"/>
          <w:left w:w="28" w:type="dxa"/>
          <w:bottom w:w="28" w:type="dxa"/>
          <w:right w:w="28" w:type="dxa"/>
        </w:tblCellMar>
      </w:tblPr>
      <w:tblGrid>
        <w:gridCol w:w="682"/>
        <w:gridCol w:w="244"/>
        <w:gridCol w:w="245"/>
        <w:gridCol w:w="289"/>
        <w:gridCol w:w="289"/>
        <w:gridCol w:w="293"/>
        <w:gridCol w:w="109"/>
        <w:gridCol w:w="109"/>
        <w:gridCol w:w="109"/>
        <w:gridCol w:w="181"/>
        <w:gridCol w:w="301"/>
        <w:gridCol w:w="109"/>
        <w:gridCol w:w="109"/>
        <w:gridCol w:w="109"/>
        <w:gridCol w:w="109"/>
        <w:gridCol w:w="239"/>
        <w:gridCol w:w="239"/>
        <w:gridCol w:w="243"/>
        <w:gridCol w:w="109"/>
        <w:gridCol w:w="109"/>
        <w:gridCol w:w="109"/>
        <w:gridCol w:w="181"/>
        <w:gridCol w:w="406"/>
        <w:gridCol w:w="109"/>
        <w:gridCol w:w="109"/>
        <w:gridCol w:w="109"/>
        <w:gridCol w:w="109"/>
        <w:gridCol w:w="254"/>
        <w:gridCol w:w="254"/>
        <w:gridCol w:w="258"/>
        <w:gridCol w:w="109"/>
        <w:gridCol w:w="109"/>
        <w:gridCol w:w="109"/>
        <w:gridCol w:w="181"/>
        <w:gridCol w:w="646"/>
        <w:gridCol w:w="109"/>
        <w:gridCol w:w="109"/>
        <w:gridCol w:w="109"/>
        <w:gridCol w:w="109"/>
        <w:gridCol w:w="181"/>
        <w:gridCol w:w="766"/>
        <w:gridCol w:w="109"/>
        <w:gridCol w:w="109"/>
        <w:gridCol w:w="109"/>
        <w:gridCol w:w="109"/>
        <w:gridCol w:w="223"/>
        <w:gridCol w:w="615"/>
        <w:gridCol w:w="138"/>
        <w:gridCol w:w="109"/>
        <w:gridCol w:w="109"/>
        <w:gridCol w:w="109"/>
        <w:gridCol w:w="181"/>
        <w:gridCol w:w="646"/>
        <w:gridCol w:w="109"/>
        <w:gridCol w:w="109"/>
        <w:gridCol w:w="109"/>
        <w:gridCol w:w="109"/>
        <w:gridCol w:w="181"/>
        <w:gridCol w:w="646"/>
        <w:gridCol w:w="154"/>
      </w:tblGrid>
      <w:tr>
        <w:tc>
          <w:tcPr>
            <w:tcW w:w="6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3"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 September 30, 2025</w:t>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Voting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Non-Voting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Treasury Voting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Total</w:t>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pPr>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Stockholders’</w:t>
            </w:r>
          </w:p>
        </w:tc>
      </w:tr>
      <w:t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Equity</w:t>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Balances at December 31, 2024</w:t>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126,853,852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1,873,320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(4,670,974)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(46,268)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1,033,958 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(2,066)</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(170,870)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814,767 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upon exercise of stock options, net of tax withheld</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767,953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upon settlement of restricted stock units, net of tax withheld</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1,880,125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(3,257)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treasury stock under equity incentive plans</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37,133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under employee stock purchase plan</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217,916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common stock for retention bonus</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Common stock repurchases, including related costs</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(4,889,064)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(62,813)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Foreign currency translation adjustment</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Unrealized losses on available-for-sale debt securities, net of taxes</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Balances at September 30, 2025</w:t>
            </w:r>
          </w:p>
        </w:tc>
        <w:tc>
          <w:tcPr>
            <w:tcW w:w="87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129,761,844</w:t>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1,873,320</w:t>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(9,522,905)</w:t>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(108,687)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1,090,002 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5,204 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(157,406)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829,126 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0"/>
        <w:ind w:left="0" w:right="0" w:firstLine="49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0"/>
        <w:ind w:left="0" w:right="0" w:firstLine="490"/>
        <w:jc w:val="center"/>
        <w:rPr>
          <w:rFonts w:ascii="Arial;sans-serif" w:hAnsi="Arial;sans-serif"/>
          <w:b/>
          <w:color w:val="000000"/>
          <w:sz w:val="20"/>
        </w:rPr>
      </w:pPr>
      <w:r>
        <w:rPr>
          <w:rFonts w:ascii="Arial;sans-serif" w:hAnsi="Arial;sans-serif"/>
          <w:b/>
          <w:color w:val="000000"/>
          <w:sz w:val="20"/>
        </w:rPr>
        <w:t>FLYWIRE CORPORATION</w:t>
      </w:r>
    </w:p>
    <w:p>
      <w:pPr>
        <w:pStyle w:val="TextBody"/>
        <w:bidi w:val="0"/>
        <w:spacing w:lineRule="auto" w:line="288" w:before="0" w:after="0"/>
        <w:jc w:val="center"/>
        <w:rPr>
          <w:rFonts w:ascii="Arial;sans-serif" w:hAnsi="Arial;sans-serif"/>
          <w:b/>
          <w:color w:val="000000"/>
          <w:sz w:val="20"/>
        </w:rPr>
      </w:pPr>
      <w:bookmarkStart w:id="6" w:name="i4b3b6fb3b3064b37b7887d10eb3458dc"/>
      <w:bookmarkEnd w:id="6"/>
      <w:r>
        <w:rPr>
          <w:rFonts w:ascii="Arial;sans-serif" w:hAnsi="Arial;sans-serif"/>
          <w:b/>
          <w:color w:val="000000"/>
          <w:sz w:val="20"/>
        </w:rPr>
        <w:t>CONDENSED CONSOLIDATED STATEMENT OF CASH FLOWS</w:t>
      </w:r>
    </w:p>
    <w:p>
      <w:pPr>
        <w:pStyle w:val="TextBody"/>
        <w:bidi w:val="0"/>
        <w:spacing w:lineRule="auto" w:line="288" w:before="0" w:after="120"/>
        <w:ind w:left="0" w:right="0" w:firstLine="490"/>
        <w:jc w:val="center"/>
        <w:rPr>
          <w:rFonts w:ascii="Arial;sans-serif" w:hAnsi="Arial;sans-serif"/>
          <w:b w:val="false"/>
          <w:color w:val="000000"/>
          <w:sz w:val="20"/>
        </w:rPr>
      </w:pPr>
      <w:r>
        <w:rPr>
          <w:rFonts w:ascii="Arial;sans-serif" w:hAnsi="Arial;sans-serif"/>
          <w:b w:val="false"/>
          <w:color w:val="000000"/>
          <w:sz w:val="20"/>
        </w:rPr>
        <w:t>(Unaudited) (Amounts in thousands)</w:t>
      </w:r>
    </w:p>
    <w:tbl>
      <w:tblPr>
        <w:tblW w:w="9027" w:type="dxa"/>
        <w:jc w:val="left"/>
        <w:tblInd w:w="0" w:type="dxa"/>
        <w:tblLayout w:type="fixed"/>
        <w:tblCellMar>
          <w:top w:w="28" w:type="dxa"/>
          <w:left w:w="28" w:type="dxa"/>
          <w:bottom w:w="28" w:type="dxa"/>
          <w:right w:w="28" w:type="dxa"/>
        </w:tblCellMar>
      </w:tblPr>
      <w:tblGrid>
        <w:gridCol w:w="2152"/>
        <w:gridCol w:w="1891"/>
        <w:gridCol w:w="1897"/>
        <w:gridCol w:w="246"/>
        <w:gridCol w:w="927"/>
        <w:gridCol w:w="137"/>
        <w:gridCol w:w="137"/>
        <w:gridCol w:w="137"/>
        <w:gridCol w:w="137"/>
        <w:gridCol w:w="246"/>
        <w:gridCol w:w="927"/>
        <w:gridCol w:w="193"/>
      </w:tblGrid>
      <w:tr>
        <w:tc>
          <w:tcPr>
            <w:tcW w:w="2152"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131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78,914 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13,464 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provided by operating activities:</w:t>
            </w:r>
          </w:p>
        </w:tc>
        <w:tc>
          <w:tcPr>
            <w:tcW w:w="131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Unrealized gain from remeasurement of foreign currency</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(4,802)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(10,458)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22,657 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19,037 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52,097 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53,473 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Amortization of deferred contract costs</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1,724 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1,167 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Change in fair value of contingent consideration</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Deferred tax benefit</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(29,187)</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Change in provision for uncollectible accounts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Amortization of debt issuance costs</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accretion of discounts and amortization of premiums on investments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 net of acquisitions:</w:t>
            </w:r>
          </w:p>
        </w:tc>
        <w:tc>
          <w:tcPr>
            <w:tcW w:w="131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(15,684)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(11,585)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Unbilled receivables</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1,247 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2,105 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Funds receivable from payment partners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(42,686)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Prepaid expenses, other current assets and other assets</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(22,902)</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(21,304)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Funds payable to clients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27,167 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83,343 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Accounts payable, accrued expenses and other current liabilities</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14,441 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7,537 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Contingent consideration</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(948)</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2,542 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17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130,417 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95,289 </w:t>
            </w:r>
          </w:p>
        </w:tc>
        <w:tc>
          <w:tcPr>
            <w:tcW w:w="19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1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Acquisitions of businesses, net of cash acquired</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(324,921)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Assets acquisition</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(3,229)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Purchase of short-term and long-term investments</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(14,199)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Proceeds from the maturity and sale of short-term and long-term investments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21,401 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154,725 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Capitalization of internally developed software</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(10,068)</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(5,813)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117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7,483 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(191,168)</w:t>
            </w:r>
          </w:p>
        </w:tc>
        <w:tc>
          <w:tcPr>
            <w:tcW w:w="19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1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Proceeds from issuance of revolving credit facility</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125,000 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Payment of revolving credit facility</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(110,000)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Payment of debt issuance costs</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Contingent consideration paid for acquisitions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(4,139)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Payments of tax withholdings for net settled equity awards</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(7,485)</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(3,257)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Common stock repurchased including related costs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(30,523)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(64,319)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Non-voting common stock repurchased and retired</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(29,036)</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Proceeds from the issuance of stock under Employee Stock Purchase Plan</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Proceeds from exercise of stock options</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2,908 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2,064 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Deferred acquisition payment</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cash used in financing activities</w:t>
            </w:r>
          </w:p>
        </w:tc>
        <w:tc>
          <w:tcPr>
            <w:tcW w:w="117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(63,544)</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(53,882)</w:t>
            </w:r>
          </w:p>
        </w:tc>
        <w:tc>
          <w:tcPr>
            <w:tcW w:w="19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Effect of exchange rates changes on cash and cash equivalents</w:t>
            </w:r>
          </w:p>
        </w:tc>
        <w:tc>
          <w:tcPr>
            <w:tcW w:w="11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2,514 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9,433 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change in cash and cash equivalents</w:t>
            </w:r>
          </w:p>
        </w:tc>
        <w:tc>
          <w:tcPr>
            <w:tcW w:w="117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76,870 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(140,328)</w:t>
            </w:r>
          </w:p>
        </w:tc>
        <w:tc>
          <w:tcPr>
            <w:tcW w:w="19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Cash and cash equivalents, beginning of period</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330,303 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495,242 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Cash and cash equivalents, end of period</w:t>
            </w:r>
          </w:p>
        </w:tc>
        <w:tc>
          <w:tcPr>
            <w:tcW w:w="2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407,173 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354,914 </w:t>
            </w:r>
          </w:p>
        </w:tc>
        <w:tc>
          <w:tcPr>
            <w:tcW w:w="19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Supplemental disclosures of cash flow and noncash information</w:t>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Purchase of property and equipment in accounts payable</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Capitalized stock-based compensation expense</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Accrued excise tax related to common stock repurchased</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319 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Cash paid for interest</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1,933 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0"/>
        <w:ind w:left="0" w:right="0" w:firstLine="49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center"/>
        <w:rPr>
          <w:rFonts w:ascii="Arial;sans-serif" w:hAnsi="Arial;sans-serif"/>
          <w:b/>
          <w:color w:val="000000"/>
          <w:sz w:val="20"/>
        </w:rPr>
      </w:pPr>
      <w:r>
        <w:rPr>
          <w:rFonts w:ascii="Arial;sans-serif" w:hAnsi="Arial;sans-serif"/>
          <w:b/>
          <w:color w:val="000000"/>
          <w:sz w:val="20"/>
        </w:rPr>
        <w:t>FLYWIRE CORPORATION</w:t>
      </w:r>
    </w:p>
    <w:p>
      <w:pPr>
        <w:pStyle w:val="TextBody"/>
        <w:bidi w:val="0"/>
        <w:spacing w:lineRule="auto" w:line="288" w:before="0" w:after="0"/>
        <w:jc w:val="center"/>
        <w:rPr>
          <w:rFonts w:ascii="Arial;sans-serif" w:hAnsi="Arial;sans-serif"/>
          <w:b/>
          <w:color w:val="000000"/>
          <w:sz w:val="20"/>
        </w:rPr>
      </w:pPr>
      <w:bookmarkStart w:id="7" w:name="i79cc67b38ac7461681976232d7942d4c"/>
      <w:bookmarkEnd w:id="7"/>
      <w:r>
        <w:rPr>
          <w:rFonts w:ascii="Arial;sans-serif" w:hAnsi="Arial;sans-serif"/>
          <w:b/>
          <w:color w:val="000000"/>
          <w:sz w:val="20"/>
        </w:rPr>
        <w:t>NOTES TO CONDENSED CONSOLIDATED FINANCIAL STATEMENTS</w:t>
      </w:r>
    </w:p>
    <w:p>
      <w:pPr>
        <w:pStyle w:val="TextBody"/>
        <w:bidi w:val="0"/>
        <w:spacing w:lineRule="auto" w:line="288" w:before="0" w:after="240"/>
        <w:ind w:left="0" w:right="0" w:firstLine="490"/>
        <w:jc w:val="center"/>
        <w:rPr>
          <w:rFonts w:ascii="Arial;sans-serif" w:hAnsi="Arial;sans-serif"/>
          <w:b w:val="false"/>
          <w:color w:val="000000"/>
          <w:sz w:val="20"/>
        </w:rPr>
      </w:pPr>
      <w:r>
        <w:rPr>
          <w:rFonts w:ascii="Arial;sans-serif" w:hAnsi="Arial;sans-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8" w:name="if18a9d278c804fe195dbd093d8702efb"/>
      <w:bookmarkEnd w:id="8"/>
      <w:r>
        <w:rPr>
          <w:rFonts w:ascii="Arial;sans-serif" w:hAnsi="Arial;sans-serif"/>
          <w:b/>
          <w:color w:val="000000"/>
          <w:sz w:val="20"/>
        </w:rPr>
        <w:t>Note 1.  Business Overview and Summary of Significant Accounting Policies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Flywire Corporation (Flywire or the Company) was incorporated under the laws of the state of Delaware in July 2009 as peerTransfer Corporation. In 2016, the Company changed its name to Flywire Corporation. The Company is headquartered in Boston, Massachusetts, and has a global presence in 16 countries across 5 continents.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Flywire provides a secure global payments platform, offering its clients an innovative and streamlined process to receive reconciled domestic and international payments in a more cost effective and efficient manner. The Company’s solutions are built on three core elements: (i) a next-gen payments platform, (ii) a proprietary global payment network, and (iii) vertical-specific software backed by its deep industry expertise.</w:t>
      </w:r>
    </w:p>
    <w:p>
      <w:pPr>
        <w:pStyle w:val="TextBody"/>
        <w:bidi w:val="0"/>
        <w:spacing w:lineRule="auto" w:line="288" w:before="0" w:after="200"/>
        <w:jc w:val="left"/>
        <w:rPr>
          <w:rFonts w:ascii="Arial;sans-serif" w:hAnsi="Arial;sans-serif"/>
          <w:b/>
          <w:color w:val="000000"/>
          <w:sz w:val="20"/>
        </w:rPr>
      </w:pPr>
      <w:bookmarkStart w:id="9" w:name="ifb1d8f78fe4a4a719c6ea014ce9eb457"/>
      <w:bookmarkEnd w:id="9"/>
      <w:r>
        <w:rPr>
          <w:rFonts w:ascii="Arial;sans-serif" w:hAnsi="Arial;sans-serif"/>
          <w:b/>
          <w:color w:val="000000"/>
          <w:sz w:val="20"/>
        </w:rPr>
        <w:t>Basis of Presentation and Principles of Consolidation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include the accounts of the Company and its wholly owned subsidiaries and have been prepared in accordance with generally accepted accounting principles in the United States (GAAP) and applicable rules and regulations of the SEC regarding interim financial reporting. The interim unaudited condensed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results of operations, comprehensive income, changes in stockholders’ equity, and its cash flows for the periods presented.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results of operations for the three and nine months ended September 30, 2026, are not necessarily indicative of results to be expected for the year ended December 31, 2026, any other interim periods or any future year or period. The accompanying consolidated balance sheet as of December 31, 2025, was derived from the Company’s audited consolidated financial statements for the year ended December 31, 2025. Certain information and note disclosures normally included in the annual consolidated financial statements prepared in accordance with GAAP have been condensed or omitted from the interim unaudited condensed consolidated financial statements.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These condensed consolidated financial statements should be read in conjunction with the audited consolidated financial statements and notes included in the Company’s Annual Report on Form 10-K for the year ended December 31, 2025.</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condensed consolidated financial statements include the accounts of Flywire and its wholly owned subsidiaries. All intercompany accounts and transactions have been eliminated upon consolidation.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During the third quarter of 2026, the Company identified and corrected an error related to the repurchase and retirement of its non-voting common stock that occurred in the second quarter of 2026. This error resulted in the overstatement of the reported treasury stock and additional paid-in capital balances as of June 30, 2026 by $29.0 million each. Management evaluated the materiality of this error from a quantitative and qualitative perspective and concluded that it is immaterial to the previously issued condensed consolidated financial statements. The Company will revise its condensed consolidated statements of stockholders’ equity for the three and six month periods ended June 30, 2026 to correct for this error and such revision has been reflected in the accompanying condensed consolidated statements of stockholders’ equity as an adjustment to the ending June 30, 2026 equity balances. This error was limited to the balances reported within total stockholders’ equity and had no impact on the Company’s previously reported total stockholders' equity, or any previously reported amounts on the statements of operations and comprehensive income, or statements of cash flows as of and for the three and six months ended June 30, 2026.</w:t>
      </w:r>
    </w:p>
    <w:p>
      <w:pPr>
        <w:pStyle w:val="TextBody"/>
        <w:bidi w:val="0"/>
        <w:spacing w:lineRule="auto" w:line="288" w:before="0" w:after="200"/>
        <w:jc w:val="left"/>
        <w:rPr>
          <w:rFonts w:ascii="Arial;sans-serif" w:hAnsi="Arial;sans-serif"/>
          <w:b/>
          <w:color w:val="000000"/>
          <w:sz w:val="20"/>
        </w:rPr>
      </w:pPr>
      <w:bookmarkStart w:id="10" w:name="ib19d8de6769d4be1bd5c983d8ad82c7a"/>
      <w:bookmarkEnd w:id="10"/>
      <w:r>
        <w:rPr>
          <w:rFonts w:ascii="Arial;sans-serif" w:hAnsi="Arial;sans-serif"/>
          <w:b/>
          <w:color w:val="000000"/>
          <w:sz w:val="20"/>
        </w:rPr>
        <w:t>Segment Information</w:t>
      </w:r>
    </w:p>
    <w:p>
      <w:pPr>
        <w:pStyle w:val="TextBody"/>
        <w:bidi w:val="0"/>
        <w:spacing w:lineRule="auto" w:line="288" w:before="0" w:after="200"/>
        <w:ind w:left="0" w:right="0" w:firstLine="490"/>
        <w:jc w:val="left"/>
      </w:pPr>
      <w:r>
        <w:rPr>
          <w:rFonts w:ascii="Arial;sans-serif" w:hAnsi="Arial;sans-serif"/>
          <w:b w:val="false"/>
          <w:color w:val="000000"/>
          <w:sz w:val="20"/>
        </w:rPr>
        <w:t xml:space="preserve">The Company has a single operating and reportable segment. See </w:t>
      </w:r>
      <w:r>
        <w:rPr>
          <w:rFonts w:ascii="Arial;sans-serif" w:hAnsi="Arial;sans-serif"/>
          <w:b w:val="false"/>
          <w:i/>
          <w:color w:val="1F1F1F"/>
          <w:sz w:val="20"/>
        </w:rPr>
        <w:t>Note 3 - Segment Information</w:t>
      </w:r>
      <w:r>
        <w:rPr>
          <w:color w:val="000000"/>
        </w:rPr>
        <w:t xml:space="preserve"> </w:t>
      </w:r>
      <w:r>
        <w:rPr>
          <w:rFonts w:ascii="Arial;sans-serif" w:hAnsi="Arial;sans-serif"/>
          <w:b w:val="false"/>
          <w:color w:val="000000"/>
          <w:sz w:val="20"/>
        </w:rPr>
        <w:t>for additional details regarding the Company's significant segment expenses.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color w:val="000000"/>
          <w:sz w:val="20"/>
        </w:rPr>
      </w:pPr>
      <w:bookmarkStart w:id="11" w:name="ie5d4b93e384049e99e84cf37ce8f00d5"/>
      <w:bookmarkEnd w:id="11"/>
      <w:r>
        <w:rPr>
          <w:rFonts w:ascii="Arial;sans-serif" w:hAnsi="Arial;sans-serif"/>
          <w:b/>
          <w:color w:val="000000"/>
          <w:sz w:val="20"/>
        </w:rPr>
        <w:t>Use of Estimates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preparation of condensed consolidated financial statements in conformity with GAAP requires management to make estimates and assumptions that affect the reported amounts of assets and liabilities and the disclosure of contingent assets and liabilities at the date of the condensed consolidated financial statements, as well as the reported amounts of revenue and expenses during the reporting period. Significant estimates include, but are not limited to, the valuation of acquired intangible assets and other long-lived assets and their useful lives. Actual results may differ from those estimates or assumptions.</w:t>
      </w:r>
    </w:p>
    <w:p>
      <w:pPr>
        <w:pStyle w:val="TextBody"/>
        <w:bidi w:val="0"/>
        <w:spacing w:lineRule="auto" w:line="288" w:before="0" w:after="200"/>
        <w:jc w:val="left"/>
        <w:rPr>
          <w:rFonts w:ascii="Arial;sans-serif" w:hAnsi="Arial;sans-serif"/>
          <w:b/>
          <w:color w:val="000000"/>
          <w:sz w:val="20"/>
        </w:rPr>
      </w:pPr>
      <w:bookmarkStart w:id="12" w:name="i239189a52479493b80e612de2f696ecb"/>
      <w:bookmarkEnd w:id="12"/>
      <w:r>
        <w:rPr>
          <w:rFonts w:ascii="Arial;sans-serif" w:hAnsi="Arial;sans-serif"/>
          <w:b/>
          <w:color w:val="000000"/>
          <w:sz w:val="20"/>
        </w:rPr>
        <w:t>Concentrations of Credit Risk, Financial Instruments and Significant Clients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Financial instruments that potentially subject the Company to concentration of credit risk consist principally of cash, cash equivalents, investments in available-for-sale debt securities, accounts receivable, unbilled receivables, and funds receivable from payment partners.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Company maintains its cash and cash equivalents with financial institutions that management believes are of high credit quality. The Company's cash equivalents include money market funds, which are AAA-rated and comprised of liquid, high-quality debt securities issued by the U.S. government. The Company's cash and cash equivalents deposited with financial institutions exceed the Federal Deposit Insurance Corporation (FDIC) insurance limit of $250,000. As part of its cash management process, the Company performs periodic reviews of the credit standing of the financial institutions holding its cash and cash equivalents. Additionally, to mitigate credit risk associated with financial institutions, the Company diversifies its cash and cash equivalents across multiple financial institutions and U.S. Treasury Money Market Funds. U.S. Treasuries, by their nature, create a concentration of credit risk with the U.S. Government. The Company's access to its cash and cash equivalents and client funds could be significantly impacted in volatile markets given its concentration in government money market funds.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To manage credit risk associated with investments in available-for-sale debt securities, the Company monitors credit ratings of the issuers of the securities and diversifies its investments by limiting its holding in any one security or issuer.</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To reflect the estimated realizable value of accounts receivable and unbilled receivables, the Company maintains an allowance for credit losses. The allowance is determined by applying a loss-rate method based on an aging schedule using the Company's historical loss rate. The Company also considers reasonable and supportable current information in determining its estimated loss rates, such as external forecasts, macroeconomic trends, or other factors that are associated with the credit quality of the Company’s customer base. The Company did not experience any material credit losses for the three and nine months ended September 30, 2026 and 2025.</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Accounts receivable are derived from revenue earned from clients located in the U.S. and internationally. There were no clients that represented 10% or more of the accounts receivable balance as of September 30, 2026 or December 31, 2025.</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Funds receivable from payment partners consists primarily of cash held by the Company’s global payment processing partners that have not yet been remitted to the Company. The following table shows payment partners that represent 10% or more of funds receivable from payment partners:</w:t>
      </w:r>
    </w:p>
    <w:tbl>
      <w:tblPr>
        <w:tblW w:w="3910" w:type="dxa"/>
        <w:jc w:val="left"/>
        <w:tblInd w:w="0" w:type="dxa"/>
        <w:tblLayout w:type="fixed"/>
        <w:tblCellMar>
          <w:top w:w="28" w:type="dxa"/>
          <w:left w:w="28" w:type="dxa"/>
          <w:bottom w:w="28" w:type="dxa"/>
          <w:right w:w="28" w:type="dxa"/>
        </w:tblCellMar>
      </w:tblPr>
      <w:tblGrid>
        <w:gridCol w:w="320"/>
        <w:gridCol w:w="281"/>
        <w:gridCol w:w="283"/>
        <w:gridCol w:w="300"/>
        <w:gridCol w:w="300"/>
        <w:gridCol w:w="749"/>
        <w:gridCol w:w="109"/>
        <w:gridCol w:w="109"/>
        <w:gridCol w:w="109"/>
        <w:gridCol w:w="275"/>
        <w:gridCol w:w="275"/>
        <w:gridCol w:w="800"/>
      </w:tblGrid>
      <w:t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September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December 31,</w:t>
              <w:br/>
              <w:t>2025</w:t>
            </w:r>
          </w:p>
        </w:tc>
      </w:tr>
      <w:tr>
        <w:tc>
          <w:tcPr>
            <w:tcW w:w="8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Partner A</w:t>
            </w:r>
          </w:p>
        </w:tc>
        <w:tc>
          <w:tcPr>
            <w:tcW w:w="134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80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Partner B</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7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8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______________________</w:t>
      </w:r>
    </w:p>
    <w:p>
      <w:pPr>
        <w:pStyle w:val="TextBody"/>
        <w:bidi w:val="0"/>
        <w:spacing w:lineRule="auto" w:line="288" w:before="0" w:after="200"/>
        <w:ind w:left="0" w:right="0" w:hanging="101"/>
        <w:jc w:val="left"/>
        <w:rPr>
          <w:rFonts w:ascii="Arial;sans-serif" w:hAnsi="Arial;sans-serif"/>
          <w:b w:val="false"/>
          <w:color w:val="000000"/>
          <w:sz w:val="16"/>
        </w:rPr>
      </w:pPr>
      <w:r>
        <w:rPr>
          <w:rFonts w:ascii="Arial;sans-serif" w:hAnsi="Arial;sans-serif"/>
          <w:b w:val="false"/>
          <w:color w:val="000000"/>
          <w:sz w:val="16"/>
        </w:rPr>
        <w:t>*Less than 10% of total balance.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During the three and nine months ended September 30, 2026 and 2025, no client accounted for 10% or more of total revenue.</w:t>
      </w:r>
    </w:p>
    <w:p>
      <w:pPr>
        <w:pStyle w:val="TextBody"/>
        <w:bidi w:val="0"/>
        <w:spacing w:lineRule="auto" w:line="288" w:before="0" w:after="200"/>
        <w:jc w:val="left"/>
        <w:rPr>
          <w:rFonts w:ascii="Arial;sans-serif" w:hAnsi="Arial;sans-serif"/>
          <w:b/>
          <w:color w:val="000000"/>
          <w:sz w:val="20"/>
        </w:rPr>
      </w:pPr>
      <w:bookmarkStart w:id="13" w:name="ic954f6597a5540c7bb8dbc10c05ab157"/>
      <w:bookmarkEnd w:id="13"/>
      <w:r>
        <w:rPr>
          <w:rFonts w:ascii="Arial;sans-serif" w:hAnsi="Arial;sans-serif"/>
          <w:b/>
          <w:color w:val="000000"/>
          <w:sz w:val="20"/>
        </w:rPr>
        <w:t>Summary of Significant Accounting Policies</w:t>
      </w:r>
    </w:p>
    <w:p>
      <w:pPr>
        <w:pStyle w:val="TextBody"/>
        <w:bidi w:val="0"/>
        <w:spacing w:lineRule="auto" w:line="288" w:before="0" w:after="200"/>
        <w:ind w:left="0" w:right="0" w:firstLine="490"/>
        <w:jc w:val="left"/>
      </w:pPr>
      <w:r>
        <w:rPr>
          <w:rFonts w:ascii="Arial;sans-serif" w:hAnsi="Arial;sans-serif"/>
          <w:b w:val="false"/>
          <w:color w:val="000000"/>
          <w:sz w:val="20"/>
        </w:rPr>
        <w:t xml:space="preserve">The Company’s significant accounting policies are discussed in </w:t>
      </w:r>
      <w:r>
        <w:rPr>
          <w:rFonts w:ascii="Arial;sans-serif" w:hAnsi="Arial;sans-serif"/>
          <w:b w:val="false"/>
          <w:i/>
          <w:color w:val="000000"/>
          <w:sz w:val="20"/>
        </w:rPr>
        <w:t>Note 1 - Business Overview and Summary of Significant Accounting Policies</w:t>
      </w:r>
      <w:r>
        <w:rPr>
          <w:color w:val="000000"/>
        </w:rPr>
        <w:t xml:space="preserve"> </w:t>
      </w:r>
      <w:r>
        <w:rPr>
          <w:rFonts w:ascii="Arial;sans-serif" w:hAnsi="Arial;sans-serif"/>
          <w:b w:val="false"/>
          <w:color w:val="000000"/>
          <w:sz w:val="20"/>
        </w:rPr>
        <w:t>in the notes to the audited consolidated financial statements in the Company’s Annual Report on Form 10-K for the year ended December 31,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color w:val="000000"/>
          <w:sz w:val="20"/>
        </w:rPr>
      </w:pPr>
      <w:bookmarkStart w:id="14" w:name="ia108bab5dcf4450e904efc5f7447bec2"/>
      <w:bookmarkEnd w:id="14"/>
      <w:r>
        <w:rPr>
          <w:rFonts w:ascii="Arial;sans-serif" w:hAnsi="Arial;sans-serif"/>
          <w:b/>
          <w:color w:val="000000"/>
          <w:sz w:val="20"/>
        </w:rPr>
        <w:t>Advertising Costs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Advertising costs are expensed as incurred and are included in selling and marketing expenses in the condensed consolidated statements of operations and comprehensive income. Advertising expenses were $1.6 million and $1.9 million for the three months ended September 30, 2026 and 2025, respectively. Advertising expenses were $5.0 million and $5.8 million for the nine months ended September 30, 2026 and 2025, respectively.</w:t>
      </w:r>
    </w:p>
    <w:p>
      <w:pPr>
        <w:pStyle w:val="TextBody"/>
        <w:bidi w:val="0"/>
        <w:spacing w:lineRule="auto" w:line="288" w:before="0" w:after="200"/>
        <w:jc w:val="left"/>
        <w:rPr>
          <w:rFonts w:ascii="Arial;sans-serif" w:hAnsi="Arial;sans-serif"/>
          <w:b/>
          <w:color w:val="000000"/>
          <w:sz w:val="20"/>
        </w:rPr>
      </w:pPr>
      <w:bookmarkStart w:id="15" w:name="ifbae9e16f6fc47588df1e61d5d71c552"/>
      <w:bookmarkEnd w:id="15"/>
      <w:r>
        <w:rPr>
          <w:rFonts w:ascii="Arial;sans-serif" w:hAnsi="Arial;sans-serif"/>
          <w:b/>
          <w:color w:val="000000"/>
          <w:sz w:val="20"/>
        </w:rPr>
        <w:t>Recently Adopted Accounting Pronouncements</w:t>
      </w:r>
    </w:p>
    <w:p>
      <w:pPr>
        <w:pStyle w:val="TextBody"/>
        <w:bidi w:val="0"/>
        <w:spacing w:lineRule="auto" w:line="288" w:before="0" w:after="200"/>
        <w:ind w:left="0" w:right="0" w:firstLine="490"/>
        <w:jc w:val="left"/>
      </w:pPr>
      <w:r>
        <w:rPr>
          <w:rFonts w:ascii="Arial;sans-serif" w:hAnsi="Arial;sans-serif"/>
          <w:b w:val="false"/>
          <w:color w:val="000000"/>
          <w:sz w:val="20"/>
        </w:rPr>
        <w:t>Effective January 1, 2026, the Company adopted ASU 2025-05,</w:t>
      </w:r>
      <w:r>
        <w:rPr>
          <w:color w:val="000000"/>
        </w:rPr>
        <w:t xml:space="preserve"> </w:t>
      </w:r>
      <w:r>
        <w:rPr>
          <w:rFonts w:ascii="Arial;sans-serif" w:hAnsi="Arial;sans-serif"/>
          <w:b w:val="false"/>
          <w:i/>
          <w:color w:val="000000"/>
          <w:sz w:val="20"/>
        </w:rPr>
        <w:t>Financial Instruments - Credit Losses (Topic 326): Measurement of Credit Losses for Accounts Receivable and Contract Assets.</w:t>
      </w:r>
      <w:r>
        <w:rPr>
          <w:color w:val="000000"/>
        </w:rPr>
        <w:t xml:space="preserve"> </w:t>
      </w:r>
      <w:r>
        <w:rPr>
          <w:rFonts w:ascii="Arial;sans-serif" w:hAnsi="Arial;sans-serif"/>
          <w:b w:val="false"/>
          <w:color w:val="000000"/>
          <w:sz w:val="20"/>
        </w:rPr>
        <w:t>ASU 2025-05 provides a practical expedient and an accounting policy election related to the estimation of expected credit losses for current accounts receivable and current contract assets that arise from transactions accounted for under ASC 606, "</w:t>
      </w:r>
      <w:r>
        <w:rPr>
          <w:rFonts w:ascii="Arial;sans-serif" w:hAnsi="Arial;sans-serif"/>
          <w:b w:val="false"/>
          <w:i/>
          <w:color w:val="000000"/>
          <w:sz w:val="20"/>
        </w:rPr>
        <w:t>Revenue from Contracts with Customers</w:t>
      </w:r>
      <w:r>
        <w:rPr>
          <w:rFonts w:ascii="Arial;sans-serif" w:hAnsi="Arial;sans-serif"/>
          <w:b w:val="false"/>
          <w:color w:val="000000"/>
          <w:sz w:val="20"/>
        </w:rPr>
        <w:t>." Upon adoption, the Company elected the practical expedient that allows entities to assume that current conditions as of the balance sheet date do not change for the remaining life of the asset. The standard was applied on a prospective basis. The Company's adoption of ASU 2025-05 did not have a material impact on its condensed consolidated financial statements and disclosures.</w:t>
      </w:r>
    </w:p>
    <w:p>
      <w:pPr>
        <w:pStyle w:val="TextBody"/>
        <w:bidi w:val="0"/>
        <w:spacing w:lineRule="auto" w:line="288" w:before="0" w:after="200"/>
        <w:jc w:val="left"/>
        <w:rPr>
          <w:rFonts w:ascii="Arial;sans-serif" w:hAnsi="Arial;sans-serif"/>
          <w:b/>
          <w:color w:val="000000"/>
          <w:sz w:val="20"/>
        </w:rPr>
      </w:pPr>
      <w:bookmarkStart w:id="16" w:name="icffbaf82a57c4c95a245a07517dc9d1e"/>
      <w:bookmarkEnd w:id="16"/>
      <w:r>
        <w:rPr>
          <w:rFonts w:ascii="Arial;sans-serif" w:hAnsi="Arial;sans-serif"/>
          <w:b/>
          <w:color w:val="000000"/>
          <w:sz w:val="20"/>
        </w:rPr>
        <w:t>Accounting Pronouncements Not Yet Adopted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following Accounting Standards Updates (ASUs) were issued by the Financial Accounting Standards Board (FASB) but not yet adopted by Flywire as of September 30, 2026:</w:t>
      </w:r>
    </w:p>
    <w:p>
      <w:pPr>
        <w:pStyle w:val="TextBody"/>
        <w:bidi w:val="0"/>
        <w:spacing w:lineRule="auto" w:line="288" w:before="0" w:after="200"/>
        <w:ind w:left="0" w:right="0" w:firstLine="490"/>
        <w:jc w:val="left"/>
      </w:pPr>
      <w:r>
        <w:rPr>
          <w:rFonts w:ascii="Arial;sans-serif" w:hAnsi="Arial;sans-serif"/>
          <w:b w:val="false"/>
          <w:color w:val="000000"/>
          <w:sz w:val="20"/>
        </w:rPr>
        <w:t xml:space="preserve">ASU 2024-03, </w:t>
      </w:r>
      <w:r>
        <w:rPr>
          <w:rFonts w:ascii="Arial;sans-serif" w:hAnsi="Arial;sans-serif"/>
          <w:b w:val="false"/>
          <w:i/>
          <w:color w:val="000000"/>
          <w:sz w:val="20"/>
        </w:rPr>
        <w:t xml:space="preserve">Income Statement - Reporting Comprehensive Income - Expense Disaggregation Disclosures (Subtopic 220-40): Disaggregation of Income Statement Expenses: </w:t>
      </w:r>
      <w:r>
        <w:rPr>
          <w:rFonts w:ascii="Arial;sans-serif" w:hAnsi="Arial;sans-serif"/>
          <w:b w:val="false"/>
          <w:color w:val="000000"/>
          <w:sz w:val="20"/>
        </w:rPr>
        <w:t xml:space="preserve">ASU 2024-03 is intended to improve the disclosures of expenses by providing more detailed information about the types of expenses in commonly presented expense captions. The ASU requires entities to disclose the amounts of purchases of inventory, employee compensation, depreciation and intangible asset amortization included in each relevant expense caption; as well as a qualitative description of the amounts remaining in relevant expense captions that are not separately disaggregated quantitatively. The amendment also requires disclosure of the total amount of selling expense and, in annual reporting periods, an entity’s definition of selling expenses. ASU 2025-01, </w:t>
      </w:r>
      <w:r>
        <w:rPr>
          <w:rFonts w:ascii="Arial;sans-serif" w:hAnsi="Arial;sans-serif"/>
          <w:b w:val="false"/>
          <w:i/>
          <w:color w:val="000000"/>
          <w:sz w:val="20"/>
        </w:rPr>
        <w:t>Income Statement - Reporting Comprehensive Income - Expense Disaggregation Disclosures (Subtopic 220-40): Clarifying the Effective Date,</w:t>
      </w:r>
      <w:r>
        <w:rPr>
          <w:color w:val="000000"/>
        </w:rPr>
        <w:t xml:space="preserve"> </w:t>
      </w:r>
      <w:r>
        <w:rPr>
          <w:rFonts w:ascii="Arial;sans-serif" w:hAnsi="Arial;sans-serif"/>
          <w:b w:val="false"/>
          <w:color w:val="000000"/>
          <w:sz w:val="20"/>
        </w:rPr>
        <w:t>clarifies the amendments in ASU 2024-03 are effective for the Company for the annual period beginning on January 1, 2027, and interim reporting periods within annual reporting periods beginning January 1, 2028. The Company is currently evaluating the impact of this standard on its consolidated financial statements and disclosures.</w:t>
      </w:r>
    </w:p>
    <w:p>
      <w:pPr>
        <w:pStyle w:val="TextBody"/>
        <w:bidi w:val="0"/>
        <w:spacing w:lineRule="auto" w:line="288" w:before="0" w:after="200"/>
        <w:ind w:left="0" w:right="0" w:firstLine="490"/>
        <w:jc w:val="left"/>
      </w:pPr>
      <w:r>
        <w:rPr>
          <w:rFonts w:ascii="Arial;sans-serif" w:hAnsi="Arial;sans-serif"/>
          <w:b w:val="false"/>
          <w:color w:val="000000"/>
          <w:sz w:val="20"/>
        </w:rPr>
        <w:t xml:space="preserve">ASU 2025-06, </w:t>
      </w:r>
      <w:r>
        <w:rPr>
          <w:rFonts w:ascii="Arial;sans-serif" w:hAnsi="Arial;sans-serif"/>
          <w:b w:val="false"/>
          <w:i/>
          <w:color w:val="000000"/>
          <w:sz w:val="20"/>
        </w:rPr>
        <w:t>Intangibles - Goodwill and Other - Internal-Use Software (Subtopic 350-40): Targeted Improvements to the Accounting for Internal-Use Software</w:t>
      </w:r>
      <w:r>
        <w:rPr>
          <w:rFonts w:ascii="Arial;sans-serif" w:hAnsi="Arial;sans-serif"/>
          <w:b w:val="false"/>
          <w:color w:val="000000"/>
          <w:sz w:val="20"/>
        </w:rPr>
        <w:t>: ASU 2025-06 amends certain aspects of the accounting for and disclosure of software costs. Rather than identifying stages, ASC 350-40-25-12 clarifies the following must be met to begin capitalizing software costs: (i) management, with the relevant authority, implicitly or explicitly authorizes and commits to funding a computer software project; and (ii) it is probable that the project will be completed and the software will be used to perform the function intended (probable-to-complete recognition threshold). ASU 2025-06 is effective for the Company for the annual period beginning on January 1, 2028, and interim reporting periods within those annual reporting periods beginning on January 1, 2028. ASU 2025-06 can be applied on a prospective basis, a modified basis for in-process projects, or a retrospective basis with early adoption permitted. The Company is currently evaluating the impact of this standard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color w:val="000000"/>
          <w:sz w:val="20"/>
        </w:rPr>
      </w:pPr>
      <w:bookmarkStart w:id="17" w:name="i3e6292af56884cc9a42978fbcbd8dc82"/>
      <w:bookmarkEnd w:id="17"/>
      <w:r>
        <w:rPr>
          <w:rFonts w:ascii="Arial;sans-serif" w:hAnsi="Arial;sans-serif"/>
          <w:b/>
          <w:color w:val="000000"/>
          <w:sz w:val="20"/>
        </w:rPr>
        <w:t>Note 2.  Revenue and Recognition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following table presents revenue disaggregated by geographical area and major solutions. The categorization of revenue by geographical location is determined based on the location where the client resides.</w:t>
      </w:r>
    </w:p>
    <w:tbl>
      <w:tblPr>
        <w:tblW w:w="9617" w:type="dxa"/>
        <w:jc w:val="left"/>
        <w:tblInd w:w="0" w:type="dxa"/>
        <w:tblLayout w:type="fixed"/>
        <w:tblCellMar>
          <w:top w:w="28" w:type="dxa"/>
          <w:left w:w="28" w:type="dxa"/>
          <w:bottom w:w="28" w:type="dxa"/>
          <w:right w:w="28" w:type="dxa"/>
        </w:tblCellMar>
      </w:tblPr>
      <w:tblGrid>
        <w:gridCol w:w="990"/>
        <w:gridCol w:w="869"/>
        <w:gridCol w:w="871"/>
        <w:gridCol w:w="109"/>
        <w:gridCol w:w="109"/>
        <w:gridCol w:w="109"/>
        <w:gridCol w:w="253"/>
        <w:gridCol w:w="993"/>
        <w:gridCol w:w="131"/>
        <w:gridCol w:w="131"/>
        <w:gridCol w:w="131"/>
        <w:gridCol w:w="131"/>
        <w:gridCol w:w="253"/>
        <w:gridCol w:w="993"/>
        <w:gridCol w:w="131"/>
        <w:gridCol w:w="109"/>
        <w:gridCol w:w="109"/>
        <w:gridCol w:w="109"/>
        <w:gridCol w:w="244"/>
        <w:gridCol w:w="958"/>
        <w:gridCol w:w="126"/>
        <w:gridCol w:w="126"/>
        <w:gridCol w:w="126"/>
        <w:gridCol w:w="126"/>
        <w:gridCol w:w="244"/>
        <w:gridCol w:w="958"/>
        <w:gridCol w:w="178"/>
      </w:tblGrid>
      <w:tr>
        <w:tc>
          <w:tcPr>
            <w:tcW w:w="99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c>
          <w:tcPr>
            <w:tcW w:w="273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Primary geographical markets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Americas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113,142 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92,143 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284,264 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211,361 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EMEA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105,831 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82,945 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235,079 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185,170 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APAC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86,813 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68,950 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250,300 </w:t>
            </w:r>
          </w:p>
        </w:tc>
        <w:tc>
          <w:tcPr>
            <w:tcW w:w="13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200,138 </w:t>
            </w:r>
          </w:p>
        </w:tc>
        <w:tc>
          <w:tcPr>
            <w:tcW w:w="13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606,156 </w:t>
            </w:r>
          </w:p>
        </w:tc>
        <w:tc>
          <w:tcPr>
            <w:tcW w:w="12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465,481 </w:t>
            </w:r>
          </w:p>
        </w:tc>
        <w:tc>
          <w:tcPr>
            <w:tcW w:w="17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Major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Transactions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215,105 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167,185 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506,208 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376,249 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Platform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35,195 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32,953 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99,948 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89,232 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250,300 </w:t>
            </w:r>
          </w:p>
        </w:tc>
        <w:tc>
          <w:tcPr>
            <w:tcW w:w="13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200,138 </w:t>
            </w:r>
          </w:p>
        </w:tc>
        <w:tc>
          <w:tcPr>
            <w:tcW w:w="13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606,156 </w:t>
            </w:r>
          </w:p>
        </w:tc>
        <w:tc>
          <w:tcPr>
            <w:tcW w:w="1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465,481 </w:t>
            </w:r>
          </w:p>
        </w:tc>
        <w:tc>
          <w:tcPr>
            <w:tcW w:w="17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For the three months ended September 30, 2026 and 2025, the Company recognized $2.7 million and $0.7 million in revenue from amounts that were included in deferred revenue as of December 31, 2025 and 2024, respectively. For the nine months ended September 30, 2026 and 2025, the Company recognized $18.3 million and $6.4 million in revenue from amounts that were included in deferred revenue as of December 31, 2025 and 2024, respectively.</w:t>
      </w:r>
    </w:p>
    <w:p>
      <w:pPr>
        <w:pStyle w:val="TextBody"/>
        <w:bidi w:val="0"/>
        <w:spacing w:lineRule="auto" w:line="288" w:before="0" w:after="200"/>
        <w:jc w:val="left"/>
        <w:rPr>
          <w:rFonts w:ascii="Arial;sans-serif" w:hAnsi="Arial;sans-serif"/>
          <w:b/>
          <w:color w:val="000000"/>
          <w:sz w:val="20"/>
        </w:rPr>
      </w:pPr>
      <w:bookmarkStart w:id="18" w:name="i320bfbc4b3294c79aaef776f0fba84e6"/>
      <w:bookmarkEnd w:id="18"/>
      <w:r>
        <w:rPr>
          <w:rFonts w:ascii="Arial;sans-serif" w:hAnsi="Arial;sans-serif"/>
          <w:b/>
          <w:color w:val="000000"/>
          <w:sz w:val="20"/>
        </w:rPr>
        <w:t>Remaining Performance Obligations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Company has performance obligations associated with certain clients' contracts for future services that have not yet been recognized as revenue. As of September 30, 2026, the aggregate amount of transaction price allocated to performance obligations that are unsatisfied or partially unsatisfied, including deferred revenue, was approximately $20.3 million. Of the total remaining performance obligations, the Company expects to recognize approximately 53.6% within the next year, 20.9% after one year through year two, and 25.5% over the next three to five years thereafter. Actual amounts and timing of revenue recognized may differ due to subsequent contract modifications, renewals and/or terminations.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19" w:name="i950e6204a2234e49b57e21a34d343e47"/>
      <w:bookmarkEnd w:id="19"/>
      <w:r>
        <w:rPr>
          <w:rFonts w:ascii="Arial;sans-serif" w:hAnsi="Arial;sans-serif"/>
          <w:b/>
          <w:color w:val="000000"/>
          <w:sz w:val="20"/>
        </w:rPr>
        <w:t>Note 3.  Segment Information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Company has a single operating and reportable segment. Operating segments are defined as components of an enterprise for which separate financial information is regularly evaluated by the Company’s chief operating decision maker (CODM). The Company’s CODM is its Chief Executive Officer, who reviews financial information presented on a consolidated basis for purposes of making operating decisions, assessing financial performance and allocating resources. The Company's CODM evaluates company-wide performance, including allocation of resources and assessing profitability, based on multiple performance measures, including, but not limited to net income (loss).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The following table presents the Company's significant segment expenses and other segment items for the three and nine months ended September 30, 2026 and 2025. The CODM does not regularly review segment asset information,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which is total assets, for the purpose of assessing performance and making resource allocation decisions; therefore, such information is not presented.</w:t>
      </w:r>
    </w:p>
    <w:tbl>
      <w:tblPr>
        <w:tblW w:w="10205" w:type="dxa"/>
        <w:jc w:val="left"/>
        <w:tblInd w:w="0" w:type="dxa"/>
        <w:tblLayout w:type="fixed"/>
        <w:tblCellMar>
          <w:top w:w="28" w:type="dxa"/>
          <w:left w:w="28" w:type="dxa"/>
          <w:bottom w:w="28" w:type="dxa"/>
          <w:right w:w="28" w:type="dxa"/>
        </w:tblCellMar>
      </w:tblPr>
      <w:tblGrid>
        <w:gridCol w:w="1387"/>
        <w:gridCol w:w="1092"/>
        <w:gridCol w:w="1096"/>
        <w:gridCol w:w="109"/>
        <w:gridCol w:w="109"/>
        <w:gridCol w:w="109"/>
        <w:gridCol w:w="241"/>
        <w:gridCol w:w="947"/>
        <w:gridCol w:w="125"/>
        <w:gridCol w:w="125"/>
        <w:gridCol w:w="125"/>
        <w:gridCol w:w="125"/>
        <w:gridCol w:w="241"/>
        <w:gridCol w:w="947"/>
        <w:gridCol w:w="125"/>
        <w:gridCol w:w="109"/>
        <w:gridCol w:w="109"/>
        <w:gridCol w:w="109"/>
        <w:gridCol w:w="235"/>
        <w:gridCol w:w="922"/>
        <w:gridCol w:w="121"/>
        <w:gridCol w:w="121"/>
        <w:gridCol w:w="121"/>
        <w:gridCol w:w="121"/>
        <w:gridCol w:w="235"/>
        <w:gridCol w:w="922"/>
        <w:gridCol w:w="177"/>
      </w:tblGrid>
      <w:tr>
        <w:tc>
          <w:tcPr>
            <w:tcW w:w="1387"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c>
          <w:tcPr>
            <w:tcW w:w="3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c>
          <w:tcPr>
            <w:tcW w:w="35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r>
      <w:tr>
        <w:tc>
          <w:tcPr>
            <w:tcW w:w="357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250,300 </w:t>
            </w:r>
          </w:p>
        </w:tc>
        <w:tc>
          <w:tcPr>
            <w:tcW w:w="12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200,138 </w:t>
            </w:r>
          </w:p>
        </w:tc>
        <w:tc>
          <w:tcPr>
            <w:tcW w:w="12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606,156 </w:t>
            </w:r>
          </w:p>
        </w:tc>
        <w:tc>
          <w:tcPr>
            <w:tcW w:w="12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465,481 </w:t>
            </w:r>
          </w:p>
        </w:tc>
        <w:tc>
          <w:tcPr>
            <w:tcW w:w="17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Payment processing services costs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88,685 </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66,582 </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233,137 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162,361 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pPr>
            <w:r>
              <w:rPr>
                <w:rFonts w:ascii="Arial;sans-serif" w:hAnsi="Arial;sans-serif"/>
                <w:b w:val="false"/>
                <w:color w:val="000000"/>
                <w:sz w:val="18"/>
              </w:rPr>
              <w:t xml:space="preserve">Personnel expense </w:t>
            </w:r>
            <w:r>
              <w:rPr>
                <w:rFonts w:ascii="Arial;sans-serif" w:hAnsi="Arial;sans-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43,717 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42,784 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136,210 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125,206 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pPr>
            <w:r>
              <w:rPr>
                <w:rFonts w:ascii="Arial;sans-serif" w:hAnsi="Arial;sans-serif"/>
                <w:b w:val="false"/>
                <w:color w:val="000000"/>
                <w:sz w:val="18"/>
              </w:rPr>
              <w:t xml:space="preserve">Other segment items </w:t>
            </w:r>
            <w:r>
              <w:rPr>
                <w:rFonts w:ascii="Arial;sans-serif" w:hAnsi="Arial;sans-serif"/>
                <w:b w:val="false"/>
                <w:color w:val="000000"/>
                <w:sz w:val="12"/>
              </w:rPr>
              <w:t>(b)</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39,645 </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33,575 </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98,502 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85,731 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7,991 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pPr>
            <w:r>
              <w:rPr>
                <w:rFonts w:ascii="Arial;sans-serif" w:hAnsi="Arial;sans-serif"/>
                <w:b w:val="false"/>
                <w:color w:val="000000"/>
                <w:sz w:val="18"/>
              </w:rPr>
              <w:t xml:space="preserve">Stock-based compensation expense </w:t>
            </w:r>
            <w:r>
              <w:rPr>
                <w:rFonts w:ascii="Arial;sans-serif" w:hAnsi="Arial;sans-serif"/>
                <w:b w:val="false"/>
                <w:color w:val="000000"/>
                <w:sz w:val="12"/>
              </w:rPr>
              <w:t>(c)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17,503 </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17,779 </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53,026 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51,030 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1,197 </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1,079 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2,986 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(4,792)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Loss (gain) from remeasurement of foreign currency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451 </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626 </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(6,897)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Gain on 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(Benefit from) provision for income taxes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(22,189)</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1,568 </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(17,189)</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7,665 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Segment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74,543 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29,631 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78,914 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13,464 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Arial;sans-serif" w:hAnsi="Arial;sans-serif"/>
          <w:b w:val="false"/>
          <w:color w:val="000000"/>
          <w:sz w:val="16"/>
        </w:rPr>
      </w:pPr>
      <w:r>
        <w:rPr>
          <w:rFonts w:ascii="Arial;sans-serif" w:hAnsi="Arial;sans-serif"/>
          <w:b w:val="false"/>
          <w:color w:val="000000"/>
          <w:sz w:val="16"/>
        </w:rPr>
        <w:t>____________________________</w:t>
      </w:r>
    </w:p>
    <w:p>
      <w:pPr>
        <w:pStyle w:val="TextBody"/>
        <w:bidi w:val="0"/>
        <w:spacing w:lineRule="auto" w:line="288" w:before="0" w:after="60"/>
        <w:ind w:left="0" w:right="0" w:hanging="173"/>
        <w:jc w:val="left"/>
      </w:pPr>
      <w:r>
        <w:rPr>
          <w:rFonts w:ascii="Arial;sans-serif" w:hAnsi="Arial;sans-serif"/>
          <w:b w:val="false"/>
          <w:color w:val="000000"/>
          <w:sz w:val="10"/>
        </w:rPr>
        <w:t>(a)</w:t>
      </w:r>
      <w:r>
        <w:rPr>
          <w:rFonts w:ascii="Arial;sans-serif" w:hAnsi="Arial;sans-serif"/>
          <w:b w:val="false"/>
          <w:color w:val="000000"/>
          <w:sz w:val="16"/>
        </w:rPr>
        <w:t>Personnel expense includes employees' and contractors' compensation in technology and development, selling and marketing, and general and administrative operating expenses.</w:t>
      </w:r>
    </w:p>
    <w:p>
      <w:pPr>
        <w:pStyle w:val="TextBody"/>
        <w:bidi w:val="0"/>
        <w:spacing w:lineRule="auto" w:line="288" w:before="0" w:after="60"/>
        <w:ind w:left="0" w:right="0" w:hanging="173"/>
        <w:jc w:val="left"/>
      </w:pPr>
      <w:r>
        <w:rPr>
          <w:rFonts w:ascii="Arial;sans-serif" w:hAnsi="Arial;sans-serif"/>
          <w:b w:val="false"/>
          <w:color w:val="000000"/>
          <w:sz w:val="10"/>
        </w:rPr>
        <w:t>(b)</w:t>
      </w:r>
      <w:r>
        <w:rPr>
          <w:rFonts w:ascii="Arial;sans-serif" w:hAnsi="Arial;sans-serif"/>
          <w:b w:val="false"/>
          <w:color w:val="000000"/>
          <w:sz w:val="16"/>
        </w:rPr>
        <w:t>Other segment items in segment income include the following expenses: professional fees, marketing, travel, facilities, software, ancillary services, acquisition-related transaction costs, and other general and administrative costs.</w:t>
      </w:r>
    </w:p>
    <w:p>
      <w:pPr>
        <w:pStyle w:val="TextBody"/>
        <w:bidi w:val="0"/>
        <w:spacing w:lineRule="auto" w:line="288" w:before="0" w:after="200"/>
        <w:ind w:left="0" w:right="0" w:hanging="173"/>
        <w:jc w:val="left"/>
      </w:pPr>
      <w:r>
        <w:rPr>
          <w:rFonts w:ascii="Arial;sans-serif" w:hAnsi="Arial;sans-serif"/>
          <w:b w:val="false"/>
          <w:color w:val="000000"/>
          <w:sz w:val="10"/>
        </w:rPr>
        <w:t>(c)</w:t>
      </w:r>
      <w:r>
        <w:rPr>
          <w:rFonts w:ascii="Arial;sans-serif" w:hAnsi="Arial;sans-serif"/>
          <w:b w:val="false"/>
          <w:color w:val="000000"/>
          <w:sz w:val="16"/>
        </w:rPr>
        <w:t>Stock-based compensation expense includes employer payroll taxes and excludes stock-based compensation relating to restructuring.</w:t>
      </w:r>
    </w:p>
    <w:p>
      <w:pPr>
        <w:pStyle w:val="TextBody"/>
        <w:bidi w:val="0"/>
        <w:spacing w:lineRule="auto" w:line="288" w:before="0" w:after="200"/>
        <w:ind w:left="0" w:right="0" w:firstLine="490"/>
        <w:jc w:val="left"/>
      </w:pPr>
      <w:r>
        <w:rPr>
          <w:rFonts w:ascii="Arial;sans-serif" w:hAnsi="Arial;sans-serif"/>
          <w:b w:val="false"/>
          <w:color w:val="000000"/>
          <w:sz w:val="20"/>
        </w:rPr>
        <w:t xml:space="preserve">See </w:t>
      </w:r>
      <w:r>
        <w:rPr>
          <w:rFonts w:ascii="Arial;sans-serif" w:hAnsi="Arial;sans-serif"/>
          <w:b w:val="false"/>
          <w:i/>
          <w:color w:val="1F1F1F"/>
          <w:sz w:val="20"/>
        </w:rPr>
        <w:t>Note 2 - Revenue and Recognition</w:t>
      </w:r>
      <w:r>
        <w:rPr>
          <w:color w:val="000000"/>
        </w:rPr>
        <w:t xml:space="preserve"> </w:t>
      </w:r>
      <w:r>
        <w:rPr>
          <w:rFonts w:ascii="Arial;sans-serif" w:hAnsi="Arial;sans-serif"/>
          <w:b w:val="false"/>
          <w:color w:val="000000"/>
          <w:sz w:val="20"/>
        </w:rPr>
        <w:t>for information regarding the Company's revenue by geographic area.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20" w:name="ie72ff8489c674ca1a719df06968d09d7"/>
      <w:bookmarkEnd w:id="20"/>
      <w:r>
        <w:rPr>
          <w:rFonts w:ascii="Arial;sans-serif" w:hAnsi="Arial;sans-serif"/>
          <w:b/>
          <w:color w:val="000000"/>
          <w:sz w:val="20"/>
        </w:rPr>
        <w:t>Note 4.  Investments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following table summarizes the estimated fair value of available-for-sale debt securities included within short-term investments as of September 30, 2026 (in thousands):</w:t>
      </w:r>
    </w:p>
    <w:tbl>
      <w:tblPr>
        <w:tblW w:w="10205" w:type="dxa"/>
        <w:jc w:val="left"/>
        <w:tblInd w:w="0" w:type="dxa"/>
        <w:tblLayout w:type="fixed"/>
        <w:tblCellMar>
          <w:top w:w="28" w:type="dxa"/>
          <w:left w:w="28" w:type="dxa"/>
          <w:bottom w:w="28" w:type="dxa"/>
          <w:right w:w="28" w:type="dxa"/>
        </w:tblCellMar>
      </w:tblPr>
      <w:tblGrid>
        <w:gridCol w:w="657"/>
        <w:gridCol w:w="576"/>
        <w:gridCol w:w="579"/>
        <w:gridCol w:w="479"/>
        <w:gridCol w:w="479"/>
        <w:gridCol w:w="480"/>
        <w:gridCol w:w="109"/>
        <w:gridCol w:w="109"/>
        <w:gridCol w:w="109"/>
        <w:gridCol w:w="502"/>
        <w:gridCol w:w="502"/>
        <w:gridCol w:w="503"/>
        <w:gridCol w:w="109"/>
        <w:gridCol w:w="109"/>
        <w:gridCol w:w="109"/>
        <w:gridCol w:w="522"/>
        <w:gridCol w:w="522"/>
        <w:gridCol w:w="523"/>
        <w:gridCol w:w="109"/>
        <w:gridCol w:w="109"/>
        <w:gridCol w:w="109"/>
        <w:gridCol w:w="109"/>
        <w:gridCol w:w="109"/>
        <w:gridCol w:w="431"/>
        <w:gridCol w:w="431"/>
        <w:gridCol w:w="433"/>
        <w:gridCol w:w="109"/>
        <w:gridCol w:w="109"/>
        <w:gridCol w:w="109"/>
        <w:gridCol w:w="308"/>
        <w:gridCol w:w="308"/>
        <w:gridCol w:w="444"/>
      </w:tblGrid>
      <w:tr>
        <w:tc>
          <w:tcPr>
            <w:tcW w:w="65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6" w:type="dxa"/>
            <w:gridSpan w:val="2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September 30, 2026</w:t>
            </w:r>
          </w:p>
        </w:tc>
        <w:tc>
          <w:tcPr>
            <w:tcW w:w="1387" w:type="dxa"/>
            <w:gridSpan w:val="6"/>
            <w:tcBorders/>
          </w:tcPr>
          <w:p>
            <w:pPr>
              <w:pStyle w:val="TableContents"/>
              <w:bidi w:val="0"/>
              <w:spacing w:before="0" w:after="283"/>
              <w:jc w:val="left"/>
              <w:rPr>
                <w:sz w:val="4"/>
                <w:szCs w:val="4"/>
              </w:rPr>
            </w:pPr>
            <w:r>
              <w:rPr>
                <w:sz w:val="4"/>
                <w:szCs w:val="4"/>
              </w:rPr>
            </w:r>
          </w:p>
        </w:tc>
      </w:tr>
      <w:tr>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Gross 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Gross 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Gross 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 xml:space="preserve">Accrued Interest </w:t>
            </w:r>
          </w:p>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Aggregate</w:t>
            </w:r>
          </w:p>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Fair Value</w:t>
            </w:r>
          </w:p>
        </w:tc>
      </w:tr>
      <w:tr>
        <w:tc>
          <w:tcPr>
            <w:tcW w:w="18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Short-term investments</w:t>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c>
          <w:tcPr>
            <w:tcW w:w="18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U.S. Government obligations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3,043 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c>
          <w:tcPr>
            <w:tcW w:w="18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c>
          <w:tcPr>
            <w:tcW w:w="18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c>
          <w:tcPr>
            <w:tcW w:w="18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c>
          <w:tcPr>
            <w:tcW w:w="18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short-term investments</w:t>
            </w:r>
          </w:p>
        </w:tc>
        <w:tc>
          <w:tcPr>
            <w:tcW w:w="95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4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4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3,043 </w:t>
            </w:r>
          </w:p>
        </w:tc>
        <w:tc>
          <w:tcPr>
            <w:tcW w:w="4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8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c>
          <w:tcPr>
            <w:tcW w:w="18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c>
          <w:tcPr>
            <w:tcW w:w="18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c>
          <w:tcPr>
            <w:tcW w:w="18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c>
          <w:tcPr>
            <w:tcW w:w="18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c>
          <w:tcPr>
            <w:tcW w:w="181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following table summarizes the estimated fair value of available-for-sale debt securities included within short-term investments as of December 31, 2025 (in thousands):</w:t>
      </w:r>
    </w:p>
    <w:tbl>
      <w:tblPr>
        <w:tblW w:w="10205" w:type="dxa"/>
        <w:jc w:val="left"/>
        <w:tblInd w:w="0" w:type="dxa"/>
        <w:tblLayout w:type="fixed"/>
        <w:tblCellMar>
          <w:top w:w="28" w:type="dxa"/>
          <w:left w:w="28" w:type="dxa"/>
          <w:bottom w:w="28" w:type="dxa"/>
          <w:right w:w="28" w:type="dxa"/>
        </w:tblCellMar>
      </w:tblPr>
      <w:tblGrid>
        <w:gridCol w:w="651"/>
        <w:gridCol w:w="570"/>
        <w:gridCol w:w="574"/>
        <w:gridCol w:w="295"/>
        <w:gridCol w:w="1008"/>
        <w:gridCol w:w="152"/>
        <w:gridCol w:w="109"/>
        <w:gridCol w:w="109"/>
        <w:gridCol w:w="109"/>
        <w:gridCol w:w="463"/>
        <w:gridCol w:w="793"/>
        <w:gridCol w:w="240"/>
        <w:gridCol w:w="109"/>
        <w:gridCol w:w="109"/>
        <w:gridCol w:w="109"/>
        <w:gridCol w:w="450"/>
        <w:gridCol w:w="867"/>
        <w:gridCol w:w="236"/>
        <w:gridCol w:w="109"/>
        <w:gridCol w:w="109"/>
        <w:gridCol w:w="109"/>
        <w:gridCol w:w="109"/>
        <w:gridCol w:w="109"/>
        <w:gridCol w:w="346"/>
        <w:gridCol w:w="765"/>
        <w:gridCol w:w="178"/>
        <w:gridCol w:w="109"/>
        <w:gridCol w:w="109"/>
        <w:gridCol w:w="109"/>
        <w:gridCol w:w="211"/>
        <w:gridCol w:w="721"/>
        <w:gridCol w:w="159"/>
      </w:tblGrid>
      <w:tr>
        <w:tc>
          <w:tcPr>
            <w:tcW w:w="65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2" w:type="dxa"/>
            <w:gridSpan w:val="2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December 31, 2025</w:t>
            </w:r>
          </w:p>
        </w:tc>
        <w:tc>
          <w:tcPr>
            <w:tcW w:w="1418" w:type="dxa"/>
            <w:gridSpan w:val="6"/>
            <w:tcBorders/>
          </w:tcPr>
          <w:p>
            <w:pPr>
              <w:pStyle w:val="TableContents"/>
              <w:bidi w:val="0"/>
              <w:spacing w:before="0" w:after="283"/>
              <w:jc w:val="left"/>
              <w:rPr>
                <w:sz w:val="4"/>
                <w:szCs w:val="4"/>
              </w:rPr>
            </w:pPr>
            <w:r>
              <w:rPr>
                <w:sz w:val="4"/>
                <w:szCs w:val="4"/>
              </w:rPr>
            </w:r>
          </w:p>
        </w:tc>
      </w:tr>
      <w:t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Gross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4" w:after="283"/>
              <w:jc w:val="center"/>
              <w:rPr>
                <w:rFonts w:ascii="Arial;sans-serif" w:hAnsi="Arial;sans-serif"/>
                <w:b/>
                <w:color w:val="000000"/>
                <w:sz w:val="18"/>
              </w:rPr>
            </w:pPr>
            <w:r>
              <w:rPr>
                <w:rFonts w:ascii="Arial;sans-serif" w:hAnsi="Arial;sans-serif"/>
                <w:b/>
                <w:color w:val="000000"/>
                <w:sz w:val="18"/>
              </w:rPr>
              <w:t xml:space="preserve">Accrued Interest </w:t>
            </w:r>
          </w:p>
          <w:p>
            <w:pPr>
              <w:pStyle w:val="TableContents"/>
              <w:bidi w:val="0"/>
              <w:spacing w:lineRule="auto" w:line="276" w:before="14" w:after="283"/>
              <w:jc w:val="center"/>
              <w:rPr>
                <w:rFonts w:ascii="Arial;sans-serif" w:hAnsi="Arial;sans-serif"/>
                <w:b/>
                <w:color w:val="000000"/>
                <w:sz w:val="18"/>
              </w:rPr>
            </w:pPr>
            <w:r>
              <w:rPr>
                <w:rFonts w:ascii="Arial;sans-serif" w:hAnsi="Arial;sans-serif"/>
                <w:b/>
                <w:color w:val="000000"/>
                <w:sz w:val="18"/>
              </w:rPr>
              <w:t>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4" w:after="283"/>
              <w:jc w:val="center"/>
              <w:rPr>
                <w:rFonts w:ascii="Arial;sans-serif" w:hAnsi="Arial;sans-serif"/>
                <w:b/>
                <w:color w:val="000000"/>
                <w:sz w:val="18"/>
              </w:rPr>
            </w:pPr>
            <w:r>
              <w:rPr>
                <w:rFonts w:ascii="Arial;sans-serif" w:hAnsi="Arial;sans-serif"/>
                <w:b/>
                <w:color w:val="000000"/>
                <w:sz w:val="18"/>
              </w:rPr>
              <w:t>Aggregate</w:t>
            </w:r>
          </w:p>
          <w:p>
            <w:pPr>
              <w:pStyle w:val="TableContents"/>
              <w:bidi w:val="0"/>
              <w:spacing w:lineRule="auto" w:line="276" w:before="14" w:after="283"/>
              <w:jc w:val="center"/>
              <w:rPr>
                <w:rFonts w:ascii="Arial;sans-serif" w:hAnsi="Arial;sans-serif"/>
                <w:b/>
                <w:color w:val="000000"/>
                <w:sz w:val="18"/>
              </w:rPr>
            </w:pPr>
            <w:r>
              <w:rPr>
                <w:rFonts w:ascii="Arial;sans-serif" w:hAnsi="Arial;sans-serif"/>
                <w:b/>
                <w:color w:val="000000"/>
                <w:sz w:val="18"/>
              </w:rPr>
              <w:t>Fair Value</w:t>
            </w:r>
          </w:p>
        </w:tc>
      </w:tr>
      <w:tr>
        <w:tc>
          <w:tcPr>
            <w:tcW w:w="1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Short-term investments</w:t>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Corporate bonds</w:t>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4,808 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U.S. Government obligations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19,573 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short-term investments</w:t>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24,381 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24,692 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c>
          <w:tcPr>
            <w:tcW w:w="179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of September 30, 2026 and December 31, 2025, all of the Company's available-for-sale debt securities are due within one year.</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As of September 30, 2026 and December 31, 2025, none of the investments in available-for-sale debt securities were in an unrealized loss position. </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For the three and nine months ended September 30, 2026, the Company received proceeds of $8.7 million and $21.4 million from the maturity and sale of short-term investments, respectively. For the three and nine months ended September 30, 2025, the Company received proceeds of $12.4 million and $154.7 million from the maturity and sale of short-term and long-term investments, respectively, primarily used to partially pay down the outstanding debt under the Company's revolving credit facility used for the Sertifi acquisition.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Realized gains and losses on investments are calculated on the basis of specific identification. During the three and nine months ended September 30, 2026, realized gains were less than $0.1 million and there were no realized losses on the sale of the available-for-sale debt securities. During the three months ended September 30, 2025, there were no realized gains or losses on the sale of the available-for-sale debt securities. During the nine months ended September 30, 2025, realized gains were $0.2 million and realized losses were less than $0.1 million on the sale of available-for-sale debt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21" w:name="ic42dd8a6ba1449f886236b4038de31f0"/>
      <w:bookmarkEnd w:id="21"/>
      <w:r>
        <w:rPr>
          <w:rFonts w:ascii="Arial;sans-serif" w:hAnsi="Arial;sans-serif"/>
          <w:b/>
          <w:color w:val="000000"/>
          <w:sz w:val="20"/>
        </w:rPr>
        <w:t>Note 5.  Fair Value Measurements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Certain assets and liabilities are carried at fair value under GAAP. Fair value is defined as the exchange price that would be received for an asset or paid to transfer a liability (an exit price) in an orderly transaction between market 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Level 1 - Quoted prices in active markets for identical assets or liabilities.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3 - Unobservable inputs that are supported by little or no market activity and that are significant to determining the fair value of the assets or liabilities, including pricing models, discounted cash flow methodologies and similar techniques.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Company’s cash equivalents are carried at fair value (Level 1) as determined according to the fair value hierarchy described above. The money market funds, which are AAA-rated, are comprised of liquid, high-quality debt securities issued by the U.S. government. Shares in money market funds are purchased and redeemed at the net asset value (NAV) at the time of the purchase or sale, which may be purchased or redeemed on demand, as may be required by the Company, which represents Level 1 fair value. The Company's investments in available-for-sale debt securities and the foreign exchange contracts are carried at fair value, determined using Level 2 inputs in the fair value hierarchy as quoted prices are available to support the valuation. The carrying values of accounts receivable, funds receivable from payment partners, unbilled receivables, prepaid expenses, accounts payable, funds payable to clients, and accrued expenses and other current liabilities approximate their respective fair values due to the short-term nature of these assets and liabilities. The Company’s contingent consideration is carried at fair value, determined using Level 3 inputs in the fair value hierarchy.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following tables present the Company’s fair value hierarchy for its financial assets and liabilities that are measured at fair value on a recurring basis as of September 30, 2026 and December 31, 2025 (in thousands):</w:t>
      </w:r>
    </w:p>
    <w:tbl>
      <w:tblPr>
        <w:tblW w:w="7590" w:type="dxa"/>
        <w:jc w:val="left"/>
        <w:tblInd w:w="0" w:type="dxa"/>
        <w:tblLayout w:type="fixed"/>
        <w:tblCellMar>
          <w:top w:w="28" w:type="dxa"/>
          <w:left w:w="28" w:type="dxa"/>
          <w:bottom w:w="28" w:type="dxa"/>
          <w:right w:w="28" w:type="dxa"/>
        </w:tblCellMar>
      </w:tblPr>
      <w:tblGrid>
        <w:gridCol w:w="945"/>
        <w:gridCol w:w="832"/>
        <w:gridCol w:w="833"/>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c>
          <w:tcPr>
            <w:tcW w:w="94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Measured at Fair Value as of September 30, 2026</w:t>
            </w:r>
          </w:p>
        </w:tc>
      </w:tr>
      <w:t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Total</w:t>
            </w:r>
          </w:p>
        </w:tc>
      </w:tr>
      <w:t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Short-term investments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U.S. Government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short-term investments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3,043 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financial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58,038 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61,081 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Financial 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Foreign exchange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financial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4,092 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95" w:type="dxa"/>
        <w:jc w:val="left"/>
        <w:tblInd w:w="0" w:type="dxa"/>
        <w:tblLayout w:type="fixed"/>
        <w:tblCellMar>
          <w:top w:w="28" w:type="dxa"/>
          <w:left w:w="28" w:type="dxa"/>
          <w:bottom w:w="28" w:type="dxa"/>
          <w:right w:w="28" w:type="dxa"/>
        </w:tblCellMar>
      </w:tblPr>
      <w:tblGrid>
        <w:gridCol w:w="945"/>
        <w:gridCol w:w="832"/>
        <w:gridCol w:w="83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4"/>
      </w:tblGrid>
      <w:tr>
        <w:tc>
          <w:tcPr>
            <w:tcW w:w="94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Measured at Fair Value as of December 31, 2025</w:t>
            </w:r>
          </w:p>
        </w:tc>
      </w:tr>
      <w:t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Total</w:t>
            </w:r>
          </w:p>
        </w:tc>
      </w:tr>
      <w:t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Foreign exchange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Short-term investments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U.S. Government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short-term investments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24,692 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financial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34,857 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59,891 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Financial Liabilities: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Foreign exchange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financial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During the nine months ended September 30, 2026, and the year ended December 31, 2025, there were no transfers between Level 1, Level 2, or Level 3.</w:t>
      </w:r>
    </w:p>
    <w:p>
      <w:pPr>
        <w:pStyle w:val="TextBody"/>
        <w:bidi w:val="0"/>
        <w:spacing w:lineRule="auto" w:line="288" w:before="0" w:after="200"/>
        <w:jc w:val="left"/>
        <w:rPr>
          <w:rFonts w:ascii="Arial;sans-serif" w:hAnsi="Arial;sans-serif"/>
          <w:b/>
          <w:i/>
          <w:color w:val="000000"/>
          <w:sz w:val="20"/>
        </w:rPr>
      </w:pPr>
      <w:bookmarkStart w:id="22" w:name="i4768befd8ada496095c2cf5a1db16d7e"/>
      <w:bookmarkEnd w:id="22"/>
      <w:r>
        <w:rPr>
          <w:rFonts w:ascii="Arial;sans-serif" w:hAnsi="Arial;sans-serif"/>
          <w:b/>
          <w:i/>
          <w:color w:val="000000"/>
          <w:sz w:val="20"/>
        </w:rPr>
        <w:t>Contingent consideration</w:t>
      </w:r>
    </w:p>
    <w:p>
      <w:pPr>
        <w:pStyle w:val="TextBody"/>
        <w:bidi w:val="0"/>
        <w:spacing w:lineRule="auto" w:line="288" w:before="0" w:after="200"/>
        <w:jc w:val="left"/>
        <w:rPr>
          <w:rFonts w:ascii="Arial;sans-serif" w:hAnsi="Arial;sans-serif"/>
          <w:b/>
          <w:i/>
          <w:color w:val="000000"/>
          <w:sz w:val="20"/>
        </w:rPr>
      </w:pPr>
      <w:bookmarkStart w:id="23" w:name="i8aef9994d5864e9aa536e0a21bcf350c"/>
      <w:bookmarkEnd w:id="23"/>
      <w:r>
        <w:rPr>
          <w:rFonts w:ascii="Arial;sans-serif" w:hAnsi="Arial;sans-serif"/>
          <w:b/>
          <w:i/>
          <w:color w:val="000000"/>
          <w:sz w:val="20"/>
        </w:rPr>
        <w:t>Sertifi LLC (Sertifi)</w:t>
      </w:r>
    </w:p>
    <w:p>
      <w:pPr>
        <w:pStyle w:val="TextBody"/>
        <w:bidi w:val="0"/>
        <w:spacing w:lineRule="auto" w:line="288" w:before="0" w:after="200"/>
        <w:ind w:left="0" w:right="0" w:firstLine="490"/>
        <w:jc w:val="left"/>
      </w:pPr>
      <w:r>
        <w:rPr>
          <w:rFonts w:ascii="Arial;sans-serif" w:hAnsi="Arial;sans-serif"/>
          <w:b w:val="false"/>
          <w:color w:val="000000"/>
          <w:sz w:val="20"/>
        </w:rPr>
        <w:t xml:space="preserve">The fair value of the contingent consideration related to the gross profit milestone from the Company’s acquisition of Sertifi in February 2025 was determined using an option pricing model and the fair value of the contingent consideration related to the technology and security integration milestones was determined using a scenario-based method. Refer to </w:t>
      </w:r>
      <w:r>
        <w:rPr>
          <w:rFonts w:ascii="Arial;sans-serif" w:hAnsi="Arial;sans-serif"/>
          <w:b w:val="false"/>
          <w:i/>
          <w:color w:val="1F1F1F"/>
          <w:sz w:val="20"/>
        </w:rPr>
        <w:t>Note 10 - Business Combinations</w:t>
      </w:r>
      <w:r>
        <w:rPr>
          <w:color w:val="000000"/>
        </w:rPr>
        <w:t xml:space="preserve"> </w:t>
      </w:r>
      <w:r>
        <w:rPr>
          <w:rFonts w:ascii="Arial;sans-serif" w:hAnsi="Arial;sans-serif"/>
          <w:b w:val="false"/>
          <w:color w:val="000000"/>
          <w:sz w:val="20"/>
        </w:rPr>
        <w:t>for additional details on the Sertifi acquisition. The following table presents the unobservable inputs incorporated into the fair value of the contingent consideration liability as of September 30, 2026.</w:t>
      </w:r>
    </w:p>
    <w:tbl>
      <w:tblPr>
        <w:tblW w:w="7370" w:type="dxa"/>
        <w:jc w:val="left"/>
        <w:tblInd w:w="0" w:type="dxa"/>
        <w:tblLayout w:type="fixed"/>
        <w:tblCellMar>
          <w:top w:w="28" w:type="dxa"/>
          <w:left w:w="28" w:type="dxa"/>
          <w:bottom w:w="28" w:type="dxa"/>
          <w:right w:w="28" w:type="dxa"/>
        </w:tblCellMar>
      </w:tblPr>
      <w:tblGrid>
        <w:gridCol w:w="1220"/>
        <w:gridCol w:w="1074"/>
        <w:gridCol w:w="1080"/>
        <w:gridCol w:w="180"/>
        <w:gridCol w:w="181"/>
        <w:gridCol w:w="430"/>
        <w:gridCol w:w="173"/>
        <w:gridCol w:w="173"/>
        <w:gridCol w:w="173"/>
        <w:gridCol w:w="173"/>
        <w:gridCol w:w="173"/>
        <w:gridCol w:w="173"/>
        <w:gridCol w:w="109"/>
        <w:gridCol w:w="109"/>
        <w:gridCol w:w="109"/>
        <w:gridCol w:w="180"/>
        <w:gridCol w:w="181"/>
        <w:gridCol w:w="414"/>
        <w:gridCol w:w="166"/>
        <w:gridCol w:w="166"/>
        <w:gridCol w:w="166"/>
        <w:gridCol w:w="166"/>
        <w:gridCol w:w="166"/>
        <w:gridCol w:w="235"/>
      </w:tblGrid>
      <w:tr>
        <w:tc>
          <w:tcPr>
            <w:tcW w:w="122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December 31, 2025</w:t>
            </w:r>
          </w:p>
        </w:tc>
      </w:tr>
      <w:tr>
        <w:tc>
          <w:tcPr>
            <w:tcW w:w="337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Discount rate</w:t>
            </w:r>
          </w:p>
        </w:tc>
        <w:tc>
          <w:tcPr>
            <w:tcW w:w="1829" w:type="dxa"/>
            <w:gridSpan w:val="9"/>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6.6%</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6.6%</w:t>
            </w:r>
          </w:p>
        </w:tc>
      </w:tr>
      <w:t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000000"/>
                <w:sz w:val="18"/>
              </w:rPr>
              <w:t xml:space="preserve">Probability of successful achievement </w:t>
            </w:r>
            <w:r>
              <w:rPr>
                <w:rFonts w:ascii="Arial;sans-serif" w:hAnsi="Arial;sans-serif"/>
                <w:b w:val="false"/>
                <w:color w:val="000000"/>
                <w:sz w:val="12"/>
              </w:rPr>
              <w:t>(a)</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4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c>
          <w:tcPr>
            <w:tcW w:w="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4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4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37%</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173"/>
        <w:jc w:val="left"/>
      </w:pPr>
      <w:r>
        <w:rPr>
          <w:rFonts w:ascii="Arial;sans-serif" w:hAnsi="Arial;sans-serif"/>
          <w:b w:val="false"/>
          <w:color w:val="000000"/>
          <w:sz w:val="10"/>
        </w:rPr>
        <w:t>(a)</w:t>
      </w:r>
      <w:r>
        <w:rPr>
          <w:rFonts w:ascii="Arial;sans-serif" w:hAnsi="Arial;sans-serif"/>
          <w:b w:val="false"/>
          <w:color w:val="000000"/>
          <w:sz w:val="16"/>
        </w:rPr>
        <w:t>Probability of successful achievement was set at different targets based on the Company’s estimates on achieving them. The weighted average probability of successful achievement was 38.4% as of September 30,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Increases or decreases in the discount rate would result in a lower or higher fair value measurement, respectively. Increases or decreases in any of the probabilities of success in which the gross profit and technology and security milestones are expected to be achieved would result in higher or lower fair value measurement, respectively.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Changes in the fair value of contingent consideration are included as a component of general and administrative expense within the condensed consolidated statements of operations and comprehensive (loss) income. At September 30, 2026 and December 31, 2025, $3.8 million and $2.0 million, respectively, of contingent consideration was reflected in the Company's balance sheet in accrued expenses and other current liabilities. The following table summarizes the changes in the carrying value of the contingent consideration for the periods presented (in thousands):</w:t>
      </w:r>
    </w:p>
    <w:tbl>
      <w:tblPr>
        <w:tblW w:w="6433" w:type="dxa"/>
        <w:jc w:val="left"/>
        <w:tblInd w:w="0" w:type="dxa"/>
        <w:tblLayout w:type="fixed"/>
        <w:tblCellMar>
          <w:top w:w="28" w:type="dxa"/>
          <w:left w:w="28" w:type="dxa"/>
          <w:bottom w:w="28" w:type="dxa"/>
          <w:right w:w="28" w:type="dxa"/>
        </w:tblCellMar>
      </w:tblPr>
      <w:tblGrid>
        <w:gridCol w:w="1212"/>
        <w:gridCol w:w="1065"/>
        <w:gridCol w:w="1068"/>
        <w:gridCol w:w="290"/>
        <w:gridCol w:w="848"/>
        <w:gridCol w:w="150"/>
        <w:gridCol w:w="150"/>
        <w:gridCol w:w="150"/>
        <w:gridCol w:w="150"/>
        <w:gridCol w:w="290"/>
        <w:gridCol w:w="848"/>
        <w:gridCol w:w="212"/>
      </w:tblGrid>
      <w:t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r>
      <w:tr>
        <w:tc>
          <w:tcPr>
            <w:tcW w:w="334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9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2,046 </w:t>
            </w:r>
          </w:p>
        </w:tc>
        <w:tc>
          <w:tcPr>
            <w:tcW w:w="15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5,094 </w:t>
            </w:r>
          </w:p>
        </w:tc>
        <w:tc>
          <w:tcPr>
            <w:tcW w:w="21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Additions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3,107 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Change in fair value</w:t>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1,794 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Arial;sans-serif" w:hAnsi="Arial;sans-serif"/>
                <w:b w:val="false"/>
                <w:color w:val="000000"/>
                <w:sz w:val="18"/>
              </w:rPr>
              <w:t xml:space="preserve">Contingent consideration paid </w:t>
            </w:r>
            <w:r>
              <w:rPr>
                <w:rFonts w:ascii="Arial;sans-serif" w:hAnsi="Arial;sans-serif"/>
                <w:b w:val="false"/>
                <w:color w:val="000000"/>
                <w:sz w:val="12"/>
              </w:rPr>
              <w:t>(a)</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(4,213)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3,840 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2,724 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173"/>
        <w:jc w:val="left"/>
      </w:pPr>
      <w:r>
        <w:rPr>
          <w:rFonts w:ascii="Arial;sans-serif" w:hAnsi="Arial;sans-serif"/>
          <w:b w:val="false"/>
          <w:color w:val="000000"/>
          <w:sz w:val="9"/>
        </w:rPr>
        <w:t>(a)</w:t>
      </w:r>
      <w:r>
        <w:rPr>
          <w:rFonts w:ascii="Arial;sans-serif" w:hAnsi="Arial;sans-serif"/>
          <w:b w:val="false"/>
          <w:color w:val="000000"/>
          <w:sz w:val="14"/>
        </w:rPr>
        <w:t>Contingent consideration when paid is bifurcated between the financing and operating sections of the condensed consolidated statement of cash flows. Amounts paid up to the fair value initially recorded in purchase accounting is reported in the financing section of the condensed consolidated statement of cash flows, while any excess is reported in the operating section of the condensed consolidated statement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24" w:name="i33afb0ff38e94e058ef068e2de80f7a6"/>
      <w:bookmarkEnd w:id="24"/>
      <w:r>
        <w:rPr>
          <w:rFonts w:ascii="Arial;sans-serif" w:hAnsi="Arial;sans-serif"/>
          <w:b/>
          <w:color w:val="000000"/>
          <w:sz w:val="20"/>
        </w:rPr>
        <w:t>Note 6.  Derivative Instruments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part of the Company’s foreign currency risk management program, the Company uses derivative instruments to mitigate the volatility related to fluctuations in foreign exchange rates. The Company entered into foreign currency forward contracts used to mitigate the currency exchange risk associated with clients and their customers' payments and intercompany loans. The Company's foreign currency forward contracts are not designated as hedging instruments.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notional amounts are generally not exchanged, but are used only as the underlying basis on which the value of foreign exchange payments under these contracts is determined. The notional amounts are not recorded on the condensed consolidated balance sheets and are not, when viewed in isolation, a meaningful measure of the risk profile of the derivative instruments.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of September 30, 2026 and December 31, 2025, the Company had 25,852 and 18,355 open foreign exchange contracts related to clients and their customers' payments, respectively. As of September 30, 2026 and December 31, 2025, the Company had foreign currency forward contracts related to clients and their customers' payments outstanding with notional amounts of $118.7 million and $66.5 million, respectively.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of September 30, 2026 and December 31, 2025, the Company had one and two open foreign exchange contracts related to intercompany loans, respectively. As of September 30, 2026 and December 31, 2025, the Company had foreign exchange contracts related to intercompany loans outstanding with notional amounts of $25.1 million and $83.7 million, respectively.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Company records all derivative instruments in the condensed consolidated balance sheets at their fair values. The Company recorded a liability of $0.3 million related to outstanding foreign exchange contracts as of September 30, 2026. The Company recorded an asset of $0.3 million and a liability of $0.4 million related to outstanding foreign exchange contracts as of December 31, 2025, respectively. Assets and liabilities associated with outstanding foreign exchange contracts are recorded within prepaid expenses and other current assets and accrued expenses and other current liabilities, respectively, on the condensed consolidated balance sheets.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Company recognized losses of $0.2 million and $1.0 million on the intercompany loan derivatives during the three and nine months ended September 30, 2026, respectively. The Company recognized a gain of $0.2 million on the intercompany loan derivatives during the three and nine months ended September 30, 2025. The Company recognized losses on derivatives related to clients and their customers' payments of $2.8 million and $4.2 million during the three and nine months ended September 30, 2026, respectively. The Company recognized losses on derivatives related to clients and their customers' payments of $1.0 million and $0.4 million during the three and nine months ended September 30, 2025, respectively.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Gains and losses on the intercompany loans derivatives are included as a component of other income (expense) in the condensed consolidated statements of operations and comprehensive income. Gains and losses on the derivatives related to clients and their customers' payments are included as a component of general and administrative expense within the condensed consolidated statements of operations and comprehensive income due to the nature of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25" w:name="iba622067fb374a5093ca7c85cd137f32"/>
      <w:bookmarkEnd w:id="25"/>
      <w:r>
        <w:rPr>
          <w:rFonts w:ascii="Arial;sans-serif" w:hAnsi="Arial;sans-serif"/>
          <w:b/>
          <w:color w:val="000000"/>
          <w:sz w:val="20"/>
        </w:rPr>
        <w:t>Note 7.  Accrued Expenses and Other Current Liabilities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Accrued expenses and other current liabilities consisted of the following as of the dates presented (in thousands):</w:t>
      </w:r>
    </w:p>
    <w:tbl>
      <w:tblPr>
        <w:tblW w:w="7615" w:type="dxa"/>
        <w:jc w:val="left"/>
        <w:tblInd w:w="0" w:type="dxa"/>
        <w:tblLayout w:type="fixed"/>
        <w:tblCellMar>
          <w:top w:w="28" w:type="dxa"/>
          <w:left w:w="28" w:type="dxa"/>
          <w:bottom w:w="28" w:type="dxa"/>
          <w:right w:w="28" w:type="dxa"/>
        </w:tblCellMar>
      </w:tblPr>
      <w:tblGrid>
        <w:gridCol w:w="1662"/>
        <w:gridCol w:w="1461"/>
        <w:gridCol w:w="1467"/>
        <w:gridCol w:w="273"/>
        <w:gridCol w:w="934"/>
        <w:gridCol w:w="142"/>
        <w:gridCol w:w="109"/>
        <w:gridCol w:w="109"/>
        <w:gridCol w:w="109"/>
        <w:gridCol w:w="262"/>
        <w:gridCol w:w="896"/>
        <w:gridCol w:w="191"/>
      </w:tblGrid>
      <w:tr>
        <w:tc>
          <w:tcPr>
            <w:tcW w:w="166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September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December 31,</w:t>
              <w:br/>
              <w:t>2025</w:t>
            </w:r>
          </w:p>
        </w:tc>
      </w:tr>
      <w:tr>
        <w:tc>
          <w:tcPr>
            <w:tcW w:w="45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Accrued employee compensation and related taxes</w:t>
            </w:r>
          </w:p>
        </w:tc>
        <w:tc>
          <w:tcPr>
            <w:tcW w:w="27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24,035 </w:t>
            </w:r>
          </w:p>
        </w:tc>
        <w:tc>
          <w:tcPr>
            <w:tcW w:w="14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21,728 </w:t>
            </w:r>
          </w:p>
        </w:tc>
        <w:tc>
          <w:tcPr>
            <w:tcW w:w="19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Accrued income and other non-employee related taxes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8,558 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Accrued vendor liabilities</w:t>
            </w:r>
          </w:p>
        </w:tc>
        <w:tc>
          <w:tcPr>
            <w:tcW w:w="12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5,765 </w:t>
            </w:r>
          </w:p>
        </w:tc>
        <w:tc>
          <w:tcPr>
            <w:tcW w:w="1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5,168 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Sales tax payable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portion of contingent consideration</w:t>
            </w:r>
          </w:p>
        </w:tc>
        <w:tc>
          <w:tcPr>
            <w:tcW w:w="12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5,305 </w:t>
            </w:r>
          </w:p>
        </w:tc>
        <w:tc>
          <w:tcPr>
            <w:tcW w:w="1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2,046 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Accrued professional services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liabilities</w:t>
            </w:r>
          </w:p>
        </w:tc>
        <w:tc>
          <w:tcPr>
            <w:tcW w:w="12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1,413 </w:t>
            </w:r>
          </w:p>
        </w:tc>
        <w:tc>
          <w:tcPr>
            <w:tcW w:w="1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1,346 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accrued expenses and current liabilities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16,498 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12,842 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Accrued expenses and other current liabilities</w:t>
            </w:r>
          </w:p>
        </w:tc>
        <w:tc>
          <w:tcPr>
            <w:tcW w:w="27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67,788 </w:t>
            </w:r>
          </w:p>
        </w:tc>
        <w:tc>
          <w:tcPr>
            <w:tcW w:w="14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55,715 </w:t>
            </w:r>
          </w:p>
        </w:tc>
        <w:tc>
          <w:tcPr>
            <w:tcW w:w="19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26" w:name="ie7093ba6df254ec9bedd7a553f2b8aee"/>
      <w:bookmarkEnd w:id="26"/>
      <w:r>
        <w:rPr>
          <w:rFonts w:ascii="Arial;sans-serif" w:hAnsi="Arial;sans-serif"/>
          <w:b/>
          <w:color w:val="000000"/>
          <w:sz w:val="20"/>
        </w:rPr>
        <w:t>Note 8.  Property and Equipment, net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Property and equipment, net consisted of the following as of the dates presented (in thousands):</w:t>
      </w:r>
    </w:p>
    <w:tbl>
      <w:tblPr>
        <w:tblW w:w="7164" w:type="dxa"/>
        <w:jc w:val="left"/>
        <w:tblInd w:w="0" w:type="dxa"/>
        <w:tblLayout w:type="fixed"/>
        <w:tblCellMar>
          <w:top w:w="28" w:type="dxa"/>
          <w:left w:w="28" w:type="dxa"/>
          <w:bottom w:w="28" w:type="dxa"/>
          <w:right w:w="28" w:type="dxa"/>
        </w:tblCellMar>
      </w:tblPr>
      <w:tblGrid>
        <w:gridCol w:w="1500"/>
        <w:gridCol w:w="1318"/>
        <w:gridCol w:w="1321"/>
        <w:gridCol w:w="273"/>
        <w:gridCol w:w="934"/>
        <w:gridCol w:w="142"/>
        <w:gridCol w:w="109"/>
        <w:gridCol w:w="109"/>
        <w:gridCol w:w="109"/>
        <w:gridCol w:w="262"/>
        <w:gridCol w:w="896"/>
        <w:gridCol w:w="191"/>
      </w:tblGrid>
      <w:t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September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December 31,</w:t>
              <w:br/>
              <w:t>2025</w:t>
            </w:r>
          </w:p>
        </w:tc>
      </w:tr>
      <w:tr>
        <w:tc>
          <w:tcPr>
            <w:tcW w:w="41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Internal-use software</w:t>
            </w:r>
          </w:p>
        </w:tc>
        <w:tc>
          <w:tcPr>
            <w:tcW w:w="27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42,444 </w:t>
            </w:r>
          </w:p>
        </w:tc>
        <w:tc>
          <w:tcPr>
            <w:tcW w:w="14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31,074 </w:t>
            </w:r>
          </w:p>
        </w:tc>
        <w:tc>
          <w:tcPr>
            <w:tcW w:w="19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Computer equipment and software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5,109 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4,708 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Leasehold improvements</w:t>
            </w:r>
          </w:p>
        </w:tc>
        <w:tc>
          <w:tcPr>
            <w:tcW w:w="12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3,816 </w:t>
            </w:r>
          </w:p>
        </w:tc>
        <w:tc>
          <w:tcPr>
            <w:tcW w:w="1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4,305 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Furniture and fixtures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property and equipment</w:t>
            </w:r>
          </w:p>
        </w:tc>
        <w:tc>
          <w:tcPr>
            <w:tcW w:w="120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52,153 </w:t>
            </w:r>
          </w:p>
        </w:tc>
        <w:tc>
          <w:tcPr>
            <w:tcW w:w="14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40,875 </w:t>
            </w:r>
          </w:p>
        </w:tc>
        <w:tc>
          <w:tcPr>
            <w:tcW w:w="19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Less: Accumulated depreciation and amortization</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(23,064)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Property and equipment, net</w:t>
            </w:r>
          </w:p>
        </w:tc>
        <w:tc>
          <w:tcPr>
            <w:tcW w:w="27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29,089 </w:t>
            </w:r>
          </w:p>
        </w:tc>
        <w:tc>
          <w:tcPr>
            <w:tcW w:w="14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22,125 </w:t>
            </w:r>
          </w:p>
        </w:tc>
        <w:tc>
          <w:tcPr>
            <w:tcW w:w="19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Depreciation of property and equipment and amortization of internal-use software for the three months ended September 30, 2026 and 2025 was $1.7 million and $1.5 million, respectively. Depreciation of property and equipment and amortization of internal-use software for the nine months ended September 30, 2026 and 2025 was $5.1 million and $4.4 million, respectively.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Company capitalized $11.4 million and $6.6 million in costs related to internal-use software during the nine months ended September 30, 2026 and 2025. During the nine months ended September 30, 2026 and 2025, $1.3 million and $0.7 million, respectively, of stock-based compensation was capitalized to internal-use software.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Software developed for internal use is amortized on a straight-line basis over its estimated useful life of five years.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of September 30, 2026 and December 31, 2025, the carrying value of internal-use software was $27.2 million and $20.2 million, respectively. Amortization expense related to internal-use software for the three months ended September 30, 2026 and 2025 was $1.4 million and $1.2 million, respectively. Amortization expense related to internal-use software for the nine months ended September 30, 2026 and 2025 was $4.3 million and $3.5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27" w:name="i222334182e94467c999b637e39bcff3f"/>
      <w:bookmarkEnd w:id="27"/>
      <w:r>
        <w:rPr>
          <w:rFonts w:ascii="Arial;sans-serif" w:hAnsi="Arial;sans-serif"/>
          <w:b/>
          <w:color w:val="000000"/>
          <w:sz w:val="20"/>
        </w:rPr>
        <w:t>Note 9. Restructuring</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In February 2025, the Company announced a restructuring plan designed to improve operational efficiencies, reduce operating costs, and better align the Company’s workforce with current business needs, top strategic priorities, and key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growth opportunities (collectively, the Restructuring Plan). In connection with the Restructuring Plan, the Company incurred restructuring and restructuring-related charges of $8.7 million during the year ended December 31, 2025, recorded within restructuring expenses on the condensed consolidated statements of operations and comprehensive income, primarily consisting of cash expenditures for severance payments and related expenses of $6.3 million for the year ended December 31, 2025, as well as non-cash expenditures related to acceleration of vesting of share-based awards of $2.4 million for the year ended December 31, 2025. As of March 31, 2026, the accrued restructuring liability had been settled in full. As of December 31, 2025, the accrued restructuring liability was less than $0.1 million, which was included within accrued expenses and other current liabilities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28" w:name="ia6e11149329548189d62faacb34f69dc"/>
      <w:bookmarkEnd w:id="28"/>
      <w:r>
        <w:rPr>
          <w:rFonts w:ascii="Arial;sans-serif" w:hAnsi="Arial;sans-serif"/>
          <w:b/>
          <w:color w:val="000000"/>
          <w:sz w:val="20"/>
        </w:rPr>
        <w:t>Note 10. Business Combinations</w:t>
      </w:r>
    </w:p>
    <w:p>
      <w:pPr>
        <w:pStyle w:val="TextBody"/>
        <w:bidi w:val="0"/>
        <w:spacing w:lineRule="auto" w:line="288" w:before="0" w:after="200"/>
        <w:jc w:val="left"/>
        <w:rPr>
          <w:rFonts w:ascii="Arial;sans-serif" w:hAnsi="Arial;sans-serif"/>
          <w:b/>
          <w:i/>
          <w:color w:val="000000"/>
          <w:sz w:val="20"/>
        </w:rPr>
      </w:pPr>
      <w:bookmarkStart w:id="29" w:name="i0e408ebb79ec418a93c43743c3c8aad5"/>
      <w:bookmarkEnd w:id="29"/>
      <w:r>
        <w:rPr>
          <w:rFonts w:ascii="Arial;sans-serif" w:hAnsi="Arial;sans-serif"/>
          <w:b/>
          <w:i/>
          <w:color w:val="000000"/>
          <w:sz w:val="20"/>
        </w:rPr>
        <w:t>Sertifi</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On February 24, 2025, Flywire acquired all of the issued and outstanding membership interests of Sertifi LLC (Sertifi) for upfront cash consideration of $330.0 million, subject to certain post-closing adjustments set forth in the Purchase and Sale Agreement (the Agreement), and contingent consideration of up to $10.0 million upon the completion or satisfaction of certain technical and commercial milestones by Sertifi. Sertifi is a vertical software and payments platform digitizing hospitality-specific workflows and associated payments. The acquisition of Sertifi was intended to accelerate the Company’s travel business and expand Flywire’s offerings to support over 20,000 hotel locations globally.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Company paid the upfront cash consideration through a combination of cash on hand and $125.0 million borrowed from its existing 2024 Revolving Credit Facility.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During the second quarter of 2025, the Company completed its purchase accounting. The Company recorded measurement period adjustments that increased Goodwill by $0.1 million due to changes in acquired intangible assets, contingent consideration, and a working capital adjustment.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Pursuant to the terms of the Agreement, the Company acquired Sertifi for total purchase consideration of approximately $336.1 million or $328.0 million, net of cash acquired, which consisted of (in thousands):</w:t>
      </w:r>
    </w:p>
    <w:tbl>
      <w:tblPr>
        <w:tblW w:w="5420" w:type="dxa"/>
        <w:jc w:val="left"/>
        <w:tblInd w:w="0" w:type="dxa"/>
        <w:tblLayout w:type="fixed"/>
        <w:tblCellMar>
          <w:top w:w="28" w:type="dxa"/>
          <w:left w:w="28" w:type="dxa"/>
          <w:bottom w:w="28" w:type="dxa"/>
          <w:right w:w="28" w:type="dxa"/>
        </w:tblCellMar>
      </w:tblPr>
      <w:tblGrid>
        <w:gridCol w:w="1531"/>
        <w:gridCol w:w="1346"/>
        <w:gridCol w:w="1352"/>
        <w:gridCol w:w="211"/>
        <w:gridCol w:w="826"/>
        <w:gridCol w:w="154"/>
      </w:tblGrid>
      <w:tr>
        <w:tc>
          <w:tcPr>
            <w:tcW w:w="153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 consideration, net of cash acquired</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324,921 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Estimated fair value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purchase consideration, net of cash acquired</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328,028 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During the year ended December 31, 2025, the Company paid $5.1 million for post-closing adjustments. The Agreement provides for contingent consideration of up to $10.0 million, with an estimated fair value of $3.1 million on the date of acquisition, and represents additional payments that Flywire may be required to make in the future which are dependent upon the successful achievement of certain targets related to gross profit as well as milestones related to Sertifi's technology and security integration.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During the year ended December 31, 2025, the Company incurred $2.6 million in transaction costs in connection with the Sertifi acquisition. These transaction costs are included in general and administrative expenses in the condensed consolidated statements of operations and comprehensive income.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table summarizes the allocation of the purchase consideration to the fair value of the assets acquired and liabilities assumed (in thousands):</w:t>
      </w:r>
    </w:p>
    <w:tbl>
      <w:tblPr>
        <w:tblW w:w="4806" w:type="dxa"/>
        <w:jc w:val="left"/>
        <w:tblInd w:w="0" w:type="dxa"/>
        <w:tblLayout w:type="fixed"/>
        <w:tblCellMar>
          <w:top w:w="28" w:type="dxa"/>
          <w:left w:w="28" w:type="dxa"/>
          <w:bottom w:w="28" w:type="dxa"/>
          <w:right w:w="28" w:type="dxa"/>
        </w:tblCellMar>
      </w:tblPr>
      <w:tblGrid>
        <w:gridCol w:w="1304"/>
        <w:gridCol w:w="1148"/>
        <w:gridCol w:w="1163"/>
        <w:gridCol w:w="211"/>
        <w:gridCol w:w="826"/>
        <w:gridCol w:w="154"/>
      </w:tblGrid>
      <w:tr>
        <w:tc>
          <w:tcPr>
            <w:tcW w:w="13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8,109 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251,569 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Identifiable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assets acquired</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354,099 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14,347 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payable and accrued expenses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3,615 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liabilities assumed</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17,962 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assets acquired</w:t>
            </w:r>
          </w:p>
        </w:tc>
        <w:tc>
          <w:tcPr>
            <w:tcW w:w="103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336,137 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Less: cash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1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assets, less cash acquired</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328,028 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goodwill of $251.6 million arising from the acquisition of Sertifi can be attributed to a number of business factors, including an assembled workforce and revenue and cost synergies expected to be realized. Goodwill from this acquisition is deductible for income tax purposes.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following table reflects the fair values of the identified intangible assets of Sertifi and their respective weighted-average amortization periods.</w:t>
      </w:r>
    </w:p>
    <w:tbl>
      <w:tblPr>
        <w:tblW w:w="5635" w:type="dxa"/>
        <w:jc w:val="left"/>
        <w:tblInd w:w="0" w:type="dxa"/>
        <w:tblLayout w:type="fixed"/>
        <w:tblCellMar>
          <w:top w:w="28" w:type="dxa"/>
          <w:left w:w="28" w:type="dxa"/>
          <w:bottom w:w="28" w:type="dxa"/>
          <w:right w:w="28" w:type="dxa"/>
        </w:tblCellMar>
      </w:tblPr>
      <w:tblGrid>
        <w:gridCol w:w="738"/>
        <w:gridCol w:w="650"/>
        <w:gridCol w:w="652"/>
        <w:gridCol w:w="267"/>
        <w:gridCol w:w="915"/>
        <w:gridCol w:w="137"/>
        <w:gridCol w:w="109"/>
        <w:gridCol w:w="109"/>
        <w:gridCol w:w="109"/>
        <w:gridCol w:w="571"/>
        <w:gridCol w:w="571"/>
        <w:gridCol w:w="807"/>
      </w:tblGrid>
      <w:t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Fair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Arial;sans-serif" w:hAnsi="Arial;sans-serif"/>
                <w:b/>
                <w:color w:val="000000"/>
                <w:sz w:val="18"/>
              </w:rPr>
            </w:pPr>
            <w:r>
              <w:rPr>
                <w:rFonts w:ascii="Arial;sans-serif" w:hAnsi="Arial;sans-serif"/>
                <w:b/>
                <w:color w:val="000000"/>
                <w:sz w:val="18"/>
              </w:rPr>
              <w:t>Weighted-Average</w:t>
            </w:r>
          </w:p>
          <w:p>
            <w:pPr>
              <w:pStyle w:val="TableContents"/>
              <w:bidi w:val="0"/>
              <w:spacing w:lineRule="auto" w:line="276" w:before="14" w:after="283"/>
              <w:jc w:val="center"/>
              <w:rPr>
                <w:rFonts w:ascii="Arial;sans-serif" w:hAnsi="Arial;sans-serif"/>
                <w:b/>
                <w:color w:val="000000"/>
                <w:sz w:val="18"/>
              </w:rPr>
            </w:pPr>
            <w:r>
              <w:rPr>
                <w:rFonts w:ascii="Arial;sans-serif" w:hAnsi="Arial;sans-serif"/>
                <w:b/>
                <w:color w:val="000000"/>
                <w:sz w:val="18"/>
              </w:rPr>
              <w:t>Amortization Periods</w:t>
            </w:r>
          </w:p>
        </w:tc>
      </w:tr>
      <w:t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(in thousands)</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(years)</w:t>
            </w:r>
          </w:p>
        </w:tc>
      </w:tr>
      <w:tr>
        <w:tc>
          <w:tcPr>
            <w:tcW w:w="20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Acquired relationships</w:t>
            </w:r>
          </w:p>
        </w:tc>
        <w:tc>
          <w:tcPr>
            <w:tcW w:w="26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53,100 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w:t>
            </w:r>
          </w:p>
        </w:tc>
      </w:tr>
      <w:tr>
        <w:tc>
          <w:tcPr>
            <w:tcW w:w="2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Developed technology</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w:t>
            </w:r>
          </w:p>
        </w:tc>
      </w:tr>
      <w:tr>
        <w:tc>
          <w:tcPr>
            <w:tcW w:w="204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Trade name/Trademark</w:t>
            </w:r>
          </w:p>
        </w:tc>
        <w:tc>
          <w:tcPr>
            <w:tcW w:w="11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4,600 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w:t>
            </w:r>
          </w:p>
        </w:tc>
      </w:tr>
      <w:t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86,700 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results of Sertifi have been included in the condensed consolidated financial statements since the date of the acquisition. Sertifi contributed $7.8 million in platform revenue and $5.1 million in transactional revenue during the three months ended September 30, 2025. Sertifi contributed $18.4 million in platform revenue and $11.5 million in transactional revenue during the nine months ended September 30, 2025. The Company has not disclosed net income or loss since the acquisition date as the business was fully integrated into the consolidated Company's operations and therefore it was impracticable to determine this amount.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Unaudited Pro Forma Financial Information</w:t>
      </w:r>
    </w:p>
    <w:p>
      <w:pPr>
        <w:pStyle w:val="TextBody"/>
        <w:bidi w:val="0"/>
        <w:spacing w:lineRule="auto" w:line="288" w:before="0" w:after="120"/>
        <w:ind w:left="0" w:right="0" w:firstLine="490"/>
        <w:jc w:val="left"/>
        <w:rPr>
          <w:rFonts w:ascii="Arial;sans-serif" w:hAnsi="Arial;sans-serif"/>
          <w:b w:val="false"/>
          <w:color w:val="000000"/>
          <w:sz w:val="20"/>
        </w:rPr>
      </w:pPr>
      <w:r>
        <w:rPr>
          <w:rFonts w:ascii="Arial;sans-serif" w:hAnsi="Arial;sans-serif"/>
          <w:b w:val="false"/>
          <w:color w:val="000000"/>
          <w:sz w:val="20"/>
        </w:rPr>
        <w:t>The following unaudited pro forma financial information shows the results of the Company’s operations for the nine months ended September 30, 2025, as if the acquisition had occurred on January 1, 2024.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Sertifi. The unaudited pro forma information reflects the effects of applying the Company’s accounting policies and certain pro forma adjustments to the combined historical financial information of the Company and Sertifi. The pro forma adjustments include:</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incremental amortization expense associated with the fair value of identified intangible assets;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incremental employee compensation expense for Sertifi employees;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interest expense for borrowings related to the acquisition;</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transaction costs; and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the estimated tax impact of the above items.</w:t>
      </w:r>
    </w:p>
    <w:tbl>
      <w:tblPr>
        <w:tblW w:w="4326" w:type="dxa"/>
        <w:jc w:val="left"/>
        <w:tblInd w:w="0" w:type="dxa"/>
        <w:tblLayout w:type="fixed"/>
        <w:tblCellMar>
          <w:top w:w="28" w:type="dxa"/>
          <w:left w:w="28" w:type="dxa"/>
          <w:bottom w:w="28" w:type="dxa"/>
          <w:right w:w="28" w:type="dxa"/>
        </w:tblCellMar>
      </w:tblPr>
      <w:tblGrid>
        <w:gridCol w:w="484"/>
        <w:gridCol w:w="425"/>
        <w:gridCol w:w="426"/>
        <w:gridCol w:w="109"/>
        <w:gridCol w:w="109"/>
        <w:gridCol w:w="109"/>
        <w:gridCol w:w="211"/>
        <w:gridCol w:w="826"/>
        <w:gridCol w:w="109"/>
        <w:gridCol w:w="109"/>
        <w:gridCol w:w="109"/>
        <w:gridCol w:w="109"/>
        <w:gridCol w:w="211"/>
        <w:gridCol w:w="826"/>
        <w:gridCol w:w="154"/>
      </w:tblGrid>
      <w:t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w:t>
              <w:br/>
              <w:t>September 30, 2025</w:t>
            </w:r>
          </w:p>
        </w:tc>
      </w:tr>
      <w:tr>
        <w:tc>
          <w:tcPr>
            <w:tcW w:w="1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Actual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Pro Forma</w:t>
            </w:r>
          </w:p>
        </w:tc>
      </w:tr>
      <w:tr>
        <w:tc>
          <w:tcPr>
            <w:tcW w:w="133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465,481 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472,239 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30" w:name="i257a19aa71dd41cf88ccb87b948dc816"/>
      <w:bookmarkEnd w:id="30"/>
      <w:r>
        <w:rPr>
          <w:rFonts w:ascii="Arial;sans-serif" w:hAnsi="Arial;sans-serif"/>
          <w:b/>
          <w:color w:val="000000"/>
          <w:sz w:val="20"/>
        </w:rPr>
        <w:t>Note 11.  Goodwill and Acquired Intangible Assets</w:t>
      </w:r>
    </w:p>
    <w:p>
      <w:pPr>
        <w:pStyle w:val="TextBody"/>
        <w:bidi w:val="0"/>
        <w:spacing w:lineRule="auto" w:line="288" w:before="0" w:after="200"/>
        <w:jc w:val="left"/>
        <w:rPr>
          <w:rFonts w:ascii="Arial;sans-serif" w:hAnsi="Arial;sans-serif"/>
          <w:b/>
          <w:i/>
          <w:color w:val="000000"/>
          <w:sz w:val="20"/>
        </w:rPr>
      </w:pPr>
      <w:bookmarkStart w:id="31" w:name="i9c022b14b14440efbde5954abfde5a17"/>
      <w:bookmarkEnd w:id="31"/>
      <w:r>
        <w:rPr>
          <w:rFonts w:ascii="Arial;sans-serif" w:hAnsi="Arial;sans-serif"/>
          <w:b/>
          <w:i/>
          <w:color w:val="000000"/>
          <w:sz w:val="20"/>
        </w:rPr>
        <w:t>Goodwill</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following table summarizes the changes in the carrying amount of goodwill as of the dates presented (in thousands):</w:t>
      </w:r>
    </w:p>
    <w:tbl>
      <w:tblPr>
        <w:tblW w:w="5203" w:type="dxa"/>
        <w:jc w:val="left"/>
        <w:tblInd w:w="0" w:type="dxa"/>
        <w:tblLayout w:type="fixed"/>
        <w:tblCellMar>
          <w:top w:w="28" w:type="dxa"/>
          <w:left w:w="28" w:type="dxa"/>
          <w:bottom w:w="28" w:type="dxa"/>
          <w:right w:w="28" w:type="dxa"/>
        </w:tblCellMar>
      </w:tblPr>
      <w:tblGrid>
        <w:gridCol w:w="1209"/>
        <w:gridCol w:w="1066"/>
        <w:gridCol w:w="1069"/>
        <w:gridCol w:w="329"/>
        <w:gridCol w:w="1290"/>
        <w:gridCol w:w="240"/>
      </w:tblGrid>
      <w:tr>
        <w:tc>
          <w:tcPr>
            <w:tcW w:w="12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September 30, 2026</w:t>
            </w:r>
          </w:p>
        </w:tc>
      </w:tr>
      <w:tr>
        <w:tc>
          <w:tcPr>
            <w:tcW w:w="33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Balance at December 31, 2025</w:t>
            </w:r>
          </w:p>
        </w:tc>
        <w:tc>
          <w:tcPr>
            <w:tcW w:w="32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406,507 </w:t>
            </w:r>
          </w:p>
        </w:tc>
        <w:tc>
          <w:tcPr>
            <w:tcW w:w="24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c>
          <w:tcPr>
            <w:tcW w:w="33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c>
          <w:tcPr>
            <w:tcW w:w="33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Balance at September 30, 2026</w:t>
            </w:r>
          </w:p>
        </w:tc>
        <w:tc>
          <w:tcPr>
            <w:tcW w:w="32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407,646 </w:t>
            </w:r>
          </w:p>
        </w:tc>
        <w:tc>
          <w:tcPr>
            <w:tcW w:w="24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rPr>
      </w:pPr>
      <w:bookmarkStart w:id="32" w:name="ib517b6069ff04281a040ea2a06f99090"/>
      <w:bookmarkEnd w:id="32"/>
      <w:r>
        <w:rPr>
          <w:rFonts w:ascii="Arial;sans-serif" w:hAnsi="Arial;sans-serif"/>
          <w:b/>
          <w:i/>
          <w:color w:val="000000"/>
          <w:sz w:val="20"/>
        </w:rPr>
        <w:t>Acquired Intangible Assets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Acquired intangible assets subject to amortization consisted of the following (dollars in thousands):</w:t>
      </w:r>
    </w:p>
    <w:tbl>
      <w:tblPr>
        <w:tblW w:w="8645" w:type="dxa"/>
        <w:jc w:val="left"/>
        <w:tblInd w:w="0" w:type="dxa"/>
        <w:tblLayout w:type="fixed"/>
        <w:tblCellMar>
          <w:top w:w="28" w:type="dxa"/>
          <w:left w:w="28" w:type="dxa"/>
          <w:bottom w:w="28" w:type="dxa"/>
          <w:right w:w="28" w:type="dxa"/>
        </w:tblCellMar>
      </w:tblPr>
      <w:tblGrid>
        <w:gridCol w:w="749"/>
        <w:gridCol w:w="659"/>
        <w:gridCol w:w="661"/>
        <w:gridCol w:w="262"/>
        <w:gridCol w:w="1027"/>
        <w:gridCol w:w="135"/>
        <w:gridCol w:w="109"/>
        <w:gridCol w:w="109"/>
        <w:gridCol w:w="109"/>
        <w:gridCol w:w="248"/>
        <w:gridCol w:w="868"/>
        <w:gridCol w:w="130"/>
        <w:gridCol w:w="109"/>
        <w:gridCol w:w="109"/>
        <w:gridCol w:w="109"/>
        <w:gridCol w:w="221"/>
        <w:gridCol w:w="865"/>
        <w:gridCol w:w="114"/>
        <w:gridCol w:w="109"/>
        <w:gridCol w:w="109"/>
        <w:gridCol w:w="109"/>
        <w:gridCol w:w="505"/>
        <w:gridCol w:w="505"/>
        <w:gridCol w:w="715"/>
      </w:tblGrid>
      <w:t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 Carrying</w:t>
              <w:br/>
              <w:t>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 Carrying</w:t>
              <w:br/>
              <w:t>Amount</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Weighted Average</w:t>
              <w:br/>
              <w:t>Remaining Life</w:t>
              <w:br/>
              <w:t>(Years)</w:t>
            </w:r>
          </w:p>
        </w:tc>
      </w:tr>
      <w:tr>
        <w:tc>
          <w:tcPr>
            <w:tcW w:w="20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Acquired Relationships</w:t>
            </w:r>
          </w:p>
        </w:tc>
        <w:tc>
          <w:tcPr>
            <w:tcW w:w="26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182,232 </w:t>
            </w:r>
          </w:p>
        </w:tc>
        <w:tc>
          <w:tcPr>
            <w:tcW w:w="13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(41,413)</w:t>
            </w:r>
          </w:p>
        </w:tc>
        <w:tc>
          <w:tcPr>
            <w:tcW w:w="1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140,819 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11.05</w:t>
            </w:r>
          </w:p>
        </w:tc>
      </w:tr>
      <w:tr>
        <w:tc>
          <w:tcPr>
            <w:tcW w:w="20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Developed Technology</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76,090 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(43,936)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5.48</w:t>
            </w:r>
          </w:p>
        </w:tc>
      </w:tr>
      <w:tr>
        <w:tc>
          <w:tcPr>
            <w:tcW w:w="20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Trade Name/Trademark</w:t>
            </w:r>
          </w:p>
        </w:tc>
        <w:tc>
          <w:tcPr>
            <w:tcW w:w="12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5,139 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(883)</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4,256 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7.94</w:t>
            </w:r>
          </w:p>
        </w:tc>
      </w:tr>
      <w:t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263,461 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(86,232)</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177,229 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45" w:type="dxa"/>
        <w:jc w:val="left"/>
        <w:tblInd w:w="0" w:type="dxa"/>
        <w:tblLayout w:type="fixed"/>
        <w:tblCellMar>
          <w:top w:w="28" w:type="dxa"/>
          <w:left w:w="28" w:type="dxa"/>
          <w:bottom w:w="28" w:type="dxa"/>
          <w:right w:w="28" w:type="dxa"/>
        </w:tblCellMar>
      </w:tblPr>
      <w:tblGrid>
        <w:gridCol w:w="749"/>
        <w:gridCol w:w="659"/>
        <w:gridCol w:w="661"/>
        <w:gridCol w:w="262"/>
        <w:gridCol w:w="1027"/>
        <w:gridCol w:w="135"/>
        <w:gridCol w:w="109"/>
        <w:gridCol w:w="109"/>
        <w:gridCol w:w="109"/>
        <w:gridCol w:w="248"/>
        <w:gridCol w:w="868"/>
        <w:gridCol w:w="130"/>
        <w:gridCol w:w="109"/>
        <w:gridCol w:w="109"/>
        <w:gridCol w:w="109"/>
        <w:gridCol w:w="221"/>
        <w:gridCol w:w="865"/>
        <w:gridCol w:w="114"/>
        <w:gridCol w:w="109"/>
        <w:gridCol w:w="109"/>
        <w:gridCol w:w="109"/>
        <w:gridCol w:w="505"/>
        <w:gridCol w:w="505"/>
        <w:gridCol w:w="715"/>
      </w:tblGrid>
      <w:t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 Carrying</w:t>
              <w:br/>
              <w:t>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 Carrying</w:t>
              <w:br/>
              <w:t>Amount</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Weighted Average</w:t>
              <w:br/>
              <w:t>Remaining Life</w:t>
              <w:br/>
              <w:t>(Years)</w:t>
            </w:r>
          </w:p>
        </w:tc>
      </w:tr>
      <w:tr>
        <w:tc>
          <w:tcPr>
            <w:tcW w:w="20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Acquired Relationships</w:t>
            </w:r>
          </w:p>
        </w:tc>
        <w:tc>
          <w:tcPr>
            <w:tcW w:w="26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176,913 </w:t>
            </w:r>
          </w:p>
        </w:tc>
        <w:tc>
          <w:tcPr>
            <w:tcW w:w="13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(32,484)</w:t>
            </w:r>
          </w:p>
        </w:tc>
        <w:tc>
          <w:tcPr>
            <w:tcW w:w="1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144,429 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11.74</w:t>
            </w:r>
          </w:p>
        </w:tc>
      </w:tr>
      <w:tr>
        <w:tc>
          <w:tcPr>
            <w:tcW w:w="20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Developed Technology</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75,543 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(35,576)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39,967 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5.94</w:t>
            </w:r>
          </w:p>
        </w:tc>
      </w:tr>
      <w:tr>
        <w:tc>
          <w:tcPr>
            <w:tcW w:w="206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Trade Name/Trademark</w:t>
            </w:r>
          </w:p>
        </w:tc>
        <w:tc>
          <w:tcPr>
            <w:tcW w:w="12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5,134 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(480)</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4,654 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8.60</w:t>
            </w:r>
          </w:p>
        </w:tc>
      </w:tr>
      <w:t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257,590 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(68,540)</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189,050 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During the three months ended September 30, 2026, the Company completed an asset acquisition of certain customer relationships in its education vertical primarily in Canada for an upfront payment of $3.2 million and contingent consideration of up to $3.9 million. The total capitalized costs of the acquired asset was $4.8 million, consisting of the upfront cash payment of $3.2 million, capitalized transaction costs of $0.1 million, and an accrued liability of $1.5 million for contingent consideration deemed probable and reasonably estimable at the acquisition date. The contingent consideration is based on the successful execution of specific commercial contracts through November 20, 2026, which will be capitalized as additional cost of the asset.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Amortization expense for the three months ended September 30, 2026 and 2025 was $5.7 million and $5.3 million, respectively. Amortization expense for the nine months ended September 30, 2026 and 2025 was $17.6 million and $14.7 million, respectively.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of September 30, 2026, the estimated annual amortization expense of intangible assets for each of the next five years and thereafter is expected to be as follows (in thousands):</w:t>
      </w:r>
    </w:p>
    <w:tbl>
      <w:tblPr>
        <w:tblW w:w="5518" w:type="dxa"/>
        <w:jc w:val="left"/>
        <w:tblInd w:w="0" w:type="dxa"/>
        <w:tblLayout w:type="fixed"/>
        <w:tblCellMar>
          <w:top w:w="28" w:type="dxa"/>
          <w:left w:w="28" w:type="dxa"/>
          <w:bottom w:w="28" w:type="dxa"/>
          <w:right w:w="28" w:type="dxa"/>
        </w:tblCellMar>
      </w:tblPr>
      <w:tblGrid>
        <w:gridCol w:w="928"/>
        <w:gridCol w:w="817"/>
        <w:gridCol w:w="819"/>
        <w:gridCol w:w="521"/>
        <w:gridCol w:w="2049"/>
        <w:gridCol w:w="384"/>
      </w:tblGrid>
      <w:t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Estimated Amortization Expense</w:t>
            </w:r>
          </w:p>
        </w:tc>
      </w:tr>
      <w:tr>
        <w:tc>
          <w:tcPr>
            <w:tcW w:w="25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Remainder of fiscal year 2026</w:t>
            </w:r>
          </w:p>
        </w:tc>
        <w:tc>
          <w:tcPr>
            <w:tcW w:w="5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204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5,620 </w:t>
            </w:r>
          </w:p>
        </w:tc>
        <w:tc>
          <w:tcPr>
            <w:tcW w:w="38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21,305 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25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21,237 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20,729 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25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18,758 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2031</w:t>
            </w:r>
          </w:p>
        </w:tc>
        <w:tc>
          <w:tcPr>
            <w:tcW w:w="2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17,324 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25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72,256 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20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177,229 </w:t>
            </w:r>
          </w:p>
        </w:tc>
        <w:tc>
          <w:tcPr>
            <w:tcW w:w="3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33" w:name="ia715a8a1442a4756b3af5b7120813891"/>
      <w:bookmarkEnd w:id="33"/>
      <w:r>
        <w:rPr>
          <w:rFonts w:ascii="Arial;sans-serif" w:hAnsi="Arial;sans-serif"/>
          <w:b/>
          <w:color w:val="000000"/>
          <w:sz w:val="20"/>
        </w:rPr>
        <w:t>Note 12.  Debt</w:t>
      </w:r>
    </w:p>
    <w:p>
      <w:pPr>
        <w:pStyle w:val="TextBody"/>
        <w:bidi w:val="0"/>
        <w:spacing w:lineRule="auto" w:line="288" w:before="0" w:after="200"/>
        <w:jc w:val="left"/>
        <w:rPr>
          <w:rFonts w:ascii="Arial;sans-serif" w:hAnsi="Arial;sans-serif"/>
          <w:b/>
          <w:i/>
          <w:color w:val="000000"/>
          <w:sz w:val="20"/>
        </w:rPr>
      </w:pPr>
      <w:bookmarkStart w:id="34" w:name="i425deb14ff084504a040f9a9f856239a"/>
      <w:bookmarkEnd w:id="34"/>
      <w:r>
        <w:rPr>
          <w:rFonts w:ascii="Arial;sans-serif" w:hAnsi="Arial;sans-serif"/>
          <w:b/>
          <w:i/>
          <w:color w:val="000000"/>
          <w:sz w:val="20"/>
        </w:rPr>
        <w:t>2024 Amended Revolving Credit Facility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There were no borrowings outstanding under the 2024 Amended Revolving Credit Facility as of September 30, 2026 and December 31, 2025.</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Company was in compliance with all covenants associated with the 2024 Amended Revolving Credit Facility as of September 30, 2026.</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On February 23, 2024, the Company entered into an Amended and Restated Credit Agreement for a five-year senior secured revolving credit syndication loan (2024 Revolving Credit Facility) with four banks for a total commitment of $125.0 million. The 2024 Revolving Credit Facility provides for an incremental facility in an amount equal to $50.0 million plus 100% of Consolidated Adjusted EBITDA based on the most recent consolidated financial information. In addition, the 2024 Revolving Credit Facility includes a $10.0 million letter of credit sub-facility and a $5.0 million swingline sub-facility, with available borrowings under the 2024 Revolving Credit Facility reduced by the amount of any letters of credit and swingline borrowings outstanding from time to time. As of September 30, 2026 and December 31, 2025, no letters of credit were issued under the 2024 Revolving Credit Facility. The 2024 Revolving Credit Facility is guaranteed by Flywire’s current and future material domestic subsidiaries and is secured by substantially all of the assets of the borrowers and guarantors thereunder, subject to customary exceptions.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On August 1, 2025, the Company entered into an amendment (the 2025 Revolving Credit Facility Amendment) to the 2024 Revolving Credit Facility with five banks to increase the total commitments from $125.0 million to $300.0 million and make certain conforming and administrative changes. The 2024 Revolving Credit Facility, as amended by the 2025 Revolving Credit Facility Amendment, is hereinafter referred to as the 2024 Amended Revolving Credit Facility. Four of the lenders under the 2025 Revolving Credit Facility Amendment were existing lenders under the 2024 Revolving Credit Facility.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Interest expense for the three months ended September 30, 2026 and 2025 was $0.5 million and $1.2 million, respectively. Interest expense for the nine months ended September 30, 2026 and 2025 was $1.1 million and $3.0 million, respectively. Interest expense consists primarily of interest expense, amortization of debt issuance costs, and unused commitment fees related to our 2024 Amended Revolving Credit Facility.</w:t>
      </w:r>
    </w:p>
    <w:p>
      <w:pPr>
        <w:pStyle w:val="TextBody"/>
        <w:bidi w:val="0"/>
        <w:spacing w:lineRule="auto" w:line="288" w:before="0" w:after="200"/>
        <w:jc w:val="left"/>
        <w:rPr>
          <w:rFonts w:ascii="Arial;sans-serif" w:hAnsi="Arial;sans-serif"/>
          <w:b/>
          <w:i/>
          <w:color w:val="000000"/>
          <w:sz w:val="20"/>
        </w:rPr>
      </w:pPr>
      <w:bookmarkStart w:id="35" w:name="i3ef1e6d837274199b6a82898a9d1ab51"/>
      <w:bookmarkEnd w:id="35"/>
      <w:r>
        <w:rPr>
          <w:rFonts w:ascii="Arial;sans-serif" w:hAnsi="Arial;sans-serif"/>
          <w:b/>
          <w:i/>
          <w:color w:val="000000"/>
          <w:sz w:val="20"/>
        </w:rPr>
        <w:t>Letters of Credit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of September 30, 2026 and December 31, 2025, the Company had outstanding and unused letters of credit in the amount of approximately $7.9 million and $7.9 million, respectively, for the purpose of protecting third-party service providers against defaults. These outstanding letters of credit do not reduce the borrowing capacity or impact the available borrowings under the Company's 2024 Amended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color w:val="000000"/>
          <w:sz w:val="20"/>
        </w:rPr>
      </w:pPr>
      <w:bookmarkStart w:id="36" w:name="i6afcb68b499b46d1a859fa1913989c5a"/>
      <w:bookmarkEnd w:id="36"/>
      <w:r>
        <w:rPr>
          <w:rFonts w:ascii="Arial;sans-serif" w:hAnsi="Arial;sans-serif"/>
          <w:b/>
          <w:color w:val="000000"/>
          <w:sz w:val="20"/>
        </w:rPr>
        <w:t>Note 13.  Stockholders’ Equity</w:t>
      </w:r>
    </w:p>
    <w:p>
      <w:pPr>
        <w:pStyle w:val="TextBody"/>
        <w:bidi w:val="0"/>
        <w:spacing w:lineRule="auto" w:line="288" w:before="0" w:after="200"/>
        <w:jc w:val="left"/>
        <w:rPr>
          <w:rFonts w:ascii="Arial;sans-serif" w:hAnsi="Arial;sans-serif"/>
          <w:b/>
          <w:i/>
          <w:color w:val="000000"/>
          <w:sz w:val="20"/>
        </w:rPr>
      </w:pPr>
      <w:bookmarkStart w:id="37" w:name="i928873026584402a9d2108b7890e8307"/>
      <w:bookmarkEnd w:id="37"/>
      <w:r>
        <w:rPr>
          <w:rFonts w:ascii="Arial;sans-serif" w:hAnsi="Arial;sans-serif"/>
          <w:b/>
          <w:i/>
          <w:color w:val="000000"/>
          <w:sz w:val="20"/>
        </w:rPr>
        <w:t>Preferred Stock</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Company’s current amended and restated certificate of incorporation, which was filed on May 28, 2021, authorizes the issuance of 10,000,000 shares of undesignated preferred stock with a par value of $0.0001 per share with rights and preferences, including voting rights, designated from time to time by the board of directors.</w:t>
      </w:r>
    </w:p>
    <w:p>
      <w:pPr>
        <w:pStyle w:val="TextBody"/>
        <w:bidi w:val="0"/>
        <w:spacing w:lineRule="auto" w:line="288" w:before="0" w:after="200"/>
        <w:jc w:val="left"/>
        <w:rPr>
          <w:rFonts w:ascii="Arial;sans-serif" w:hAnsi="Arial;sans-serif"/>
          <w:b/>
          <w:i/>
          <w:color w:val="000000"/>
          <w:sz w:val="20"/>
        </w:rPr>
      </w:pPr>
      <w:bookmarkStart w:id="38" w:name="i753ce8ffa2e04b7188f97281fe0d69db"/>
      <w:bookmarkEnd w:id="38"/>
      <w:r>
        <w:rPr>
          <w:rFonts w:ascii="Arial;sans-serif" w:hAnsi="Arial;sans-serif"/>
          <w:b/>
          <w:i/>
          <w:color w:val="000000"/>
          <w:sz w:val="20"/>
        </w:rPr>
        <w:t>Common Stock</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Company’s current amended and restated certificate of incorporation authorizes the issuance of 2,000,000,000 shares of voting common stock with a par value of $0.0001 per share and 10,000,000 shares of non-voting common stock with a par value of $0.0001 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w:t>
      </w:r>
    </w:p>
    <w:p>
      <w:pPr>
        <w:pStyle w:val="TextBody"/>
        <w:bidi w:val="0"/>
        <w:spacing w:lineRule="auto" w:line="288" w:before="0" w:after="200"/>
        <w:jc w:val="left"/>
        <w:rPr>
          <w:rFonts w:ascii="Arial;sans-serif" w:hAnsi="Arial;sans-serif"/>
          <w:b/>
          <w:i/>
          <w:color w:val="000000"/>
          <w:sz w:val="20"/>
        </w:rPr>
      </w:pPr>
      <w:bookmarkStart w:id="39" w:name="ie504f0ac90b2482fa883cf297b80bce1"/>
      <w:bookmarkEnd w:id="39"/>
      <w:r>
        <w:rPr>
          <w:rFonts w:ascii="Arial;sans-serif" w:hAnsi="Arial;sans-serif"/>
          <w:b/>
          <w:i/>
          <w:color w:val="000000"/>
          <w:sz w:val="20"/>
        </w:rPr>
        <w:t>Share Repurchase Program</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On August 6, 2024, the Company announced a share repurchase program of up to $150.0 million of outstanding voting and non-voting common stock for an indefinite period as part of the Company’s capital deployment strategy (Repurchase Program). On July 30, 2025, the Company's board of directors approved an increase in the aggregate amount of voting and non-voting common stock outstanding that may be repurchased under the Repurchase Program by an additional $150.0 million, bringing the total authorized amount under the Repurchase Program to $300.0 million.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On May 13, 2026, the Company entered into a privately negotiated securities repurchase agreement with its sole pre-IPO stockholder of non-voting common stock to repurchase all of the 1,873,320 shares of the Company’s outstanding non-voting common stock from the stockholder (the Non-Voting Common Stock Repurchase). The transaction had an aggregate purchase price of approximately $29.0 million, representing approximately $15.50 per share. The Company funded the transaction entirely with cash on its balance sheet under the Repurchase Program. Following the completion of the repurchase, the shares of non-voting common stock were retired and no shares of non-voting common stock were outstanding.</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Repurchases under the Repurchase Program may be made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including 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and may be modified, suspended or terminated at any time without notice at the Company’s discretion.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During the three months ended September 30, 2026, the Company had no repurchases of its common stock. During the nine months ended September 30, 2026, the Company repurchased 4,047,247 shares of its common stock for an aggregate amount, including commissions and accrued excise tax, if any, of $59.2 million under the Repurchase Program. With the exception of the Non-Voting Common Stock Repurchase, the repurchased shares are currently being held as treasury stock on the condensed consolidated balance sheet. As of September 30, 2026, approximately $122.7 million of the $300.0 million authorized amount under the Repurchase Program remained available for future repurchases.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All of the Company’s repurchases are subject to a 1% excise tax enacted by the Inflation Reduction Act of 2022 (the IRA). The amount of share repurchases subject to the excise tax are reduced by the fair market value of any shares issued during the taxable year. As of September 30, 2026, the Company had no accrued excise tax liability pursuant to the IRA. The accrued excise tax liability is included in the cost of treasury stock and accrued expenses and other current liabilities on the Company's condensed consolidated balance sheet. During the three months ended June 30, 2026, the Company paid $0.3 million of its accrued excise tax liability related to the 2025 tax year.</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i/>
          <w:color w:val="000000"/>
          <w:sz w:val="20"/>
        </w:rPr>
      </w:pPr>
      <w:bookmarkStart w:id="40" w:name="i334fcd40a1aa4f56805b088c38438a0c"/>
      <w:bookmarkEnd w:id="40"/>
      <w:r>
        <w:rPr>
          <w:rFonts w:ascii="Arial;sans-serif" w:hAnsi="Arial;sans-serif"/>
          <w:b/>
          <w:i/>
          <w:color w:val="000000"/>
          <w:sz w:val="20"/>
        </w:rPr>
        <w:t>Treasury Stock</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Company may issue treasury stock upon the exercise of stock options and vesting of restricted stock units granted under its equity incentive plans. The Company issued 16,860 and 80,753 treasury shares at an average cost of $14.35 and $12.15 per share during the three and nine months ended September 30, 2026, respectively. The Company issued 8,621 and 37,133 treasury shares at an average cost of $11.34 and $10.64 per share during the three and nine months ended September 30, 2025. The Company intends to issue treasury shares as long as an adequate number of those shares are available.</w:t>
      </w:r>
    </w:p>
    <w:p>
      <w:pPr>
        <w:pStyle w:val="TextBody"/>
        <w:bidi w:val="0"/>
        <w:spacing w:lineRule="auto" w:line="288" w:before="0" w:after="200"/>
        <w:jc w:val="left"/>
        <w:rPr>
          <w:rFonts w:ascii="Arial;sans-serif" w:hAnsi="Arial;sans-serif"/>
          <w:b/>
          <w:i/>
          <w:color w:val="000000"/>
          <w:sz w:val="20"/>
        </w:rPr>
      </w:pPr>
      <w:bookmarkStart w:id="41" w:name="ifeb339cd02ba45689f9955118bfec9a4"/>
      <w:bookmarkEnd w:id="41"/>
      <w:r>
        <w:rPr>
          <w:rFonts w:ascii="Arial;sans-serif" w:hAnsi="Arial;sans-serif"/>
          <w:b/>
          <w:i/>
          <w:color w:val="000000"/>
          <w:sz w:val="20"/>
        </w:rPr>
        <w:t>Comprehensive Income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Comprehensive income includes all changes in equity during the period and is comprised of net income and other comprehensive income (loss). Accumulated other comprehensive income (AOCI) reported on the Company's condensed consolidated balance sheets for the period ending September 30, 2026 consists of foreign currency translation adjustment and the unrealized gains and losses, net of applicable taxes, on available-for-sale debt securities.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following tables summarize the changes in AOCI for the three and nine months ended September 30, 2026 and 2025 (in thousands):</w:t>
      </w:r>
    </w:p>
    <w:tbl>
      <w:tblPr>
        <w:tblW w:w="10205" w:type="dxa"/>
        <w:jc w:val="left"/>
        <w:tblInd w:w="0" w:type="dxa"/>
        <w:tblLayout w:type="fixed"/>
        <w:tblCellMar>
          <w:top w:w="28" w:type="dxa"/>
          <w:left w:w="28" w:type="dxa"/>
          <w:bottom w:w="28" w:type="dxa"/>
          <w:right w:w="28" w:type="dxa"/>
        </w:tblCellMar>
      </w:tblPr>
      <w:tblGrid>
        <w:gridCol w:w="621"/>
        <w:gridCol w:w="546"/>
        <w:gridCol w:w="414"/>
        <w:gridCol w:w="558"/>
        <w:gridCol w:w="687"/>
        <w:gridCol w:w="312"/>
        <w:gridCol w:w="110"/>
        <w:gridCol w:w="110"/>
        <w:gridCol w:w="110"/>
        <w:gridCol w:w="235"/>
        <w:gridCol w:w="667"/>
        <w:gridCol w:w="130"/>
        <w:gridCol w:w="110"/>
        <w:gridCol w:w="110"/>
        <w:gridCol w:w="110"/>
        <w:gridCol w:w="198"/>
        <w:gridCol w:w="563"/>
        <w:gridCol w:w="110"/>
        <w:gridCol w:w="109"/>
        <w:gridCol w:w="109"/>
        <w:gridCol w:w="109"/>
        <w:gridCol w:w="479"/>
        <w:gridCol w:w="811"/>
        <w:gridCol w:w="268"/>
        <w:gridCol w:w="110"/>
        <w:gridCol w:w="110"/>
        <w:gridCol w:w="110"/>
        <w:gridCol w:w="235"/>
        <w:gridCol w:w="667"/>
        <w:gridCol w:w="130"/>
        <w:gridCol w:w="110"/>
        <w:gridCol w:w="110"/>
        <w:gridCol w:w="110"/>
        <w:gridCol w:w="197"/>
        <w:gridCol w:w="561"/>
        <w:gridCol w:w="169"/>
      </w:tblGrid>
      <w:tr>
        <w:tc>
          <w:tcPr>
            <w:tcW w:w="6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 September 30, 2025</w:t>
            </w:r>
          </w:p>
        </w:tc>
      </w:tr>
      <w:tr>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Unrealized Gains (Losses) on Available-for-Sale Debt Securities, net</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Foreign Currency Translation Adjustment</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Unrealized Gains (Losses) on Available-for-Sale Debt Securities, net</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Foreign Currency Translation Adjustment</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Total</w:t>
            </w:r>
          </w:p>
        </w:tc>
      </w:tr>
      <w:tr>
        <w:tc>
          <w:tcPr>
            <w:tcW w:w="15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55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1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4,409 </w:t>
            </w:r>
          </w:p>
        </w:tc>
        <w:tc>
          <w:tcPr>
            <w:tcW w:w="1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6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4,417 </w:t>
            </w:r>
          </w:p>
        </w:tc>
        <w:tc>
          <w:tcPr>
            <w:tcW w:w="11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6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7,058 </w:t>
            </w:r>
          </w:p>
        </w:tc>
        <w:tc>
          <w:tcPr>
            <w:tcW w:w="1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7,101 </w:t>
            </w:r>
          </w:p>
        </w:tc>
        <w:tc>
          <w:tcPr>
            <w:tcW w:w="16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Other comprehensive (loss) income before reclassifications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(1,897)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current period other comprehensive (loss) income</w:t>
            </w:r>
          </w:p>
        </w:tc>
        <w:tc>
          <w:tcPr>
            <w:tcW w:w="124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1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1,176 </w:t>
            </w:r>
          </w:p>
        </w:tc>
        <w:tc>
          <w:tcPr>
            <w:tcW w:w="1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1,169 </w:t>
            </w:r>
          </w:p>
        </w:tc>
        <w:tc>
          <w:tcPr>
            <w:tcW w:w="11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6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(1,917)</w:t>
            </w:r>
          </w:p>
        </w:tc>
        <w:tc>
          <w:tcPr>
            <w:tcW w:w="1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(1,897)</w:t>
            </w:r>
          </w:p>
        </w:tc>
        <w:tc>
          <w:tcPr>
            <w:tcW w:w="16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Ending balance</w:t>
            </w:r>
          </w:p>
        </w:tc>
        <w:tc>
          <w:tcPr>
            <w:tcW w:w="5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5,585 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5,586 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5,141 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5,204 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0"/>
        <w:gridCol w:w="545"/>
        <w:gridCol w:w="413"/>
        <w:gridCol w:w="479"/>
        <w:gridCol w:w="809"/>
        <w:gridCol w:w="267"/>
        <w:gridCol w:w="109"/>
        <w:gridCol w:w="109"/>
        <w:gridCol w:w="109"/>
        <w:gridCol w:w="234"/>
        <w:gridCol w:w="666"/>
        <w:gridCol w:w="130"/>
        <w:gridCol w:w="109"/>
        <w:gridCol w:w="109"/>
        <w:gridCol w:w="109"/>
        <w:gridCol w:w="197"/>
        <w:gridCol w:w="559"/>
        <w:gridCol w:w="109"/>
        <w:gridCol w:w="109"/>
        <w:gridCol w:w="109"/>
        <w:gridCol w:w="109"/>
        <w:gridCol w:w="419"/>
        <w:gridCol w:w="902"/>
        <w:gridCol w:w="234"/>
        <w:gridCol w:w="109"/>
        <w:gridCol w:w="109"/>
        <w:gridCol w:w="109"/>
        <w:gridCol w:w="230"/>
        <w:gridCol w:w="687"/>
        <w:gridCol w:w="128"/>
        <w:gridCol w:w="109"/>
        <w:gridCol w:w="109"/>
        <w:gridCol w:w="109"/>
        <w:gridCol w:w="196"/>
        <w:gridCol w:w="576"/>
        <w:gridCol w:w="170"/>
      </w:tblGrid>
      <w:tr>
        <w:tc>
          <w:tcPr>
            <w:tcW w:w="6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Nine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Nine Months Ended September 30, 2025</w:t>
            </w:r>
          </w:p>
        </w:tc>
      </w:tr>
      <w:tr>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Unrealized Gains (Losses) on Available-for-Sale Debt Securities,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Foreign Currency Translation Adjustment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Unrealized Gains (Losses) on Available-for-Sale Debt Securities,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3"/>
              </w:rPr>
            </w:pPr>
            <w:r>
              <w:rPr>
                <w:rFonts w:ascii="Arial;sans-serif" w:hAnsi="Arial;sans-serif"/>
                <w:b/>
                <w:color w:val="000000"/>
                <w:sz w:val="13"/>
              </w:rPr>
              <w:t>Foreign Currency Translation Adjustment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Total</w:t>
            </w:r>
          </w:p>
        </w:tc>
      </w:tr>
      <w:tr>
        <w:tc>
          <w:tcPr>
            <w:tcW w:w="157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47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6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2,433 </w:t>
            </w:r>
          </w:p>
        </w:tc>
        <w:tc>
          <w:tcPr>
            <w:tcW w:w="1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23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(2,274)</w:t>
            </w:r>
          </w:p>
        </w:tc>
        <w:tc>
          <w:tcPr>
            <w:tcW w:w="12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(2,066)</w:t>
            </w:r>
          </w:p>
        </w:tc>
        <w:tc>
          <w:tcPr>
            <w:tcW w:w="17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Other comprehensive (loss) income before reclassifications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7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current period other comprehensive (loss) income</w:t>
            </w:r>
          </w:p>
        </w:tc>
        <w:tc>
          <w:tcPr>
            <w:tcW w:w="1288"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26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3,152 </w:t>
            </w:r>
          </w:p>
        </w:tc>
        <w:tc>
          <w:tcPr>
            <w:tcW w:w="13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3,098 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(145)</w:t>
            </w:r>
          </w:p>
        </w:tc>
        <w:tc>
          <w:tcPr>
            <w:tcW w:w="23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7,415 </w:t>
            </w:r>
          </w:p>
        </w:tc>
        <w:tc>
          <w:tcPr>
            <w:tcW w:w="12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7,270 </w:t>
            </w:r>
          </w:p>
        </w:tc>
        <w:tc>
          <w:tcPr>
            <w:tcW w:w="17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Ending balance</w:t>
            </w:r>
          </w:p>
        </w:tc>
        <w:tc>
          <w:tcPr>
            <w:tcW w:w="4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5,585 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5,141 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5,204 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rPr>
      </w:pPr>
      <w:bookmarkStart w:id="42" w:name="i1cdbdcf8e0e346cc8ce9a4fd7e247f6f"/>
      <w:bookmarkEnd w:id="42"/>
      <w:r>
        <w:rPr>
          <w:rFonts w:ascii="Arial;sans-serif" w:hAnsi="Arial;sans-serif"/>
          <w:b/>
          <w:i/>
          <w:color w:val="000000"/>
          <w:sz w:val="20"/>
        </w:rPr>
        <w:t>Reserved Shares of Common Stock for Future Issuance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of September 30, 2026, the Company had reserved shares of common stock for future issuance as follows:</w:t>
      </w:r>
    </w:p>
    <w:tbl>
      <w:tblPr>
        <w:tblW w:w="6135" w:type="dxa"/>
        <w:jc w:val="left"/>
        <w:tblInd w:w="0" w:type="dxa"/>
        <w:tblLayout w:type="fixed"/>
        <w:tblCellMar>
          <w:top w:w="28" w:type="dxa"/>
          <w:left w:w="28" w:type="dxa"/>
          <w:bottom w:w="28" w:type="dxa"/>
          <w:right w:w="28" w:type="dxa"/>
        </w:tblCellMar>
      </w:tblPr>
      <w:tblGrid>
        <w:gridCol w:w="1829"/>
        <w:gridCol w:w="1607"/>
        <w:gridCol w:w="1618"/>
        <w:gridCol w:w="315"/>
        <w:gridCol w:w="315"/>
        <w:gridCol w:w="451"/>
      </w:tblGrid>
      <w:tr>
        <w:tc>
          <w:tcPr>
            <w:tcW w:w="182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c>
          <w:tcPr>
            <w:tcW w:w="50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Issued and outstanding stock options</w:t>
            </w:r>
          </w:p>
        </w:tc>
        <w:tc>
          <w:tcPr>
            <w:tcW w:w="10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4,040,500</w:t>
            </w:r>
          </w:p>
        </w:tc>
      </w:tr>
      <w:tr>
        <w:tc>
          <w:tcPr>
            <w:tcW w:w="5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Issued and outstanding restricted stock units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12,696,840</w:t>
            </w:r>
          </w:p>
        </w:tc>
      </w:tr>
      <w:tr>
        <w:tc>
          <w:tcPr>
            <w:tcW w:w="505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Available for issuance under the 2021 Equity Incentive Plan</w:t>
            </w:r>
          </w:p>
        </w:tc>
        <w:tc>
          <w:tcPr>
            <w:tcW w:w="10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18,116,406</w:t>
            </w:r>
          </w:p>
        </w:tc>
      </w:tr>
      <w:tr>
        <w:tc>
          <w:tcPr>
            <w:tcW w:w="5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Available for issuance under Employee Stock Purchase Plan</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6,623,078</w:t>
            </w:r>
          </w:p>
        </w:tc>
      </w:tr>
      <w:tr>
        <w:tc>
          <w:tcPr>
            <w:tcW w:w="50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41,476,824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43" w:name="ifb6e4e4a340045f39a75f87f15b99fc9"/>
      <w:bookmarkEnd w:id="43"/>
      <w:r>
        <w:rPr>
          <w:rFonts w:ascii="Arial;sans-serif" w:hAnsi="Arial;sans-serif"/>
          <w:b/>
          <w:color w:val="000000"/>
          <w:sz w:val="20"/>
        </w:rPr>
        <w:t>Note 14.  Stock-Based Compensation</w:t>
      </w:r>
    </w:p>
    <w:p>
      <w:pPr>
        <w:pStyle w:val="TextBody"/>
        <w:bidi w:val="0"/>
        <w:spacing w:lineRule="auto" w:line="288" w:before="0" w:after="200"/>
        <w:jc w:val="left"/>
        <w:rPr>
          <w:rFonts w:ascii="Arial;sans-serif" w:hAnsi="Arial;sans-serif"/>
          <w:b/>
          <w:i/>
          <w:color w:val="000000"/>
          <w:sz w:val="20"/>
        </w:rPr>
      </w:pPr>
      <w:bookmarkStart w:id="44" w:name="i52d657c1d52d4ddb8926b1512c7aff5d"/>
      <w:bookmarkEnd w:id="44"/>
      <w:r>
        <w:rPr>
          <w:rFonts w:ascii="Arial;sans-serif" w:hAnsi="Arial;sans-serif"/>
          <w:b/>
          <w:i/>
          <w:color w:val="000000"/>
          <w:sz w:val="20"/>
        </w:rPr>
        <w:t>Stock Options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Stock options granted under the 2021 Plan generally vest based on continued service over four years and expire within ten years from the date of grant. Any options that are cancelled or forfeited before expiration become available for future grants.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Company did not grant any options to purchase shares of common stock during the three and nine months ended September 30, 2026 and 2025.</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of September 30, 2026, there was no unrecognized compensation expense related to unvested stock options.</w:t>
      </w:r>
    </w:p>
    <w:p>
      <w:pPr>
        <w:pStyle w:val="TextBody"/>
        <w:bidi w:val="0"/>
        <w:spacing w:lineRule="auto" w:line="288" w:before="0" w:after="200"/>
        <w:jc w:val="left"/>
        <w:rPr>
          <w:rFonts w:ascii="Arial;sans-serif" w:hAnsi="Arial;sans-serif"/>
          <w:b/>
          <w:i/>
          <w:color w:val="000000"/>
          <w:sz w:val="20"/>
        </w:rPr>
      </w:pPr>
      <w:bookmarkStart w:id="45" w:name="iffdf1a2f60b64aaa8f1963fe55a6a63e"/>
      <w:bookmarkEnd w:id="45"/>
      <w:r>
        <w:rPr>
          <w:rFonts w:ascii="Arial;sans-serif" w:hAnsi="Arial;sans-serif"/>
          <w:b/>
          <w:i/>
          <w:color w:val="000000"/>
          <w:sz w:val="20"/>
        </w:rPr>
        <w:t>Restricted Stock Units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Company awarded restricted stock units to employees and certain non-employee board members under the 2021 Plan. During the three and nine months ended September 30, 2026, the Company awarded restricted stock units covering an aggregate of 0.2 million and 6.2 million shares of common stock, respectively. The fair value of each restricted stock unit is estimated based on the fair value of the Company's common stock on the date of the grant. The restricted stock units vest over the requisite service period, which range between one and four years from the date of the grant, subject to the continued employment of the employees and service of the non-employee board members.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of September 30, 2026, there was $136.7 million of total unrecognized compensation expense related to unvested restricted stock units, which is expected to be recognized over a weighted-average period of 2.72 years.</w:t>
      </w:r>
    </w:p>
    <w:p>
      <w:pPr>
        <w:pStyle w:val="TextBody"/>
        <w:bidi w:val="0"/>
        <w:spacing w:lineRule="auto" w:line="288" w:before="0" w:after="200"/>
        <w:jc w:val="left"/>
        <w:rPr>
          <w:rFonts w:ascii="Arial;sans-serif" w:hAnsi="Arial;sans-serif"/>
          <w:b/>
          <w:i/>
          <w:color w:val="000000"/>
          <w:sz w:val="20"/>
        </w:rPr>
      </w:pPr>
      <w:bookmarkStart w:id="46" w:name="i1f856792494e429abc4a4134c45add02"/>
      <w:bookmarkEnd w:id="46"/>
      <w:r>
        <w:rPr>
          <w:rFonts w:ascii="Arial;sans-serif" w:hAnsi="Arial;sans-serif"/>
          <w:b/>
          <w:i/>
          <w:color w:val="000000"/>
          <w:sz w:val="20"/>
        </w:rPr>
        <w:t>Employee Stock Purchase Plan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April 2021, the Company’s board of directors adopted, and in May 2021 its stockholders approved, the 2021 Employee Stock Purchase Plan (ESPP), which became effective on May 28, 2021. The ESPP authorizes the issuance of shares of common stock pursuant to purchase rights granted to "eligible employees". As of September 30, 2026, a total of 6,623,078 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up to the lesser of 15% of their eligible compensation and the IRS limit. Offering periods are generally six months long.</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fair value of the ESPP offering during the three months ended September 30, 2026, was estimated at the start of the offering period using the Black-Scholes option-pricing model with the following assumptions: (i) expected term of six months, (ii) expected volatility of 50.06%, (iii) risk-free interest rate of 3.79% and (iv) expected dividend yield of 0%.</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of September 30, 2026, there was $0.1 million of unrecognized compensation expense related to the ESPP.</w:t>
      </w:r>
    </w:p>
    <w:p>
      <w:pPr>
        <w:pStyle w:val="TextBody"/>
        <w:bidi w:val="0"/>
        <w:spacing w:lineRule="auto" w:line="288" w:before="0" w:after="200"/>
        <w:jc w:val="left"/>
        <w:rPr>
          <w:rFonts w:ascii="Arial;sans-serif" w:hAnsi="Arial;sans-serif"/>
          <w:b/>
          <w:i/>
          <w:color w:val="000000"/>
          <w:sz w:val="20"/>
        </w:rPr>
      </w:pPr>
      <w:bookmarkStart w:id="47" w:name="i571e1fc5e29c4a89ae28117eb5ef63d2"/>
      <w:bookmarkEnd w:id="47"/>
      <w:r>
        <w:rPr>
          <w:rFonts w:ascii="Arial;sans-serif" w:hAnsi="Arial;sans-serif"/>
          <w:b/>
          <w:i/>
          <w:color w:val="000000"/>
          <w:sz w:val="20"/>
        </w:rPr>
        <w:t>Stock-Based Compensation Costs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following table summarizes the stock-based compensation expense for (i) stock options and restricted stock units granted to employees and non-employee board members and (ii) ESPP shares that were purchased by employees that were recorded in the Company’s condensed consolidated statements of operations and comprehensive (loss) income (in thousands):</w:t>
      </w:r>
    </w:p>
    <w:tbl>
      <w:tblPr>
        <w:tblW w:w="10205" w:type="dxa"/>
        <w:jc w:val="left"/>
        <w:tblInd w:w="0" w:type="dxa"/>
        <w:tblLayout w:type="fixed"/>
        <w:tblCellMar>
          <w:top w:w="28" w:type="dxa"/>
          <w:left w:w="28" w:type="dxa"/>
          <w:bottom w:w="28" w:type="dxa"/>
          <w:right w:w="28" w:type="dxa"/>
        </w:tblCellMar>
      </w:tblPr>
      <w:tblGrid>
        <w:gridCol w:w="1328"/>
        <w:gridCol w:w="1162"/>
        <w:gridCol w:w="1170"/>
        <w:gridCol w:w="274"/>
        <w:gridCol w:w="940"/>
        <w:gridCol w:w="141"/>
        <w:gridCol w:w="141"/>
        <w:gridCol w:w="141"/>
        <w:gridCol w:w="141"/>
        <w:gridCol w:w="274"/>
        <w:gridCol w:w="940"/>
        <w:gridCol w:w="141"/>
        <w:gridCol w:w="109"/>
        <w:gridCol w:w="109"/>
        <w:gridCol w:w="109"/>
        <w:gridCol w:w="264"/>
        <w:gridCol w:w="905"/>
        <w:gridCol w:w="136"/>
        <w:gridCol w:w="136"/>
        <w:gridCol w:w="136"/>
        <w:gridCol w:w="136"/>
        <w:gridCol w:w="264"/>
        <w:gridCol w:w="905"/>
        <w:gridCol w:w="203"/>
      </w:tblGrid>
      <w:tr>
        <w:tc>
          <w:tcPr>
            <w:tcW w:w="13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r>
      <w:tr>
        <w:tc>
          <w:tcPr>
            <w:tcW w:w="36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Technology and development</w:t>
            </w:r>
          </w:p>
        </w:tc>
        <w:tc>
          <w:tcPr>
            <w:tcW w:w="27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2,233 </w:t>
            </w:r>
          </w:p>
        </w:tc>
        <w:tc>
          <w:tcPr>
            <w:tcW w:w="14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3,558 </w:t>
            </w:r>
          </w:p>
        </w:tc>
        <w:tc>
          <w:tcPr>
            <w:tcW w:w="14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7,975 </w:t>
            </w:r>
          </w:p>
        </w:tc>
        <w:tc>
          <w:tcPr>
            <w:tcW w:w="13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10,077 </w:t>
            </w:r>
          </w:p>
        </w:tc>
        <w:tc>
          <w:tcPr>
            <w:tcW w:w="20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Selling and marketing</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5,883 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16,721 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14,580 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21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9,134 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8,975 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27,401 </w:t>
            </w:r>
          </w:p>
        </w:tc>
        <w:tc>
          <w:tcPr>
            <w:tcW w:w="1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26,366 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6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stock-based compensation expense</w:t>
            </w:r>
          </w:p>
        </w:tc>
        <w:tc>
          <w:tcPr>
            <w:tcW w:w="27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17,250 </w:t>
            </w:r>
          </w:p>
        </w:tc>
        <w:tc>
          <w:tcPr>
            <w:tcW w:w="14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17,733 </w:t>
            </w:r>
          </w:p>
        </w:tc>
        <w:tc>
          <w:tcPr>
            <w:tcW w:w="14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52,097 </w:t>
            </w:r>
          </w:p>
        </w:tc>
        <w:tc>
          <w:tcPr>
            <w:tcW w:w="13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53,473 </w:t>
            </w:r>
          </w:p>
        </w:tc>
        <w:tc>
          <w:tcPr>
            <w:tcW w:w="20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During the three months ended September 30, 2026 and 2025, $0.9 million and $0.6 million, respectively, of stock-based compensation was capitalized to internal-use software, deferred contract costs, and cloud-computing arrangement implementation costs. During the nine months ended September 30, 2026 and 2025, $2.3 million and $1.6 million, respectively, of stock-based compensation was capitalized to internal-use software, deferred contract costs, and cloud-computing arrangement implementation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48" w:name="i2b268da8070c419aa4454db958c93c81"/>
      <w:bookmarkEnd w:id="48"/>
      <w:r>
        <w:rPr>
          <w:rFonts w:ascii="Arial;sans-serif" w:hAnsi="Arial;sans-serif"/>
          <w:b/>
          <w:color w:val="000000"/>
          <w:sz w:val="20"/>
        </w:rPr>
        <w:t>Note 15.  Net Income per Share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Basic net income per share attributable to common stockholders is computed by dividing the net income attributable to common stockholders by the weighted-average number of shares of common stock outstanding for the period. Diluted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net income attributable to common stockholders is computed by adjusting net income attributable to common stockholders to reallocate undistributed earnings based on the potential impact of dilutive securities. Diluted net income per share attributable to common stockholders is computed by dividing the diluted net income attributable to common stockholders by the weighted-average number of common shares outstanding, including all potentially dilutive common shares, if the effect of such shares is dilutive. The dilutive effect of outstanding equity incentive awards is reflected in diluted net income per share by application of the treasury stock method.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income per share attributable to common stockholders are, therefore, the same for both voting and non-voting common stock on both individual and combined basis.</w:t>
      </w:r>
    </w:p>
    <w:p>
      <w:pPr>
        <w:pStyle w:val="TextBody"/>
        <w:bidi w:val="0"/>
        <w:spacing w:lineRule="auto" w:line="288" w:before="0" w:after="200"/>
        <w:ind w:left="0" w:right="0" w:firstLine="555"/>
        <w:jc w:val="left"/>
        <w:rPr>
          <w:rFonts w:ascii="Arial;sans-serif" w:hAnsi="Arial;sans-serif"/>
          <w:b w:val="false"/>
          <w:color w:val="000000"/>
          <w:sz w:val="20"/>
        </w:rPr>
      </w:pPr>
      <w:r>
        <w:rPr>
          <w:rFonts w:ascii="Arial;sans-serif" w:hAnsi="Arial;sans-serif"/>
          <w:b w:val="false"/>
          <w:color w:val="000000"/>
          <w:sz w:val="20"/>
        </w:rPr>
        <w:t>Basic and diluted net income per share attributable to common stockholders was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468"/>
        <w:gridCol w:w="1262"/>
        <w:gridCol w:w="1272"/>
        <w:gridCol w:w="275"/>
        <w:gridCol w:w="874"/>
        <w:gridCol w:w="129"/>
        <w:gridCol w:w="129"/>
        <w:gridCol w:w="129"/>
        <w:gridCol w:w="129"/>
        <w:gridCol w:w="275"/>
        <w:gridCol w:w="874"/>
        <w:gridCol w:w="129"/>
        <w:gridCol w:w="109"/>
        <w:gridCol w:w="109"/>
        <w:gridCol w:w="109"/>
        <w:gridCol w:w="265"/>
        <w:gridCol w:w="855"/>
        <w:gridCol w:w="126"/>
        <w:gridCol w:w="126"/>
        <w:gridCol w:w="126"/>
        <w:gridCol w:w="126"/>
        <w:gridCol w:w="265"/>
        <w:gridCol w:w="855"/>
        <w:gridCol w:w="189"/>
      </w:tblGrid>
      <w:tr>
        <w:tc>
          <w:tcPr>
            <w:tcW w:w="146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c>
          <w:tcPr>
            <w:tcW w:w="4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c>
          <w:tcPr>
            <w:tcW w:w="4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r>
      <w:tr>
        <w:tc>
          <w:tcPr>
            <w:tcW w:w="400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Numerator:</w:t>
            </w:r>
          </w:p>
        </w:tc>
        <w:tc>
          <w:tcPr>
            <w:tcW w:w="127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74,543 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78,914 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13,464 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 attributable to common stockholders – basic and diluted</w:t>
            </w:r>
          </w:p>
        </w:tc>
        <w:tc>
          <w:tcPr>
            <w:tcW w:w="27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74,543 </w:t>
            </w:r>
          </w:p>
        </w:tc>
        <w:tc>
          <w:tcPr>
            <w:tcW w:w="12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29,631 </w:t>
            </w:r>
          </w:p>
        </w:tc>
        <w:tc>
          <w:tcPr>
            <w:tcW w:w="12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78,914 </w:t>
            </w:r>
          </w:p>
        </w:tc>
        <w:tc>
          <w:tcPr>
            <w:tcW w:w="12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13,464 </w:t>
            </w:r>
          </w:p>
        </w:tc>
        <w:tc>
          <w:tcPr>
            <w:tcW w:w="18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Denominator:</w:t>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 basic</w:t>
            </w:r>
          </w:p>
        </w:tc>
        <w:tc>
          <w:tcPr>
            <w:tcW w:w="12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121,956,220</w:t>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122,434,615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122,177,966</w:t>
            </w:r>
          </w:p>
        </w:tc>
        <w:tc>
          <w:tcPr>
            <w:tcW w:w="3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122,504,476</w:t>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Effect of potentially dilutive stock options</w:t>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2,585,939</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2,915,403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2,621,966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3,118,924</w:t>
            </w:r>
          </w:p>
        </w:tc>
      </w:tr>
      <w:tr>
        <w:tc>
          <w:tcPr>
            <w:tcW w:w="400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Effect of potentially dilutive restricted stock units</w:t>
            </w:r>
          </w:p>
        </w:tc>
        <w:tc>
          <w:tcPr>
            <w:tcW w:w="12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5,160,967</w:t>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2,325,595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4,202,276</w:t>
            </w:r>
          </w:p>
        </w:tc>
        <w:tc>
          <w:tcPr>
            <w:tcW w:w="3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1,871,777</w:t>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 diluted</w:t>
            </w:r>
          </w:p>
        </w:tc>
        <w:tc>
          <w:tcPr>
            <w:tcW w:w="12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129,703,126</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127,675,613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129,002,208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127,495,177</w:t>
            </w:r>
          </w:p>
        </w:tc>
      </w:tr>
      <w:tr>
        <w:tc>
          <w:tcPr>
            <w:tcW w:w="400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income per share:</w:t>
            </w:r>
          </w:p>
        </w:tc>
        <w:tc>
          <w:tcPr>
            <w:tcW w:w="127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 per share attributable to common stockholders – basic</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 per share attributable to common stockholders – diluted</w:t>
            </w:r>
          </w:p>
        </w:tc>
        <w:tc>
          <w:tcPr>
            <w:tcW w:w="27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0.23 </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0.61 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Outstanding potentially dilutive securities, which were excluded from the diluted net income per share calculations because they would have been antidilutive were as follows as of the dates presented:</w:t>
      </w:r>
    </w:p>
    <w:tbl>
      <w:tblPr>
        <w:tblW w:w="9995" w:type="dxa"/>
        <w:jc w:val="left"/>
        <w:tblInd w:w="0" w:type="dxa"/>
        <w:tblLayout w:type="fixed"/>
        <w:tblCellMar>
          <w:top w:w="28" w:type="dxa"/>
          <w:left w:w="28" w:type="dxa"/>
          <w:bottom w:w="28" w:type="dxa"/>
          <w:right w:w="28" w:type="dxa"/>
        </w:tblCellMar>
      </w:tblPr>
      <w:tblGrid>
        <w:gridCol w:w="1243"/>
        <w:gridCol w:w="1094"/>
        <w:gridCol w:w="1098"/>
        <w:gridCol w:w="347"/>
        <w:gridCol w:w="347"/>
        <w:gridCol w:w="347"/>
        <w:gridCol w:w="347"/>
        <w:gridCol w:w="347"/>
        <w:gridCol w:w="347"/>
        <w:gridCol w:w="347"/>
        <w:gridCol w:w="347"/>
        <w:gridCol w:w="368"/>
        <w:gridCol w:w="109"/>
        <w:gridCol w:w="109"/>
        <w:gridCol w:w="109"/>
        <w:gridCol w:w="327"/>
        <w:gridCol w:w="327"/>
        <w:gridCol w:w="327"/>
        <w:gridCol w:w="327"/>
        <w:gridCol w:w="327"/>
        <w:gridCol w:w="327"/>
        <w:gridCol w:w="327"/>
        <w:gridCol w:w="327"/>
        <w:gridCol w:w="473"/>
      </w:tblGrid>
      <w:t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r>
      <w:tr>
        <w:tc>
          <w:tcPr>
            <w:tcW w:w="34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Unvested restricted stock units</w:t>
            </w:r>
          </w:p>
        </w:tc>
        <w:tc>
          <w:tcPr>
            <w:tcW w:w="104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429,731</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1,393,233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1,149,471</w:t>
            </w:r>
          </w:p>
        </w:tc>
        <w:tc>
          <w:tcPr>
            <w:tcW w:w="9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1,414,188</w:t>
            </w:r>
          </w:p>
        </w:tc>
      </w:tr>
      <w:tr>
        <w:tc>
          <w:tcPr>
            <w:tcW w:w="3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Stock options to purchase common stock</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1,315,903</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3,191,378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1,729,054</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3,778,630</w:t>
            </w:r>
          </w:p>
        </w:tc>
      </w:tr>
      <w:tr>
        <w:tc>
          <w:tcPr>
            <w:tcW w:w="343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Employee stock purchase plan shares</w:t>
            </w:r>
          </w:p>
        </w:tc>
        <w:tc>
          <w:tcPr>
            <w:tcW w:w="10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35,305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90,289</w:t>
            </w:r>
          </w:p>
        </w:tc>
        <w:tc>
          <w:tcPr>
            <w:tcW w:w="9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35,305</w:t>
            </w:r>
          </w:p>
        </w:tc>
      </w:tr>
      <w:t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1,745,634</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4,619,916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2,968,814</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5,228,123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49" w:name="i2b1389f8f285432aa278153de374fb04"/>
      <w:bookmarkEnd w:id="49"/>
      <w:r>
        <w:rPr>
          <w:rFonts w:ascii="Arial;sans-serif" w:hAnsi="Arial;sans-serif"/>
          <w:b/>
          <w:color w:val="000000"/>
          <w:sz w:val="20"/>
        </w:rPr>
        <w:t>Note 16.  Income Taxes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The Company’s (benefit from) provision for income taxes during the interim periods is determined using an estimate of the Company’s annual effective tax rate, which is adjusted for certain discrete tax items during the interim period. The Company recorded an income tax benefit of $22.2 million and an income tax provision of $1.6 million for the three months ended September 30, 2026 and 2025, respectively. The Company recorded an income tax benefit of $17.2 million and an income tax provision of $7.7 million for the nine months ended September 30, 2026 and 2025, respectively. The income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tax benefit for both the three and nine months ended September 30, 2026 was primarily driven by the release of the U.S. valuation allowance, partially offset by activity in the Company's foreign subsidiaries and U.S. state taxes. The income tax provision for both the three and nine months ended September 30, 2025, was primarily attributable to activity in the Company's foreign subsidiaries and U.S. state taxes.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For the nine months ended September 30, 2026, the Company’s effective tax rate differed from the U.S. federal statutory rate primarily due to the release of the U.S. valuation allowance, research and development tax credits, and non-deductible executive compensation. For the nine months ended September 30, 2025, the Company’s effective tax rate differed from the U.S. federal statutory rate primarily due to the impact of non-deductible executive compensation and the change in the valuation allowance in the U.S.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Company files income tax returns as prescribed by the tax laws of the jurisdiction in which it operates. In the normal course of its business, the Company is subject to examination by federal, state and foreign jurisdictions, where applicable. The Company is open to future federal tax examinations by the Internal Revenue Service from 2022 to the present; however, carryforward attributes that were generated prior to 2022 may still be adjusted upon examination to the extent they will be used in a future period. The Company remains open to examination by other foreign tax authorities from 2021 to the present.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Company’s management evaluates the realizability of the Company’s deferred tax assets based on all available evidence, both positive and negative, and regularly assesses the need for a valuation allowance on its deferred tax assets. In making this assessment, the Company considers both positive and negative evidence related to the likelihood of realization of the deferred tax assets to determine, based on the weight of available evidence, whether it is more likely than not that some or all the deferred tax assets will not be realized. The assessment requires significant judgment and is performed for each of the applicable jurisdictions.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During the nine months ended September 30, 2026, the Company demonstrated consistent and continued profitability over the preceding three-year period, both globally and within its U.S. operations. The Company’s ability to sustain and grow its profitability is supported by its success in building its client base around the world and the achievement of significant scale from expanding utilization by its clients’ customers. The Company anticipates it will achieve its sustained profitability through the normal course of business and does not expect that the realization of its deferred tax assets will be dependent on tax planning strategies, material improvements over present levels of consolidated pre-tax results, material changes in the present relationship between income reported for financial and tax purposes, or material asset sales or other non-routine transactions. Accordingly, the Company’s valuation allowance analysis is based on objective, verifiable evidence of recent profitability trends and reasonable projections of continued profitability. Further, given the Company's U.S. taxable income position for the annual periods ending on December 31, 2024 and 2025, the Company utilized more attributes than it generated which reduces its U.S. federal and state net deferred tax assets. As a result, in the third quarter of 2026, the Company concluded that its history of cumulative profitability in the U.S. over the preceding three-year period, along with increasingly favorable forecasts of continued future profitability in the U.S., provided sufficient positive evidence supporting the realizability of its U.S. deferred tax assets and, accordingly, the release of the related valuation allowance previously recorded against these deferred tax assets, resulting in a tax benefit of $25.2 million in the third quarter of 2026. Deferred tax assets are recorded within other assets on the condensed consolidated balance sheets. Following this release, the Company has no remaining valuation allowance against its U.S. federal and state deferred tax assets.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On July 4, 2025, the U.S. government enacted the One Big Beautiful Bill Act of 2025 (OBBBA), which introduced comprehensive changes to the U.S. corporate income tax system. While the majority of the OBBBA’s provisions became effective for the Company beginning January 1, 2026, certain capital investment and innovation incentives were retroactively applicable to the 2025 fiscal year. The OBBBA reinstated 100% bonus depreciation for qualified property placed in service after January 19, 2025. It also restored the ability to immediately expense domestic research and development (R&amp;D) expenditures, allowing for a 100% deduction (or 50% over two years for unamortized costs) for tax years beginning after December 31, 2024. The impact of these retroactive changes was recognized in the Company’s income tax provision for the year ended December 31, 2025, and did not have a material effect on the consolidated financial statements. The Company continues to evaluate the long-term effects of the legislation on the Company's estimated annual effective tax rate and cash tax position. Based on current analysis, the OBBBA did not have a material impact on the Company's condensed consolidated financial statements for the nine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color w:val="000000"/>
          <w:sz w:val="20"/>
        </w:rPr>
      </w:pPr>
      <w:bookmarkStart w:id="50" w:name="icc8a4524d5b14c3a98ebc9baf74a963d"/>
      <w:bookmarkEnd w:id="50"/>
      <w:r>
        <w:rPr>
          <w:rFonts w:ascii="Arial;sans-serif" w:hAnsi="Arial;sans-serif"/>
          <w:b/>
          <w:color w:val="000000"/>
          <w:sz w:val="20"/>
        </w:rPr>
        <w:t>Note 17.  Commitments and Contingencies</w:t>
      </w:r>
    </w:p>
    <w:p>
      <w:pPr>
        <w:pStyle w:val="TextBody"/>
        <w:bidi w:val="0"/>
        <w:spacing w:lineRule="auto" w:line="288" w:before="0" w:after="200"/>
        <w:jc w:val="left"/>
        <w:rPr>
          <w:rFonts w:ascii="Arial;sans-serif" w:hAnsi="Arial;sans-serif"/>
          <w:b/>
          <w:i/>
          <w:color w:val="000000"/>
          <w:sz w:val="20"/>
        </w:rPr>
      </w:pPr>
      <w:bookmarkStart w:id="51" w:name="i36227c4935e1468d9baa34e7aa400eab"/>
      <w:bookmarkEnd w:id="51"/>
      <w:r>
        <w:rPr>
          <w:rFonts w:ascii="Arial;sans-serif" w:hAnsi="Arial;sans-serif"/>
          <w:b/>
          <w:i/>
          <w:color w:val="000000"/>
          <w:sz w:val="20"/>
        </w:rPr>
        <w:t>Legal proceedings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Company is subject to various legal proceedings and claims from time to time, the outcomes of which are subject to significant uncertainty. The Company records an accrual for legal contingencies when it has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the ability to make a reasonable estimate of the loss. If a material loss is reasonably possible, the Company discloses the nature of the contingency, and if estimable, the possible loss or range of loss.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of September 30, 2026, other than the pending securities class action claim described below, the Company was not a party to any litigation the outcome of which, the Company believes, if determined adversely to it, would individually or in the aggregate, have a material adverse effect on its financial position, results of operations, or cash flows.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the course of enhancing its sanctions compliance function, the Company initiated an internal review that identified issues related to the Company’s compliance with sanctions promulgated by the U.S. Treasury Department’s Office of Foreign Assets Control (OFAC), including payments that may have originated from sanctioned jurisdictions or sanctioned persons. Although Flywire continues to evaluate whether these or other transactions constitute potential violations of sanctions (including whether certain of these payments may have been authorized by general licenses or license exemptions under the relevant sanctions regulations), Flywire has made voluntary submissions to OFAC to report the apparent violations and provide supplemental information. Flywire is currently engaging with OFAC to resolve these matters, and most recently responded in October 2026 to an OFAC request to clarify certain previously provided information. Based upon the results of the internal review completed to date, the Company does not believe that the amount of any loss incurred as a result of this matter would be material to its business, financial condition, results of operations or cash flows.</w:t>
      </w:r>
    </w:p>
    <w:p>
      <w:pPr>
        <w:pStyle w:val="TextBody"/>
        <w:bidi w:val="0"/>
        <w:spacing w:lineRule="auto" w:line="288" w:before="0" w:after="200"/>
        <w:ind w:left="0" w:right="0" w:firstLine="490"/>
        <w:jc w:val="left"/>
      </w:pPr>
      <w:r>
        <w:rPr>
          <w:rFonts w:ascii="Arial;sans-serif" w:hAnsi="Arial;sans-serif"/>
          <w:b w:val="false"/>
          <w:color w:val="000000"/>
          <w:sz w:val="20"/>
        </w:rPr>
        <w:t xml:space="preserve">On July 25, 2025, the Company and certain of its current and former officers were named as defendants in a securities class action complaint captioned </w:t>
      </w:r>
      <w:r>
        <w:rPr>
          <w:rFonts w:ascii="Arial;sans-serif" w:hAnsi="Arial;sans-serif"/>
          <w:b w:val="false"/>
          <w:i/>
          <w:color w:val="000000"/>
          <w:sz w:val="20"/>
        </w:rPr>
        <w:t>Hickman v. Flywire Corporation</w:t>
      </w:r>
      <w:r>
        <w:rPr>
          <w:color w:val="000000"/>
        </w:rPr>
        <w:t xml:space="preserve"> </w:t>
      </w:r>
      <w:r>
        <w:rPr>
          <w:rFonts w:ascii="Arial;sans-serif" w:hAnsi="Arial;sans-serif"/>
          <w:b w:val="false"/>
          <w:color w:val="000000"/>
          <w:sz w:val="20"/>
        </w:rPr>
        <w:t>filed in the United States District Court for the Eastern District of New York on behalf of a putative class of investors who purchased Flywire securities from February 28, 2024, through February 25, 2025. In January 2026, the complaint was amended to, among other matters, remove a former officer from the claim and modify the class period to the time period between May 21, 2024 through February 25, 2025. Plaintiffs’ counsel filed a second amended complaint on May 7, 2026, which among other matters, added new allegations and another named plaintiff. Plaintiffs allege that the defendants violated Sections 10(b) and 20(a) of the Exchange Act by purportedly overstating the strength and sustainability of the Company's revenue growth and understating the negative impact of certain government permit and visa related policies on the business. The lawsuit seeks unspecified damages, costs, attorneys’ fees, and other relief. The Company believes it has strong defenses against the asserted claims, intends to vigorously defend itself, and filed a motion to dismiss in response to the second amended complaint on June 15, 2026. On September 28, 2026, the Company submitted its reply memorandum of law in further support of its motion to dismiss the second amended class action complaint.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Company cannot reasonably estimate the maximum potential exposure or the range of possible loss for this matter. The Company has not recorded an accrual for this matter because it has determined that a loss is not probable and reasonably estimable.</w:t>
      </w:r>
    </w:p>
    <w:p>
      <w:pPr>
        <w:pStyle w:val="TextBody"/>
        <w:bidi w:val="0"/>
        <w:spacing w:lineRule="auto" w:line="288" w:before="0" w:after="200"/>
        <w:jc w:val="left"/>
        <w:rPr>
          <w:rFonts w:ascii="Arial;sans-serif" w:hAnsi="Arial;sans-serif"/>
          <w:b/>
          <w:i/>
          <w:color w:val="000000"/>
          <w:sz w:val="20"/>
        </w:rPr>
      </w:pPr>
      <w:bookmarkStart w:id="52" w:name="idbfe79d858f54a19b5db6ae3d64cca18"/>
      <w:bookmarkEnd w:id="52"/>
      <w:r>
        <w:rPr>
          <w:rFonts w:ascii="Arial;sans-serif" w:hAnsi="Arial;sans-serif"/>
          <w:b/>
          <w:i/>
          <w:color w:val="000000"/>
          <w:sz w:val="20"/>
        </w:rPr>
        <w:t>Indemnification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aware of any pending indemnification matters or claims, individually or in the aggregate, that are expected to have a material adverse effect on its financial position, results of operations, or cash flows and had not accrued any liabilities related to such obligations in its condensed consolidated financial statements for the periods ended September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color w:val="000000"/>
          <w:sz w:val="20"/>
        </w:rPr>
      </w:pPr>
      <w:bookmarkStart w:id="53" w:name="i8264b03f153c41788ff8cb89762eadb2"/>
      <w:bookmarkEnd w:id="53"/>
      <w:r>
        <w:rPr>
          <w:rFonts w:ascii="Arial;sans-serif" w:hAnsi="Arial;sans-serif"/>
          <w:b/>
          <w:color w:val="000000"/>
          <w:sz w:val="20"/>
        </w:rPr>
        <w:t>Item 2. Management’s Discussion and Analysis of Financial Condition and Results of Operations</w:t>
      </w:r>
    </w:p>
    <w:p>
      <w:pPr>
        <w:pStyle w:val="TextBody"/>
        <w:bidi w:val="0"/>
        <w:spacing w:lineRule="auto" w:line="288" w:before="0" w:after="200"/>
        <w:ind w:left="0" w:right="0" w:firstLine="490"/>
        <w:jc w:val="left"/>
        <w:rPr>
          <w:rFonts w:ascii="Arial;sans-serif" w:hAnsi="Arial;sans-serif"/>
          <w:b w:val="false"/>
          <w:i/>
          <w:color w:val="000000"/>
          <w:sz w:val="20"/>
        </w:rPr>
      </w:pPr>
      <w:r>
        <w:rPr>
          <w:rFonts w:ascii="Arial;sans-serif" w:hAnsi="Arial;sans-serif"/>
          <w:b w:val="false"/>
          <w:i/>
          <w:color w:val="000000"/>
          <w:sz w:val="20"/>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Quarterly Report on Form 10-Q includes forward-looking statements that involve risks and uncertainties.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54" w:name="ic690ef633fa64002a338cb86e37d0335"/>
      <w:bookmarkEnd w:id="54"/>
      <w:r>
        <w:rPr>
          <w:rFonts w:ascii="Arial;sans-serif" w:hAnsi="Arial;sans-serif"/>
          <w:b/>
          <w:color w:val="000000"/>
          <w:sz w:val="20"/>
        </w:rPr>
        <w:t>Overview</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pStyle w:val="TextBody"/>
        <w:bidi w:val="0"/>
        <w:spacing w:lineRule="auto" w:line="288" w:before="0" w:after="200"/>
        <w:ind w:left="0" w:right="0" w:firstLine="490"/>
        <w:jc w:val="left"/>
      </w:pPr>
      <w:r>
        <w:rPr>
          <w:rFonts w:ascii="Arial;sans-serif" w:hAnsi="Arial;sans-serif"/>
          <w:b w:val="false"/>
          <w:color w:val="000000"/>
          <w:sz w:val="20"/>
        </w:rPr>
        <w:t xml:space="preserve">Our </w:t>
      </w:r>
      <w:r>
        <w:rPr>
          <w:rFonts w:ascii="Arial;sans-serif" w:hAnsi="Arial;sans-serif"/>
          <w:b w:val="false"/>
          <w:i/>
          <w:color w:val="000000"/>
          <w:sz w:val="20"/>
        </w:rPr>
        <w:t>Flywire Advantage</w:t>
      </w:r>
      <w:r>
        <w:rPr>
          <w:color w:val="000000"/>
        </w:rPr>
        <w:t xml:space="preserve"> </w:t>
      </w:r>
      <w:r>
        <w:rPr>
          <w:rFonts w:ascii="Arial;sans-serif" w:hAnsi="Arial;sans-serif"/>
          <w:b w:val="false"/>
          <w:color w:val="000000"/>
          <w:sz w:val="20"/>
        </w:rPr>
        <w:t xml:space="preserve">is derived from three core elements: (i) our next-gen payments platform; (ii) our proprietary global payment network; and (iii) our vertical-specific software backed by our deep industry expertise. With our </w:t>
      </w:r>
      <w:r>
        <w:rPr>
          <w:rFonts w:ascii="Arial;sans-serif" w:hAnsi="Arial;sans-serif"/>
          <w:b w:val="false"/>
          <w:i/>
          <w:color w:val="000000"/>
          <w:sz w:val="20"/>
        </w:rPr>
        <w:t>Flywire Advantage</w:t>
      </w:r>
      <w:r>
        <w:rPr>
          <w:rFonts w:ascii="Arial;sans-serif" w:hAnsi="Arial;sans-serif"/>
          <w:b w:val="false"/>
          <w:color w:val="000000"/>
          <w:sz w:val="20"/>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before="0" w:after="200"/>
        <w:jc w:val="center"/>
      </w:pPr>
      <w:r>
        <w:drawing>
          <wp:inline distT="0" distB="0" distL="0" distR="0">
            <wp:extent cx="6029325" cy="4476750"/>
            <wp:effectExtent l="0" t="0" r="0" b="0"/>
            <wp:docPr id="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 descr=""/>
                    <pic:cNvPicPr>
                      <a:picLocks noChangeAspect="1" noChangeArrowheads="1"/>
                    </pic:cNvPicPr>
                  </pic:nvPicPr>
                  <pic:blipFill>
                    <a:blip r:embed="rId2"/>
                    <a:stretch>
                      <a:fillRect/>
                    </a:stretch>
                  </pic:blipFill>
                  <pic:spPr bwMode="auto">
                    <a:xfrm>
                      <a:off x="0" y="0"/>
                      <a:ext cx="6029325" cy="4476750"/>
                    </a:xfrm>
                    <a:prstGeom prst="rect">
                      <a:avLst/>
                    </a:prstGeom>
                  </pic:spPr>
                </pic:pic>
              </a:graphicData>
            </a:graphic>
          </wp:inline>
        </w:drawing>
      </w:r>
      <w:bookmarkStart w:id="55" w:name="i-1"/>
      <w:bookmarkEnd w:id="55"/>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combination of our differentiated solution and efficient go-to-market strategy has resulted in strong and consistent client growth.</w:t>
      </w:r>
    </w:p>
    <w:p>
      <w:pPr>
        <w:pStyle w:val="TextBody"/>
        <w:bidi w:val="0"/>
        <w:spacing w:lineRule="auto" w:line="288" w:before="0" w:after="120"/>
        <w:ind w:left="0" w:right="0" w:hanging="360"/>
        <w:jc w:val="left"/>
      </w:pPr>
      <w:r>
        <w:rPr>
          <w:color w:val="000000"/>
        </w:rPr>
        <w:t>•</w:t>
      </w:r>
      <w:r>
        <w:rPr>
          <w:rFonts w:ascii="Arial;sans-serif" w:hAnsi="Arial;sans-serif"/>
          <w:b/>
          <w:i/>
          <w:color w:val="000000"/>
          <w:sz w:val="20"/>
        </w:rPr>
        <w:t>Rapid domestic and international payments volume growth</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We have grown our total payment volume by approximately 27.7% period-over-period from $13.9 billion during the three months ended September 30, 2025 to $17.8 billion during the three months ended September 30, 2026. We have grown our total payment volume by approximately 32.5% period-over-period from $28.2 billion during the nine months ended September 30, 2025 to $37.4 billion during the nine months ended September 30, 2026.</w:t>
      </w:r>
    </w:p>
    <w:p>
      <w:pPr>
        <w:pStyle w:val="TextBody"/>
        <w:bidi w:val="0"/>
        <w:spacing w:lineRule="auto" w:line="288" w:before="0" w:after="120"/>
        <w:ind w:left="0" w:right="0" w:hanging="360"/>
        <w:jc w:val="left"/>
      </w:pPr>
      <w:r>
        <w:rPr>
          <w:color w:val="000000"/>
        </w:rPr>
        <w:t>•</w:t>
      </w:r>
      <w:r>
        <w:rPr>
          <w:rFonts w:ascii="Arial;sans-serif" w:hAnsi="Arial;sans-serif"/>
          <w:b/>
          <w:i/>
          <w:color w:val="000000"/>
          <w:sz w:val="20"/>
        </w:rPr>
        <w:t>Expanded global payments network</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We have continued to add to the capabilities of our payment network by means of new local bank accounts and payment partners, and have expanded our global reach to over 240 countries and territories and more than 140 currencies.</w:t>
      </w:r>
    </w:p>
    <w:p>
      <w:pPr>
        <w:pStyle w:val="TextBody"/>
        <w:bidi w:val="0"/>
        <w:spacing w:lineRule="auto" w:line="288" w:before="0" w:after="200"/>
        <w:ind w:left="0" w:right="0" w:hanging="360"/>
        <w:jc w:val="left"/>
      </w:pPr>
      <w:r>
        <w:rPr>
          <w:color w:val="000000"/>
        </w:rPr>
        <w:t>•</w:t>
      </w:r>
      <w:r>
        <w:rPr>
          <w:rFonts w:ascii="Arial;sans-serif" w:hAnsi="Arial;sans-serif"/>
          <w:b/>
          <w:i/>
          <w:color w:val="000000"/>
          <w:sz w:val="20"/>
        </w:rPr>
        <w:t>Strong dollar-based net retention</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For the year ended December 31, 2025, our annual net dollar-based retention rate was approximately 110%.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retention rate for a given quarter only includes revenue from clients that were clients at the beginning of the corresponding quarter of the previous year.</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of September 30, 2026, we serve approximately 5,400 clients around the world, excluding clients acquired from the Sertifi and Invoiced acquisitions. In education, we serve approximately 3,400 institutions. In healthcare, we power more than 150 healthcare systems, including four of the top 10 healthcare systems in the United States ranked by hospital size as of December 31, 2025. In our travel and B2B verticals, we have a growing portfolio of approximately 1,850 clients.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Our success in building our client base around the world and expanding utilization by our clients’ customers has allowed us to achieve significant scale. We enabled over $37.6 billion, $37.4 billion, and $28.2 billion in total payment volume during the year ended December 31, 2025 and nine months ended September 30, 2026 and 2025, respectively.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generated revenue of $623.0 million and $492.1 million for the years ended December 31, 2025 and 2024, respectively, and reported net income of $13.5 million and $2.9 million, respectively, for the same years. We generated revenue of $606.2 million and $465.5 million for the nine months ended September 30, 2026 and 2025, respectively, and reported net income of $78.9 million and $13.5 million, respectively, for the same periods.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believe that the growth of our business and our operating results will be dependent upon many factors, including our ability to add new clients, expand the usage of our solutions by our existing clients and their customers, integrate the businesses and technology platforms that we acquire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While we have experienced significant growth and increased demand for our solutions over recent periods, we may not be able to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IT and financial infrastructure, our operating and administrative systems and controls, and our ability to manage headcount, capital, and processes in an efficient manner. Additionally, we face intense competition in our markets, and to succeed, we need to innovate and offer solutions that are differentiated from legacy payment solutions. We must also effectively hire, retain, train, and motivate qualified personnel and senior management. There are also circumstances beyond our control which can materially impact our business that we need to respond to, including, but not limited to fluctuations in exchange rates. If we are unable to successfully address these challenges, our business, operating results, and prospects could be adversely affected.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had approximately 1,550 full-time FlyMates as of September 30, 2026, compared to approximately 1,382 full-time FlyMates as of September 30, 2025, an increase of 12.2%.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56" w:name="ie5e1211049fb477b9b068411f77216e8"/>
      <w:bookmarkEnd w:id="56"/>
      <w:r>
        <w:rPr>
          <w:rFonts w:ascii="Arial;sans-serif" w:hAnsi="Arial;sans-serif"/>
          <w:b/>
          <w:color w:val="000000"/>
          <w:sz w:val="20"/>
        </w:rPr>
        <w:t>Recent Acquisitions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February 2025, we entered into a Purchase and Sale Agreement (the Agreement) to acquire the business of Sertifi LLC (Sertifi) for upfront cash consideration of $330.0 million, subject to certain post-closing adjustments set forth in the Agreement, and contingent consideration of up to $10.0 million upon the completion or satisfaction of certain technical and commercial milestones by Sertifi, with an estimated fair value of $3.1 million on the date of acquisition. During the year ended December 31, 2025, we paid $5.1 million for post-closing adjustments. Sertifi is a vertical software and payments platform digitizing hospitality-specific workflows and associated payments. We paid the upfront cash consideration through a combination of cash on hand and borrowings from our 2024 Revolving Credit Facility. The acquisition of Sertifi was intended to accelerate our travel business and expand our offerings to support over 20,000 hotel locations globally. Sertifi contributed $7.8 million and $18.4 million in platform revenue during the three and nine months ended September 30, 2025, respectively, and $5.1 million and $11.5 million in transactional revenue during the three and nine months ended September 30, 2025, respectively.</w:t>
      </w:r>
    </w:p>
    <w:p>
      <w:pPr>
        <w:pStyle w:val="TextBody"/>
        <w:bidi w:val="0"/>
        <w:spacing w:lineRule="auto" w:line="288" w:before="0" w:after="200"/>
        <w:ind w:left="0" w:right="0" w:firstLine="490"/>
        <w:jc w:val="left"/>
      </w:pPr>
      <w:r>
        <w:rPr>
          <w:rFonts w:ascii="Arial;sans-serif" w:hAnsi="Arial;sans-serif"/>
          <w:b w:val="false"/>
          <w:color w:val="000000"/>
          <w:sz w:val="20"/>
        </w:rPr>
        <w:t xml:space="preserve">See </w:t>
      </w:r>
      <w:r>
        <w:rPr>
          <w:rFonts w:ascii="Arial;sans-serif" w:hAnsi="Arial;sans-serif"/>
          <w:b w:val="false"/>
          <w:i/>
          <w:color w:val="1F1F1F"/>
          <w:sz w:val="20"/>
        </w:rPr>
        <w:t>Note 10 - Business Combinations</w:t>
      </w:r>
      <w:r>
        <w:rPr>
          <w:color w:val="000000"/>
        </w:rPr>
        <w:t xml:space="preserve"> </w:t>
      </w:r>
      <w:r>
        <w:rPr>
          <w:rFonts w:ascii="Arial;sans-serif" w:hAnsi="Arial;sans-serif"/>
          <w:b w:val="false"/>
          <w:color w:val="000000"/>
          <w:sz w:val="20"/>
        </w:rPr>
        <w:t>in our unaudited condensed consolidated financial statements appearing elsewhere in this Quarterly Report on Form 10-Q for additional details related to this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57" w:name="i65edc6d2816a4484a566276da6141efa"/>
      <w:bookmarkEnd w:id="57"/>
      <w:r>
        <w:rPr>
          <w:rFonts w:ascii="Arial;sans-serif" w:hAnsi="Arial;sans-serif"/>
          <w:b/>
          <w:color w:val="000000"/>
          <w:sz w:val="20"/>
        </w:rPr>
        <w:t>Restructuring</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February 2025, we announced a restructuring plan designed to improve operational efficiencies, reduce operating costs and better align our workforce with current business needs, top strategic priorities, and key growth opportunities (collectively, the Restructuring Plan). In connection with the Restructuring Plan, we incurred restructuring and restructuring-related charges of $8.7 million during the year ended December 31, 2025, recorded within restructuring expenses on the condensed consolidated statements of operations and comprehensive income. Restructuring costs during the year ended December 31, 2025, primarily consisted of cash expenditures for severance payments and related expenses of $6.3 million and non-cash expenditures related to acceleration of vesting of share-based awards of $2.4 million. As of March 31, 2026, the accrued restructuring liability had been settled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58" w:name="i83ac9e51a0e44e039ab025097689da43"/>
      <w:bookmarkEnd w:id="58"/>
      <w:r>
        <w:rPr>
          <w:rFonts w:ascii="Arial;sans-serif" w:hAnsi="Arial;sans-serif"/>
          <w:b/>
          <w:color w:val="000000"/>
          <w:sz w:val="20"/>
        </w:rPr>
        <w:t>Our Revenue Model</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generate revenue from transactions and from platform and other fees as described below.</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pPr>
      <w:r>
        <w:rPr>
          <w:rFonts w:ascii="Arial;sans-serif" w:hAnsi="Arial;sans-serif"/>
          <w:b w:val="false"/>
          <w:i/>
          <w:color w:val="000000"/>
          <w:sz w:val="20"/>
        </w:rPr>
        <w:t>Transaction revenue</w:t>
      </w:r>
      <w:r>
        <w:rPr>
          <w:color w:val="000000"/>
        </w:rPr>
        <w:t xml:space="preserve"> </w:t>
      </w:r>
      <w:r>
        <w:rPr>
          <w:rFonts w:ascii="Arial;sans-serif" w:hAnsi="Arial;sans-serif"/>
          <w:b w:val="false"/>
          <w:color w:val="000000"/>
          <w:sz w:val="20"/>
        </w:rPr>
        <w:t>includes fees earned from payment processing services provided to our clients, which is comprised of processing domestic and cross-border transactions. The fee is generally earned on each transaction through a rate applied to the total payment value of the transaction, which can vary based on the payment method, currency pairs being converted, and the geographic region in which our clients and their customers reside. Payment processing services also include fixed fees per transaction, which generally relate to domestic payments processed. It also includes marketing fees from credit card service providers for marketing arrangements in which we perform certain marketing activities to increase the awareness of the credit card provider and promote certain methods of payments, which we consider to be ancillary to the payment processing solutions we provide to our clients.</w:t>
      </w:r>
    </w:p>
    <w:p>
      <w:pPr>
        <w:pStyle w:val="TextBody"/>
        <w:bidi w:val="0"/>
        <w:spacing w:lineRule="auto" w:line="288" w:before="0" w:after="200"/>
        <w:ind w:left="0" w:right="0" w:firstLine="490"/>
        <w:jc w:val="left"/>
      </w:pPr>
      <w:r>
        <w:rPr>
          <w:rFonts w:ascii="Arial;sans-serif" w:hAnsi="Arial;sans-serif"/>
          <w:b w:val="false"/>
          <w:i/>
          <w:color w:val="000000"/>
          <w:sz w:val="20"/>
        </w:rPr>
        <w:t>Platform and other revenues</w:t>
      </w:r>
      <w:r>
        <w:rPr>
          <w:color w:val="000000"/>
        </w:rPr>
        <w:t xml:space="preserve"> </w:t>
      </w:r>
      <w:r>
        <w:rPr>
          <w:rFonts w:ascii="Arial;sans-serif" w:hAnsi="Arial;sans-serif"/>
          <w:b w:val="false"/>
          <w:color w:val="000000"/>
          <w:sz w:val="20"/>
        </w:rPr>
        <w:t>primarily include (i) fees earned for the utilization of our platforms to optimize cash collections and student application processing, which include revenue earned from software subscription fees and usage based fees, (ii) fees for the establishment of payment plans on our payment platform, (iii) fees related to printing, mailing, and other services which we consider to be ancillary to the solutions we provide to our clients, (iv) commissions from insurance providers when an end-user purchases an insurance policy, and (v) revenue from interest earned on funds held for customers in interest-bearing accounts. Platform and other revenues has been referred to as platform and usage based fee revenue in prior filings.</w:t>
      </w:r>
    </w:p>
    <w:p>
      <w:pPr>
        <w:pStyle w:val="TextBody"/>
        <w:bidi w:val="0"/>
        <w:spacing w:lineRule="auto" w:line="288" w:before="0" w:after="200"/>
        <w:jc w:val="left"/>
        <w:rPr>
          <w:rFonts w:ascii="Arial;sans-serif" w:hAnsi="Arial;sans-serif"/>
          <w:b/>
          <w:i/>
          <w:color w:val="000000"/>
          <w:sz w:val="20"/>
        </w:rPr>
      </w:pPr>
      <w:bookmarkStart w:id="59" w:name="i2e4c50c1c5c34bf9aa5a7961aabc8257"/>
      <w:bookmarkEnd w:id="59"/>
      <w:r>
        <w:rPr>
          <w:rFonts w:ascii="Arial;sans-serif" w:hAnsi="Arial;sans-serif"/>
          <w:b/>
          <w:i/>
          <w:color w:val="000000"/>
          <w:sz w:val="20"/>
        </w:rPr>
        <w:t>Total Payment Volume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platforms in a given period.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Total payment volume is comprised of transaction payment volume and platform and other revenues payment volume. The following tables set forth the increase in our total payment volume, and the payment volume mix between transaction payment volume and platform and other revenues payment volume.</w:t>
      </w:r>
    </w:p>
    <w:tbl>
      <w:tblPr>
        <w:tblW w:w="9994" w:type="dxa"/>
        <w:jc w:val="left"/>
        <w:tblInd w:w="0" w:type="dxa"/>
        <w:tblLayout w:type="fixed"/>
        <w:tblCellMar>
          <w:top w:w="28" w:type="dxa"/>
          <w:left w:w="28" w:type="dxa"/>
          <w:bottom w:w="28" w:type="dxa"/>
          <w:right w:w="28" w:type="dxa"/>
        </w:tblCellMar>
      </w:tblPr>
      <w:tblGrid>
        <w:gridCol w:w="1386"/>
        <w:gridCol w:w="1215"/>
        <w:gridCol w:w="1224"/>
        <w:gridCol w:w="109"/>
        <w:gridCol w:w="109"/>
        <w:gridCol w:w="109"/>
        <w:gridCol w:w="245"/>
        <w:gridCol w:w="1013"/>
        <w:gridCol w:w="126"/>
        <w:gridCol w:w="126"/>
        <w:gridCol w:w="126"/>
        <w:gridCol w:w="126"/>
        <w:gridCol w:w="245"/>
        <w:gridCol w:w="1013"/>
        <w:gridCol w:w="126"/>
        <w:gridCol w:w="109"/>
        <w:gridCol w:w="109"/>
        <w:gridCol w:w="109"/>
        <w:gridCol w:w="211"/>
        <w:gridCol w:w="766"/>
        <w:gridCol w:w="109"/>
        <w:gridCol w:w="109"/>
        <w:gridCol w:w="109"/>
        <w:gridCol w:w="109"/>
        <w:gridCol w:w="233"/>
        <w:gridCol w:w="233"/>
        <w:gridCol w:w="490"/>
      </w:tblGrid>
      <w:tr>
        <w:tc>
          <w:tcPr>
            <w:tcW w:w="138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Change</w:t>
            </w:r>
          </w:p>
        </w:tc>
      </w:tr>
      <w:t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(dollars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Percent</w:t>
            </w:r>
          </w:p>
        </w:tc>
      </w:tr>
      <w:tr>
        <w:tc>
          <w:tcPr>
            <w:tcW w:w="382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Transaction payment volume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14,762.6 </w:t>
            </w:r>
          </w:p>
        </w:tc>
        <w:tc>
          <w:tcPr>
            <w:tcW w:w="12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11,484.6 </w:t>
            </w:r>
          </w:p>
        </w:tc>
        <w:tc>
          <w:tcPr>
            <w:tcW w:w="12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3,278.0 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28.5</w:t>
            </w:r>
          </w:p>
        </w:tc>
        <w:tc>
          <w:tcPr>
            <w:tcW w:w="49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Platform and other revenues payment 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3,005.9 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2,431.6 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23.6</w:t>
            </w:r>
          </w:p>
        </w:tc>
        <w:tc>
          <w:tcPr>
            <w:tcW w:w="4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38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payment volume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17,768.5 </w:t>
            </w:r>
          </w:p>
        </w:tc>
        <w:tc>
          <w:tcPr>
            <w:tcW w:w="1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13,916.2 </w:t>
            </w:r>
          </w:p>
        </w:tc>
        <w:tc>
          <w:tcPr>
            <w:tcW w:w="1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3,852.3 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27.7</w:t>
            </w:r>
          </w:p>
        </w:tc>
        <w:tc>
          <w:tcPr>
            <w:tcW w:w="49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bl>
    <w:tbl>
      <w:tblPr>
        <w:tblW w:w="9890" w:type="dxa"/>
        <w:jc w:val="left"/>
        <w:tblInd w:w="0" w:type="dxa"/>
        <w:tblLayout w:type="fixed"/>
        <w:tblCellMar>
          <w:top w:w="28" w:type="dxa"/>
          <w:left w:w="28" w:type="dxa"/>
          <w:bottom w:w="28" w:type="dxa"/>
          <w:right w:w="28" w:type="dxa"/>
        </w:tblCellMar>
      </w:tblPr>
      <w:tblGrid>
        <w:gridCol w:w="1386"/>
        <w:gridCol w:w="1215"/>
        <w:gridCol w:w="1224"/>
        <w:gridCol w:w="109"/>
        <w:gridCol w:w="109"/>
        <w:gridCol w:w="109"/>
        <w:gridCol w:w="237"/>
        <w:gridCol w:w="979"/>
        <w:gridCol w:w="122"/>
        <w:gridCol w:w="122"/>
        <w:gridCol w:w="122"/>
        <w:gridCol w:w="122"/>
        <w:gridCol w:w="237"/>
        <w:gridCol w:w="979"/>
        <w:gridCol w:w="122"/>
        <w:gridCol w:w="109"/>
        <w:gridCol w:w="109"/>
        <w:gridCol w:w="109"/>
        <w:gridCol w:w="211"/>
        <w:gridCol w:w="766"/>
        <w:gridCol w:w="109"/>
        <w:gridCol w:w="109"/>
        <w:gridCol w:w="109"/>
        <w:gridCol w:w="109"/>
        <w:gridCol w:w="233"/>
        <w:gridCol w:w="233"/>
        <w:gridCol w:w="490"/>
      </w:tblGrid>
      <w:tr>
        <w:tc>
          <w:tcPr>
            <w:tcW w:w="138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Change</w:t>
            </w:r>
          </w:p>
        </w:tc>
      </w:tr>
      <w:t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(dollars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Percent</w:t>
            </w:r>
          </w:p>
        </w:tc>
      </w:tr>
      <w:tr>
        <w:tc>
          <w:tcPr>
            <w:tcW w:w="382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Transaction payment volume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7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31,228.3 </w:t>
            </w:r>
          </w:p>
        </w:tc>
        <w:tc>
          <w:tcPr>
            <w:tcW w:w="12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7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22,897.8 </w:t>
            </w:r>
          </w:p>
        </w:tc>
        <w:tc>
          <w:tcPr>
            <w:tcW w:w="12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8,330.5 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36.4</w:t>
            </w:r>
          </w:p>
        </w:tc>
        <w:tc>
          <w:tcPr>
            <w:tcW w:w="49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3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Platform and other revenues payment 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6,165.2 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5,320.9 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15.9</w:t>
            </w:r>
          </w:p>
        </w:tc>
        <w:tc>
          <w:tcPr>
            <w:tcW w:w="4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38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payment volume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7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37,393.5 </w:t>
            </w:r>
          </w:p>
        </w:tc>
        <w:tc>
          <w:tcPr>
            <w:tcW w:w="12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7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28,218.7 </w:t>
            </w:r>
          </w:p>
        </w:tc>
        <w:tc>
          <w:tcPr>
            <w:tcW w:w="12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9,174.8 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49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60" w:name="ief04b33df20b4ff6af474b1172e254dc"/>
      <w:bookmarkEnd w:id="60"/>
      <w:r>
        <w:rPr>
          <w:rFonts w:ascii="Arial;sans-serif" w:hAnsi="Arial;sans-serif"/>
          <w:b/>
          <w:color w:val="000000"/>
          <w:sz w:val="20"/>
        </w:rPr>
        <w:t>Key Factors Affecting Our Performance</w:t>
      </w:r>
    </w:p>
    <w:p>
      <w:pPr>
        <w:pStyle w:val="TextBody"/>
        <w:bidi w:val="0"/>
        <w:spacing w:lineRule="auto" w:line="288" w:before="0" w:after="200"/>
        <w:jc w:val="left"/>
        <w:rPr>
          <w:rFonts w:ascii="Arial;sans-serif" w:hAnsi="Arial;sans-serif"/>
          <w:b/>
          <w:i/>
          <w:color w:val="000000"/>
          <w:sz w:val="20"/>
        </w:rPr>
      </w:pPr>
      <w:bookmarkStart w:id="61" w:name="i12acee7c98a54421b0bd971cead9bf59"/>
      <w:bookmarkEnd w:id="61"/>
      <w:r>
        <w:rPr>
          <w:rFonts w:ascii="Arial;sans-serif" w:hAnsi="Arial;sans-serif"/>
          <w:b/>
          <w:i/>
          <w:color w:val="000000"/>
          <w:sz w:val="20"/>
        </w:rPr>
        <w:t>Increased Utilization by Our Clients and Their Customers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payments by international education consultants, B2B solutions, and our student financial software (SFS) solution, which provides institutions a comprehensive platform spanning the student financial lifecycle.</w:t>
      </w:r>
    </w:p>
    <w:p>
      <w:pPr>
        <w:pStyle w:val="TextBody"/>
        <w:bidi w:val="0"/>
        <w:spacing w:lineRule="auto" w:line="288" w:before="0" w:after="200"/>
        <w:jc w:val="left"/>
        <w:rPr>
          <w:rFonts w:ascii="Arial;sans-serif" w:hAnsi="Arial;sans-serif"/>
          <w:b/>
          <w:i/>
          <w:color w:val="000000"/>
          <w:sz w:val="20"/>
        </w:rPr>
      </w:pPr>
      <w:bookmarkStart w:id="62" w:name="i66afe82199334501b3ebd28e435f73ff"/>
      <w:bookmarkEnd w:id="62"/>
      <w:r>
        <w:rPr>
          <w:rFonts w:ascii="Arial;sans-serif" w:hAnsi="Arial;sans-serif"/>
          <w:b/>
          <w:i/>
          <w:color w:val="000000"/>
          <w:sz w:val="20"/>
        </w:rPr>
        <w:t>Mix of Business on Our Platform</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compared to domestic payments, which may increase or decrease depending on the industry in which our clients operate. In addition, the mix of payment methods utilized by our clients’ customers may have an impact on our margins given that our costs associated with certain payment methods, such as credit cards, are higher than other payment methods accepted by our solutions, such as bank transfers.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we are expanding our payment processing capabilities to offer a more comprehensive solution to our clients. While this new capability is expected to be a source of future growth, it is characterized by a lower gross margin profile compared to our traditional, higher-margin products. We anticipate that the inclusion of this business mix will exert a moderate, downward pressure during the initial ramp-up phase on our overall consolidated gross profit margin percentage, even as it continues to contribute positively to our absolute gross profit dollars.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During the nine months ended September 30, 2026, our business mix continued to exert downward pressure on our margins, driven by growing share of domestic transactions and credit card usage in travel and B2B and by our payment processing solution in healthcare, travel and B2B, partially offset by ongoing optimization of payment costs. We may experience shifts in the type of revenue we earn (transaction revenue or platform and other revenues) depending on the nature of the activity of our clients and our clients’ customers on our platform.</w:t>
      </w:r>
    </w:p>
    <w:p>
      <w:pPr>
        <w:pStyle w:val="TextBody"/>
        <w:bidi w:val="0"/>
        <w:spacing w:lineRule="auto" w:line="288" w:before="0" w:after="200"/>
        <w:jc w:val="left"/>
        <w:rPr>
          <w:rFonts w:ascii="Arial;sans-serif" w:hAnsi="Arial;sans-serif"/>
          <w:b/>
          <w:i/>
          <w:color w:val="000000"/>
          <w:sz w:val="20"/>
        </w:rPr>
      </w:pPr>
      <w:bookmarkStart w:id="63" w:name="ib929254cc07f43588df48a13de43de97"/>
      <w:bookmarkEnd w:id="63"/>
      <w:r>
        <w:rPr>
          <w:rFonts w:ascii="Arial;sans-serif" w:hAnsi="Arial;sans-serif"/>
          <w:b/>
          <w:i/>
          <w:color w:val="000000"/>
          <w:sz w:val="20"/>
        </w:rPr>
        <w:t>Digital Transformation and Operational Focus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make significant investments in both new solutions and existing solution enhancement. New solution features and functionality are brought to market through a variety of distribution and promotional activities. We plan to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Additionally, we plan to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are actively engaged in a comprehensive, company-wide operational and systems transformation program. This initiative encompasses a re-architecting of our data infrastructure, consolidation and upgrade of our enterprise and billing systems, underlying operating models, alongside the strategic alignment of our organizational structure, talent, and internal processes. The primary objectives of this program are to enhance our analytical capabilities, establish a centralized, structured data foundation to support our workforce, and facilitate the ongoing and future integration of artificial intelligence and automation into our workflows and product development. Ultimately, this foundational work is intended to position the Company for continued scalability and long-term growth. As we execute on this transformation, we expect the program to have a broad impact on our enterprise operations, driving long-term efficiencies and evolving our organizational structures and workflows.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Furthermore, we are optimizing internal systems and tools by consolidating our vendor footprint and automating processes. These efforts collectively reinforce our commitment to driving productivity, optimizing investments, and streamlining operations, thereby enhancing our platform's overall capabilities and providing deeper insights for our stakeholders.</w:t>
      </w:r>
    </w:p>
    <w:p>
      <w:pPr>
        <w:pStyle w:val="TextBody"/>
        <w:bidi w:val="0"/>
        <w:spacing w:lineRule="auto" w:line="288" w:before="0" w:after="200"/>
        <w:jc w:val="left"/>
        <w:rPr>
          <w:rFonts w:ascii="Arial;sans-serif" w:hAnsi="Arial;sans-serif"/>
          <w:b/>
          <w:i/>
          <w:color w:val="000000"/>
          <w:sz w:val="20"/>
        </w:rPr>
      </w:pPr>
      <w:bookmarkStart w:id="64" w:name="if1696e6eff62464795f0fcac1517d182"/>
      <w:bookmarkEnd w:id="64"/>
      <w:r>
        <w:rPr>
          <w:rFonts w:ascii="Arial;sans-serif" w:hAnsi="Arial;sans-serif"/>
          <w:b/>
          <w:i/>
          <w:color w:val="000000"/>
          <w:sz w:val="20"/>
        </w:rPr>
        <w:t>Seasonality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and vertical. For instance, our revenue has historically been largest in the third quarter driven by our education peak season. Some variability results from seasonal events including the timing of when our education clients’ customers make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their tuition payments on our payment platform and the number of business days in a month or quarter. We also experience volatility in certain other metrics, such as transactions processed, total payment volume and payment mix.</w:t>
      </w:r>
    </w:p>
    <w:p>
      <w:pPr>
        <w:pStyle w:val="TextBody"/>
        <w:bidi w:val="0"/>
        <w:spacing w:lineRule="auto" w:line="288" w:before="0" w:after="200"/>
        <w:jc w:val="left"/>
        <w:rPr>
          <w:rFonts w:ascii="Arial;sans-serif" w:hAnsi="Arial;sans-serif"/>
          <w:b/>
          <w:i/>
          <w:color w:val="000000"/>
          <w:sz w:val="20"/>
        </w:rPr>
      </w:pPr>
      <w:bookmarkStart w:id="65" w:name="i14f155fa544549df91bc7098fa5c85f3"/>
      <w:bookmarkEnd w:id="65"/>
      <w:r>
        <w:rPr>
          <w:rFonts w:ascii="Arial;sans-serif" w:hAnsi="Arial;sans-serif"/>
          <w:b/>
          <w:i/>
          <w:color w:val="000000"/>
          <w:sz w:val="20"/>
        </w:rPr>
        <w:t>Economic Conditions and Resulting Consumer Spending Trends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Changes in macro-level consumer spending for education, healthcare and travel trends, including as a result of inflation or fluctuations in foreign exchange rates, could affect the amounts of volumes processed on our platform, thus resulting in fluctuations to our revenue streams.</w:t>
      </w:r>
    </w:p>
    <w:p>
      <w:pPr>
        <w:pStyle w:val="TextBody"/>
        <w:bidi w:val="0"/>
        <w:spacing w:lineRule="auto" w:line="288" w:before="0" w:after="200"/>
        <w:jc w:val="left"/>
        <w:rPr>
          <w:rFonts w:ascii="Arial;sans-serif" w:hAnsi="Arial;sans-serif"/>
          <w:b/>
          <w:i/>
          <w:color w:val="000000"/>
          <w:sz w:val="20"/>
        </w:rPr>
      </w:pPr>
      <w:bookmarkStart w:id="66" w:name="if6ac93dbc6a74bc8bcde2abe77835ac2"/>
      <w:bookmarkEnd w:id="66"/>
      <w:r>
        <w:rPr>
          <w:rFonts w:ascii="Arial;sans-serif" w:hAnsi="Arial;sans-serif"/>
          <w:b/>
          <w:i/>
          <w:color w:val="000000"/>
          <w:sz w:val="20"/>
        </w:rPr>
        <w:t>Impacts Resulting From Government Changes to International Student and H-1B Visa Policies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Revenue from our education clients, which primarily includes clients in the United States, Canada, U.K., Europe, and Asia Pacific/Australia, is affected by several factors, including policies enacted by government organizations around the world that cap the issuance of international student visas. In January 2024, the Canadian government announced what at the time appeared to be a temporary intake cap on international student permit applications to stabilize new growth for a period of two years. This cap – intended to address Canada’s housing shortage, overburdened health systems, and rising costs of living – has reportedly reduced the number of international students coming to Canada by about 40% since implementation. Building on these changes, the Immigration, Refugees, and Citizenship Canada (IRCC) announced in January 2025 that new study permits for international students will be reduced by 10% from the 2024 target of 485,000 to 437,000 in 2025 and 2026. In November 2025, the IRCC announced that it expected to issue up to 408,000 study permits in 2026, including 155,000 to newly arriving international students, as outlined in the 2026–2028 Immigration Levels Plan, and 253,000 extensions for current and returning students. This number is 7% lower than the 2025 issuance target of 437,000 and 16% lower than the 2024 issuance target of 485,000. As of January 1, 2026, master’s and doctoral level students enrolled at a public designated learning institution in Canada do not need to submit a provincial or territorial attestation letter with their study permit application. When first instituted by the IRCC, the cap initially excluded students enrolled in master’s and PhD programs, but the IRCC more recently included master’s and doctoral students within the cap. Additionally, in November 2024, Canada ended its Student Direct Stream (SDS) program for expedited international student visa processing, and international students applying to study in Canada no longer need to prepay tuition to apply for a study permit.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Similarly, since late 2023, the Australian government has taken actions to tighten international student visa rules, including an increase in the amount of minimum savings that international students would need to have in order to obtain a visa, raising the standards of the English language proficiency requirements for student and graduate visas, a 125% increase in the visa fee for international students, and the imposition of a ban for holders of visitor visas and students holding temporary graduate visas from applying for a student visa while in Australia. In August 2024, the Australian government announced the setting of a national planning level to apply from January 1, 2025 and which is intended to limit the number of new overseas student places available in Australia – including a ceiling of 270,000 international students for calendar year 2025. However, in December 2024, the government announced a change of course, instead implementing a system to introduce two categories of student visa processing: “high priority” and “standard priority”, with all international education providers to receive high priority processing up to 80% of their indicative international student cap. After reaching 80%, the providers will receive standard priority processing. In August 2025, the Australian government announced the setting of a national planning level to apply a ceiling of 295,000 international students for 2026 (lifting the planning level by 25,000 from the 270,000 baseline set for 2025). In July 2026, the Australian government announced that the national planning level for 2027 will remain at 295,000 new international student commencements, maintaining allocation stability across active international education providers. These new Australian government policies, including university quotas, slower visa processing, higher fees, and stricter financial and language requirements, have had an adverse impact on our business in the nine months ended September 30, 2026 and we anticipate will continue to impact our Australian revenues for the remainder of 2026.</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Australian government reclassified India as a highest-risk (Evidence Level 3) student-visa assessment jurisdiction under its Simplified Student Visa Framework (SSVF), shifting India from Evidence Level 2 to the more stringent Evidence Level 3 category effective January 8, 2026. This reclassification was attributed to what the Department of Home Affairs described as “emerging integrity risks,” including concerns about non-genuine applications and fraudulent documentation within the student visa system. Indian student visa applicants are now required to submit more extensive documentation, including detailed financial evidence, authenticated academic records, proof of English language proficiency, and may be subject to additional background checks or interviews before a visa decision can be finalized. Some expected impacts to Australian universities include: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Expectation of longer student visa processing times, potentially extending from current medians to four–eight or more weeks, which could disrupt admissions and orientation schedules.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Increased administrative burden on international offices and recruitment staff to assist Indian applicants with enhanced documentation and compliance requirements.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Risk of a reduction in Indian student enrollments or delays in arrival, affecting tuition revenue and program planning.</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Necessity for universities to adjust intake planning, including staggered start dates or expanded online coursework, to accommodate delayed visa issuance.</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Potential for higher refusal rates requiring additional counseling and risk management for affected applicants.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Flywire could experience reduced transaction volumes and delayed payment flows from its Australian clients’ Indian student corridors due to slower visa processing times, increased application friction, and potential declines in enrollment. These factors could adversely affect our revenue growth in the Asia-Pacific education vertical and increase operational complexity associated with refunds, deferred intakes, and compliance-related payment adjustments. In addition, effective July 1, 2026, the Australian Government increased the non-refundable Student Visa (Subclass 500) application charge by 25%, raising the fee for primary applicants from AUD 2,000 to AUD 2,500. Higher upfront visa costs and potential application friction could temper total inbound international student enrollment growth in Australia, which may impact Flywire’s Australian education vertical.</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on October 2, 2026, the Australian government implemented further student visa reforms intended to reduce “visa hopping” and strengthen the integrity of its international education system. Under these reforms, most temporary visa holders in Australia, including visitor, working holiday, temporary work and temporary graduate visa holders, are no longer able to apply for a Student Visa (subclass 500) while in Australia and must instead apply for, and be granted, a Student Visa from outside Australia, and existing Student visa holders seeking a further Student Visa while in Australia must demonstrate genuine course progression. Most Student Visa applicants are also no longer able to include partners or dependent children in their applications, subject to limited exemptions (including for PhD students, government-sponsored students and nationals of Pacific and ASEAN member countries), and Student Visa holders may no longer add family members after their visa is granted. As a transitional measure until June 30, 2027, most international students must now remain in their principal course for 12 months, rather than six months, before transferring to another education provider, and beginning July 1, 2027, students seeking to change providers after arriving in Australia will be required to apply for a new Student Visa through a new transfer stream. Applications lodged before October 2, 2026 continue to be assessed under the prior rules. These reforms may reduce the number of international students who choose to study in Australia, particularly students who would otherwise be accompanied by family members or would otherwise transition to a Student Visa while in Australia, and could reduce or delay the education payments we process for our Australian clients.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the U.K. as well, there have recently been significant modifications to the process and standards for issuance of international student visas which may reduce demand for international study and adversely affect our business. In November 2025, the U.K. budget confirmed that a levy of £925 per student per year of study will commence from August 2028, at the start of the 2028/29 academic year, for higher education institutions in England. All providers will be given an allowance of the first 220 international students per year not paying the levy, which may protect smaller, specialist providers from paying the charge. Of potentially more significance is the reduction of the U.K.’s Graduate Route post-study-work-visa from 24 to 18 months as taking effect for visa applications made after January 1, 2027. The change applies to bachelor’s and master’s degrees, and not to PhDs (which retain a 3-year option). All of these changes in UK visa policies for international students could potentially discourage international students from studying in the U.K. and have an adverse impact on our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Other governments where our client institutions are located, including in the U.S., may introduce measures from time to time to manage the growth of the international student population in their respective countries, which may have adverse effects on our business. For example, the U.S. government’s recent announcement to impose a $100,000 filing fee per new H-1B visa could adversely impact demand for international students to attend our client institutions in the U.S. The new H-1B visa fee does not apply to international students already in the U.S. looking to apply for a status change. In June 2026, the U.S. District Court for the District of Massachusetts issued an order barring implementation of the $100,000 fee, which the U.S. Court of Appeals for the First Circuit declined to stay in July 2026, and on September 30, 2026, the U.S. District Court for the Northern District of California separately blocked implementation of the fee. The U.S. government has since extended the presidential proclamation imposing the fee for an additional year, and in August 2026, the U.S. Department of Homeland Security proposed a rule that would establish a permanent fee of approximately $103,000 for certain new H-1B petitions. The status and validity of the fee therefore remain subject to ongoing litigation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and rulemaking. In addition, in 2025 U.S. policy shifts prompted dramatic action to rescind student visas (including deportation of students), plan additional cutbacks to the volume of international student visa issuances and more closely scrutinize applications for international student visas, and to cut government support for higher education, adding to uncertainty around the number of students coming to the U.S. to study in the near future. In July 2026, the U.S. Department of Homeland Security published a final rule that would replace the open-ended "duration of status" for F-1 visa holders with a fixed maximum admission period of up to four years. Although the U.S. District Court for the District of Massachusetts preliminarily enjoined implementation of the rule on September 14, 2026, the day before it was scheduled to take effect, and the U.S. government has appealed that decision, the rule, if ultimately implemented, would create additional administrative burdens and potential visa uncertainty for international students studying in the U.S. and near-term immigration friction could temper growth in overall U.S. inbound international student enrollment, which may adversely impact our revenue and results of operations. Delays in issuances of visas or visa denials – which could be exacerbated by the periodic U.S. government shutdowns – may discourage prospective international students from choosing U.S. institutions as places for study. Recent proposals in Congress to tighten visa stay rules and to implement the “OPT Fair Tax Act” could further dampen demand among international students to study in the U.S. The existing rules and any introduction of new rules further limiting the attractiveness of international study by the governments of countries where our client institutions are located has and is expected in the near term to continue to adversely impact the growth of our business in the applicable regions. We expect these and other changes to U.S. immigration policy to continue to dampen demand for international study and adversely impact our revenue growth in the U.S. in 2026.</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After a period during which interviews and applications for student visas to study in the U.S. were temporarily suspended, in June 2025 the U.S. Department of State (DOS) resumed scheduling visa interview appointments for international students and exchange visitors while it considered new social media vetting measures. New student and exchange visitor visa policies, including the temporary pause and expanded vetting, could impact the number of international students successfully enrolling as students in the U.S., which may adversely affect our revenue and results of operations. Some of these expected impacts include:</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Requests for deferred admissions, increased student inquiries/concerns, and delays in expected enrollment;</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Visa appointment cancellations, unavailability or delays in scheduling interviews as well as higher visa rejection rates - especially as to potential students from the countries that send the most students to the United States; and</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Students pivoting away from study and research in the United States. According to some studies, the top five countries that international students and scholars have indicated they are turning to instead of the United States are the United Kingdom, Australia, Canada, China, and Germany. These European and Asian study destinations that are gaining in market share of student interest often carry lower tuition and related costs of living relative to the United States, which may result in lower volume of payments processed within our education vertical.</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expanded social media screening process to be applied by the DOS to student visa applicants establishes that, of those students seeking expedited appointments, priority should be given to those attending universities with lower international enrollment (15% or less). This change potentially disadvantages those seeking to study at more internationally diverse institutions and marks a significant departure from previous DOS guidance that prioritized students based on the start of their academic studies. Administrative processing issues, a new requirement that applicants provide DOS access to social media accounts, and the resource-intensive nature of the new screening requirements is expected to create longer wait times and processing delays. All of these factors – and other related uncertainties that will surface as the new standards are implemented – can contribute to a decline in international enrollment in U.S. academic institutions, which could adversely affect our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There is still a degree of uncertainty in terms of the impact the changes to international student visa policy and international trade policies will have on our U.S., Canadian and Australian education markets. We continue to see growth in new customers in our U.S., Canada and Australia education markets, providing a lever to offset some of the expected decline in new incoming international student growth resulting from these government changes to international student visa policies and international trade policies. We believe our business continues to remain strong amid these visa-related policy shifts, benefiting from our increasingly global and diversified footprint across verticals, sub-sectors, countries, currencies and clients.</w:t>
      </w:r>
    </w:p>
    <w:p>
      <w:pPr>
        <w:pStyle w:val="TextBody"/>
        <w:bidi w:val="0"/>
        <w:spacing w:lineRule="auto" w:line="288" w:before="0" w:after="200"/>
        <w:jc w:val="left"/>
        <w:rPr>
          <w:rFonts w:ascii="Arial;sans-serif" w:hAnsi="Arial;sans-serif"/>
          <w:b/>
          <w:color w:val="000000"/>
          <w:sz w:val="20"/>
        </w:rPr>
      </w:pPr>
      <w:bookmarkStart w:id="67" w:name="i72f04dcea2424fedbf858aca8ad56646"/>
      <w:bookmarkEnd w:id="67"/>
      <w:r>
        <w:rPr>
          <w:rFonts w:ascii="Arial;sans-serif" w:hAnsi="Arial;sans-serif"/>
          <w:b/>
          <w:color w:val="000000"/>
          <w:sz w:val="20"/>
        </w:rPr>
        <w:t>Impact of New H-1B Visa Fee Requirement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See discussion above under Impacts Resulting From Government Changes to International Student and H-1B Visa Policies regarding the U.S. government's announced plans to require employers to pay a $100,000 filing fee per H-1B visa petition to bring new H-1B workers into the U.S. If implemented, this requirement would materially increase the cost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employing new foreign nationals in the U.S. The new H-1B visa fee does not apply to international students already in the U.S. looking to apply for a status change. The fee is not expected to apply to petitions filed before the effective date of the proclamation or to extensions or renewals for existing H-1B visa holders. In June 2026, the U.S. District Court for the District of Massachusetts issued an order barring implementation of the $100,000 fee, which the U.S. Court of Appeals for the First Circuit declined to stay in July 2026, and on September 30, 2026, the U.S. District Court for the Northern District of California separately blocked implementation of the fee. The U.S. government has since extended the presidential proclamation imposing the fee for an additional year, and in August 2026, the U.S. Department of Homeland Security proposed a rule that would establish a permanent fee of approximately $103,000 for certain new H-1B petitions. The status and validity of the fee therefore remain subject to ongoing litigation and rulemaking. Flywire currently employs a number of specialized personnel under H-1B visas — primarily software engineers and product managers — whose skills are essential to maintaining and expanding our global payments platform.</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new regulation could potentially increase our annual personnel costs as existing H-1B holders become eligible for renewal and as we recruit new employees in technical and operational roles. While the overall financial impact is not yet determinable, the incremental costs could be significant if the rule remains in effect or expands to other visa categories.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To mitigate these potential cost increases, we are evaluating a combination of strategies, including:</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Reallocating hiring and development activities to lower-cost jurisdictions where we already operate;</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Investing in automation, AI-based solutions and process efficiency to reduce reliance on incremental headcount growth in the U.S.; and</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Enhancing our domestic talent pipeline through university partnerships, internships, and remote-work arrangements to expand access to U.S.-based workers not requiring sponsorship.</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are also engaging through industry associations to monitor legal challenges and regulatory developments related to this rule and to advocate for more balanced immigration policies that support innovation and growth in the U.S. technology and fintech sectors.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Although these mitigation efforts may partially offset the impact, increased visa-related costs or restrictions could reduce our flexibility in hiring and allocating talent, increase our operating expenses, and slow the pace of product innovation - all of which could adversely affect our financial condition and results of operations.</w:t>
      </w:r>
    </w:p>
    <w:p>
      <w:pPr>
        <w:pStyle w:val="TextBody"/>
        <w:bidi w:val="0"/>
        <w:spacing w:lineRule="auto" w:line="288" w:before="0" w:after="200"/>
        <w:jc w:val="left"/>
        <w:rPr>
          <w:rFonts w:ascii="Arial;sans-serif" w:hAnsi="Arial;sans-serif"/>
          <w:b/>
          <w:i/>
          <w:color w:val="000000"/>
          <w:sz w:val="20"/>
        </w:rPr>
      </w:pPr>
      <w:bookmarkStart w:id="68" w:name="i407fd74379234691ae6e23760b954671"/>
      <w:bookmarkEnd w:id="68"/>
      <w:r>
        <w:rPr>
          <w:rFonts w:ascii="Arial;sans-serif" w:hAnsi="Arial;sans-serif"/>
          <w:b/>
          <w:i/>
          <w:color w:val="000000"/>
          <w:sz w:val="20"/>
        </w:rPr>
        <w:t>Impacts Resulting From U.S. Government Policy Towards Higher Education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the U.S., the “One Big Beautiful Bill” Act (OBBBA) contains a number of provisions with the potential to significantly change the landscape for financing undergraduate and graduate study and which could adversely affect the demand for higher education in the U.S. The OBBBA limits Pell Grant awards (which provide gift aid to low-income students), eliminates the Grad PLUS program, and sets new limits for graduate and professional students for Direct Unsubsidized Loans. The new bill also caps parent loans to finance undergraduate education, and changes student loan repayment options, among other modifications. More specifically, the structural changes to federal higher education financing under the OBBBA include:</w:t>
      </w:r>
    </w:p>
    <w:p>
      <w:pPr>
        <w:pStyle w:val="TextBody"/>
        <w:bidi w:val="0"/>
        <w:spacing w:lineRule="auto" w:line="288" w:before="0" w:after="120"/>
        <w:ind w:left="0" w:right="0" w:hanging="360"/>
        <w:jc w:val="left"/>
      </w:pPr>
      <w:r>
        <w:rPr>
          <w:color w:val="000000"/>
        </w:rPr>
        <w:t>•</w:t>
      </w:r>
      <w:r>
        <w:rPr>
          <w:rFonts w:ascii="Arial;sans-serif" w:hAnsi="Arial;sans-serif"/>
          <w:b/>
          <w:color w:val="000000"/>
          <w:sz w:val="20"/>
        </w:rPr>
        <w:t>Elimination of Graduate PLUS Loans</w:t>
      </w:r>
      <w:r>
        <w:rPr>
          <w:rFonts w:ascii="Arial;sans-serif" w:hAnsi="Arial;sans-serif"/>
          <w:b w:val="false"/>
          <w:color w:val="000000"/>
          <w:sz w:val="20"/>
        </w:rPr>
        <w:t>: The Grad PLUS loan program was eliminated for new borrowers starting July 1, 2026 (with legacy grandfathering options available for up to three academic years for existing borrowers).</w:t>
      </w:r>
    </w:p>
    <w:p>
      <w:pPr>
        <w:pStyle w:val="TextBody"/>
        <w:bidi w:val="0"/>
        <w:spacing w:lineRule="auto" w:line="288" w:before="0" w:after="120"/>
        <w:ind w:left="0" w:right="0" w:hanging="360"/>
        <w:jc w:val="left"/>
      </w:pPr>
      <w:r>
        <w:rPr>
          <w:color w:val="000000"/>
        </w:rPr>
        <w:t>•</w:t>
      </w:r>
      <w:r>
        <w:rPr>
          <w:rFonts w:ascii="Arial;sans-serif" w:hAnsi="Arial;sans-serif"/>
          <w:b/>
          <w:color w:val="000000"/>
          <w:sz w:val="20"/>
        </w:rPr>
        <w:t>New Borrowing Caps</w:t>
      </w:r>
      <w:r>
        <w:rPr>
          <w:rFonts w:ascii="Arial;sans-serif" w:hAnsi="Arial;sans-serif"/>
          <w:b w:val="false"/>
          <w:color w:val="000000"/>
          <w:sz w:val="20"/>
        </w:rPr>
        <w:t>:</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Graduate &amp; Professional: Annual borrowing for Direct Unsubsidized Loans is capped at $20,500 ($100,000 aggregate) for general graduate programs and $50,000 ($200,000 aggregate) for designated professional programs.</w:t>
      </w:r>
    </w:p>
    <w:p>
      <w:pPr>
        <w:pStyle w:val="TextBody"/>
        <w:bidi w:val="0"/>
        <w:spacing w:lineRule="auto" w:line="288" w:before="0" w:after="60"/>
        <w:ind w:left="0" w:right="0" w:hanging="360"/>
        <w:jc w:val="left"/>
      </w:pPr>
      <w:r>
        <w:rPr>
          <w:color w:val="000000"/>
        </w:rPr>
        <w:t>◦</w:t>
      </w:r>
      <w:r>
        <w:rPr>
          <w:rFonts w:ascii="Arial;sans-serif" w:hAnsi="Arial;sans-serif"/>
          <w:b/>
          <w:color w:val="000000"/>
          <w:sz w:val="20"/>
        </w:rPr>
        <w:t>Parent PLUS</w:t>
      </w:r>
      <w:r>
        <w:rPr>
          <w:rFonts w:ascii="Arial;sans-serif" w:hAnsi="Arial;sans-serif"/>
          <w:b w:val="false"/>
          <w:color w:val="000000"/>
          <w:sz w:val="20"/>
        </w:rPr>
        <w:t>: Annual borrowing is capped at $20,000 per student, with a $65,000 aggregate limit per dependent.</w:t>
      </w:r>
    </w:p>
    <w:p>
      <w:pPr>
        <w:pStyle w:val="TextBody"/>
        <w:bidi w:val="0"/>
        <w:spacing w:lineRule="auto" w:line="288" w:before="0" w:after="60"/>
        <w:ind w:left="0" w:right="0" w:hanging="360"/>
        <w:jc w:val="left"/>
      </w:pPr>
      <w:r>
        <w:rPr>
          <w:color w:val="000000"/>
        </w:rPr>
        <w:t>◦</w:t>
      </w:r>
      <w:r>
        <w:rPr>
          <w:rFonts w:ascii="Arial;sans-serif" w:hAnsi="Arial;sans-serif"/>
          <w:b/>
          <w:color w:val="000000"/>
          <w:sz w:val="20"/>
        </w:rPr>
        <w:t>Lifetime Cap</w:t>
      </w:r>
      <w:r>
        <w:rPr>
          <w:rFonts w:ascii="Arial;sans-serif" w:hAnsi="Arial;sans-serif"/>
          <w:b w:val="false"/>
          <w:color w:val="000000"/>
          <w:sz w:val="20"/>
        </w:rPr>
        <w:t>: A cumulative lifetime federal student loan borrowing cap of $257,500 is established (excluding Parent PLUS).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Most of these changes went into effect on July 1, 2026 and while management actively monitors institutional adaptation to these regulatory updates, the impacts of the bill may affect U.S. student enrollment in undergraduate and postgraduate programs and could materially and adversely affect our revenue and results of operations.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in October 2025 the current administration introduced a proposed policy initiative known as the “Compact for Academic Excellence in Higher Education” (Compact), which would condition certain federal funding and grant eligibility for U.S. universities on compliance with a new set of policy standards. These standards reportedly include tuition caps, modifications to international student enrollment, changes to admissions criteria, and governance-related certifications. While the Compact has not been widely adopted and the administration has indicated that it may revise the proposal, its adoption - whether in its current or modified form - could materially affect the operating environment for higher-education institutions in the United States.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Many of our U.S. universities and colleges rely on federal funding for research, student aid, and institutional support. If the proposed Compact is implemented, universities may adjust enrollment levels, particularly of international students, or redirect administrative resources to compliance efforts. Such developments could reduce cross-border tuition payment volumes, delay new client implementations, or lead institutions to reevaluate third-party vendor relationships. These effects could, in turn, moderate revenue growth and increase client concentration risk within our education vertical.</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At this stage, the potential financial impact of the Compact cannot be quantified, as the proposal has not yet been finalized or enacted. A number of major U.S. research universities have declined to sign the Compact, citing concerns regarding academic freedom, institutional autonomy and constitutional protections, while a small number of institutions have signed or agreed to adopt the Compact's conditions. Several major higher education associations, including the American Council on Education and NASFAA, have publicly opposed the Compact. Certain institutions that have declined to sign the Compact have reported increased scrutiny of, or delays or freezes in, previously approved federal funding.</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Management continues to monitor the policy’s development and is engaging with industry associations and higher-education partners to assess potential outcomes. To mitigate exposure, Flywire is taking several proactive steps, including:</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Diversifying our education client base internationally to reduce reliance on U.S. higher-education volumes;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Expanding into adjacent services (e.g., housing payments, student refunds, and education-related B2B flows) to offset potential domestic revenue headwinds; and</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Maintaining flexibility in pricing and support structures to accommodate clients undergoing funding or enrollment adjustments.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While the proposed Compact may not be implemented in its current form and was rejected in its initial form by most of the approached universities, uncertainty surrounding federal higher-education policy in the U.S. may influence the timing of new client contracts and the pace of adoption of our technology platform.</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on October 8, 2026, the Department of Homeland Security issued a Notice of Proposed Rulemaking that would require higher education institutions to pay a $70,000 fee for an initial Optional Practical Training (OPT) recommendation—and $30,000 for extensions—for F-1 international students seeking post-graduation work authorization in the United States. While the proposed rule remains subject to a public comment period, potential revisions, and anticipated legal challenges before any final implementation, a significant reduction in foreign student enrollment or post-graduate work pathways resulting from these prohibitive costs could adversely impact cross-border payment volumes and cross-border tuition revenue within the Company's U.S. higher education vertical.</w:t>
      </w:r>
    </w:p>
    <w:p>
      <w:pPr>
        <w:pStyle w:val="TextBody"/>
        <w:bidi w:val="0"/>
        <w:spacing w:lineRule="auto" w:line="288" w:before="0" w:after="200"/>
        <w:jc w:val="left"/>
        <w:rPr>
          <w:rFonts w:ascii="Arial;sans-serif" w:hAnsi="Arial;sans-serif"/>
          <w:b/>
          <w:i/>
          <w:color w:val="000000"/>
          <w:sz w:val="20"/>
        </w:rPr>
      </w:pPr>
      <w:bookmarkStart w:id="69" w:name="icc621be399a8401294ef8ea171928f99"/>
      <w:bookmarkEnd w:id="69"/>
      <w:r>
        <w:rPr>
          <w:rFonts w:ascii="Arial;sans-serif" w:hAnsi="Arial;sans-serif"/>
          <w:b/>
          <w:i/>
          <w:color w:val="000000"/>
          <w:sz w:val="20"/>
        </w:rPr>
        <w:t>Diversified Mix of Clients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have a wide range of clients across our education, healthcare, travel and B2B verticals. Volumes and revenue from clients in education, our largest vertical, rely on international enrollments and student school preferences, which can fluctuate over time.</w:t>
      </w:r>
    </w:p>
    <w:p>
      <w:pPr>
        <w:pStyle w:val="TextBody"/>
        <w:bidi w:val="0"/>
        <w:spacing w:lineRule="auto" w:line="288" w:before="0" w:after="200"/>
        <w:jc w:val="left"/>
        <w:rPr>
          <w:rFonts w:ascii="Arial;sans-serif" w:hAnsi="Arial;sans-serif"/>
          <w:b/>
          <w:i/>
          <w:color w:val="000000"/>
          <w:sz w:val="20"/>
        </w:rPr>
      </w:pPr>
      <w:bookmarkStart w:id="70" w:name="i1c01601ea9674f579991eec781d3d292"/>
      <w:bookmarkEnd w:id="70"/>
      <w:r>
        <w:rPr>
          <w:rFonts w:ascii="Arial;sans-serif" w:hAnsi="Arial;sans-serif"/>
          <w:b/>
          <w:i/>
          <w:color w:val="000000"/>
          <w:sz w:val="20"/>
        </w:rPr>
        <w:t>Dynamic Changes to Client Communication and Product Solutions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initiated a series of refinements to our technology and personalization engine to optimize our clients’ ability to offer payment plans and communicate effectively and digitally with their customers.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as the lack of affordability drives the need for more financial flexibility.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i/>
          <w:color w:val="000000"/>
          <w:sz w:val="20"/>
        </w:rPr>
      </w:pPr>
      <w:bookmarkStart w:id="71" w:name="idfa3ebae473c407c883e114f0718239c"/>
      <w:bookmarkEnd w:id="71"/>
      <w:r>
        <w:rPr>
          <w:rFonts w:ascii="Arial;sans-serif" w:hAnsi="Arial;sans-serif"/>
          <w:b/>
          <w:i/>
          <w:color w:val="000000"/>
          <w:sz w:val="20"/>
        </w:rPr>
        <w:t>Business Continuity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While we have experienced significant revenue growth in recent years and achieved profitability on a GAAP basis for the years ended December 31, 2024 and 2025 and the nine months ended September 30, 2026, we may not be able to sustain or increase our growth or maintain profitability in the future. We also expect our costs and expenses to increase in future periods, which could negatively affect our future operating results if our revenue does not increase. In particular, we intend to continue to strategically invest in headcount and technologies and systems to improve operating efficiencies, to further develop and enhance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maintain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In addition, we are expanding our payment processing capabilities to offer a more comprehensive solution to our clients. While this new capability is expected to be a source of future growth, it is characterized by a lower gross margin profile. We continue to focus on operating efficiencies and a focus on cost discipline, including investing in automation and product development to further enhance our offerings with a focus on scale and productivity across all areas. Beginning in the first quarter of 2025 and continuing into the second quarter of 2025, we implemented our Restructuring Plan designed to improve operational efficiencies, reduce operating costs and better align our workforce with current business needs, top strategic priorities and key growth opportunities. We believe these improvements, our strong product portfolio, client retention and established product market fit along with strong gross margins and cash flows from operations will help us achieve our goal of maintaining positive annual GAAP net income in the future. As of the date of this report, we expect that our clients’ business and our business will continue to be adversely impacted, directly or indirectly, by the ongoing macroeconomic and geopolitical issues. However, the extent of the ongoing impact of these macroeconomic events on our and our clients’ business, our markets and on global economic activity, is uncertain and the related financial impact cannot be reasonably estimated with any certainty at this time.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conflict between the U.S., Israel, Hamas and Iran has prompted a resumption of active workforce planning to implement safety measures for FlyMates in Israel and support the business without interruption.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72" w:name="if489dc4108c64c72b742571136d7e77d"/>
      <w:bookmarkEnd w:id="72"/>
      <w:r>
        <w:rPr>
          <w:rFonts w:ascii="Arial;sans-serif" w:hAnsi="Arial;sans-serif"/>
          <w:b/>
          <w:color w:val="000000"/>
          <w:sz w:val="20"/>
        </w:rPr>
        <w:t>Components of Results of Operations</w:t>
      </w:r>
    </w:p>
    <w:p>
      <w:pPr>
        <w:pStyle w:val="TextBody"/>
        <w:bidi w:val="0"/>
        <w:spacing w:lineRule="auto" w:line="288" w:before="0" w:after="200"/>
        <w:jc w:val="left"/>
        <w:rPr>
          <w:rFonts w:ascii="Arial;sans-serif" w:hAnsi="Arial;sans-serif"/>
          <w:b/>
          <w:i/>
          <w:color w:val="000000"/>
          <w:sz w:val="20"/>
        </w:rPr>
      </w:pPr>
      <w:bookmarkStart w:id="73" w:name="ic67a3b3a836a439789701fc572e28de2"/>
      <w:bookmarkEnd w:id="73"/>
      <w:r>
        <w:rPr>
          <w:rFonts w:ascii="Arial;sans-serif" w:hAnsi="Arial;sans-serif"/>
          <w:b/>
          <w:i/>
          <w:color w:val="000000"/>
          <w:sz w:val="20"/>
        </w:rPr>
        <w:t>Revenue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generate revenue from transactions and platform and other fees as described above under “Our Revenue Model”.</w:t>
      </w:r>
    </w:p>
    <w:p>
      <w:pPr>
        <w:pStyle w:val="TextBody"/>
        <w:bidi w:val="0"/>
        <w:spacing w:lineRule="auto" w:line="288" w:before="0" w:after="200"/>
        <w:jc w:val="left"/>
        <w:rPr>
          <w:rFonts w:ascii="Arial;sans-serif" w:hAnsi="Arial;sans-serif"/>
          <w:b/>
          <w:i/>
          <w:color w:val="000000"/>
          <w:sz w:val="20"/>
        </w:rPr>
      </w:pPr>
      <w:bookmarkStart w:id="74" w:name="i40b9fa5fd2a94ae98e8009a06681f45b"/>
      <w:bookmarkEnd w:id="74"/>
      <w:r>
        <w:rPr>
          <w:rFonts w:ascii="Arial;sans-serif" w:hAnsi="Arial;sans-serif"/>
          <w:b/>
          <w:i/>
          <w:color w:val="000000"/>
          <w:sz w:val="20"/>
        </w:rPr>
        <w:t>Payment Processing Services Costs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for our FlyMates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pStyle w:val="TextBody"/>
        <w:bidi w:val="0"/>
        <w:spacing w:lineRule="auto" w:line="288" w:before="0" w:after="200"/>
        <w:jc w:val="left"/>
        <w:rPr>
          <w:rFonts w:ascii="Arial;sans-serif" w:hAnsi="Arial;sans-serif"/>
          <w:b/>
          <w:i/>
          <w:color w:val="000000"/>
          <w:sz w:val="20"/>
        </w:rPr>
      </w:pPr>
      <w:bookmarkStart w:id="75" w:name="i49e72c93b9074b51986d23e702b4ae88"/>
      <w:bookmarkEnd w:id="75"/>
      <w:r>
        <w:rPr>
          <w:rFonts w:ascii="Arial;sans-serif" w:hAnsi="Arial;sans-serif"/>
          <w:b/>
          <w:i/>
          <w:color w:val="000000"/>
          <w:sz w:val="20"/>
        </w:rPr>
        <w:t>Technology and Development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Technology and development includes (i) costs incurred in connection with the development of our solution and the improvement of existing solutions, including the amortization of software and website development costs incurred in developing our solution, which are capitalized, and acquired developed technology, (ii) site operations and other infrastructure costs incurred, (iii) amortization related to capitalized cost to fulfill a contract, (iv) personnel-related expenses, including salaries, stock-based compensation and other expenses, (v) hardware and software engineering, consultant services, and other costs associated with our technology platform and products, (vi) research materials and facilities, and (vii) depreciation and maintenance expense.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We believe delivering new functionality is critical to attract new clients and expand our relationship with existing clients. We expect to continue to make investments to expand our solutions in order to enhance our clients’ experience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pStyle w:val="TextBody"/>
        <w:bidi w:val="0"/>
        <w:spacing w:lineRule="auto" w:line="288" w:before="0" w:after="200"/>
        <w:jc w:val="left"/>
        <w:rPr>
          <w:rFonts w:ascii="Arial;sans-serif" w:hAnsi="Arial;sans-serif"/>
          <w:b/>
          <w:i/>
          <w:color w:val="000000"/>
          <w:sz w:val="20"/>
        </w:rPr>
      </w:pPr>
      <w:bookmarkStart w:id="76" w:name="ia93e601ecef34e1c9ebb19475d72bd71"/>
      <w:bookmarkEnd w:id="76"/>
      <w:r>
        <w:rPr>
          <w:rFonts w:ascii="Arial;sans-serif" w:hAnsi="Arial;sans-serif"/>
          <w:b/>
          <w:i/>
          <w:color w:val="000000"/>
          <w:sz w:val="20"/>
        </w:rPr>
        <w:t>Selling and Marketing</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pStyle w:val="TextBody"/>
        <w:bidi w:val="0"/>
        <w:spacing w:lineRule="auto" w:line="288" w:before="0" w:after="200"/>
        <w:jc w:val="left"/>
        <w:rPr>
          <w:rFonts w:ascii="Arial;sans-serif" w:hAnsi="Arial;sans-serif"/>
          <w:b/>
          <w:i/>
          <w:color w:val="000000"/>
          <w:sz w:val="20"/>
        </w:rPr>
      </w:pPr>
      <w:bookmarkStart w:id="77" w:name="ie0850a732f724a55b034dd4c838dafd4"/>
      <w:bookmarkEnd w:id="77"/>
      <w:r>
        <w:rPr>
          <w:rFonts w:ascii="Arial;sans-serif" w:hAnsi="Arial;sans-serif"/>
          <w:b/>
          <w:i/>
          <w:color w:val="000000"/>
          <w:sz w:val="20"/>
        </w:rPr>
        <w:t>General and Administrative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General and administrative expenses consist of personnel-related expenses, including stock-based compensation expense for finance, risk management, legal and compliance, human resources, IT and other administrative functions, costs incurred for external professional services, as well as rent, and facility and insurance costs. We expect to incur additional general and administrative expenses as we continue to invest in our planned growth of our business, including certain costs incurred relating to our digital transformation initiative as described above under “Key Factors Affecting Our Performance”. We also expect to increase the size of our general and administrative functions to support the growth in the business. As a result, we expect that our general and administrative expenses will increase in absolute dollars but may fluctuate as a percentage of total revenue from period to period.</w:t>
      </w:r>
    </w:p>
    <w:p>
      <w:pPr>
        <w:pStyle w:val="TextBody"/>
        <w:bidi w:val="0"/>
        <w:spacing w:lineRule="auto" w:line="288" w:before="0" w:after="200"/>
        <w:jc w:val="left"/>
        <w:rPr>
          <w:rFonts w:ascii="Arial;sans-serif" w:hAnsi="Arial;sans-serif"/>
          <w:b/>
          <w:i/>
          <w:color w:val="000000"/>
          <w:sz w:val="20"/>
        </w:rPr>
      </w:pPr>
      <w:bookmarkStart w:id="78" w:name="idcf8fab63be6438093786a44c56aebff"/>
      <w:bookmarkEnd w:id="78"/>
      <w:r>
        <w:rPr>
          <w:rFonts w:ascii="Arial;sans-serif" w:hAnsi="Arial;sans-serif"/>
          <w:b/>
          <w:i/>
          <w:color w:val="000000"/>
          <w:sz w:val="20"/>
        </w:rPr>
        <w:t>Restructuring</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February 2025, we announced the Restructuring Plan that is designed to improve operational efficiencies, reduce operating costs and better align our workforce with current business needs, top strategic priorities and key growth opportunities. Restructuring expenses included restructuring and restructuring related expenses incurred as part of the Restructuring Plan announced in February 2025, related to employee transition, notice period, severance, employee benefits and facilitation costs.</w:t>
      </w:r>
    </w:p>
    <w:p>
      <w:pPr>
        <w:pStyle w:val="TextBody"/>
        <w:bidi w:val="0"/>
        <w:spacing w:lineRule="auto" w:line="288" w:before="0" w:after="200"/>
        <w:jc w:val="left"/>
        <w:rPr>
          <w:rFonts w:ascii="Arial;sans-serif" w:hAnsi="Arial;sans-serif"/>
          <w:b/>
          <w:i/>
          <w:color w:val="000000"/>
          <w:sz w:val="20"/>
        </w:rPr>
      </w:pPr>
      <w:bookmarkStart w:id="79" w:name="ie012e9e902074aff8a07fda7a3e5a4cd"/>
      <w:bookmarkEnd w:id="79"/>
      <w:r>
        <w:rPr>
          <w:rFonts w:ascii="Arial;sans-serif" w:hAnsi="Arial;sans-serif"/>
          <w:b/>
          <w:i/>
          <w:color w:val="000000"/>
          <w:sz w:val="20"/>
        </w:rPr>
        <w:t>Interest Expense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On February 23, 2024, we entered into an Amended and Restated Credit Agreement for a five-year senior secured revolving credit syndication loan (2024 Revolving Credit Facility) with four banks for a total commitment of $125.0 million. On August 1, 2025, we entered into an amendment (the 2025 Revolving Credit Facility Amendment) to the 2024 Revolving Credit Facility to increase the total commitments from $125.0 million to $300.0 million and make certain conforming and administrative changes. The 2024 Revolving Credit Facility, as amended by the 2025 Revolving Credit Facility Amendment, is hereinafter referred to as the 2024 Amended Revolving Credit Facility.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Interest expense consists of interest, amortization of debt issuance costs, and unused commitment fees on our 2024 Amended Revolving Credit Facility. As of September 30, 2026 and December 31, 2025, there was no outstanding indebtedness under the 2024 Amended Revolving Credit Facility.</w:t>
      </w:r>
    </w:p>
    <w:p>
      <w:pPr>
        <w:pStyle w:val="TextBody"/>
        <w:bidi w:val="0"/>
        <w:spacing w:lineRule="auto" w:line="288" w:before="0" w:after="200"/>
        <w:jc w:val="left"/>
        <w:rPr>
          <w:rFonts w:ascii="Arial;sans-serif" w:hAnsi="Arial;sans-serif"/>
          <w:b/>
          <w:i/>
          <w:color w:val="000000"/>
          <w:sz w:val="20"/>
        </w:rPr>
      </w:pPr>
      <w:bookmarkStart w:id="80" w:name="i9fa5fe3fefab4818a7035c5373661aa3"/>
      <w:bookmarkEnd w:id="80"/>
      <w:r>
        <w:rPr>
          <w:rFonts w:ascii="Arial;sans-serif" w:hAnsi="Arial;sans-serif"/>
          <w:b/>
          <w:i/>
          <w:color w:val="000000"/>
          <w:sz w:val="20"/>
        </w:rPr>
        <w:t>Interest Income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Interest income consists of interest on cash held in interest bearing operating accounts, including money market funds, and investments in available-for-sale debt securities.</w:t>
      </w:r>
    </w:p>
    <w:p>
      <w:pPr>
        <w:pStyle w:val="TextBody"/>
        <w:bidi w:val="0"/>
        <w:spacing w:lineRule="auto" w:line="288" w:before="0" w:after="200"/>
        <w:jc w:val="left"/>
        <w:rPr>
          <w:rFonts w:ascii="Arial;sans-serif" w:hAnsi="Arial;sans-serif"/>
          <w:b/>
          <w:i/>
          <w:color w:val="000000"/>
          <w:sz w:val="20"/>
        </w:rPr>
      </w:pPr>
      <w:bookmarkStart w:id="81" w:name="i67ab474f2a9542a79d2eb73976ae0553"/>
      <w:bookmarkEnd w:id="81"/>
      <w:r>
        <w:rPr>
          <w:rFonts w:ascii="Arial;sans-serif" w:hAnsi="Arial;sans-serif"/>
          <w:b/>
          <w:i/>
          <w:color w:val="000000"/>
          <w:sz w:val="20"/>
        </w:rPr>
        <w:t>(Loss) Gain from Remeasurement of Foreign Currency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(Loss) gain from remeasurement of foreign currency consists of realized and unrealized gains and losses from the remeasurement of foreign currency transactions into its functional currency, partially offset by foreign currency exchange forward contracts to hedge our foreign currency exposure.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i/>
          <w:color w:val="000000"/>
          <w:sz w:val="20"/>
        </w:rPr>
      </w:pPr>
      <w:bookmarkStart w:id="82" w:name="i5f9c4789d89341dcb14c1f2823ba8f0c"/>
      <w:bookmarkEnd w:id="82"/>
      <w:r>
        <w:rPr>
          <w:rFonts w:ascii="Arial;sans-serif" w:hAnsi="Arial;sans-serif"/>
          <w:b/>
          <w:i/>
          <w:color w:val="000000"/>
          <w:sz w:val="20"/>
        </w:rPr>
        <w:t>(Benefit from) Provision for Income Taxes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(Benefit from) provision for income taxes consists primarily of foreign and state income taxes. We have historically generated net operating losses (NOL) carryforwards for U.S. federal and state tax purposes as we expand the scale of our business activities. Due to the history of pre-tax losses, we maintained an income tax valuation allowance against our net U.S. deferred tax assets through the second quarter of 2026. In the third quarter of 2026, after evaluating all available positive and negative evidence related to our U.S. operations, we released $25.2 million of valuation allowances on our net U.S. deferred tax assets, including federal and state NOLs. Changes in the U.S. and foreign tax law may impact our overall provision for income taxes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83" w:name="i5de820c81c4d4081bf048010ff498969"/>
      <w:bookmarkEnd w:id="83"/>
      <w:r>
        <w:rPr>
          <w:rFonts w:ascii="Arial;sans-serif" w:hAnsi="Arial;sans-serif"/>
          <w:b/>
          <w:color w:val="000000"/>
          <w:sz w:val="20"/>
        </w:rPr>
        <w:t>Results of Operations</w:t>
      </w:r>
    </w:p>
    <w:p>
      <w:pPr>
        <w:pStyle w:val="TextBody"/>
        <w:bidi w:val="0"/>
        <w:spacing w:lineRule="auto" w:line="288" w:before="0" w:after="200"/>
        <w:jc w:val="left"/>
        <w:rPr>
          <w:rFonts w:ascii="Arial;sans-serif" w:hAnsi="Arial;sans-serif"/>
          <w:b/>
          <w:i/>
          <w:color w:val="000000"/>
          <w:sz w:val="20"/>
        </w:rPr>
      </w:pPr>
      <w:bookmarkStart w:id="84" w:name="i92bd8a120d5a4e9e9518619fdea708d1"/>
      <w:bookmarkEnd w:id="84"/>
      <w:r>
        <w:rPr>
          <w:rFonts w:ascii="Arial;sans-serif" w:hAnsi="Arial;sans-serif"/>
          <w:b/>
          <w:i/>
          <w:color w:val="000000"/>
          <w:sz w:val="20"/>
        </w:rPr>
        <w:t>Comparison of results for the three months ended September 30, 2026 and 2025</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All dollar amounts in the tables below are rounded based on whole numbers and as a result, certain amounts may not recalculate using the rounded amounts provided.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following table sets forth our consolidated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1761"/>
        <w:gridCol w:w="1273"/>
        <w:gridCol w:w="1284"/>
        <w:gridCol w:w="109"/>
        <w:gridCol w:w="109"/>
        <w:gridCol w:w="109"/>
        <w:gridCol w:w="265"/>
        <w:gridCol w:w="775"/>
        <w:gridCol w:w="137"/>
        <w:gridCol w:w="137"/>
        <w:gridCol w:w="137"/>
        <w:gridCol w:w="137"/>
        <w:gridCol w:w="265"/>
        <w:gridCol w:w="775"/>
        <w:gridCol w:w="137"/>
        <w:gridCol w:w="109"/>
        <w:gridCol w:w="109"/>
        <w:gridCol w:w="109"/>
        <w:gridCol w:w="211"/>
        <w:gridCol w:w="511"/>
        <w:gridCol w:w="109"/>
        <w:gridCol w:w="109"/>
        <w:gridCol w:w="109"/>
        <w:gridCol w:w="109"/>
        <w:gridCol w:w="406"/>
        <w:gridCol w:w="409"/>
        <w:gridCol w:w="495"/>
      </w:tblGrid>
      <w:tr>
        <w:tc>
          <w:tcPr>
            <w:tcW w:w="176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c>
          <w:tcPr>
            <w:tcW w:w="4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Change</w:t>
            </w:r>
          </w:p>
        </w:tc>
      </w:tr>
      <w:tr>
        <w:tc>
          <w:tcPr>
            <w:tcW w:w="43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(dollars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Percent</w:t>
            </w:r>
          </w:p>
        </w:tc>
      </w:tr>
      <w:tr>
        <w:tc>
          <w:tcPr>
            <w:tcW w:w="4318"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250.3 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200.1 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49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Payment processing services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Technology and development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4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4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c>
          <w:tcPr>
            <w:tcW w:w="43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costs and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197.5 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167.9 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Income from operations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4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61.3 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(34.2)</w:t>
            </w:r>
          </w:p>
        </w:tc>
        <w:tc>
          <w:tcPr>
            <w:tcW w:w="4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Loss from remeasurement of foreign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c>
          <w:tcPr>
            <w:tcW w:w="43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other (expense) income,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4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67.8 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(Benefit from) provision for income taxes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(1,514.5)</w:t>
            </w:r>
          </w:p>
        </w:tc>
        <w:tc>
          <w:tcPr>
            <w:tcW w:w="4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151.6 </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37"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37"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161.4 </w:t>
            </w:r>
          </w:p>
        </w:tc>
        <w:tc>
          <w:tcPr>
            <w:tcW w:w="4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Unrealized (losses) gains on available-for-sale debt securities,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(136.4)</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18"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Comprehensive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75.7 </w:t>
            </w:r>
          </w:p>
        </w:tc>
        <w:tc>
          <w:tcPr>
            <w:tcW w:w="13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7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3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48.0 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173.0 </w:t>
            </w:r>
          </w:p>
        </w:tc>
        <w:tc>
          <w:tcPr>
            <w:tcW w:w="49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Revenue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Revenue was $250.3 million for the three months ended September 30, 2026, compared to $200.1 million for the three months ended September 30, 2025, an increase of $50.2 million or 25.1%. Revenue is comprised of transaction revenue and platform and other revenues as follows:</w:t>
      </w:r>
    </w:p>
    <w:tbl>
      <w:tblPr>
        <w:tblW w:w="8345" w:type="dxa"/>
        <w:jc w:val="left"/>
        <w:tblInd w:w="0" w:type="dxa"/>
        <w:tblLayout w:type="fixed"/>
        <w:tblCellMar>
          <w:top w:w="28" w:type="dxa"/>
          <w:left w:w="28" w:type="dxa"/>
          <w:bottom w:w="28" w:type="dxa"/>
          <w:right w:w="28" w:type="dxa"/>
        </w:tblCellMar>
      </w:tblPr>
      <w:tblGrid>
        <w:gridCol w:w="880"/>
        <w:gridCol w:w="772"/>
        <w:gridCol w:w="777"/>
        <w:gridCol w:w="109"/>
        <w:gridCol w:w="109"/>
        <w:gridCol w:w="109"/>
        <w:gridCol w:w="302"/>
        <w:gridCol w:w="882"/>
        <w:gridCol w:w="156"/>
        <w:gridCol w:w="156"/>
        <w:gridCol w:w="156"/>
        <w:gridCol w:w="156"/>
        <w:gridCol w:w="302"/>
        <w:gridCol w:w="882"/>
        <w:gridCol w:w="156"/>
        <w:gridCol w:w="109"/>
        <w:gridCol w:w="109"/>
        <w:gridCol w:w="109"/>
        <w:gridCol w:w="211"/>
        <w:gridCol w:w="511"/>
        <w:gridCol w:w="109"/>
        <w:gridCol w:w="109"/>
        <w:gridCol w:w="109"/>
        <w:gridCol w:w="109"/>
        <w:gridCol w:w="233"/>
        <w:gridCol w:w="233"/>
        <w:gridCol w:w="490"/>
      </w:tblGrid>
      <w:t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Change</w:t>
            </w:r>
          </w:p>
        </w:tc>
      </w:tr>
      <w:tr>
        <w:tc>
          <w:tcPr>
            <w:tcW w:w="2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(dollars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Percent</w:t>
            </w:r>
          </w:p>
        </w:tc>
      </w:tr>
      <w:tr>
        <w:tc>
          <w:tcPr>
            <w:tcW w:w="242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Transaction 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215.1 </w:t>
            </w:r>
          </w:p>
        </w:tc>
        <w:tc>
          <w:tcPr>
            <w:tcW w:w="15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167.2 </w:t>
            </w:r>
          </w:p>
        </w:tc>
        <w:tc>
          <w:tcPr>
            <w:tcW w:w="15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28.7</w:t>
            </w:r>
          </w:p>
        </w:tc>
        <w:tc>
          <w:tcPr>
            <w:tcW w:w="49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2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Platform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4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24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250.3 </w:t>
            </w:r>
          </w:p>
        </w:tc>
        <w:tc>
          <w:tcPr>
            <w:tcW w:w="15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8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200.1 </w:t>
            </w:r>
          </w:p>
        </w:tc>
        <w:tc>
          <w:tcPr>
            <w:tcW w:w="15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25.1</w:t>
            </w:r>
          </w:p>
        </w:tc>
        <w:tc>
          <w:tcPr>
            <w:tcW w:w="49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Transaction revenue was $215.1 million for the three months ended September 30, 2026, compared to $167.2 million for the three months ended September 30, 2025, an increase of $47.9 million or 28.7%. The increase in transaction revenue was primarily driven by growth in transaction payment volumes for the three months ended September 30, 2026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605" cy="14605"/>
                <wp:effectExtent l="0" t="0" r="0" b="0"/>
                <wp:wrapNone/>
                <wp:docPr id="42" name="Frame4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from both our existing clients and new clients added during the three months ended September 30, 2026 compared to the prior period. Our transaction payment volume grew in line with our revenue growth during the three months ended September 30, 2026, driven primarily by an increased mix of credit card transactions and higher monetization rates offset by growth in domestic processing. Transaction payment volume increased 28.5% during the three months ended September 30, 2026, to $14.8 billion compared to $11.5 billion during the three months ended September 30, 2025.</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Platform and other revenues were $35.2 million for the three months ended September 30, 2026, compared to $33.0 million for the three months ended September 30, 2025, an increase of $2.2 million or 6.8%. The increase in platform and other revenues was driven by an increase in utilization in our healthcare, SFS, and travel solutions, offset by our insurance business.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Payment Processing Services Costs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Payment processing services costs were $94.0 million for the three months ended September 30, 2026, compared to $72.3 million for the three months ended September 30, 2025, an increase of $21.7 million or 30.0%. The increase in payment processing services costs was correlated with the increase in transaction payment volume of 28.5% over the same period. The increase was further driven by shifts in our business mix, including the expansion of our payment processing capabilities, which carry higher payment processing costs.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Technology and Development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Technology and development expenses were $16.7 million for the three months ended September 30, 2026, compared to $17.7 million for the three months ended September 30, 2025, a decrease of $1.0 million or 5.6%. The decrease in technology and development cost was primarily driven by a decrease in stock-based compensation, offset by an increase in personnel costs.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Stock-based compensation expense was $2.2 million for the three months ended September 30, 2026 compared to $3.6 million for the three months ended September 30, 2025, a decrease of $1.3 million or 37.1%. The decrease in stock-based compensation was primarily driven by an initiative to control shareholder dilution by lowering the volume of equity awards granted to FlyMates, partially offset by growth in headcount.</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Personnel costs were $11.3 million for the three months ended September 30, 2026 compared to $10.8 million for the three months ended September 30, 2025, an increase of $0.5 million or 4.6%. The increase in personnel costs was primarily driven by higher headcount.</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Selling and Marketing</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Selling and marketing expenses were $42.6 million for the three months ended September 30, 2026, compared to $41.9 million for the three months ended September 30, 2025, an increase of $0.7 million or 1.6%. The increase in selling and marketing expenses was primarily driven by stock-based compensation.</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Stock-based compensation was $5.9 million for the three months ended September 30, 2026, compared to $5.2 million for the three months ended September 30, 2025, an increase of $0.7 million or 12.9%. The increase in stock-based compensation was primarily due to the appointment of a new product head and to the new issuance of equity awards, related to our FlyMates from the acquisition of Sertifi, offset by our initiative to control shareholder dilution by lowering the volume of equity awards granted to FlyMates.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General and Administrative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General and administrative expenses were $44.3 million for the three months ended September 30, 2026, compared to $36.0 million for the three months ended September 30, 2025, an increase of $8.3 million or 23.1%. The increase in general and administrative expenses was primarily driven by an increase in chargebacks, engineering tools, net hedging activity losses, and the change in fair value of contingent consideration.</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Chargebacks were $3.6 million for the three months ended September 30, 2026, compared to $0.8 million for the three months ended September 30, 2025, an increase of $2.7 million or 340.4%. The increase in chargebacks primarily reflects reserves for anticipated losses within our travel vertical prompted by isolated client insolvencies.</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 xml:space="preserve">Engineering tools were $5.4 million for the three months ended September 30, 2026, compared to $3.6 million for the three months ended September 30, 2025, an increase of $1.8 million or 51.5%. The increase in engineering tools was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attributable to higher cloud hosting and infrastructure costs resulting from increased data processing and storage volumes and increased software licensing and subscription fees associated with headcount growth during the period.</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Net hedging activity losses were $2.8 million for the three months ended September 30, 2026, compared to a loss of $1.0 million for the three months ended September 30, 2025, an increase of $1.8 million or 188.9%. The increase in net hedging activity was primarily driven by foreign currency fluctuations, primarily in the British Pound.</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The increase in the fair value of contingent consideration was less than $0.1 million for the three months ended September 30, 2026, compared to a reduction of $0.7 million for the three months ended September 30, 2025, an increase of $0.8 million or 109.3%. The increase in change in the fair value of contingent consideration was primarily driven by the Sertifi acquisition.</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Interest Expense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Interest expense was $0.5 million for the three months ended September 30, 2026, compared to $1.2 million for the three months ended September 30, 2025, a decrease of $0.7 million or 61.3%. During the three months ended September 30, 2026, there was no outstanding indebtedness under the 2024 Amended Revolving Credit Facility. During the three months ended September 30, 2025, there was $15.0 million outstanding indebtedness under the 2024 Amended Revolving Credit Facility. Interest expense consists primarily of interest expense, amortization of debt issuance costs, and unused commitment fees related to our 2024 Amended Revolving Credit Facility.</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Interest Income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Interest income was $0.5 million for the three months ended September 30, 2026, compared to $0.8 million for the three months ended September 30, 2025, a decrease of $0.3 million or 34.2%. The decrease in interest income was primarily attributable to the decrease in our investments and lower interest rates beginning in the second half of 2025.</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Loss from Remeasurement of Foreign Currency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Loss from remeasurement of foreign currency was $0.5 million for the three months ended September 30, 2026, compared to a loss of $0.6 million for three months ended September 30, 2025, a decrease of $0.2 million or 27.9%. The decrease was primarily the result of the remeasurement of foreign currency intercompany loan and related hedging instruments and the impact of fluctuations in exchange rates during respective remeasurement periods.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(Benefit from) Provision for Income Taxes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benefit from income taxes was $22.2 million during the three months ended September 30, 2026, compared to a provision of $1.6 million during the three months ended September 30, 2025, a decrease of $23.8 million or 1,514.5%. The benefit from income taxes for the three months ended September 30, 2026, was primarily attributable to the release of the U.S. valuation allowance, offset by activity in our foreign subsidiaries and U.S. state taxes. The provision for income taxes for the three months ended September 30, 2025, was primarily driven by activity in our foreign subsidiaries and U.S. state taxes. Our effective tax rate was (42.4)% for the three months ended September 30, 2026, compared to 5.0% for three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rPr>
      </w:pPr>
      <w:bookmarkStart w:id="85" w:name="i0a0f4791f6e34f8180dcdf73908cbe7f"/>
      <w:bookmarkEnd w:id="85"/>
      <w:r>
        <w:rPr>
          <w:rFonts w:ascii="Arial;sans-serif" w:hAnsi="Arial;sans-serif"/>
          <w:b/>
          <w:i/>
          <w:color w:val="000000"/>
          <w:sz w:val="20"/>
        </w:rPr>
        <w:t>Comparison of results for the nine months ended September 30, 2026 and 2025</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All dollar amounts in the tables below are rounded based on whole numbers and as a result, certain amounts may not recalculate using the rounded amounts provided.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following table sets forth our consolidated results of operations for periods presented:</w:t>
      </w:r>
    </w:p>
    <w:tbl>
      <w:tblPr>
        <w:tblW w:w="10205" w:type="dxa"/>
        <w:jc w:val="left"/>
        <w:tblInd w:w="0" w:type="dxa"/>
        <w:tblLayout w:type="fixed"/>
        <w:tblCellMar>
          <w:top w:w="28" w:type="dxa"/>
          <w:left w:w="28" w:type="dxa"/>
          <w:bottom w:w="28" w:type="dxa"/>
          <w:right w:w="28" w:type="dxa"/>
        </w:tblCellMar>
      </w:tblPr>
      <w:tblGrid>
        <w:gridCol w:w="1722"/>
        <w:gridCol w:w="1304"/>
        <w:gridCol w:w="1315"/>
        <w:gridCol w:w="109"/>
        <w:gridCol w:w="109"/>
        <w:gridCol w:w="109"/>
        <w:gridCol w:w="267"/>
        <w:gridCol w:w="780"/>
        <w:gridCol w:w="137"/>
        <w:gridCol w:w="137"/>
        <w:gridCol w:w="137"/>
        <w:gridCol w:w="137"/>
        <w:gridCol w:w="267"/>
        <w:gridCol w:w="780"/>
        <w:gridCol w:w="137"/>
        <w:gridCol w:w="109"/>
        <w:gridCol w:w="109"/>
        <w:gridCol w:w="109"/>
        <w:gridCol w:w="211"/>
        <w:gridCol w:w="616"/>
        <w:gridCol w:w="109"/>
        <w:gridCol w:w="109"/>
        <w:gridCol w:w="109"/>
        <w:gridCol w:w="109"/>
        <w:gridCol w:w="335"/>
        <w:gridCol w:w="336"/>
        <w:gridCol w:w="497"/>
      </w:tblGrid>
      <w:tr>
        <w:tc>
          <w:tcPr>
            <w:tcW w:w="172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Change</w:t>
            </w:r>
          </w:p>
        </w:tc>
      </w:tr>
      <w:tr>
        <w:tc>
          <w:tcPr>
            <w:tcW w:w="43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(dollars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Percent</w:t>
            </w:r>
          </w:p>
        </w:tc>
      </w:tr>
      <w:tr>
        <w:tc>
          <w:tcPr>
            <w:tcW w:w="434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606.2 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465.5 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140.7 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49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43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Payment processing services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246.2 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39.3</w:t>
            </w:r>
          </w:p>
        </w:tc>
        <w:tc>
          <w:tcPr>
            <w:tcW w:w="4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43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Technology and development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54.5 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49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43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4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43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122.7 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99.2 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49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43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4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costs and operating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545.4 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453.2 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92.2 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49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43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60.8 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395.7</w:t>
            </w:r>
          </w:p>
        </w:tc>
        <w:tc>
          <w:tcPr>
            <w:tcW w:w="4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43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63.9</w:t>
            </w:r>
          </w:p>
        </w:tc>
        <w:tc>
          <w:tcPr>
            <w:tcW w:w="49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43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(56.7)</w:t>
            </w:r>
          </w:p>
        </w:tc>
        <w:tc>
          <w:tcPr>
            <w:tcW w:w="4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(Loss) gain from remeasurement of foreign currency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(100.7)</w:t>
            </w:r>
          </w:p>
        </w:tc>
        <w:tc>
          <w:tcPr>
            <w:tcW w:w="49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Gain on 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(98.3)</w:t>
            </w:r>
          </w:p>
        </w:tc>
        <w:tc>
          <w:tcPr>
            <w:tcW w:w="4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other income (expense),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(89.2)</w:t>
            </w:r>
          </w:p>
        </w:tc>
        <w:tc>
          <w:tcPr>
            <w:tcW w:w="49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192.1</w:t>
            </w:r>
          </w:p>
        </w:tc>
        <w:tc>
          <w:tcPr>
            <w:tcW w:w="4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43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(Benefit from) provision for income taxes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(17.2)</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(324.3)</w:t>
            </w:r>
          </w:p>
        </w:tc>
        <w:tc>
          <w:tcPr>
            <w:tcW w:w="49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486.1</w:t>
            </w:r>
          </w:p>
        </w:tc>
        <w:tc>
          <w:tcPr>
            <w:tcW w:w="49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43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37"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37"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(57.5)</w:t>
            </w:r>
          </w:p>
        </w:tc>
        <w:tc>
          <w:tcPr>
            <w:tcW w:w="497"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Unrealized losses on available-for-sale debt securities,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62.1 </w:t>
            </w:r>
          </w:p>
        </w:tc>
        <w:tc>
          <w:tcPr>
            <w:tcW w:w="4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c>
          <w:tcPr>
            <w:tcW w:w="4341"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Comprehensive income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82.0 </w:t>
            </w:r>
          </w:p>
        </w:tc>
        <w:tc>
          <w:tcPr>
            <w:tcW w:w="13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3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61.3 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295.6</w:t>
            </w:r>
          </w:p>
        </w:tc>
        <w:tc>
          <w:tcPr>
            <w:tcW w:w="49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Revenue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Revenue was $606.2 million for the nine months ended September 30, 2026, compared to $465.5 million for the nine months ended September 30, 2025, an increase of $140.7 million or 30.2%. Revenue is comprised of transaction revenue and platform and other revenues as follows:</w:t>
      </w:r>
    </w:p>
    <w:tbl>
      <w:tblPr>
        <w:tblW w:w="8342" w:type="dxa"/>
        <w:jc w:val="left"/>
        <w:tblInd w:w="0" w:type="dxa"/>
        <w:tblLayout w:type="fixed"/>
        <w:tblCellMar>
          <w:top w:w="28" w:type="dxa"/>
          <w:left w:w="28" w:type="dxa"/>
          <w:bottom w:w="28" w:type="dxa"/>
          <w:right w:w="28" w:type="dxa"/>
        </w:tblCellMar>
      </w:tblPr>
      <w:tblGrid>
        <w:gridCol w:w="880"/>
        <w:gridCol w:w="772"/>
        <w:gridCol w:w="777"/>
        <w:gridCol w:w="109"/>
        <w:gridCol w:w="109"/>
        <w:gridCol w:w="109"/>
        <w:gridCol w:w="292"/>
        <w:gridCol w:w="853"/>
        <w:gridCol w:w="150"/>
        <w:gridCol w:w="150"/>
        <w:gridCol w:w="150"/>
        <w:gridCol w:w="150"/>
        <w:gridCol w:w="292"/>
        <w:gridCol w:w="853"/>
        <w:gridCol w:w="150"/>
        <w:gridCol w:w="109"/>
        <w:gridCol w:w="109"/>
        <w:gridCol w:w="109"/>
        <w:gridCol w:w="211"/>
        <w:gridCol w:w="616"/>
        <w:gridCol w:w="109"/>
        <w:gridCol w:w="109"/>
        <w:gridCol w:w="109"/>
        <w:gridCol w:w="109"/>
        <w:gridCol w:w="233"/>
        <w:gridCol w:w="233"/>
        <w:gridCol w:w="490"/>
      </w:tblGrid>
      <w:t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Change</w:t>
            </w:r>
          </w:p>
        </w:tc>
      </w:tr>
      <w:tr>
        <w:tc>
          <w:tcPr>
            <w:tcW w:w="2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(dollars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Percent</w:t>
            </w:r>
          </w:p>
        </w:tc>
      </w:tr>
      <w:tr>
        <w:tc>
          <w:tcPr>
            <w:tcW w:w="242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Transaction 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506.2 </w:t>
            </w:r>
          </w:p>
        </w:tc>
        <w:tc>
          <w:tcPr>
            <w:tcW w:w="15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376.2 </w:t>
            </w:r>
          </w:p>
        </w:tc>
        <w:tc>
          <w:tcPr>
            <w:tcW w:w="15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130.0 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34.5</w:t>
            </w:r>
          </w:p>
        </w:tc>
        <w:tc>
          <w:tcPr>
            <w:tcW w:w="49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2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Platform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99.9 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89.2 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12.0</w:t>
            </w:r>
          </w:p>
        </w:tc>
        <w:tc>
          <w:tcPr>
            <w:tcW w:w="4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242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606.2 </w:t>
            </w:r>
          </w:p>
        </w:tc>
        <w:tc>
          <w:tcPr>
            <w:tcW w:w="15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465.5 </w:t>
            </w:r>
          </w:p>
        </w:tc>
        <w:tc>
          <w:tcPr>
            <w:tcW w:w="15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140.7 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49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Transaction revenue was $506.2 million for the nine months ended September 30, 2026, compared to $376.2 million for the nine months ended September 30, 2025, an increase of $130.0 million or 34.5%. The increase in transaction revenue was primarily driven by growth in transaction payment volumes for the nine months ended September 30, 2026 from both our existing clients and new clients added during the nine months ended September 30, 2026 compared to the prior period. The increase also included the full-period impact of the Sertifi acquisition that occurred in February 2025, including higher payment volumes from SertifiPay. Our transaction payment volume outpaced our revenue growth during the nine months ended September 30, 2026, due to payment mix which impacts our monetization rates. Transaction payment volume increased 36.4% during the nine months ended September 30, 2026, to $31.2 billion compared to $22.9 billion during the nine months ended September 30, 2025.</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Platform and other revenues were $99.9 million for the nine months ended September 30, 2026, compared to $89.2 million for the nine months ended September 30, 2025, an increase of $10.7 million or 12.0%. The increase in platform and other revenues was driven by the Sertifi acquisition including organic growth and an increase in utilization in our healthcare and SFS solution, offset by our insurance business.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Payment Processing Services Costs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Payment processing services costs were $246.2 million for the nine months ended September 30, 2026, compared to $176.8 million for the nine months ended September 30, 2025, an increase of $69.4 million or 39.3%. The increase in payment processing services costs was correlated with the increase in transaction payment volume of 36.4% over the same period. The increase was further driven by shifts in our business mix, including the expansion of our payment processing capabilities, which carry higher payment processing costs.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Technology and Development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Technology and development expenses were $54.5 million for the nine months ended September 30, 2026, compared to $51.7 million for the nine months ended September 30, 2025, an increase of $2.8 million or 5.4%. The increase in technology and development cost was primarily driven by an increase in personnel costs, offset by a decrease in stock-based compensation.</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Personnel costs were $37.3 million for the nine months ended September 30, 2026, compared to $32.4 million for the nine months ended September 30, 2025, an increase of $4.8 million or 14.8%. The increase in personnel costs was primarily driven by higher headcount, including the full-period impact of the Sertifi acquisition completed on February 24, 2025, compared to only a partial period for the nine months ended September 30, 2025.</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Stock-based compensation expense was $8.0 million for the nine months ended September 30, 2026, compared to $10.1 million for the nine months ended September 30, 2025, a decrease of $2.1 million or 20.7%. The decrease in stock-based compensation was primarily driven by an initiative to control shareholder dilution by lowering the volume of equity awards granted to FlyMates, partially offset by growth in headcount.</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Selling and Marketing</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Selling and marketing expenses were $122.0 million for the nine months ended September 30, 2026, compared to $116.9 million for the nine months ended September 30, 2025, an increase of $5.1 million or 4.4%. The increase in selling and marketing expenses was primarily driven by an increase in depreciation and amortization and stock-based compensation.</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Depreciation and amortization were $14.4 million for the nine months ended September 30, 2026, compared to $11.6 million for the nine months ended September 30, 2025, an increase of $2.8 million or 23.8%. The increase in depreciation and amortization was primarily due to acquired intangibles relating to the Sertifi acquisition completed in February 2025.</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Stock-based compensation was $16.7 million for the nine months ended September 30, 2026, compared to $14.6 million for the nine months ended September 30, 2025, an increase of $2.1 million or 14.7%. The increase in stock-based compensation was primarily due to the appointment of a new product head and to the scheduled issuance of second-year equity awards, related to our FlyMates from the acquisition of Sertifi, offset by our initiative to control shareholder dilution by lowering the volume of equity awards granted to FlyMates.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General and Administrative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General and administrative expenses were $122.7 million for the nine months ended September 30, 2026, compared to $99.2 million for the nine months ended September 30, 2025, an increase of $23.5 million or 23.7%. The increase in general and administrative expenses was primarily driven by increases in engineering tools, personnel costs, net hedging activity losses, professional fees, and the change in fair value of contingent consideration.</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Engineering tools were $14.7 million for the nine months ended September 30, 2026, compared to $8.9 million for the nine months ended September 30, 2025, an increase of $5.8 million or 64.8%. The increase in engineering tools was primarily driven by a higher cloud hosting and infrastructure costs resulting from increased data processing and storage volumes and increased software licensing and subscription fees associated with headcount growth during the period.</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Personnel costs were $42.8 million for the nine months ended September 30, 2026, compared to $38.2 million for the nine months ended September 30, 2025, an increase of $4.5 million or 11.9%. The increase in personnel costs was attributable to an increase in headcount, including the full-period impact of the Sertifi acquisition completed on February 24,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Net hedging activity losses were $4.2 million for the nine months ended September 30, 2026, compared to $0.4 million for the nine months ended September 30, 2025, an increase of $3.8 million or 1,021.5%. The increase in net hedging activity losses was primarily driven by foreign currency fluctuations.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Professional fees expense was $13.5 million for the nine months ended September 30, 2026, compared to $9.8 million for the nine months ended September 30, 2025, an increase of $3.7 million or 37.6%. The increase in professional fees was primarily driven by an increase in external consultants and legal fees.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 xml:space="preserve">The increase in the fair value of contingent consideration was $1.8 million for the nine months ended September 30, 2026, compared to a reduction of $1.2 million for the nine months ended September 30, 2025, an increase of $3.0 million or 247.0%. The increase in the change in the fair value of contingent consideration was primarily driven by the Sertifi acquisition. </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Restructuring</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There were no restructuring expenses during the nine months ended September 30, 2026, compared to $8.7 million for the nine months ended September 30, 2025. Restructuring expenses for the nine months ended September 30, 2025, included restructuring and restructuring-related expenses incurred as part of the Restructuring Plan announced in February 2025, related primarily to severance payments, employee benefits, and facilitation costs of $6.3 million and $2.4 million of expense related to the acceleration of stock-based compensation for terminated employees.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Interest Expense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Interest expense was $1.1 million for the nine months ended September 30, 2026, compared to $3.0 million for the nine months ended September 30, 2025, a decrease of $1.9 million or 63.9%. During the nine months ended September 30, 2026, there was no outstanding indebtedness under the 2024 Amended Revolving Credit Facility. During the nine months ended September 30, 2025, we drew down $125.0 million to partially fund the acquisition of Sertifi and repaid $110.0 million from our 2024 Amended Revolving Credit Facility. As of September 30, 2025, there was $15.0 million outstanding indebtedness under the 2024 Amended Revolving Credit Facility. Interest expense consists primarily of interest expense, amortization of debt issuance costs, and unused commitment fees related to our 2024 Amended Revolving Credit Facility.</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Interest Income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Interest income was $2.1 million for the nine months ended September 30, 2026, compared to $4.8 million for the nine months ended September 30, 2025, a decrease of $2.7 million or 56.7%. The decrease in interest income was primarily attributable to lower average balances in our cash and cash equivalents, short-term investments and long-term investments as a result of the use of cash for the acquisition of Sertifi on February 24, 2025, common stock repurchases, and lower interest rates.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(Loss) Gain from Remeasurement of Foreign Currency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Loss from remeasurement of foreign currency was less than $0.1 million for the nine months ended September 30, 2026, compared to a gain of $6.9 million for the nine months ended September 30, 2025, a decrease of $6.9 million or 100.7%. The decrease was primarily the result of the remeasurement of foreign currency intercompany loans and related hedging instruments and the impact of fluctuations in exchange rates during respective remeasurement periods.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Gain on Available-for-Sale Debt Securities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There was a less than $0.1 million gain from the sale of available-for-sale debt securities for the nine months ended September 30, 2026, compared to $0.2 million gain from the sale of available-for-sale debt securities for the nine months ended September 30, 2025.</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(Benefit from) Provision for Income Taxes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benefit from income taxes was $17.2 million during the nine months ended September 30, 2026, compared to a provision of $7.7 million during the nine months ended September 30, 2025, a decrease of $24.9 million or 324.3%. The benefit from income taxes for the nine months ended September 30, 2026, was primarily attributable to the release of the U.S. valuation allowance, offset by activity in our foreign subsidiaries and U.S. state taxes. The provision for income taxes for the nine months ended September 30, 2025, was primarily attributable to activity in our foreign subsidiaries and U.S. state taxes. Our effective tax rate was (27.8)% for the nine months ended September 30, 2026, compared to 36.3% for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color w:val="000000"/>
          <w:sz w:val="20"/>
        </w:rPr>
      </w:pPr>
      <w:bookmarkStart w:id="86" w:name="ie08a97ac3c70420b81ea35d9c271e9f0"/>
      <w:bookmarkEnd w:id="86"/>
      <w:r>
        <w:rPr>
          <w:rFonts w:ascii="Arial;sans-serif" w:hAnsi="Arial;sans-serif"/>
          <w:b/>
          <w:color w:val="000000"/>
          <w:sz w:val="20"/>
        </w:rPr>
        <w:t>Key Operating Metrics and Non-GAAP Financial Measures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To supplement our condensed consolidated financial statements, which are prepared in accordance with generally accepted accounting principles in the United States (GAAP), we use certain non-GAAP financial measures. The following table sets forth our key operating metrics and non-GAAP measures for the periods presented. All dollar amounts are rounded based on whole numbers and as a result, certain amounts may not recalculate using the rounded amounts provided.</w:t>
      </w:r>
    </w:p>
    <w:tbl>
      <w:tblPr>
        <w:tblW w:w="9692" w:type="dxa"/>
        <w:jc w:val="left"/>
        <w:tblInd w:w="0" w:type="dxa"/>
        <w:tblLayout w:type="fixed"/>
        <w:tblCellMar>
          <w:top w:w="28" w:type="dxa"/>
          <w:left w:w="28" w:type="dxa"/>
          <w:bottom w:w="28" w:type="dxa"/>
          <w:right w:w="28" w:type="dxa"/>
        </w:tblCellMar>
      </w:tblPr>
      <w:tblGrid>
        <w:gridCol w:w="1016"/>
        <w:gridCol w:w="891"/>
        <w:gridCol w:w="898"/>
        <w:gridCol w:w="109"/>
        <w:gridCol w:w="109"/>
        <w:gridCol w:w="109"/>
        <w:gridCol w:w="219"/>
        <w:gridCol w:w="904"/>
        <w:gridCol w:w="281"/>
        <w:gridCol w:w="113"/>
        <w:gridCol w:w="113"/>
        <w:gridCol w:w="113"/>
        <w:gridCol w:w="219"/>
        <w:gridCol w:w="904"/>
        <w:gridCol w:w="281"/>
        <w:gridCol w:w="109"/>
        <w:gridCol w:w="109"/>
        <w:gridCol w:w="109"/>
        <w:gridCol w:w="211"/>
        <w:gridCol w:w="874"/>
        <w:gridCol w:w="272"/>
        <w:gridCol w:w="109"/>
        <w:gridCol w:w="109"/>
        <w:gridCol w:w="109"/>
        <w:gridCol w:w="211"/>
        <w:gridCol w:w="874"/>
        <w:gridCol w:w="317"/>
      </w:tblGrid>
      <w:t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(dollars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r>
      <w:tr>
        <w:tc>
          <w:tcPr>
            <w:tcW w:w="280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Payment Volume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17,768.5 </w:t>
            </w:r>
          </w:p>
        </w:tc>
        <w:tc>
          <w:tcPr>
            <w:tcW w:w="28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13,916.2 </w:t>
            </w:r>
          </w:p>
        </w:tc>
        <w:tc>
          <w:tcPr>
            <w:tcW w:w="28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37,393.5 </w:t>
            </w:r>
          </w:p>
        </w:tc>
        <w:tc>
          <w:tcPr>
            <w:tcW w:w="27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28,218.7 </w:t>
            </w:r>
          </w:p>
        </w:tc>
        <w:tc>
          <w:tcPr>
            <w:tcW w:w="31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250.3 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200.1 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606.2 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465.5 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0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 Less Ancillary Services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244.5 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194.1 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592.3 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450.3 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152.7 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124.7 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349.1 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280.4 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0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Adjusted Gross Profit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155.8 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127.5 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359.1 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287.9 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2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62.3</w:t>
            </w:r>
          </w:p>
        </w:tc>
        <w:tc>
          <w:tcPr>
            <w:tcW w:w="2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57.6</w:t>
            </w:r>
          </w:p>
        </w:tc>
        <w:tc>
          <w:tcPr>
            <w:tcW w:w="2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60.2</w:t>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280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Adjusted Gross Margin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63.7</w:t>
            </w:r>
          </w:p>
        </w:tc>
        <w:tc>
          <w:tcPr>
            <w:tcW w:w="28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65.7</w:t>
            </w:r>
          </w:p>
        </w:tc>
        <w:tc>
          <w:tcPr>
            <w:tcW w:w="28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60.6</w:t>
            </w:r>
          </w:p>
        </w:tc>
        <w:tc>
          <w:tcPr>
            <w:tcW w:w="27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63.9</w:t>
            </w:r>
          </w:p>
        </w:tc>
        <w:tc>
          <w:tcPr>
            <w:tcW w:w="31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0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79.5 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142.8 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95.1 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2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29.4</w:t>
            </w:r>
          </w:p>
        </w:tc>
        <w:tc>
          <w:tcPr>
            <w:tcW w:w="2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24.1</w:t>
            </w:r>
          </w:p>
        </w:tc>
        <w:tc>
          <w:tcPr>
            <w:tcW w:w="2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For the three months ended September 30, 2026, transaction revenue and platform and other revenues represented 85.9% and 14.1% of our revenue, respectively. For the three months ended September 30, 2026, transaction revenue and platform and other revenues represented 87.2% and 12.8% of our total revenue less ancillary services, respectively. For the three months ended September 30, 2026, our total payment volume was approximately $17.8 billion, consisting of $14.8 billion of total payment volume from transactions included in transaction revenue and $3.0 billion of total payment volume from transactions included in platform and other revenues.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For the nine months ended September 30, 2026, transaction revenue and platform and other revenues represented 83.5% and 16.5% of our revenue, respectively. For the nine months ended September 30, 2026, transaction revenue and platform and other revenues represented 85.1% and 14.9% of our total revenue less ancillary services, respectively. For the nine months ended September 30, 2026, our total payment volume was approximately $37.4 billion, consisting of $31.2 billion of total payment volume from transactions included in transaction revenue and $6.2 billion of total payment volume from transactions included in platform and other revenues.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For the three months ended September 30, 2025, transaction revenue and platform and other revenues represented 83.5% and 16.5% of our revenue, respectively. For the three months ended September 30, 2025, transaction revenue and platform and other revenues represented 85.4% and 14.6% of our total revenue less ancillary services, respectively. For the three months ended September 30, 2025, our total payment volume was approximately $13.9 billion, consisting of $11.5 billion of total payment volume from transactions included in transaction revenue and $2.4 billion of total payment volume from transactions included in platform and other revenues.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For the nine months ended September 30, 2025, transaction revenue and platform and other revenues represented 80.8% and 19.2% of our revenue, respectively. For the nine months ended September 30, 2025, transaction revenue and platform and other revenues represented 83.1% and 16.9% of our total revenue less ancillary services, respectively. For the nine months ended September 30, 2025, our total payment volume was approximately $28.2 billion, consisting of $22.9 billion of total payment volume from transactions included in transaction revenue and $5.3 billion of total payment volume from transactions included in platform and other revenues.</w:t>
      </w:r>
    </w:p>
    <w:p>
      <w:pPr>
        <w:pStyle w:val="TextBody"/>
        <w:bidi w:val="0"/>
        <w:spacing w:lineRule="auto" w:line="288" w:before="0" w:after="200"/>
        <w:jc w:val="left"/>
        <w:rPr>
          <w:rFonts w:ascii="Arial;sans-serif" w:hAnsi="Arial;sans-serif"/>
          <w:b/>
          <w:i/>
          <w:color w:val="000000"/>
          <w:sz w:val="20"/>
        </w:rPr>
      </w:pPr>
      <w:bookmarkStart w:id="87" w:name="i1280d6b1d695446bba6de115f6a04c41"/>
      <w:bookmarkEnd w:id="87"/>
      <w:r>
        <w:rPr>
          <w:rFonts w:ascii="Arial;sans-serif" w:hAnsi="Arial;sans-serif"/>
          <w:b/>
          <w:i/>
          <w:color w:val="000000"/>
          <w:sz w:val="20"/>
        </w:rPr>
        <w:t>Revenue Less Ancillary Services, FX Neutral Revenue Less Ancillary Services, Adjusted Gross Profit, Adjusted Gross Margin, EBITDA, Adjusted EBITDA, Adjusted EBITDA Margin and Non-GAAP Operating Expenses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pStyle w:val="TextBody"/>
        <w:bidi w:val="0"/>
        <w:spacing w:lineRule="auto" w:line="288" w:before="0" w:after="120"/>
        <w:ind w:left="0" w:right="0" w:hanging="360"/>
        <w:jc w:val="left"/>
      </w:pPr>
      <w:r>
        <w:rPr>
          <w:color w:val="000000"/>
        </w:rPr>
        <w:t>•</w:t>
      </w:r>
      <w:r>
        <w:rPr>
          <w:rFonts w:ascii="Arial;sans-serif" w:hAnsi="Arial;sans-serif"/>
          <w:b w:val="false"/>
          <w:i/>
          <w:color w:val="000000"/>
          <w:sz w:val="20"/>
        </w:rPr>
        <w:t>Revenue Less Ancillary Services</w:t>
      </w:r>
      <w:r>
        <w:rPr>
          <w:color w:val="000000"/>
        </w:rPr>
        <w:t xml:space="preserve"> </w:t>
      </w:r>
      <w:r>
        <w:rPr>
          <w:rFonts w:ascii="Arial;sans-serif" w:hAnsi="Arial;sans-serif"/>
          <w:b w:val="false"/>
          <w:color w:val="000000"/>
          <w:sz w:val="20"/>
        </w:rPr>
        <w:t>- represents our consolidated revenue in accordance with GAAP less (i) pass-through cost for printing and mailing services and (ii) marketing fees. We exclude these amounts to arrive at this supplemental non-GAAP financial measure as we view these services as ancillary to the primary services we provide to our clients.</w:t>
      </w:r>
    </w:p>
    <w:p>
      <w:pPr>
        <w:pStyle w:val="TextBody"/>
        <w:bidi w:val="0"/>
        <w:spacing w:lineRule="auto" w:line="288" w:before="0" w:after="120"/>
        <w:ind w:left="0" w:right="0" w:hanging="360"/>
        <w:jc w:val="left"/>
      </w:pPr>
      <w:r>
        <w:rPr>
          <w:color w:val="000000"/>
        </w:rPr>
        <w:t>•</w:t>
      </w:r>
      <w:r>
        <w:rPr>
          <w:rFonts w:ascii="Arial;sans-serif" w:hAnsi="Arial;sans-serif"/>
          <w:b w:val="false"/>
          <w:i/>
          <w:color w:val="000000"/>
          <w:sz w:val="20"/>
        </w:rPr>
        <w:t>FX Neutral Revenue Less Ancillary Services</w:t>
      </w:r>
      <w:r>
        <w:rPr>
          <w:color w:val="000000"/>
        </w:rPr>
        <w:t xml:space="preserve"> </w:t>
      </w:r>
      <w:r>
        <w:rPr>
          <w:rFonts w:ascii="Arial;sans-serif" w:hAnsi="Arial;sans-serif"/>
          <w:b w:val="false"/>
          <w:color w:val="000000"/>
          <w:sz w:val="20"/>
        </w:rPr>
        <w:t>- represents Revenue Less Ancillary Services adjusted to show presentation on a FX Neutral basis. The FX Neutral information presented is calculated by translating current period results using prior period weighted average foreign currency exchange rates. We analyze FX Neutral Revenue Less Ancillary Services on an FX Neutral basis to provide a comparable framework for assessing how the business performed excluding the effect of foreign currency fluctuations.</w:t>
      </w:r>
    </w:p>
    <w:p>
      <w:pPr>
        <w:pStyle w:val="TextBody"/>
        <w:bidi w:val="0"/>
        <w:spacing w:lineRule="auto" w:line="288" w:before="0" w:after="120"/>
        <w:ind w:left="0" w:right="0" w:hanging="360"/>
        <w:jc w:val="left"/>
      </w:pPr>
      <w:r>
        <w:rPr>
          <w:color w:val="000000"/>
        </w:rPr>
        <w:t>•</w:t>
      </w:r>
      <w:r>
        <w:rPr>
          <w:rFonts w:ascii="Arial;sans-serif" w:hAnsi="Arial;sans-serif"/>
          <w:b w:val="false"/>
          <w:i/>
          <w:color w:val="000000"/>
          <w:sz w:val="20"/>
        </w:rPr>
        <w:t>Adjusted Gross Profit and Adjusted Gross Margin</w:t>
      </w:r>
      <w:r>
        <w:rPr>
          <w:color w:val="000000"/>
        </w:rPr>
        <w:t xml:space="preserve"> </w:t>
      </w:r>
      <w:r>
        <w:rPr>
          <w:rFonts w:ascii="Arial;sans-serif" w:hAnsi="Arial;sans-serif"/>
          <w:b w:val="false"/>
          <w:color w:val="000000"/>
          <w:sz w:val="20"/>
        </w:rPr>
        <w:t>-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if applicable. Adjusted Gross Margin represents Adjusted Gross Profit divided by Revenue Less Ancillary Services. Management believes this presentation supplements the GAAP presentation of Gross Profit and Gross Margin with a useful measure of the gross profit and gross margin of our payment processing-related services, which are the primary services we provide to our clients.</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Adjusted EBITDA - EBITDA represents our consolidated net income (loss) in accordance with GAAP adjusted to exclude (i) interest expense, (ii) interest income, (iii) provision for (benefit from) income taxes, and (iv) depreciation and amortization. Adjusted EBITDA represents EBITDA further adjusted by excluding (i) stock-based compensation expense and related payroll taxes, (ii) the impact from the change in fair value measurement for contingent consideration associated with acquisitions, (iii) gain (loss) from the remeasurement of foreign currency, (iv) indirect taxes related to intercompany activity, (v) acquisition related transaction costs, (vi) employee retention costs, such as incentive compensation associated with acquisition activities, (vii) restructuring, and (viii) gain (loss) from investments. Management believes that the exclusion of these amounts to calculate Adjusted EBITDA provides useful measures for period-to-period comparisons of our business.</w:t>
      </w:r>
    </w:p>
    <w:p>
      <w:pPr>
        <w:pStyle w:val="TextBody"/>
        <w:bidi w:val="0"/>
        <w:spacing w:lineRule="auto" w:line="288" w:before="0" w:after="60"/>
        <w:ind w:left="0" w:right="0" w:hanging="360"/>
        <w:jc w:val="left"/>
      </w:pPr>
      <w:r>
        <w:rPr>
          <w:color w:val="000000"/>
        </w:rPr>
        <w:t>•</w:t>
      </w:r>
      <w:r>
        <w:rPr>
          <w:rFonts w:ascii="Arial;sans-serif" w:hAnsi="Arial;sans-serif"/>
          <w:b w:val="false"/>
          <w:color w:val="000000"/>
          <w:sz w:val="20"/>
        </w:rPr>
        <w:t>Adjusted EBITDA Margin - represents Adjusted EBITDA divided by Revenue Less Ancillary Services. Management believes this presentation supplements the GAAP presentation of net income margin with a useful measure of profitability of our core operations, excluding the pass-through ancillary services revenue and the items excluded from Adjusted EBITDA described above.</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Non-GAAP Operating Expenses - represents GAAP Operating Expenses adjusted by excluding (i) stock-based compensation expense and related payroll taxes, (ii) depreciation and amortization, (iii) acquisition related transaction costs, if applicable, (iv) employee retention costs, such as incentive compensation associated with acquisition activities, (v) the impact from the change in fair value measurement for contingent consideration associated with acquisitions and (vi) restructuring costs.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These non-GAAP financial measures are not meant to be considered as indicators of performance in isolation from or as a substitute for revenue, gross profit, gross margin, operating expenses, or net income (loss) prepared in accordance with GAAP and should be read only in conjunction with financial information presented on a GAAP basis. Reconciliations of these non-GAAP financial measures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i/>
          <w:color w:val="000000"/>
          <w:sz w:val="20"/>
        </w:rPr>
      </w:pPr>
      <w:bookmarkStart w:id="88" w:name="i4e9ff003e5b84947bf0246916797abfe"/>
      <w:bookmarkEnd w:id="88"/>
      <w:r>
        <w:rPr>
          <w:rFonts w:ascii="Arial;sans-serif" w:hAnsi="Arial;sans-serif"/>
          <w:b/>
          <w:i/>
          <w:color w:val="000000"/>
          <w:sz w:val="20"/>
        </w:rPr>
        <w:t>Reconciliations of Non-GAAP Financial Measures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tables below provide reconciliations of Revenue Less Ancillary Services, Adjusted Gross Profit, Adjusted Gross Margin, FX Neutral Revenue Less Ancillary Services, EBITDA, Adjusted EBITDA, Adjusted EBITDA Margin, and Non-GAAP Operating Expenses to the most comparable GAAP figure on a consolidated basis for the periods presented. All dollar amounts are rounded based on whole numbers and as a result, certain amounts may not recalculate using the rounded amounts provided.</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Revenue Less Ancillary Services, Adjusted Gross Profit and Adjusted Gross Margin:</w:t>
      </w:r>
    </w:p>
    <w:tbl>
      <w:tblPr>
        <w:tblW w:w="10205" w:type="dxa"/>
        <w:jc w:val="left"/>
        <w:tblInd w:w="0" w:type="dxa"/>
        <w:tblLayout w:type="fixed"/>
        <w:tblCellMar>
          <w:top w:w="28" w:type="dxa"/>
          <w:left w:w="28" w:type="dxa"/>
          <w:bottom w:w="28" w:type="dxa"/>
          <w:right w:w="28" w:type="dxa"/>
        </w:tblCellMar>
      </w:tblPr>
      <w:tblGrid>
        <w:gridCol w:w="1539"/>
        <w:gridCol w:w="1163"/>
        <w:gridCol w:w="1171"/>
        <w:gridCol w:w="109"/>
        <w:gridCol w:w="109"/>
        <w:gridCol w:w="109"/>
        <w:gridCol w:w="237"/>
        <w:gridCol w:w="694"/>
        <w:gridCol w:w="305"/>
        <w:gridCol w:w="122"/>
        <w:gridCol w:w="122"/>
        <w:gridCol w:w="122"/>
        <w:gridCol w:w="237"/>
        <w:gridCol w:w="694"/>
        <w:gridCol w:w="305"/>
        <w:gridCol w:w="109"/>
        <w:gridCol w:w="109"/>
        <w:gridCol w:w="109"/>
        <w:gridCol w:w="232"/>
        <w:gridCol w:w="680"/>
        <w:gridCol w:w="299"/>
        <w:gridCol w:w="120"/>
        <w:gridCol w:w="120"/>
        <w:gridCol w:w="120"/>
        <w:gridCol w:w="232"/>
        <w:gridCol w:w="680"/>
        <w:gridCol w:w="357"/>
      </w:tblGrid>
      <w:tr>
        <w:tc>
          <w:tcPr>
            <w:tcW w:w="153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c>
          <w:tcPr>
            <w:tcW w:w="3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c>
          <w:tcPr>
            <w:tcW w:w="3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(dollars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r>
      <w:tr>
        <w:tc>
          <w:tcPr>
            <w:tcW w:w="3873"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250.3 </w:t>
            </w:r>
          </w:p>
        </w:tc>
        <w:tc>
          <w:tcPr>
            <w:tcW w:w="30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200.1 </w:t>
            </w:r>
          </w:p>
        </w:tc>
        <w:tc>
          <w:tcPr>
            <w:tcW w:w="30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606.2 </w:t>
            </w:r>
          </w:p>
        </w:tc>
        <w:tc>
          <w:tcPr>
            <w:tcW w:w="29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465.5 </w:t>
            </w:r>
          </w:p>
        </w:tc>
        <w:tc>
          <w:tcPr>
            <w:tcW w:w="35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Adjusted to exclude gross up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Pass-through cost for printing and mailing</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Marketing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 Less Ancillary Services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244.5 </w:t>
            </w:r>
          </w:p>
        </w:tc>
        <w:tc>
          <w:tcPr>
            <w:tcW w:w="30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194.1 </w:t>
            </w:r>
          </w:p>
        </w:tc>
        <w:tc>
          <w:tcPr>
            <w:tcW w:w="30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592.3 </w:t>
            </w:r>
          </w:p>
        </w:tc>
        <w:tc>
          <w:tcPr>
            <w:tcW w:w="29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450.3 </w:t>
            </w:r>
          </w:p>
        </w:tc>
        <w:tc>
          <w:tcPr>
            <w:tcW w:w="35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Payment processing services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94.0 </w:t>
            </w:r>
          </w:p>
        </w:tc>
        <w:tc>
          <w:tcPr>
            <w:tcW w:w="30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72.3 </w:t>
            </w:r>
          </w:p>
        </w:tc>
        <w:tc>
          <w:tcPr>
            <w:tcW w:w="30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246.2 </w:t>
            </w:r>
          </w:p>
        </w:tc>
        <w:tc>
          <w:tcPr>
            <w:tcW w:w="29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176.8 </w:t>
            </w:r>
          </w:p>
        </w:tc>
        <w:tc>
          <w:tcPr>
            <w:tcW w:w="3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Hosting and amortization costs within technology and development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97.6 </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75.4 </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257.1 </w:t>
            </w:r>
          </w:p>
        </w:tc>
        <w:tc>
          <w:tcPr>
            <w:tcW w:w="2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185.1 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Adjusted to:</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Exclude printing and mailing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Offset marketing fees against related costs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Exclude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Adjusted Cost of 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88.7 </w:t>
            </w:r>
          </w:p>
        </w:tc>
        <w:tc>
          <w:tcPr>
            <w:tcW w:w="30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66.6 </w:t>
            </w:r>
          </w:p>
        </w:tc>
        <w:tc>
          <w:tcPr>
            <w:tcW w:w="30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233.2 </w:t>
            </w:r>
          </w:p>
        </w:tc>
        <w:tc>
          <w:tcPr>
            <w:tcW w:w="29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162.4 </w:t>
            </w:r>
          </w:p>
        </w:tc>
        <w:tc>
          <w:tcPr>
            <w:tcW w:w="35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152.7 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124.7 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349.1 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280.4 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Gross Margin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305"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62.3</w:t>
            </w:r>
          </w:p>
        </w:tc>
        <w:tc>
          <w:tcPr>
            <w:tcW w:w="305"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57.6</w:t>
            </w:r>
          </w:p>
        </w:tc>
        <w:tc>
          <w:tcPr>
            <w:tcW w:w="299"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60.2</w:t>
            </w:r>
          </w:p>
        </w:tc>
        <w:tc>
          <w:tcPr>
            <w:tcW w:w="357"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3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Adjusted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155.8 </w:t>
            </w:r>
          </w:p>
        </w:tc>
        <w:tc>
          <w:tcPr>
            <w:tcW w:w="30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127.5 </w:t>
            </w:r>
          </w:p>
        </w:tc>
        <w:tc>
          <w:tcPr>
            <w:tcW w:w="30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359.1 </w:t>
            </w:r>
          </w:p>
        </w:tc>
        <w:tc>
          <w:tcPr>
            <w:tcW w:w="29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287.9 </w:t>
            </w:r>
          </w:p>
        </w:tc>
        <w:tc>
          <w:tcPr>
            <w:tcW w:w="3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73"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Adjusted Gross Margin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63.7</w:t>
            </w:r>
          </w:p>
        </w:tc>
        <w:tc>
          <w:tcPr>
            <w:tcW w:w="305"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65.7</w:t>
            </w:r>
          </w:p>
        </w:tc>
        <w:tc>
          <w:tcPr>
            <w:tcW w:w="305"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60.6</w:t>
            </w:r>
          </w:p>
        </w:tc>
        <w:tc>
          <w:tcPr>
            <w:tcW w:w="299"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6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63.9</w:t>
            </w:r>
          </w:p>
        </w:tc>
        <w:tc>
          <w:tcPr>
            <w:tcW w:w="357"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Revenue Less Ancillary Services Disaggregated by Revenue Type:</w:t>
      </w:r>
    </w:p>
    <w:tbl>
      <w:tblPr>
        <w:tblW w:w="10205" w:type="dxa"/>
        <w:jc w:val="left"/>
        <w:tblInd w:w="0" w:type="dxa"/>
        <w:tblLayout w:type="fixed"/>
        <w:tblCellMar>
          <w:top w:w="28" w:type="dxa"/>
          <w:left w:w="28" w:type="dxa"/>
          <w:bottom w:w="28" w:type="dxa"/>
          <w:right w:w="28" w:type="dxa"/>
        </w:tblCellMar>
      </w:tblPr>
      <w:tblGrid>
        <w:gridCol w:w="861"/>
        <w:gridCol w:w="449"/>
        <w:gridCol w:w="452"/>
        <w:gridCol w:w="109"/>
        <w:gridCol w:w="109"/>
        <w:gridCol w:w="109"/>
        <w:gridCol w:w="216"/>
        <w:gridCol w:w="631"/>
        <w:gridCol w:w="279"/>
        <w:gridCol w:w="109"/>
        <w:gridCol w:w="109"/>
        <w:gridCol w:w="109"/>
        <w:gridCol w:w="211"/>
        <w:gridCol w:w="511"/>
        <w:gridCol w:w="271"/>
        <w:gridCol w:w="109"/>
        <w:gridCol w:w="109"/>
        <w:gridCol w:w="109"/>
        <w:gridCol w:w="211"/>
        <w:gridCol w:w="616"/>
        <w:gridCol w:w="271"/>
        <w:gridCol w:w="109"/>
        <w:gridCol w:w="109"/>
        <w:gridCol w:w="109"/>
        <w:gridCol w:w="216"/>
        <w:gridCol w:w="631"/>
        <w:gridCol w:w="279"/>
        <w:gridCol w:w="109"/>
        <w:gridCol w:w="109"/>
        <w:gridCol w:w="109"/>
        <w:gridCol w:w="211"/>
        <w:gridCol w:w="511"/>
        <w:gridCol w:w="271"/>
        <w:gridCol w:w="109"/>
        <w:gridCol w:w="109"/>
        <w:gridCol w:w="109"/>
        <w:gridCol w:w="211"/>
        <w:gridCol w:w="616"/>
        <w:gridCol w:w="318"/>
      </w:tblGrid>
      <w:tr>
        <w:tc>
          <w:tcPr>
            <w:tcW w:w="86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September 30, 2025</w:t>
            </w:r>
          </w:p>
        </w:tc>
      </w:tr>
      <w:tr>
        <w:tc>
          <w:tcPr>
            <w:tcW w:w="17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(dollars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Transaction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Platform</w:t>
              <w:br/>
              <w:t>and other</w:t>
              <w:br/>
              <w:t>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Transaction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Platform</w:t>
              <w:br/>
              <w:t>and other</w:t>
              <w:br/>
              <w:t>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Revenue</w:t>
            </w:r>
          </w:p>
        </w:tc>
      </w:tr>
      <w:tr>
        <w:tc>
          <w:tcPr>
            <w:tcW w:w="1762"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215.1 </w:t>
            </w:r>
          </w:p>
        </w:tc>
        <w:tc>
          <w:tcPr>
            <w:tcW w:w="27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35.2 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250.3 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167.2 </w:t>
            </w:r>
          </w:p>
        </w:tc>
        <w:tc>
          <w:tcPr>
            <w:tcW w:w="27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200.1 </w:t>
            </w:r>
          </w:p>
        </w:tc>
        <w:tc>
          <w:tcPr>
            <w:tcW w:w="31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Adjusted to exclude gross up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Pass-through cost for printing and mailing</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Marketing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 Less Ancillary Services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213.2 </w:t>
            </w:r>
          </w:p>
        </w:tc>
        <w:tc>
          <w:tcPr>
            <w:tcW w:w="27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244.5 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165.7 </w:t>
            </w:r>
          </w:p>
        </w:tc>
        <w:tc>
          <w:tcPr>
            <w:tcW w:w="27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194.1 </w:t>
            </w:r>
          </w:p>
        </w:tc>
        <w:tc>
          <w:tcPr>
            <w:tcW w:w="31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85.9</w:t>
            </w:r>
          </w:p>
        </w:tc>
        <w:tc>
          <w:tcPr>
            <w:tcW w:w="2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83.5</w:t>
            </w:r>
          </w:p>
        </w:tc>
        <w:tc>
          <w:tcPr>
            <w:tcW w:w="2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3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176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Percentage of Revenue Less Ancillary Services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87.2</w:t>
            </w:r>
          </w:p>
        </w:tc>
        <w:tc>
          <w:tcPr>
            <w:tcW w:w="279"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85.4</w:t>
            </w:r>
          </w:p>
        </w:tc>
        <w:tc>
          <w:tcPr>
            <w:tcW w:w="279"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14.6</w:t>
            </w:r>
          </w:p>
        </w:tc>
        <w:tc>
          <w:tcPr>
            <w:tcW w:w="27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31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tbl>
      <w:tblPr>
        <w:tblW w:w="10205" w:type="dxa"/>
        <w:jc w:val="left"/>
        <w:tblInd w:w="0" w:type="dxa"/>
        <w:tblLayout w:type="fixed"/>
        <w:tblCellMar>
          <w:top w:w="28" w:type="dxa"/>
          <w:left w:w="28" w:type="dxa"/>
          <w:bottom w:w="28" w:type="dxa"/>
          <w:right w:w="28" w:type="dxa"/>
        </w:tblCellMar>
      </w:tblPr>
      <w:tblGrid>
        <w:gridCol w:w="785"/>
        <w:gridCol w:w="342"/>
        <w:gridCol w:w="345"/>
        <w:gridCol w:w="109"/>
        <w:gridCol w:w="109"/>
        <w:gridCol w:w="109"/>
        <w:gridCol w:w="216"/>
        <w:gridCol w:w="631"/>
        <w:gridCol w:w="279"/>
        <w:gridCol w:w="109"/>
        <w:gridCol w:w="109"/>
        <w:gridCol w:w="109"/>
        <w:gridCol w:w="241"/>
        <w:gridCol w:w="585"/>
        <w:gridCol w:w="310"/>
        <w:gridCol w:w="109"/>
        <w:gridCol w:w="109"/>
        <w:gridCol w:w="109"/>
        <w:gridCol w:w="211"/>
        <w:gridCol w:w="616"/>
        <w:gridCol w:w="271"/>
        <w:gridCol w:w="109"/>
        <w:gridCol w:w="109"/>
        <w:gridCol w:w="109"/>
        <w:gridCol w:w="216"/>
        <w:gridCol w:w="631"/>
        <w:gridCol w:w="279"/>
        <w:gridCol w:w="109"/>
        <w:gridCol w:w="109"/>
        <w:gridCol w:w="109"/>
        <w:gridCol w:w="241"/>
        <w:gridCol w:w="585"/>
        <w:gridCol w:w="310"/>
        <w:gridCol w:w="109"/>
        <w:gridCol w:w="109"/>
        <w:gridCol w:w="109"/>
        <w:gridCol w:w="211"/>
        <w:gridCol w:w="616"/>
        <w:gridCol w:w="322"/>
      </w:tblGrid>
      <w:tr>
        <w:tc>
          <w:tcPr>
            <w:tcW w:w="78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 2025</w:t>
            </w:r>
          </w:p>
        </w:tc>
      </w:tr>
      <w:tr>
        <w:tc>
          <w:tcPr>
            <w:tcW w:w="1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(dollars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Transaction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Platform and other 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Transaction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Platform and other 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Revenue</w:t>
            </w:r>
          </w:p>
        </w:tc>
      </w:tr>
      <w:tr>
        <w:tc>
          <w:tcPr>
            <w:tcW w:w="147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506.2 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99.9 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606.2 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376.2 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89.2 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465.5 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Adjusted to exclude gross up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Pass-through cost for printing and mailing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Marketing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 Less Ancillary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504.2 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88.1 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592.3 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374.3 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76.0 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450.3 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83.5</w:t>
            </w:r>
          </w:p>
        </w:tc>
        <w:tc>
          <w:tcPr>
            <w:tcW w:w="2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31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80.8</w:t>
            </w:r>
          </w:p>
        </w:tc>
        <w:tc>
          <w:tcPr>
            <w:tcW w:w="2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19.2</w:t>
            </w:r>
          </w:p>
        </w:tc>
        <w:tc>
          <w:tcPr>
            <w:tcW w:w="31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3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14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Percentage of Revenue Less Ancillary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85.1</w:t>
            </w:r>
          </w:p>
        </w:tc>
        <w:tc>
          <w:tcPr>
            <w:tcW w:w="27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3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83.1</w:t>
            </w:r>
          </w:p>
        </w:tc>
        <w:tc>
          <w:tcPr>
            <w:tcW w:w="27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16.9</w:t>
            </w:r>
          </w:p>
        </w:tc>
        <w:tc>
          <w:tcPr>
            <w:tcW w:w="3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3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FX Neutral Revenue Less Ancillary Services:</w:t>
      </w:r>
    </w:p>
    <w:tbl>
      <w:tblPr>
        <w:tblW w:w="10205" w:type="dxa"/>
        <w:jc w:val="left"/>
        <w:tblInd w:w="0" w:type="dxa"/>
        <w:tblLayout w:type="fixed"/>
        <w:tblCellMar>
          <w:top w:w="28" w:type="dxa"/>
          <w:left w:w="28" w:type="dxa"/>
          <w:bottom w:w="28" w:type="dxa"/>
          <w:right w:w="28" w:type="dxa"/>
        </w:tblCellMar>
      </w:tblPr>
      <w:tblGrid>
        <w:gridCol w:w="849"/>
        <w:gridCol w:w="595"/>
        <w:gridCol w:w="600"/>
        <w:gridCol w:w="109"/>
        <w:gridCol w:w="109"/>
        <w:gridCol w:w="109"/>
        <w:gridCol w:w="244"/>
        <w:gridCol w:w="715"/>
        <w:gridCol w:w="126"/>
        <w:gridCol w:w="126"/>
        <w:gridCol w:w="126"/>
        <w:gridCol w:w="126"/>
        <w:gridCol w:w="244"/>
        <w:gridCol w:w="715"/>
        <w:gridCol w:w="126"/>
        <w:gridCol w:w="109"/>
        <w:gridCol w:w="109"/>
        <w:gridCol w:w="109"/>
        <w:gridCol w:w="233"/>
        <w:gridCol w:w="233"/>
        <w:gridCol w:w="401"/>
        <w:gridCol w:w="109"/>
        <w:gridCol w:w="109"/>
        <w:gridCol w:w="109"/>
        <w:gridCol w:w="241"/>
        <w:gridCol w:w="704"/>
        <w:gridCol w:w="124"/>
        <w:gridCol w:w="124"/>
        <w:gridCol w:w="124"/>
        <w:gridCol w:w="124"/>
        <w:gridCol w:w="241"/>
        <w:gridCol w:w="704"/>
        <w:gridCol w:w="124"/>
        <w:gridCol w:w="109"/>
        <w:gridCol w:w="109"/>
        <w:gridCol w:w="109"/>
        <w:gridCol w:w="233"/>
        <w:gridCol w:w="233"/>
        <w:gridCol w:w="462"/>
      </w:tblGrid>
      <w:tr>
        <w:tc>
          <w:tcPr>
            <w:tcW w:w="84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Growth</w:t>
            </w:r>
          </w:p>
        </w:tc>
      </w:tr>
      <w:tr>
        <w:tc>
          <w:tcPr>
            <w:tcW w:w="20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Rate</w:t>
            </w:r>
          </w:p>
        </w:tc>
      </w:tr>
      <w:tr>
        <w:tc>
          <w:tcPr>
            <w:tcW w:w="20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250.3 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200.1 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25.1</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606.2 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465.5 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2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Ancillary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 Less Ancillary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244.5 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194.1 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26.0</w:t>
            </w:r>
          </w:p>
        </w:tc>
        <w:tc>
          <w:tcPr>
            <w:tcW w:w="4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592.3 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450.3 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31.5</w:t>
            </w:r>
          </w:p>
        </w:tc>
        <w:tc>
          <w:tcPr>
            <w:tcW w:w="46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2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Effects of foreign currency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FX Neutral Revenue Less Ancillary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244.6 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194.1 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26.0</w:t>
            </w:r>
          </w:p>
        </w:tc>
        <w:tc>
          <w:tcPr>
            <w:tcW w:w="4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583.0 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450.3 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29.5</w:t>
            </w:r>
          </w:p>
        </w:tc>
        <w:tc>
          <w:tcPr>
            <w:tcW w:w="46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EBITDA, Adjusted EBITDA, and Adjusted EBITDA Margin:</w:t>
      </w:r>
    </w:p>
    <w:tbl>
      <w:tblPr>
        <w:tblW w:w="10205" w:type="dxa"/>
        <w:jc w:val="left"/>
        <w:tblInd w:w="0" w:type="dxa"/>
        <w:tblLayout w:type="fixed"/>
        <w:tblCellMar>
          <w:top w:w="28" w:type="dxa"/>
          <w:left w:w="28" w:type="dxa"/>
          <w:bottom w:w="28" w:type="dxa"/>
          <w:right w:w="28" w:type="dxa"/>
        </w:tblCellMar>
      </w:tblPr>
      <w:tblGrid>
        <w:gridCol w:w="1506"/>
        <w:gridCol w:w="1106"/>
        <w:gridCol w:w="1114"/>
        <w:gridCol w:w="109"/>
        <w:gridCol w:w="109"/>
        <w:gridCol w:w="109"/>
        <w:gridCol w:w="265"/>
        <w:gridCol w:w="643"/>
        <w:gridCol w:w="341"/>
        <w:gridCol w:w="137"/>
        <w:gridCol w:w="137"/>
        <w:gridCol w:w="137"/>
        <w:gridCol w:w="265"/>
        <w:gridCol w:w="643"/>
        <w:gridCol w:w="341"/>
        <w:gridCol w:w="109"/>
        <w:gridCol w:w="109"/>
        <w:gridCol w:w="109"/>
        <w:gridCol w:w="249"/>
        <w:gridCol w:w="728"/>
        <w:gridCol w:w="320"/>
        <w:gridCol w:w="128"/>
        <w:gridCol w:w="128"/>
        <w:gridCol w:w="128"/>
        <w:gridCol w:w="249"/>
        <w:gridCol w:w="604"/>
        <w:gridCol w:w="382"/>
      </w:tblGrid>
      <w:tr>
        <w:tc>
          <w:tcPr>
            <w:tcW w:w="15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c>
          <w:tcPr>
            <w:tcW w:w="3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c>
          <w:tcPr>
            <w:tcW w:w="3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(dollars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r>
      <w:tr>
        <w:tc>
          <w:tcPr>
            <w:tcW w:w="3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(Benefit from)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85.2 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3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Stock-based compensation expense and related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Change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Loss (gain) from remeasurement of foreign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Gain on 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Indirect taxes related to intercompany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pPr>
            <w:r>
              <w:rPr>
                <w:rFonts w:ascii="Arial;sans-serif" w:hAnsi="Arial;sans-serif"/>
                <w:b w:val="false"/>
                <w:color w:val="000000"/>
                <w:sz w:val="18"/>
              </w:rPr>
              <w:t xml:space="preserve">Acquisition-related transaction costs </w:t>
            </w:r>
            <w:r>
              <w:rPr>
                <w:rFonts w:ascii="Arial;sans-serif" w:hAnsi="Arial;sans-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79.5 </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142.8 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95.1 </w:t>
            </w:r>
          </w:p>
        </w:tc>
        <w:tc>
          <w:tcPr>
            <w:tcW w:w="3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3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29.4</w:t>
            </w:r>
          </w:p>
        </w:tc>
        <w:tc>
          <w:tcPr>
            <w:tcW w:w="3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32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4"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38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173"/>
        <w:jc w:val="left"/>
      </w:pPr>
      <w:r>
        <w:rPr>
          <w:rFonts w:ascii="Arial;sans-serif" w:hAnsi="Arial;sans-serif"/>
          <w:b w:val="false"/>
          <w:color w:val="000000"/>
          <w:sz w:val="10"/>
        </w:rPr>
        <w:t>(a)</w:t>
      </w:r>
      <w:r>
        <w:rPr>
          <w:rFonts w:ascii="Arial;sans-serif" w:hAnsi="Arial;sans-serif"/>
          <w:b w:val="false"/>
          <w:color w:val="000000"/>
          <w:sz w:val="16"/>
        </w:rPr>
        <w:t>Acquisition-related transaction costs consisted of legal and advisory fees incurred in connection with the Sertifi acquisition.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Net Margin, EBITDA Margin, and Adjusted EBITDA Margin:</w:t>
      </w:r>
    </w:p>
    <w:tbl>
      <w:tblPr>
        <w:tblW w:w="9873" w:type="dxa"/>
        <w:jc w:val="left"/>
        <w:tblInd w:w="0" w:type="dxa"/>
        <w:tblLayout w:type="fixed"/>
        <w:tblCellMar>
          <w:top w:w="28" w:type="dxa"/>
          <w:left w:w="28" w:type="dxa"/>
          <w:bottom w:w="28" w:type="dxa"/>
          <w:right w:w="28" w:type="dxa"/>
        </w:tblCellMar>
      </w:tblPr>
      <w:tblGrid>
        <w:gridCol w:w="1081"/>
        <w:gridCol w:w="948"/>
        <w:gridCol w:w="955"/>
        <w:gridCol w:w="109"/>
        <w:gridCol w:w="109"/>
        <w:gridCol w:w="109"/>
        <w:gridCol w:w="263"/>
        <w:gridCol w:w="769"/>
        <w:gridCol w:w="338"/>
        <w:gridCol w:w="136"/>
        <w:gridCol w:w="136"/>
        <w:gridCol w:w="136"/>
        <w:gridCol w:w="263"/>
        <w:gridCol w:w="769"/>
        <w:gridCol w:w="338"/>
        <w:gridCol w:w="109"/>
        <w:gridCol w:w="109"/>
        <w:gridCol w:w="109"/>
        <w:gridCol w:w="253"/>
        <w:gridCol w:w="741"/>
        <w:gridCol w:w="326"/>
        <w:gridCol w:w="131"/>
        <w:gridCol w:w="131"/>
        <w:gridCol w:w="131"/>
        <w:gridCol w:w="253"/>
        <w:gridCol w:w="741"/>
        <w:gridCol w:w="380"/>
      </w:tblGrid>
      <w:tr>
        <w:tc>
          <w:tcPr>
            <w:tcW w:w="108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(dollars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r>
      <w:tr>
        <w:tc>
          <w:tcPr>
            <w:tcW w:w="2984"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 (A)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250.3 </w:t>
            </w:r>
          </w:p>
        </w:tc>
        <w:tc>
          <w:tcPr>
            <w:tcW w:w="33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200.1 </w:t>
            </w:r>
          </w:p>
        </w:tc>
        <w:tc>
          <w:tcPr>
            <w:tcW w:w="33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606.2 </w:t>
            </w:r>
          </w:p>
        </w:tc>
        <w:tc>
          <w:tcPr>
            <w:tcW w:w="32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465.5 </w:t>
            </w:r>
          </w:p>
        </w:tc>
        <w:tc>
          <w:tcPr>
            <w:tcW w:w="38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 less ancillary services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244.5 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194.1 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592.3 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450.3 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 (C)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EBITDA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85.2 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Adjusted EBITDA (E)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79.5 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142.8 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95.1 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margin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29.8</w:t>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14.8</w:t>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3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3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29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margin using RLAS (C/B)</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30.5</w:t>
            </w:r>
          </w:p>
        </w:tc>
        <w:tc>
          <w:tcPr>
            <w:tcW w:w="33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33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32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38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EBITDA Margin (D/B)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24.7</w:t>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3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3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3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c>
          <w:tcPr>
            <w:tcW w:w="29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Adjusted EBITDA Margin (E/B)</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33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4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29.4</w:t>
            </w:r>
          </w:p>
        </w:tc>
        <w:tc>
          <w:tcPr>
            <w:tcW w:w="33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24.1</w:t>
            </w:r>
          </w:p>
        </w:tc>
        <w:tc>
          <w:tcPr>
            <w:tcW w:w="32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3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38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Reconciliation of GAAP Operating Expenses to Non-GAAP Operating Expenses:</w:t>
      </w:r>
    </w:p>
    <w:tbl>
      <w:tblPr>
        <w:tblW w:w="10205" w:type="dxa"/>
        <w:jc w:val="left"/>
        <w:tblInd w:w="0" w:type="dxa"/>
        <w:tblLayout w:type="fixed"/>
        <w:tblCellMar>
          <w:top w:w="28" w:type="dxa"/>
          <w:left w:w="28" w:type="dxa"/>
          <w:bottom w:w="28" w:type="dxa"/>
          <w:right w:w="28" w:type="dxa"/>
        </w:tblCellMar>
      </w:tblPr>
      <w:tblGrid>
        <w:gridCol w:w="1486"/>
        <w:gridCol w:w="1189"/>
        <w:gridCol w:w="1181"/>
        <w:gridCol w:w="109"/>
        <w:gridCol w:w="109"/>
        <w:gridCol w:w="109"/>
        <w:gridCol w:w="300"/>
        <w:gridCol w:w="728"/>
        <w:gridCol w:w="154"/>
        <w:gridCol w:w="154"/>
        <w:gridCol w:w="154"/>
        <w:gridCol w:w="154"/>
        <w:gridCol w:w="300"/>
        <w:gridCol w:w="728"/>
        <w:gridCol w:w="154"/>
        <w:gridCol w:w="109"/>
        <w:gridCol w:w="109"/>
        <w:gridCol w:w="109"/>
        <w:gridCol w:w="268"/>
        <w:gridCol w:w="785"/>
        <w:gridCol w:w="138"/>
        <w:gridCol w:w="138"/>
        <w:gridCol w:w="138"/>
        <w:gridCol w:w="138"/>
        <w:gridCol w:w="268"/>
        <w:gridCol w:w="785"/>
        <w:gridCol w:w="211"/>
      </w:tblGrid>
      <w:tr>
        <w:tc>
          <w:tcPr>
            <w:tcW w:w="148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c>
          <w:tcPr>
            <w:tcW w:w="3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(dollars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r>
      <w:tr>
        <w:tc>
          <w:tcPr>
            <w:tcW w:w="385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GAAP Technology and development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54.5 </w:t>
            </w:r>
          </w:p>
        </w:tc>
        <w:tc>
          <w:tcPr>
            <w:tcW w:w="13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Stock-based compensation expense and related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Depreciation and amortization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c>
          <w:tcPr>
            <w:tcW w:w="3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c>
          <w:tcPr>
            <w:tcW w:w="3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Non-GAAP Technology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GAAP 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116.9 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Stock-based compensation expense and related taxes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(17.0)</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c>
          <w:tcPr>
            <w:tcW w:w="3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c>
          <w:tcPr>
            <w:tcW w:w="38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Non-GAAP Selling and marketing</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31.9 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90.3 </w:t>
            </w:r>
          </w:p>
        </w:tc>
        <w:tc>
          <w:tcPr>
            <w:tcW w:w="13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90.5 </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GAAP General and administrative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122.7 </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99.2 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Stock-based compensation expense and related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Depreciation and amortization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Change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Acquisition related transaction costs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c>
          <w:tcPr>
            <w:tcW w:w="3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Non-GAAP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69.1 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89" w:name="iec8498605f914ecda372c9220a87ed6e"/>
      <w:bookmarkEnd w:id="89"/>
      <w:r>
        <w:rPr>
          <w:rFonts w:ascii="Arial;sans-serif" w:hAnsi="Arial;sans-serif"/>
          <w:b/>
          <w:color w:val="000000"/>
          <w:sz w:val="20"/>
        </w:rPr>
        <w:t>Liquidity and Capital Resources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of September 30, 2026, our principal source of liquidity is cash and cash equivalents of $407.2 million, short-term available-for-sale debt securities of $3.0 million, and the available balance under our 2024 Amended Revolving Credit Facility of $300.0 million. Cash equivalents is comprised primarily of money market funds. Our short-term available-for-sale debt securities are comprised of U.S. Government obligations.</w:t>
      </w:r>
    </w:p>
    <w:p>
      <w:pPr>
        <w:pStyle w:val="TextBody"/>
        <w:bidi w:val="0"/>
        <w:spacing w:lineRule="auto" w:line="288" w:before="0" w:after="200"/>
        <w:ind w:left="0" w:right="0" w:firstLine="490"/>
        <w:jc w:val="left"/>
      </w:pPr>
      <w:r>
        <w:rPr>
          <w:rFonts w:ascii="Arial;sans-serif" w:hAnsi="Arial;sans-serif"/>
          <w:b w:val="false"/>
          <w:color w:val="000000"/>
          <w:sz w:val="20"/>
        </w:rPr>
        <w:t xml:space="preserve">On August 6, 2024, we announced the Repurchase Program. On July 30, 2025, our board of directors approved an increase in the aggregate amount of voting and non-voting common stock outstanding that may be repurchased under the Repurchase Program by an additional $150.0 million, bringing the total authorized amount under the Repurchase Program to $300.0 million. For additional information on our Repurchase Program, see </w:t>
      </w:r>
      <w:r>
        <w:rPr>
          <w:rFonts w:ascii="Arial;sans-serif" w:hAnsi="Arial;sans-serif"/>
          <w:b w:val="false"/>
          <w:i/>
          <w:color w:val="1F1F1F"/>
          <w:sz w:val="20"/>
        </w:rPr>
        <w:t xml:space="preserve">Note 13 - Stockholders’ Equity </w:t>
      </w:r>
      <w:r>
        <w:rPr>
          <w:rFonts w:ascii="Arial;sans-serif" w:hAnsi="Arial;sans-serif"/>
          <w:b w:val="false"/>
          <w:color w:val="000000"/>
          <w:sz w:val="20"/>
        </w:rPr>
        <w:t xml:space="preserve">in our condensed consolidated financial statements included elsewhere in this Quarterly Report on Form 10-Q. During the nine months ended September 30, 2026, the Company repurchased 4,047,247 shares of its common stock for an aggregate amount, including commissions and accrued excise tax, if any, of $59.2 million under the Repurchase Program. With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exception of the Non-Voting Common Stock Repurchase discussed below, the repurchased shares are held as treasury stock. Since the inception of the share repurchase program, we have deployed $177.3 million in total share repurchases. As of September 30, 2026, approximately $122.7 million of the authorized $300.0 million amount under the Repurchase Program remained available for future repurchases.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On May 13, 2026, we entered into a privately negotiated securities repurchase agreement with a pre-IPO stockholder to repurchase all of the 1,873,320 shares of our outstanding non-voting common stock from the stockholder (the Non-Voting Common Stock Repurchase). The transaction had an aggregate purchase price of approximately $29.0 million, representing approximately $15.50 per share. The Company funded the transaction entirely with cash on its balance sheet under the Repurchase Program. Following the completion of the repurchase, the shares of non-voting common stock were retired and no shares of non-voting common stock were outstanding.</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On February 23, 2024, we entered into our 2024 Revolving Credit Facility for a total commitment of $125.0 million. On August 1, 2025, we entered into an amendment to the 2024 Revolving Credit Facility (2025 Revolving Credit Facility Amendment) with five banks to increase the total commitments from $125.0 million to $300.0 million and make certain conforming and administrative changes. The 2024 Revolving Credit Facility, as amended by the 2025 Revolving Credit Facility Amendment, is hereinafter referred to as, the 2024 Amended Revolving Credit Facility. Four of the lenders under the 2025 Revolving Credit Facility Amendment were existing lenders under the 2024 Revolving Credit Facility.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During the nine months ended September 30, 2025, we drew down $125.0 million under the 2024 Amended Revolving Credit Facility in connection with the acquisition of Sertifi. During the nine months ended September 30, 2025, we repaid $110.0 million against the 2024 Amended Revolving Credit Facility and during the three months ended December 31, 2025, the remaining $15.0 million was repaid. There was no outstanding balance of the 2024 Amended Revolving Credit Facility at September 30, 2026 and December 31, 2025.</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believe that our existing cash will be sufficient to support our expected working capital needs and material cash requirements for at least the next 12 months from the issuance of these condensed consolidated financial statements.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In addition, we have, and may in the future, repurchase shares of our common stock from time to time under our Repurchase Program.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i/>
          <w:color w:val="000000"/>
          <w:sz w:val="20"/>
        </w:rPr>
      </w:pPr>
      <w:bookmarkStart w:id="90" w:name="ic63b770741be4b2b8cc373c123a08eb0"/>
      <w:bookmarkEnd w:id="90"/>
      <w:r>
        <w:rPr>
          <w:rFonts w:ascii="Arial;sans-serif" w:hAnsi="Arial;sans-serif"/>
          <w:b/>
          <w:i/>
          <w:color w:val="000000"/>
          <w:sz w:val="20"/>
        </w:rPr>
        <w:t>Cash Flows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following table sets forth a summary of our cash flow information for the periods presented. All dollar amounts in the table below are rounded and as a result, certain amounts may not recalculate using the rounded amounts provided.</w:t>
      </w:r>
    </w:p>
    <w:tbl>
      <w:tblPr>
        <w:tblW w:w="8711" w:type="dxa"/>
        <w:jc w:val="left"/>
        <w:tblInd w:w="0" w:type="dxa"/>
        <w:tblLayout w:type="fixed"/>
        <w:tblCellMar>
          <w:top w:w="28" w:type="dxa"/>
          <w:left w:w="28" w:type="dxa"/>
          <w:bottom w:w="28" w:type="dxa"/>
          <w:right w:w="28" w:type="dxa"/>
        </w:tblCellMar>
      </w:tblPr>
      <w:tblGrid>
        <w:gridCol w:w="1919"/>
        <w:gridCol w:w="1682"/>
        <w:gridCol w:w="1694"/>
        <w:gridCol w:w="109"/>
        <w:gridCol w:w="109"/>
        <w:gridCol w:w="109"/>
        <w:gridCol w:w="281"/>
        <w:gridCol w:w="821"/>
        <w:gridCol w:w="145"/>
        <w:gridCol w:w="145"/>
        <w:gridCol w:w="145"/>
        <w:gridCol w:w="145"/>
        <w:gridCol w:w="281"/>
        <w:gridCol w:w="921"/>
        <w:gridCol w:w="205"/>
      </w:tblGrid>
      <w:tr>
        <w:tc>
          <w:tcPr>
            <w:tcW w:w="1919"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Nine Months Ended September 30,</w:t>
            </w:r>
          </w:p>
        </w:tc>
      </w:tr>
      <w:t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(dollars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r>
      <w:tr>
        <w:tc>
          <w:tcPr>
            <w:tcW w:w="529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cash provided by (used in):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130.4 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95.3 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(191.2)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(53.9)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Effect of exchange rates changes on cash and cash equivalents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76.9 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(140.3)</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Net cash provided by operating activities consists of net income adjusted for certain non-cash items and changes in operating assets and liabilities.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Net cash provided by operating activities was $130.4 million for the nine months ended September 30, 2026, compared to $95.3 million for the nine months ended September 30, 2025, representing a $35.1 million increase in net cash provided by operating activities. This variance was primarily attributable to a $14.2 million unfavorable change in our operating assets and liabilities, net of acquisitions, and a $49.3 million increase in net income adjusted for non-cash expenses.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For the nine months ended September 30, 2026, net cash used for changes in operating assets and liabilities was $4.9 million, compared to $19.1 million for the nine months ended September 30, 2025, resulting in a $14.2 million unfavorable change. This variance was primarily driven by a decrease in the change of funds payable to clients of $56.2 million, as a result of the timing of payments to our clients in the applicable period. The timing of payments to our clients will vary from period to period based on when our client's customer payment for a particular transaction is made and when we are contractually required to remit such payment to our client. This decrease was partially offset by a decrease in the change in funds receivable from payment partners of $41.1 million. The timing of collections from our partners will vary from period to period based on when our clients’ customer payment for a particular transaction is made, as well as the customer’s payment method which impacts the timing of settlement of the payment.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operating cash flows from our net income (after adjustments for a decrease in non-cash expenses of $16.2 million) increased by $49.3 million for the nine months ended September 30, 2026, compared to the prior period. This variance was primarily impacted by the increase in income from operations reflecting the growth in transaction payment volumes, from both our existing clients and new clients, net of the increase in payment processing costs.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Net cash provided by investing activities was $7.5 million for the nine months ended September 30, 2026, compared to net cash used in investing activities of $191.2 million during the nine months ended September 30, 2025. This $198.7 million change in cash flow from investing activities was primarily attributable to a $324.9 million decrease in cash paid for the acquisition of Sertifi during 2025, partially offset by a $133.3 million reduction in proceeds from the maturity and sale of investments that was used to facilitate our acquisition of Sertifi during the nine months ended September 30, 2025.</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Net cash used in financing activities was $63.5 million for the nine months ended September 30, 2026, compared to $53.9 million during the nine months ended September 30, 2025. This $9.7 million decrease was primarily due to a $125.0 million decrease in proceeds from the borrowings under our 2024 Amended Revolving Credit Facility and the $29.0 million Non-Voting Common Stock Repurchase, partially offset by a $110.0 million reduction in repayments on our 2024 Amended Revolving Credit Facility and a $33.8 million decrease in open market common stock repurchases.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of September 30, 2026 and December 31, 2025, there was no outstanding indebtedness under the 2024 Amended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91" w:name="i285464b659024efcac6809c8ccd03469"/>
      <w:bookmarkEnd w:id="91"/>
      <w:r>
        <w:rPr>
          <w:rFonts w:ascii="Arial;sans-serif" w:hAnsi="Arial;sans-serif"/>
          <w:b/>
          <w:color w:val="000000"/>
          <w:sz w:val="20"/>
        </w:rPr>
        <w:t>Critical Accounting Policies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condensed consolidated financial statements and the related notes thereto included elsewhere in this Quarterly Report on Form 10-Q are prepared in accordance with GAAP. The preparation of our condensed consolidated financial statements requires management to make estimates and assumptions that affect the reported amounts of assets and liabilities and the disclosure of contingent assets and liabilities at the date of the condensed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0" w:after="200"/>
        <w:ind w:left="0" w:right="0" w:firstLine="490"/>
        <w:jc w:val="left"/>
      </w:pPr>
      <w:r>
        <w:rPr>
          <w:rFonts w:ascii="Arial;sans-serif" w:hAnsi="Arial;sans-serif"/>
          <w:b w:val="false"/>
          <w:color w:val="000000"/>
          <w:sz w:val="20"/>
        </w:rPr>
        <w:t xml:space="preserve">There have been no material changes to our critical accounting policies as compared to the critical accounting policies and estimates described in the </w:t>
      </w:r>
      <w:r>
        <w:rPr>
          <w:rFonts w:ascii="Arial;sans-serif" w:hAnsi="Arial;sans-serif"/>
          <w:b w:val="false"/>
          <w:i/>
          <w:color w:val="000000"/>
          <w:sz w:val="20"/>
        </w:rPr>
        <w:t>Management’s Discussion and Analysis of Financial Condition and Results of Operations</w:t>
      </w:r>
      <w:r>
        <w:rPr>
          <w:color w:val="000000"/>
        </w:rPr>
        <w:t xml:space="preserve"> </w:t>
      </w:r>
      <w:r>
        <w:rPr>
          <w:rFonts w:ascii="Arial;sans-serif" w:hAnsi="Arial;sans-serif"/>
          <w:b w:val="false"/>
          <w:color w:val="000000"/>
          <w:sz w:val="20"/>
        </w:rPr>
        <w:t>section of our Annual Report on Form 10-K for the year ended December 31, 2025.</w:t>
      </w:r>
    </w:p>
    <w:p>
      <w:pPr>
        <w:pStyle w:val="TextBody"/>
        <w:bidi w:val="0"/>
        <w:spacing w:lineRule="auto" w:line="288" w:before="0" w:after="200"/>
        <w:jc w:val="left"/>
        <w:rPr>
          <w:rFonts w:ascii="Arial;sans-serif" w:hAnsi="Arial;sans-serif"/>
          <w:b/>
          <w:color w:val="000000"/>
          <w:sz w:val="20"/>
        </w:rPr>
      </w:pPr>
      <w:bookmarkStart w:id="92" w:name="i4881e60e2b7d4ad5af2877548dbbabf1"/>
      <w:bookmarkEnd w:id="92"/>
      <w:r>
        <w:rPr>
          <w:rFonts w:ascii="Arial;sans-serif" w:hAnsi="Arial;sans-serif"/>
          <w:b/>
          <w:color w:val="000000"/>
          <w:sz w:val="20"/>
        </w:rPr>
        <w:t>Recent Accounting Pronouncements</w:t>
      </w:r>
    </w:p>
    <w:p>
      <w:pPr>
        <w:pStyle w:val="TextBody"/>
        <w:bidi w:val="0"/>
        <w:spacing w:lineRule="auto" w:line="288" w:before="0" w:after="200"/>
        <w:ind w:left="0" w:right="0" w:firstLine="490"/>
        <w:jc w:val="left"/>
      </w:pPr>
      <w:r>
        <w:rPr>
          <w:rFonts w:ascii="Arial;sans-serif" w:hAnsi="Arial;sans-serif"/>
          <w:b w:val="false"/>
          <w:color w:val="000000"/>
          <w:sz w:val="20"/>
        </w:rPr>
        <w:t xml:space="preserve">We have reviewed all recently issued standards and have determined that, other than as disclosed in </w:t>
      </w:r>
      <w:r>
        <w:rPr>
          <w:rFonts w:ascii="Arial;sans-serif" w:hAnsi="Arial;sans-serif"/>
          <w:b w:val="false"/>
          <w:i/>
          <w:color w:val="1F1F1F"/>
          <w:sz w:val="20"/>
        </w:rPr>
        <w:t>Note 1 - Business Overview and Summary of Significant Accounting Policies</w:t>
      </w:r>
      <w:r>
        <w:rPr>
          <w:color w:val="000000"/>
        </w:rPr>
        <w:t xml:space="preserve"> </w:t>
      </w:r>
      <w:r>
        <w:rPr>
          <w:rFonts w:ascii="Arial;sans-serif" w:hAnsi="Arial;sans-serif"/>
          <w:b w:val="false"/>
          <w:color w:val="000000"/>
          <w:sz w:val="20"/>
        </w:rPr>
        <w:t xml:space="preserve">to our unaudited condensed consolidated financial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statements appearing elsewhere in this Quarterly Report on Form 10-Q, such standards are not expected to have a material impact on our consolidated financial statements or do not otherwise apply to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93" w:name="ie32b01ba5e794d9e91829549514151b5"/>
      <w:bookmarkEnd w:id="93"/>
      <w:r>
        <w:rPr>
          <w:rFonts w:ascii="Arial;sans-serif" w:hAnsi="Arial;sans-serif"/>
          <w:b/>
          <w:color w:val="000000"/>
          <w:sz w:val="20"/>
        </w:rPr>
        <w:t>Item 3. Quantitative and Qualitative Disclosures About Market Risk</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pStyle w:val="TextBody"/>
        <w:bidi w:val="0"/>
        <w:spacing w:lineRule="auto" w:line="288" w:before="0" w:after="200"/>
        <w:jc w:val="left"/>
        <w:rPr>
          <w:rFonts w:ascii="Arial;sans-serif" w:hAnsi="Arial;sans-serif"/>
          <w:b/>
          <w:color w:val="000000"/>
          <w:sz w:val="20"/>
        </w:rPr>
      </w:pPr>
      <w:bookmarkStart w:id="94" w:name="i099f8328e97f4315919aa2ea317ce1eb"/>
      <w:bookmarkEnd w:id="94"/>
      <w:r>
        <w:rPr>
          <w:rFonts w:ascii="Arial;sans-serif" w:hAnsi="Arial;sans-serif"/>
          <w:b/>
          <w:color w:val="000000"/>
          <w:sz w:val="20"/>
        </w:rPr>
        <w:t>Interest Rate Risk</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are exposed to interest rate risk relating to our cash and cash equivalents and available-for-sale debt securities. We hold cash in both non-interest and interest-bearing bank accounts. Our corporate investment portfolio consists primarily of money market funds, which are AAA-rated and comprised of liquid, high quality debt securities issued by the U.S. government, and investments in available-for-sale U.S. government obligations. An immediate 10% increase or decrease in interest rates would not have a material effect on our financial position, results of operations or cash flows.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are also exposed to interest rate risk related to our 2024 Amended Revolving Credit Facility. Our 2024 Amended Revolving Credit Facility consists of ABR borrowings or Term SOFR borrowings, at our option.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our consolidated total net leverage ratio as of the most recent consolidated financial information and ranges from 1.0% to 2.5%. The 2024 Amended Revolving Credit Facility incurs a commitment fee ranging from 0.25% to 0.35% based upon our consolidated total net leverage ratio as of the most recent consolidated financial information assessed on the average available commitment.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of September 30, 2026 and December 31, 2025, there was no outstanding indebtedness under the 2024 Amended Revolving Credit Facility. An immediate 10% increase or decrease in interest rates would not have a material effect on our financial position, results of operations or cash flows.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Information provided by the sensitivity analysis is not a prediction of future events and does not necessarily represent the actual changes that would occur.</w:t>
      </w:r>
    </w:p>
    <w:p>
      <w:pPr>
        <w:pStyle w:val="TextBody"/>
        <w:bidi w:val="0"/>
        <w:spacing w:lineRule="auto" w:line="288" w:before="0" w:after="200"/>
        <w:jc w:val="left"/>
        <w:rPr>
          <w:rFonts w:ascii="Arial;sans-serif" w:hAnsi="Arial;sans-serif"/>
          <w:b/>
          <w:color w:val="000000"/>
          <w:sz w:val="20"/>
        </w:rPr>
      </w:pPr>
      <w:bookmarkStart w:id="95" w:name="ieb39f99390f244799ae2ec2b920b215d"/>
      <w:bookmarkEnd w:id="95"/>
      <w:r>
        <w:rPr>
          <w:rFonts w:ascii="Arial;sans-serif" w:hAnsi="Arial;sans-serif"/>
          <w:b/>
          <w:color w:val="000000"/>
          <w:sz w:val="20"/>
        </w:rPr>
        <w:t>Foreign Currency Exchange Risk</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payment—typically one to four days—that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help mitigate the volatility related to fluctuations in the foreign exchange rates. In addition, to mitigate the impact of foreign currency fluctuations on our net income, beginning in July 2025, we entered into foreign currency forward contracts to economically hedge the variability in exchange rates associated with certain intercompany loans. As of September 30, 2026, we had one hedged intercompany loan.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Our cash flows and operating results may also be impacted by fluctuations in foreign currency exchange rates between the U.S. Dollar and various currencies, in particular the British Pound. The value of our revenue and profits in local currencies may be worth more or less in U.S. Dollars due to a strengthening or weakening, respectively, of those currencies against the U.S. Dollar. For example, for the nine months ended September 30, 2026, as the U.S. Dollar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weakened against several currencies, including the British Pound, relative to the prior year, these foreign exchange impacts increased our reported revenue in U.S. Dollars by approximately $9.3 million compared to the prior year on a FX Neutral basis.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Fluctuations in foreign currency exchange rates may also impact the value of assets and liabilities denominated in currencies other than the functional currencies of our entities. Our reporting currency and the functional currency of our subsidiaries, with the exception of our U.K. and Australian subsidiaries, is the U.S. Dollar. The functional currency for our U.K. and Australian subsidiaries is the local currency, or British Pound and Australian Dollar, respectively. Financial statements of our foreign subsidiaries are translated from local currency into U.S. Dollars using exchange rates at the balance sheet date for assets and liabilities, and average exchange rates in effect during the period for revenue and expenses. Resulting translation adjustments are included as a component of accumulated other comprehensive (loss) income in our consolidated balance sheets. Gains and losses from the remeasurement of foreign currencies into functional currencies are recognized in the condensed consolidated statements of operations and comprehensive income. A potential change in foreign exchange rates of 10% from such remeasurement of assets and liabilities would have impacted income before income taxes by approximately $24.7 million and $25.3 million as of September 30, 2026 and December 31, 2025, respectively.</w:t>
      </w:r>
    </w:p>
    <w:p>
      <w:pPr>
        <w:pStyle w:val="TextBody"/>
        <w:bidi w:val="0"/>
        <w:spacing w:lineRule="auto" w:line="288" w:before="0" w:after="200"/>
        <w:jc w:val="left"/>
        <w:rPr>
          <w:rFonts w:ascii="Arial;sans-serif" w:hAnsi="Arial;sans-serif"/>
          <w:b/>
          <w:color w:val="000000"/>
          <w:sz w:val="20"/>
        </w:rPr>
      </w:pPr>
      <w:bookmarkStart w:id="96" w:name="icb90a17c2d3b4f08814f15a0ca2db467"/>
      <w:bookmarkEnd w:id="96"/>
      <w:r>
        <w:rPr>
          <w:rFonts w:ascii="Arial;sans-serif" w:hAnsi="Arial;sans-serif"/>
          <w:b/>
          <w:color w:val="000000"/>
          <w:sz w:val="20"/>
        </w:rPr>
        <w:t>Inflation Risk</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Inflation did not have a material effect on our cash flows and results of operations during the nine months ended September 30, 2026. If our costs were to become subject to significant inflationary pressures, we may not be able to fully offset such higher costs through increase in prices of our product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97" w:name="i26d5a8baa223471baaba96e86c370315"/>
      <w:bookmarkEnd w:id="97"/>
      <w:r>
        <w:rPr>
          <w:rFonts w:ascii="Arial;sans-serif" w:hAnsi="Arial;sans-serif"/>
          <w:b/>
          <w:color w:val="000000"/>
          <w:sz w:val="20"/>
        </w:rPr>
        <w:t>Item 4. Controls and Procedures</w:t>
      </w:r>
    </w:p>
    <w:p>
      <w:pPr>
        <w:pStyle w:val="TextBody"/>
        <w:bidi w:val="0"/>
        <w:spacing w:lineRule="auto" w:line="288" w:before="0" w:after="200"/>
        <w:jc w:val="left"/>
        <w:rPr>
          <w:rFonts w:ascii="Arial;sans-serif" w:hAnsi="Arial;sans-serif"/>
          <w:b/>
          <w:color w:val="000000"/>
          <w:sz w:val="20"/>
        </w:rPr>
      </w:pPr>
      <w:bookmarkStart w:id="98" w:name="ia31a9d7235c34fe8ac81ece4a7f154d5"/>
      <w:bookmarkEnd w:id="98"/>
      <w:r>
        <w:rPr>
          <w:rFonts w:ascii="Arial;sans-serif" w:hAnsi="Arial;sans-serif"/>
          <w:b/>
          <w:color w:val="000000"/>
          <w:sz w:val="20"/>
        </w:rPr>
        <w:t>Evaluation of Disclosure Controls and Procedures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management, with the participation and supervision of our Chief Executive Officer and Chief Financial Officer (our Principal Executive Officer and Principal Financial and Accounting Officer, respectively), have evaluated the effectiveness of our disclosure controls and procedures as of September 30, 2026. The term “disclosure controls and procedures,” as defined in Rules 13a-15(e) and 15d-15(e) of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September 30, 2026, our disclosure controls and procedures were effective at the reasonable assurance level.</w:t>
      </w:r>
    </w:p>
    <w:p>
      <w:pPr>
        <w:pStyle w:val="TextBody"/>
        <w:bidi w:val="0"/>
        <w:spacing w:lineRule="auto" w:line="288" w:before="0" w:after="200"/>
        <w:jc w:val="left"/>
        <w:rPr>
          <w:rFonts w:ascii="Arial;sans-serif" w:hAnsi="Arial;sans-serif"/>
          <w:b/>
          <w:color w:val="000000"/>
          <w:sz w:val="20"/>
        </w:rPr>
      </w:pPr>
      <w:bookmarkStart w:id="99" w:name="i574a7c1eaf454a4a9a8784de86f9c800"/>
      <w:bookmarkEnd w:id="99"/>
      <w:r>
        <w:rPr>
          <w:rFonts w:ascii="Arial;sans-serif" w:hAnsi="Arial;sans-serif"/>
          <w:b/>
          <w:color w:val="000000"/>
          <w:sz w:val="20"/>
        </w:rPr>
        <w:t>Changes in Internal Control over Financial Reporting</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connection with the evaluation required by Rule 13a-15(d) and 15d-15(d) of the Exchange Act that occurred during the quarter ended September 30, 2026 that has materially affected, or is reasonably likely to materially affect, our internal control over financial reporting.</w:t>
      </w:r>
    </w:p>
    <w:p>
      <w:pPr>
        <w:pStyle w:val="TextBody"/>
        <w:bidi w:val="0"/>
        <w:spacing w:lineRule="auto" w:line="288" w:before="0" w:after="200"/>
        <w:jc w:val="left"/>
        <w:rPr>
          <w:rFonts w:ascii="Arial;sans-serif" w:hAnsi="Arial;sans-serif"/>
          <w:b/>
          <w:color w:val="000000"/>
          <w:sz w:val="20"/>
        </w:rPr>
      </w:pPr>
      <w:bookmarkStart w:id="100" w:name="i99dc3f369e7a4433ace30077ae6660a2"/>
      <w:bookmarkEnd w:id="100"/>
      <w:r>
        <w:rPr>
          <w:rFonts w:ascii="Arial;sans-serif" w:hAnsi="Arial;sans-serif"/>
          <w:b/>
          <w:color w:val="000000"/>
          <w:sz w:val="20"/>
        </w:rPr>
        <w:t>Inherent Limitations on Effectiveness of Controls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color w:val="000000"/>
          <w:sz w:val="20"/>
        </w:rPr>
      </w:pPr>
      <w:bookmarkStart w:id="101" w:name="i0d4380b8700c49e6958ff7dd704b522f"/>
      <w:bookmarkEnd w:id="101"/>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102" w:name="if5e6dd24719c4ad5b249c76ec64d245e"/>
      <w:bookmarkEnd w:id="102"/>
      <w:r>
        <w:rPr>
          <w:rFonts w:ascii="Arial;sans-serif" w:hAnsi="Arial;sans-serif"/>
          <w:b/>
          <w:color w:val="000000"/>
          <w:sz w:val="20"/>
        </w:rPr>
        <w:t>Item 1. Legal Proceedings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Other than as described below, we are not currently a party to any legal proceedings that we believe to be material, individually or in the aggregate, to our business or condensed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the course of enhancing our sanctions compliance function, we initiated an internal review that identified issues related to our compliance with sanctions, including payments that may have originated from sanctioned jurisdictions or sanctioned persons. Although Flywire continues to evaluate whether these or other transactions constitute potential violations of OFAC sanctions (including whether certain of these payments may have been authorized by general licenses or license exemptions under the relevant sanctions regulations), Flywire has made voluntary submissions to OFAC to report apparent violations and provide supplemental information. Flywire is currently engaging with OFAC to resolve these matters, and most recently responded in October 2026 to an OFAC request to clarify certain previously provided information. Based upon the results of the internal review completed to date, we do not believe that the amount of any loss incurred as a result of this matter would be material to our business, financial condition, results of operations or cash flows.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On July 25, 2025, we and certain of our current and former officers were named as defendants in a securities class action complaint captioned Hickman v. Flywire Corporation filed in the United States District Court for the Eastern District of New York on behalf of a putative class of investors who purchased Flywire securities from February 28, 2024, through February 25, 2025. In January 2026, the complaint was amended to, among other matters, remove a former officer from the claim and modify the class period to the time period between May 21, 2024 through February 25, 2025. Plaintiffs’ counsel filed a second amended complaint on May 7, 2026, which among other matters, added new allegations and another named plaintiff. Plaintiffs allege that the defendants violated Sections 10(b) and 20(a) of the Exchange Act by purportedly overstating the strength and sustainability of our revenue growth and understating the negative impact of certain government permit and visa related policies on our business. The lawsuit seeks unspecified damages, costs, attorneys’ fees, and other relief. We believe we have strong defenses against the asserted claims and intend to vigorously defend ourselves, and we filed a motion to dismiss in response to the second amended complaint on June 15, 2026. On September 28, 2026, we submitted our reply memorandum of law in further support of our motion to dismiss the second amended class action complaint.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have not recorded an accrual for this matter because we have determined that a loss is not probable and reasonably estimable. Given the early stage of the proceedings, we are unable to estimate the reasonably possible loss or range of loss, if any, for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103" w:name="ib310c72167924882b369cc32ad273a10"/>
      <w:bookmarkEnd w:id="103"/>
      <w:r>
        <w:rPr>
          <w:rFonts w:ascii="Arial;sans-serif" w:hAnsi="Arial;sans-serif"/>
          <w:b/>
          <w:color w:val="000000"/>
          <w:sz w:val="20"/>
        </w:rPr>
        <w:t>Item 1A. Risk Factors</w:t>
      </w:r>
    </w:p>
    <w:p>
      <w:pPr>
        <w:pStyle w:val="TextBody"/>
        <w:bidi w:val="0"/>
        <w:spacing w:lineRule="auto" w:line="288" w:before="0" w:after="200"/>
        <w:ind w:left="0" w:right="0" w:firstLine="490"/>
        <w:jc w:val="left"/>
        <w:rPr>
          <w:rFonts w:ascii="Arial;sans-serif" w:hAnsi="Arial;sans-serif"/>
          <w:b w:val="false"/>
          <w:i/>
          <w:color w:val="000000"/>
          <w:sz w:val="20"/>
        </w:rPr>
      </w:pPr>
      <w:r>
        <w:rPr>
          <w:rFonts w:ascii="Arial;sans-serif" w:hAnsi="Arial;sans-serif"/>
          <w:b w:val="false"/>
          <w:i/>
          <w:color w:val="000000"/>
          <w:sz w:val="20"/>
        </w:rPr>
        <w:t>Investing in our common stock involves a high degree of risk. Before deciding whether to invest in shares of our common stock, you should consider carefully the risks and uncertainties described below, together with all of the other information in this Quarterly Report on Form 10-Q, including “Management’s Discussion and Analysis of Financial Condition and Results of Operations” and our condensed consolidated financial statements and the accompanying notes included elsewhere in this Quarterly Report on Form 10-Q.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pStyle w:val="TextBody"/>
        <w:bidi w:val="0"/>
        <w:spacing w:lineRule="auto" w:line="288" w:before="0" w:after="200"/>
        <w:jc w:val="left"/>
        <w:rPr>
          <w:rFonts w:ascii="Arial;sans-serif" w:hAnsi="Arial;sans-serif"/>
          <w:b/>
          <w:color w:val="000000"/>
          <w:sz w:val="20"/>
        </w:rPr>
      </w:pPr>
      <w:bookmarkStart w:id="104" w:name="ie413cb508f1d40a8bb64c24faecfda72"/>
      <w:bookmarkEnd w:id="104"/>
      <w:r>
        <w:rPr>
          <w:rFonts w:ascii="Arial;sans-serif" w:hAnsi="Arial;sans-serif"/>
          <w:b/>
          <w:color w:val="000000"/>
          <w:sz w:val="20"/>
        </w:rPr>
        <w:t>Risk Factors Summary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summary of risks below is intended to provide an overview of the risks we face and should not be considered a substitute for the more fulsome risk factors discussed immediately following this summary.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color w:val="000000"/>
          <w:sz w:val="20"/>
        </w:rPr>
      </w:pPr>
      <w:bookmarkStart w:id="105" w:name="ie0bcbaf800524ff288abde3ebbaccc12"/>
      <w:bookmarkEnd w:id="105"/>
      <w:r>
        <w:rPr>
          <w:rFonts w:ascii="Arial;sans-serif" w:hAnsi="Arial;sans-serif"/>
          <w:b/>
          <w:color w:val="000000"/>
          <w:sz w:val="20"/>
        </w:rPr>
        <w:t>Risks Related to Our Business and Industry</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We have incurred operating losses in the past and may not sustain profitability in the future.</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We have a short operating history at our current scale in a rapidly evolving industry.</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We may be unable to retain our current clients, attract new clients, and increase the number of our clients’ customers that use our solutions or sell additional functionality to our clients.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We may experience quarterly and annual fluctuations in operating results.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We undertook restructuring activities that may not yield their intended efficiencies and could strain resources, negatively impact workforce morale, and slow down execution of our strategic plans.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Our operational and business portfolio reviews may not result in improvements to our financial performance, strategy, or operations.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We expect our revenue mix to vary over time, which could affect our gross profit, gross margin and results of operations.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If our efforts to attract new clients and increase the number of our clients’ customers that use our solutions are unsuccessful, our revenue growth and operating results will be adversely affected.</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We may be unable to expand our direct and channel sales capabilities, grow our marketing reach and increase sales productivity.</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Our business could be adversely affected if our clients and their customers are not satisfied with the timing or quality of implementation services provided by us or our partners, or our ability to meet service levels to allow for timely payment processing due to system downtime or other factors.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Our financial and operating results are subject to seasonality and cyclicality.</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We are exposed to fluctuations in foreign currency exchange rates that could materially and adversely affect our cash flows and results of operations.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Certain of our key performance indicators are subject to inherent challenges in measurement.</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Our business depends, in large part, on our proprietary network of global, regional, and local banking partners and our relationships with other third-parties.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Our markets are highly competitive.</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estimates of market opportunity and our ability to capture a meaningful share of this payment volume may prove to be inaccurate.</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Our education business may be adversely affected by decreases in enrollment or tuition, cutbacks in governmental financial support, limitations or other restrictions on student visas to international students, actual and proposed U.S. policy changes and enforcement practices, or increased operating expenses for our clients.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healthcare industry is rapidly evolving.</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Our travel business may be sensitive to events affecting the travel industry in general.</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We may be unable to enter or expand into new verticals or sub-verticals, including our B2B vertical.</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There could be consolidation in the payment processing or enablement industry.</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We may be adversely impacted by global economic and political instability.</w:t>
      </w:r>
    </w:p>
    <w:p>
      <w:pPr>
        <w:pStyle w:val="TextBody"/>
        <w:bidi w:val="0"/>
        <w:spacing w:lineRule="auto" w:line="288" w:before="0" w:after="200"/>
        <w:jc w:val="left"/>
        <w:rPr>
          <w:rFonts w:ascii="Arial;sans-serif" w:hAnsi="Arial;sans-serif"/>
          <w:b/>
          <w:color w:val="000000"/>
          <w:sz w:val="20"/>
        </w:rPr>
      </w:pPr>
      <w:bookmarkStart w:id="106" w:name="i47da0b9c195545ba83ffddbd468532e5"/>
      <w:bookmarkEnd w:id="106"/>
      <w:r>
        <w:rPr>
          <w:rFonts w:ascii="Arial;sans-serif" w:hAnsi="Arial;sans-serif"/>
          <w:b/>
          <w:color w:val="000000"/>
          <w:sz w:val="20"/>
        </w:rPr>
        <w:t>Risks Related to Our Operations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We may not be able to scale our business quickly enough to meet our growing client base, and our technology and systems transformation program may not be successful.</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We enable the transfer of large sums of funds to our clients daily and are subject to the risk of errors.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Volatility in the banking and financial services sectors may impact our bank partnerships and relationships, which could adversely affect our operations and liquidity.</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Our management of our operating funds and those of our clients may be reliant on a limited number of our banking partners and other financial institutions.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We may be unable to maintain or expand our ability to offer a variety of local and international payment methods or grow and develop preferred payment choices.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Improper or unauthorized use of, disclosure of, or access to personal or sensitive data could harm our reputation.</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We may be subject to cyberattacks or security vulnerabilities.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Our risk management efforts may not be effective to prevent fraudulent activities by our clients, FlyMates or other third parties.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We may fail to adapt and respond effectively to rapidly changing technology, evolving industry standards, changing regulations, and changing business needs, requirements, or preferences.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Our use of artificial intelligence (AI) may result in operational challenges, legal liability, reputational harm, competitive risks and enhanced regulatory and fraud concerns.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Changes to payment card networks fees or rules could harm our business.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If we lose key members of our management team or are unable to attract and retain executives and employees we need to support our operations and growth, our business may be harmed.</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Our business could be harmed as a result of the risks associated with our acquisitions.</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Systems failures and resulting interruptions in the availability of our solutions and core payment platform could harm our business.</w:t>
      </w:r>
    </w:p>
    <w:p>
      <w:pPr>
        <w:pStyle w:val="TextBody"/>
        <w:bidi w:val="0"/>
        <w:spacing w:lineRule="auto" w:line="288" w:before="0" w:after="200"/>
        <w:jc w:val="left"/>
        <w:rPr>
          <w:rFonts w:ascii="Arial;sans-serif" w:hAnsi="Arial;sans-serif"/>
          <w:b/>
          <w:color w:val="000000"/>
          <w:sz w:val="20"/>
        </w:rPr>
      </w:pPr>
      <w:bookmarkStart w:id="107" w:name="i37458fcca6c54ee6866727edaff35815"/>
      <w:bookmarkEnd w:id="107"/>
      <w:r>
        <w:rPr>
          <w:rFonts w:ascii="Arial;sans-serif" w:hAnsi="Arial;sans-serif"/>
          <w:b/>
          <w:color w:val="000000"/>
          <w:sz w:val="20"/>
        </w:rPr>
        <w:t>Risks Related to Our Legal, Regulatory and Compliance Landscape</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Payments and other financial services-related regulations and oversight are material to our business.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We are subject to governmental laws and requirements regarding economic and trade sanctions, AML, CFT and those applicable to a MSB.</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We are subject to governmental regulation and other legal obligations, particularly those related to privacy, data protection, information security, anti-corruption, anti-bribery, and similar laws.</w:t>
      </w:r>
    </w:p>
    <w:p>
      <w:pPr>
        <w:pStyle w:val="TextBody"/>
        <w:bidi w:val="0"/>
        <w:spacing w:lineRule="auto" w:line="288" w:before="0" w:after="200"/>
        <w:jc w:val="left"/>
        <w:rPr>
          <w:rFonts w:ascii="Arial;sans-serif" w:hAnsi="Arial;sans-serif"/>
          <w:b/>
          <w:color w:val="000000"/>
          <w:sz w:val="20"/>
        </w:rPr>
      </w:pPr>
      <w:bookmarkStart w:id="108" w:name="i1d7f7a9ce69f4db68a6f0872e8b989d2"/>
      <w:bookmarkEnd w:id="108"/>
      <w:r>
        <w:rPr>
          <w:rFonts w:ascii="Arial;sans-serif" w:hAnsi="Arial;sans-serif"/>
          <w:b/>
          <w:color w:val="000000"/>
          <w:sz w:val="20"/>
        </w:rPr>
        <w:t>Risks Related to Being a Public Company</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We may fail to continue to maintain proper effective internal control over financial reporting.</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Estimates relating to our critical accounting policies may prove to be incorrect.</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We will continue to incur increased costs as a public company.</w:t>
      </w:r>
    </w:p>
    <w:p>
      <w:pPr>
        <w:pStyle w:val="TextBody"/>
        <w:bidi w:val="0"/>
        <w:spacing w:lineRule="auto" w:line="288" w:before="0" w:after="200"/>
        <w:jc w:val="left"/>
        <w:rPr>
          <w:rFonts w:ascii="Arial;sans-serif" w:hAnsi="Arial;sans-serif"/>
          <w:b/>
          <w:color w:val="000000"/>
          <w:sz w:val="20"/>
        </w:rPr>
      </w:pPr>
      <w:bookmarkStart w:id="109" w:name="i1c6843c533c74a7b8f3de1e11d8f48ed"/>
      <w:bookmarkEnd w:id="109"/>
      <w:r>
        <w:rPr>
          <w:rFonts w:ascii="Arial;sans-serif" w:hAnsi="Arial;sans-serif"/>
          <w:b/>
          <w:color w:val="000000"/>
          <w:sz w:val="20"/>
        </w:rPr>
        <w:t>Risks Related to Ownership of Our Common Stock</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Raising additional capital may cause dilution to our existing stockholders, restrict our operations, or require us to relinquish rights to our intellectual property on unfavorable terms.</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Our Repurchase Program may not achieve our goals or meet expectations.</w:t>
      </w:r>
    </w:p>
    <w:p>
      <w:pPr>
        <w:pStyle w:val="TextBody"/>
        <w:bidi w:val="0"/>
        <w:spacing w:lineRule="auto" w:line="288" w:before="0" w:after="200"/>
        <w:jc w:val="left"/>
        <w:rPr>
          <w:rFonts w:ascii="Arial;sans-serif" w:hAnsi="Arial;sans-serif"/>
          <w:b/>
          <w:color w:val="000000"/>
          <w:sz w:val="20"/>
        </w:rPr>
      </w:pPr>
      <w:bookmarkStart w:id="110" w:name="ie4fdd14d08e04b749607556c3cf39064"/>
      <w:bookmarkEnd w:id="110"/>
      <w:r>
        <w:rPr>
          <w:rFonts w:ascii="Arial;sans-serif" w:hAnsi="Arial;sans-serif"/>
          <w:b/>
          <w:color w:val="000000"/>
          <w:sz w:val="20"/>
        </w:rPr>
        <w:t>Risks Related to Our Business and Industry</w:t>
      </w:r>
    </w:p>
    <w:p>
      <w:pPr>
        <w:pStyle w:val="TextBody"/>
        <w:bidi w:val="0"/>
        <w:spacing w:lineRule="auto" w:line="288" w:before="0" w:after="200"/>
        <w:jc w:val="left"/>
        <w:rPr>
          <w:rFonts w:ascii="Arial;sans-serif" w:hAnsi="Arial;sans-serif"/>
          <w:b/>
          <w:i/>
          <w:color w:val="000000"/>
          <w:sz w:val="20"/>
        </w:rPr>
      </w:pPr>
      <w:bookmarkStart w:id="111" w:name="i75a668f874794953a209db41dc8acf76"/>
      <w:bookmarkEnd w:id="111"/>
      <w:r>
        <w:rPr>
          <w:rFonts w:ascii="Arial;sans-serif" w:hAnsi="Arial;sans-serif"/>
          <w:b/>
          <w:i/>
          <w:color w:val="000000"/>
          <w:sz w:val="20"/>
        </w:rPr>
        <w:t>We have incurred operating losses in the past and may not sustain profitability in the future.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We were incorporated in 2009 and although we have only generated net income for the years ended December 31, 2024 and 2025 and the nine months ended September 30, 2026, we have incurred net losses in the past, and may incur net losses in the future. We generated net income of $13.5 million and $2.9 million for the years ended December 31, 2025 and 2024, respectively, and generated net loss of $8.6 million for the year ended December 31, 2023, and net income of $78.9 million and $13.5 million during the nine months ended September 30, 2026 and 2025, respectively. In addition, as of September 30, 2026, we had an accumulated deficit of $78.5 million. We have experienced significant revenue growth in recent periods and we are not certain whether or when we will obtain a high enough volume of revenue to sustain or increase our growth or maintain profitability in the future. We also expect our costs and expenses to increase in future periods, which could negatively affect our future operating results if our revenue does not increase. In particular, we intend to continue to strategically and selectively invest in headcount, to further develop our solutions, including introducing new functionality, and to expand our marketing programs and sales teams to drive new client adoption, expand strategic partner integrations, and support international and product expansion. Our operating results are also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maintain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Due to the cross-border nature of much of our business, fluctuations in foreign currency exchange rates, slowdowns in international mobility and other regional considerations may affect our operating results. We will also face increased 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sustain profitability, the value of our business and common stock may significantly decrease.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If the assumptions we use to plan our business are incorrect or change in reaction to changes in our markets, or if we are unable to maintain consistent revenue or revenue growth, it may be difficult to maintain profitability. Our financial results from any prior quarterly or annual periods should not be relied upon as an indication of our future revenue or growth in revenue, gross profit, gross margins, volume of payments processed, or other operating results.</w:t>
      </w:r>
    </w:p>
    <w:p>
      <w:pPr>
        <w:pStyle w:val="TextBody"/>
        <w:bidi w:val="0"/>
        <w:spacing w:lineRule="auto" w:line="288" w:before="0" w:after="120"/>
        <w:ind w:left="0" w:right="0" w:firstLine="490"/>
        <w:jc w:val="left"/>
        <w:rPr>
          <w:rFonts w:ascii="Arial;sans-serif" w:hAnsi="Arial;sans-serif"/>
          <w:b w:val="false"/>
          <w:color w:val="000000"/>
          <w:sz w:val="20"/>
        </w:rPr>
      </w:pPr>
      <w:r>
        <w:rPr>
          <w:rFonts w:ascii="Arial;sans-serif" w:hAnsi="Arial;sans-serif"/>
          <w:b w:val="false"/>
          <w:color w:val="000000"/>
          <w:sz w:val="20"/>
        </w:rPr>
        <w:t>In addition, we expect to continue to expend substantial management time, financial and other resources on:</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sales, marketing, relationship management and client support, including an expansion of our sales organization, and new client support and payer retention initiatives;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our technology infrastructure, including systems architecture, scalability, leveraging AI, availability, performance, and security;</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our technology development, including investments in our technology development team and the development of new solutions and new functionality;</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expanding into more international markets;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retaining existing clients, attracting new clients and increasing the number of our clients’ customers that use our solutions;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acquisitions or strategic investments;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regulatory compliance and risk management; and</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general administration, including increased insurance, legal and accounting expenses associated with being a public company.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These investments may not result in increased revenue growth in our business. If we are unable to increase our revenue at a rate sufficient to offset the increase in our costs, our business, financial position and operating results will be harmed, and we may not be able to maintain profitability over the long term.</w:t>
      </w:r>
    </w:p>
    <w:p>
      <w:pPr>
        <w:pStyle w:val="TextBody"/>
        <w:bidi w:val="0"/>
        <w:spacing w:lineRule="auto" w:line="288" w:before="0" w:after="200"/>
        <w:jc w:val="left"/>
        <w:rPr>
          <w:rFonts w:ascii="Arial;sans-serif" w:hAnsi="Arial;sans-serif"/>
          <w:b/>
          <w:i/>
          <w:color w:val="000000"/>
          <w:sz w:val="20"/>
        </w:rPr>
      </w:pPr>
      <w:bookmarkStart w:id="112" w:name="i049877c5b3324806b99aeaf3dbecfecd"/>
      <w:bookmarkEnd w:id="112"/>
      <w:r>
        <w:rPr>
          <w:rFonts w:ascii="Arial;sans-serif" w:hAnsi="Arial;sans-serif"/>
          <w:b/>
          <w:i/>
          <w:color w:val="000000"/>
          <w:sz w:val="20"/>
        </w:rPr>
        <w:t>We have a short operating history at our current scale in a rapidly and significantly evolving industry and, as a result, our past results may not be indicative of future operating performance.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have a short history operating at our current scale in a rapidly and significantly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pStyle w:val="TextBody"/>
        <w:bidi w:val="0"/>
        <w:spacing w:lineRule="auto" w:line="288" w:before="0" w:after="120"/>
        <w:ind w:left="0" w:right="0" w:firstLine="490"/>
        <w:jc w:val="left"/>
        <w:rPr>
          <w:rFonts w:ascii="Arial;sans-serif" w:hAnsi="Arial;sans-serif"/>
          <w:b w:val="false"/>
          <w:color w:val="000000"/>
          <w:sz w:val="20"/>
        </w:rPr>
      </w:pPr>
      <w:r>
        <w:rPr>
          <w:rFonts w:ascii="Arial;sans-serif" w:hAnsi="Arial;sans-serif"/>
          <w:b w:val="false"/>
          <w:color w:val="000000"/>
          <w:sz w:val="20"/>
        </w:rPr>
        <w:t>Our future success will depend in large part upon our ability to, among other things: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cost-effectively acquire new clients, retain existing clients, increase the number of our clients’ customers that use our solutions and sell additional functionality to our clients;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maintain and increase our market share;</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avoid pricing pressure on our solutions which would compress our margins;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effectively market our solutions;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enhance our existing solutions and develop new solutions;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increase awareness of our brand and maintain our reputation;</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develop new technologies, adapt to technology changes and evolving industry standards and to incorporate new technologies, such as artificial intelligence, into our solutions;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offer seamless experience for our clients and their customers, including all user facing attributes ranging from the user interface to client and customer support;</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success of our comprehensive, company-wide digital operational and systems transformation program;</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anticipate and respond to microeconomic and macroeconomic changes;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expand our solutions and geographic reach, including with respect to B2B and travel payments;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our decision to exit certain markets, or our inability to process payments from certain jurisdictions we had previously served;</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anticipate and effectively respond to changing trends and the preferences of clients and their customers;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compete effectively;</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avoid interruptions in our business from information technology (IT) downtime, an inability to manage emerging technology risks (including those posed by generative AI or other tools), cybersecurity breaches, or labor stoppages;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effectively manage our growth;</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effectively identify and manage risks, including foreign currency exchange risk;</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hire, integrate, and retain talented people at all levels of our organization;</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maintain the quality of our technology infrastructure;</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compliance with multiple, conflicting and changing governmental laws and regulations, including with respect to employment, tax, competition, workplace and sustainability and other social matters;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global pandemics, or other public health emergencies;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retain our existing proprietary global network of banking and other payment partners and add new banking and other payment partners to scale our business; and</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retain our existing technology partners that allow us to provide alternative payment methods and add new technology partners to scale our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If we fail to address the risks and difficulties that we face, including those associated with the challenges listed above as well as those described elsewhere in this section titled “Risk Factors”, our business and operating results will be adversely affected.</w:t>
      </w:r>
    </w:p>
    <w:p>
      <w:pPr>
        <w:pStyle w:val="TextBody"/>
        <w:bidi w:val="0"/>
        <w:spacing w:lineRule="auto" w:line="288" w:before="0" w:after="200"/>
        <w:jc w:val="left"/>
        <w:rPr>
          <w:rFonts w:ascii="Arial;sans-serif" w:hAnsi="Arial;sans-serif"/>
          <w:b/>
          <w:i/>
          <w:color w:val="000000"/>
          <w:sz w:val="20"/>
        </w:rPr>
      </w:pPr>
      <w:bookmarkStart w:id="113" w:name="i288a9e136ab7419db9088b08089d7e70"/>
      <w:bookmarkEnd w:id="113"/>
      <w:r>
        <w:rPr>
          <w:rFonts w:ascii="Arial;sans-serif" w:hAnsi="Arial;sans-serif"/>
          <w:b/>
          <w:i/>
          <w:color w:val="000000"/>
          <w:sz w:val="20"/>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the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profit, gross margins, and other operating results, and accordingly, on the trading price of our common stock.</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 and other operating results.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In addition, certain of our clients are subject to requirements to issue requests for proposals (RFPs) to open up competition for their ongoing business notwithstanding their satisfaction with our solutions. In order to retain their business, we may be required to accept terms or pricing conditions less favorable to us than would be the case with automatic renewal of an existing contract. Should any of our clients terminate their 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pStyle w:val="TextBody"/>
        <w:bidi w:val="0"/>
        <w:spacing w:lineRule="auto" w:line="288" w:before="0" w:after="200"/>
        <w:jc w:val="left"/>
        <w:rPr>
          <w:rFonts w:ascii="Arial;sans-serif" w:hAnsi="Arial;sans-serif"/>
          <w:b/>
          <w:i/>
          <w:color w:val="000000"/>
          <w:sz w:val="20"/>
        </w:rPr>
      </w:pPr>
      <w:bookmarkStart w:id="114" w:name="ia0aafbdaa063493c88d5ed2fcda23b0e"/>
      <w:bookmarkEnd w:id="114"/>
      <w:r>
        <w:rPr>
          <w:rFonts w:ascii="Arial;sans-serif" w:hAnsi="Arial;sans-serif"/>
          <w:b/>
          <w:i/>
          <w:color w:val="000000"/>
          <w:sz w:val="20"/>
        </w:rPr>
        <w:t>We may experience quarterly and annual fluctuations in our operating results, as well as our key metrics, due to a number of factors which make our future results difficult to predict and could cause our operating results to fall below expectations or our guidance.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operating results or key metrics fall below the expectations of investors or securities analysts or below any guidance we may provide to the market, the price of our common stock could decline substantially.</w:t>
      </w:r>
    </w:p>
    <w:p>
      <w:pPr>
        <w:pStyle w:val="TextBody"/>
        <w:bidi w:val="0"/>
        <w:spacing w:lineRule="auto" w:line="288" w:before="0" w:after="120"/>
        <w:ind w:left="0" w:right="0" w:firstLine="490"/>
        <w:jc w:val="left"/>
        <w:rPr>
          <w:rFonts w:ascii="Arial;sans-serif" w:hAnsi="Arial;sans-serif"/>
          <w:b w:val="false"/>
          <w:color w:val="000000"/>
          <w:sz w:val="20"/>
        </w:rPr>
      </w:pPr>
      <w:r>
        <w:rPr>
          <w:rFonts w:ascii="Arial;sans-serif" w:hAnsi="Arial;sans-serif"/>
          <w:b w:val="false"/>
          <w:color w:val="000000"/>
          <w:sz w:val="20"/>
        </w:rPr>
        <w:t>Our operating results have varied in the past and are expected to continue to do so in the future. In addition to other risk factors listed in this section titled “Risk Factors”, factors that may affect our quarterly and annual operating results, business and financial condition include the following:</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demand for our solutions and the number, volume and timing of payments processed;</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timing of tuition payments;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actual or threatened government restrictions or related suspensions, limitations or delays on the issuances of visas, such as those being implemented in the U.K., Canada, Australia, and the U.S.;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market acceptance of our current and future solutions;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our revenue mix in a particular quarter;</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mix of payment methods and currencies utilized by our clients’ customers in a particular quarter;</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a slowdown or delay in spending on IT and software by our current and/or prospective clients;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sales cycles and performance of our direct and indirect sales force;</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budgeting and implementation cycles of our current or potential clients;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foreign currency exchange rate fluctuations;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management, performance and expansion of our domestic and international operations;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rate of renewals of contracts with our clients;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changes in the competitive dynamics of our markets;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our ability to control and predict costs, including our operating expenses;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clients delaying purchasing decisions, including in anticipation of new products or product enhancements by us or our competitors;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seasonality and cyclical nature of our business;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failure to successfully manage or integrate any acquisitions, including our most recent acquisition of Sertifi;</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outcome or publicity surrounding any pending or threatened lawsuits or government investigations;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general economic and political conditions in our domestic and international markets, including heightened interest rates, imposition of tariffs, inflation and fluctuations in supply chains, regional or global economic recession, and restrictions on cross-border travel or commerce;</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changes in the level of scrutiny applied by regulators, clients, and investors on our social impact efforts;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unexpected events, including those resulting from climate change, international or civil conflicts and wars, or other geopolitical events;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expected or actual extended U.S. federal government shutdowns, priorities of the U.S. presidential administration and related changes in laws, regulations or policies, which among other things could result in increased limitations on visa issuances, geopolitical uncertainty and impact educational financial aid payments; and</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global pandemics, or other public health emergencies and the responses thereto.</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pStyle w:val="TextBody"/>
        <w:bidi w:val="0"/>
        <w:spacing w:lineRule="auto" w:line="288" w:before="0" w:after="200"/>
        <w:jc w:val="left"/>
        <w:rPr>
          <w:rFonts w:ascii="Arial;sans-serif" w:hAnsi="Arial;sans-serif"/>
          <w:b/>
          <w:i/>
          <w:color w:val="000000"/>
          <w:sz w:val="20"/>
        </w:rPr>
      </w:pPr>
      <w:bookmarkStart w:id="115" w:name="i7ae35433dc414add86b67ae6648aae19"/>
      <w:bookmarkEnd w:id="115"/>
      <w:r>
        <w:rPr>
          <w:rFonts w:ascii="Arial;sans-serif" w:hAnsi="Arial;sans-serif"/>
          <w:b/>
          <w:i/>
          <w:color w:val="000000"/>
          <w:sz w:val="20"/>
        </w:rPr>
        <w:t>We undertook restructuring activities that may not yield their intended efficiencies and could strain resources, negatively impact workforce morale, and slow down execution of our strategic plans.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February 2025, we announced a restructuring plan designed to improve operational efficiencies, reduce operating costs and better align our workforce with current business needs, top strategic priorities and key growth opportunities (Restructuring Plan). As part of the Restructuring Plan, we implemented a reduction in force. These actions and other additional measures we might take to reduce costs may potentially result in a strain on our workforce, divert management attention, yield attrition beyond our intended reduction in force, negatively impact employee morale and productivity, the loss of institutional knowledge and expertise, cause us to delay, limit, reduce or eliminate certain strategic plans or otherwise interfere with our ability to operate and grow our business effectively, each of which could have an adverse impact on our business, operating results and financial condition. Additionally, as we are operating our business with a different level and mix of employees, we face additional risk that we might not be able to execute on our strategic plans and product roadmap, which may have an adverse effect on our business, financial condition, and operating results. Moreover, the workforce reduction we implemented, and any other future reductions, may negatively impact our ability to attract, integrate, retain and motivate highly qualified employees, make it difficult for us to pursue new opportunities and initiatives, and may harm our reputation with current or prospective employees.</w:t>
      </w:r>
    </w:p>
    <w:p>
      <w:pPr>
        <w:pStyle w:val="TextBody"/>
        <w:bidi w:val="0"/>
        <w:spacing w:lineRule="auto" w:line="288" w:before="0" w:after="200"/>
        <w:jc w:val="left"/>
        <w:rPr>
          <w:rFonts w:ascii="Arial;sans-serif" w:hAnsi="Arial;sans-serif"/>
          <w:b/>
          <w:i/>
          <w:color w:val="000000"/>
          <w:sz w:val="20"/>
        </w:rPr>
      </w:pPr>
      <w:bookmarkStart w:id="116" w:name="i74c41c9fa11447b5863ab4cd8ceb1de7"/>
      <w:bookmarkEnd w:id="116"/>
      <w:r>
        <w:rPr>
          <w:rFonts w:ascii="Arial;sans-serif" w:hAnsi="Arial;sans-serif"/>
          <w:b/>
          <w:i/>
          <w:color w:val="000000"/>
          <w:sz w:val="20"/>
        </w:rPr>
        <w:t>Our operational and business portfolio reviews may not result in improvements to our financial performance, strategy, or operations, and we face a number of risks related to such reviews.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Our operational and business portfolio reviews are ongoing, and are expected to encompass geographies, products, verticals, and cost structure, and explore various options and an operational cost-saving review to identify efficiencies and synergies across all of our business areas, including opportunities to combine and optimize systems and processes. Implementation of a go forward plan and any other cost-saving initiatives, including possible future restructuring efforts, may be costly and disruptive to our business, the expected costs and charges may be greater than forecasted, and the estimated cost savings may be lower than forecasted. We may not achieve the desired strategic, operational, and financial benefits of any actions previously taken, or taken in the future, as a result of our operational and business portfolio reviews. Further, we may not be able to successfully execute the desired changes. During the pendency of these reviews or any transaction that may occur as a result of these reviews, we may be subject to risks related to a decline in the business or employee morale and turnover, as well as distraction of management from our business and clients, and investors may not react favorably to our decisions, which could adversely affect our business, results of operations 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market price of our common stock. If we are unable to successfully complete our operational and business portfolio reviews or we are unable to complete the proposed outcomes of these reviews or they do not meet our strategic objectives, our business, results of operations and financial condition could be adversely affected.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regularly evaluate the full range of options for maximizing value to our shareholders, including potential transactions with third parties and other strategic and financial alternatives. There can be no assurance that the operational and business portfolio reviews will result in any particular action or that a transaction will be consummated, nor can there be any assurance regarding the timing of any action or transaction. We have not set a deadline or definitive timetable for the completion of our reviews, and we can provide no assurance that any actions taken or any transaction or other strategic alternative we may pursue will achieve the anticipated cost savings, operating efficiencies or have a positive impact on our results of operations or financial condition.</w:t>
      </w:r>
    </w:p>
    <w:p>
      <w:pPr>
        <w:pStyle w:val="TextBody"/>
        <w:bidi w:val="0"/>
        <w:spacing w:lineRule="auto" w:line="288" w:before="0" w:after="200"/>
        <w:jc w:val="left"/>
        <w:rPr>
          <w:rFonts w:ascii="Arial;sans-serif" w:hAnsi="Arial;sans-serif"/>
          <w:b/>
          <w:i/>
          <w:color w:val="000000"/>
          <w:sz w:val="20"/>
        </w:rPr>
      </w:pPr>
      <w:bookmarkStart w:id="117" w:name="i2e0e345018b94ffe845f06a60bb2ae93"/>
      <w:bookmarkEnd w:id="117"/>
      <w:r>
        <w:rPr>
          <w:rFonts w:ascii="Arial;sans-serif" w:hAnsi="Arial;sans-serif"/>
          <w:b/>
          <w:i/>
          <w:color w:val="000000"/>
          <w:sz w:val="20"/>
        </w:rPr>
        <w:t>We expect our revenue mix to vary over time, which could affect our gross profit, gross margin and results of operations.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pStyle w:val="TextBody"/>
        <w:bidi w:val="0"/>
        <w:spacing w:lineRule="auto" w:line="288" w:before="0" w:after="200"/>
        <w:jc w:val="left"/>
        <w:rPr>
          <w:rFonts w:ascii="Arial;sans-serif" w:hAnsi="Arial;sans-serif"/>
          <w:b/>
          <w:i/>
          <w:color w:val="000000"/>
          <w:sz w:val="20"/>
        </w:rPr>
      </w:pPr>
      <w:bookmarkStart w:id="118" w:name="i01cd0979a31f402f9053874c7cd3a83c"/>
      <w:bookmarkEnd w:id="118"/>
      <w:r>
        <w:rPr>
          <w:rFonts w:ascii="Arial;sans-serif" w:hAnsi="Arial;sans-serif"/>
          <w:b/>
          <w:i/>
          <w:color w:val="000000"/>
          <w:sz w:val="20"/>
        </w:rPr>
        <w:t>If our efforts to attract new clients and increase the number of our clients’ customers that use our solutions are unsuccessful, our revenue growth and operating results will be adversely affected.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pStyle w:val="TextBody"/>
        <w:bidi w:val="0"/>
        <w:spacing w:lineRule="auto" w:line="288" w:before="0" w:after="200"/>
        <w:jc w:val="left"/>
        <w:rPr>
          <w:rFonts w:ascii="Arial;sans-serif" w:hAnsi="Arial;sans-serif"/>
          <w:b/>
          <w:i/>
          <w:color w:val="000000"/>
          <w:sz w:val="20"/>
        </w:rPr>
      </w:pPr>
      <w:bookmarkStart w:id="119" w:name="ibf063fe185414b0c93ccc73d871db5cc"/>
      <w:bookmarkEnd w:id="119"/>
      <w:r>
        <w:rPr>
          <w:rFonts w:ascii="Arial;sans-serif" w:hAnsi="Arial;sans-serif"/>
          <w:b/>
          <w:i/>
          <w:color w:val="000000"/>
          <w:sz w:val="20"/>
        </w:rPr>
        <w:t>If we are unable to expand our direct and channel sales capabilities, grow our marketing reach and increase sales productivity, we may not be able to generate increased revenues.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strategically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i/>
          <w:color w:val="000000"/>
          <w:sz w:val="20"/>
        </w:rPr>
      </w:pPr>
      <w:bookmarkStart w:id="120" w:name="i9185a5f0a7e449de864a9b2e96051328"/>
      <w:bookmarkEnd w:id="120"/>
      <w:r>
        <w:rPr>
          <w:rFonts w:ascii="Arial;sans-serif" w:hAnsi="Arial;sans-serif"/>
          <w:b/>
          <w:i/>
          <w:color w:val="000000"/>
          <w:sz w:val="20"/>
        </w:rPr>
        <w:t>Our business could be adversely affected if our clients or their customers are not satisfied with the timing or quality of implementation services provided by us or our partners.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pStyle w:val="TextBody"/>
        <w:bidi w:val="0"/>
        <w:spacing w:lineRule="auto" w:line="288" w:before="0" w:after="200"/>
        <w:jc w:val="left"/>
        <w:rPr>
          <w:rFonts w:ascii="Arial;sans-serif" w:hAnsi="Arial;sans-serif"/>
          <w:b/>
          <w:i/>
          <w:color w:val="000000"/>
          <w:sz w:val="20"/>
        </w:rPr>
      </w:pPr>
      <w:bookmarkStart w:id="121" w:name="ie6b5b24b7603489fa022713f3eede033"/>
      <w:bookmarkEnd w:id="121"/>
      <w:r>
        <w:rPr>
          <w:rFonts w:ascii="Arial;sans-serif" w:hAnsi="Arial;sans-serif"/>
          <w:b/>
          <w:i/>
          <w:color w:val="000000"/>
          <w:sz w:val="20"/>
        </w:rPr>
        <w:t>Our financial and operating results are subject to seasonality and cyclicality.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w:t>
      </w:r>
    </w:p>
    <w:p>
      <w:pPr>
        <w:pStyle w:val="TextBody"/>
        <w:bidi w:val="0"/>
        <w:spacing w:lineRule="auto" w:line="288" w:before="0" w:after="200"/>
        <w:jc w:val="left"/>
        <w:rPr>
          <w:rFonts w:ascii="Arial;sans-serif" w:hAnsi="Arial;sans-serif"/>
          <w:b/>
          <w:i/>
          <w:color w:val="000000"/>
          <w:sz w:val="20"/>
        </w:rPr>
      </w:pPr>
      <w:bookmarkStart w:id="122" w:name="ib8a713bc461d40f29469908ccdade3d0"/>
      <w:bookmarkEnd w:id="122"/>
      <w:r>
        <w:rPr>
          <w:rFonts w:ascii="Arial;sans-serif" w:hAnsi="Arial;sans-serif"/>
          <w:b/>
          <w:i/>
          <w:color w:val="000000"/>
          <w:sz w:val="20"/>
        </w:rPr>
        <w:t>We are exposed to fluctuations in foreign currency exchange rates that could materially and adversely affect our results of operations.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For example, for the nine months ended September 30, 2026, as the U.S. Dollar weakened against several currencies, including the British Pound, relative to the prior year, these foreign exchange impacts increased our reported revenue in U.S. Dollars by approximately $9.3 million compared to the prior year on a FX Neutral basis.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our international operations continue to operate and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Our use of such hedging practices may not offset any, or more than a portion, of the adverse effects of unfavorable movements in foreign exchange rates. In addition, currency fluctuations or a weakening U.S. dollar can increase the costs of our international operations, and the strengthening U.S. dollar could slow international demand as solutions priced in the U.S. dollar become more expensive.</w:t>
      </w:r>
    </w:p>
    <w:p>
      <w:pPr>
        <w:pStyle w:val="TextBody"/>
        <w:bidi w:val="0"/>
        <w:spacing w:lineRule="auto" w:line="288" w:before="0" w:after="200"/>
        <w:jc w:val="left"/>
        <w:rPr>
          <w:rFonts w:ascii="Arial;sans-serif" w:hAnsi="Arial;sans-serif"/>
          <w:b/>
          <w:i/>
          <w:color w:val="000000"/>
          <w:sz w:val="20"/>
        </w:rPr>
      </w:pPr>
      <w:bookmarkStart w:id="123" w:name="ibc0b0e4f584e435bb458d7e1079054d7"/>
      <w:bookmarkEnd w:id="123"/>
      <w:r>
        <w:rPr>
          <w:rFonts w:ascii="Arial;sans-serif" w:hAnsi="Arial;sans-serif"/>
          <w:b/>
          <w:i/>
          <w:color w:val="000000"/>
          <w:sz w:val="20"/>
        </w:rPr>
        <w:t>Certain of our key performance indicators are subject to inherent challenges in measurement, and real or perceived inaccuracies in such metrics may harm our reputation and negatively affect our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We track certain key performance indicators, including metrics such as total payment volume, revenue less ancillary services, FX Neutral Revenue Less Ancillary Services, adjusted gross profit, adjusted gross margin, adjusted EBITDA, and adjusted EBITDA margin, with internal systems and tools and which may differ from estimates or similar metrics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clients or other stakeholders do not perceive our operating metrics to be accurate, or if we discover material inaccuracies with respect to these figures, our reputation may be significantly harmed, and our operating and financial results could be adversely affected.</w:t>
      </w:r>
    </w:p>
    <w:p>
      <w:pPr>
        <w:pStyle w:val="TextBody"/>
        <w:bidi w:val="0"/>
        <w:spacing w:lineRule="auto" w:line="288" w:before="0" w:after="200"/>
        <w:jc w:val="left"/>
        <w:rPr>
          <w:rFonts w:ascii="Arial;sans-serif" w:hAnsi="Arial;sans-serif"/>
          <w:b/>
          <w:i/>
          <w:color w:val="000000"/>
          <w:sz w:val="20"/>
        </w:rPr>
      </w:pPr>
      <w:bookmarkStart w:id="124" w:name="i54889e723fd9441481861321850cc5fe"/>
      <w:bookmarkEnd w:id="124"/>
      <w:r>
        <w:rPr>
          <w:rFonts w:ascii="Arial;sans-serif" w:hAnsi="Arial;sans-serif"/>
          <w:b/>
          <w:i/>
          <w:color w:val="000000"/>
          <w:sz w:val="20"/>
        </w:rPr>
        <w:t>Our business depends, in large part, on our proprietary network of global, regional and local banking partners.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and maintaining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and anti-financial crime audit including adherence to AML policies and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our existing banking partners may at any time and from time to time cease serving certain categories of payments due to perceived risk or similar reasons as well as payments originating from, or being paid to, certain high-risk jurisdictions. These partners may also impose additional requirements on Flywire, or with respect to their own internal procedures, as a condition of processing such payments in partnership with us. If we cease to be able to process payments from corridors or within certain of our verticals, or we are unable to comply with new requirements or only at considerable expense, our client relationships and ability to grow our revenue could be adversely affected.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Instability and volatility in the banking and financial services sectors, including bank failures, have increased and may in the future increase uncertainty in the global economy and the risk of a global recession. Volatility in the banking and financial services sectors may adversely impact our bank partnerships and could negatively impact our business. We may face difficulty establishing or maintaining banking relationships due to instability in the global banking system and increasing regulatory uncertainty and scrutiny. If these financial institutions are subject to suspension of operations, receivership, closure or similar action, or if our banking relationships become severely limited or unavailable in a certain country, there could be temporary delays in or unavailability of services in such country that are critical to our or our clients' operations. This could potentially lead to reduced use of our platform and lower payment volume which may adversely impact our business, operating results, and financial condition.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i/>
          <w:color w:val="000000"/>
          <w:sz w:val="20"/>
        </w:rPr>
      </w:pPr>
      <w:bookmarkStart w:id="125" w:name="i3a06d762b0fb4240b500f9dc6f03f2ed"/>
      <w:bookmarkEnd w:id="125"/>
      <w:r>
        <w:rPr>
          <w:rFonts w:ascii="Arial;sans-serif" w:hAnsi="Arial;sans-serif"/>
          <w:b/>
          <w:i/>
          <w:color w:val="000000"/>
          <w:sz w:val="20"/>
        </w:rPr>
        <w:t>Our growth depends in part on the success of our relationships with other (non-banking) third parties.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p>
    <w:p>
      <w:pPr>
        <w:pStyle w:val="TextBody"/>
        <w:bidi w:val="0"/>
        <w:spacing w:lineRule="auto" w:line="288" w:before="0" w:after="200"/>
        <w:jc w:val="left"/>
        <w:rPr>
          <w:rFonts w:ascii="Arial;sans-serif" w:hAnsi="Arial;sans-serif"/>
          <w:b/>
          <w:i/>
          <w:color w:val="000000"/>
          <w:sz w:val="20"/>
        </w:rPr>
      </w:pPr>
      <w:bookmarkStart w:id="126" w:name="i9959edd434a44d3196e7c7e04c122027"/>
      <w:bookmarkEnd w:id="126"/>
      <w:r>
        <w:rPr>
          <w:rFonts w:ascii="Arial;sans-serif" w:hAnsi="Arial;sans-serif"/>
          <w:b/>
          <w:i/>
          <w:color w:val="000000"/>
          <w:sz w:val="20"/>
        </w:rPr>
        <w:t>The markets in which we participate are competitive, and if we do not compete effectively, our operating results could be harmed.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regulatory reform may in some instances reduce barriers to entry. For example, on May 19, 2026, in the U.S. President Trump signed an executive order titled "Integrating Financial Technology Innovation into Regulatory Frameworks" (the Order) to direct federal financial regulators to reduce barriers to entry for fintech firms and facilitate partnerships between fintech firms and federally regulated financial institutions. The Order is aimed at reducing barriers to entry and encouraging collaboration between fintech firms and traditional financial institutions. The Order defines "fintech firm" to include any non-bank company that uses or develops technology to offer or support financial products or services, including payment processing, digital asset services, and blockchain-based services. The Order also requests the Federal Reserve Board to evaluate expanding fintech access to Reserve Bank payment accounts and services. Management will continue to track Order implementation efforts and any impact on the competitive environment in which the company operates.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pStyle w:val="TextBody"/>
        <w:bidi w:val="0"/>
        <w:spacing w:lineRule="auto" w:line="288" w:before="0" w:after="200"/>
        <w:jc w:val="left"/>
        <w:rPr>
          <w:rFonts w:ascii="Arial;sans-serif" w:hAnsi="Arial;sans-serif"/>
          <w:b/>
          <w:i/>
          <w:color w:val="000000"/>
          <w:sz w:val="20"/>
        </w:rPr>
      </w:pPr>
      <w:bookmarkStart w:id="127" w:name="i40272b6647f649fbb94af3cadcd5891d"/>
      <w:bookmarkEnd w:id="127"/>
      <w:r>
        <w:rPr>
          <w:rFonts w:ascii="Arial;sans-serif" w:hAnsi="Arial;sans-serif"/>
          <w:b/>
          <w:i/>
          <w:color w:val="000000"/>
          <w:sz w:val="20"/>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estimates and growth forecasted, our business could fail to grow at similar rates, if at all. Our growth is subject to many factors, including our success in implementing our business strategy, which is subject to many risks and uncertainties.</w:t>
      </w:r>
    </w:p>
    <w:p>
      <w:pPr>
        <w:pStyle w:val="TextBody"/>
        <w:bidi w:val="0"/>
        <w:spacing w:lineRule="auto" w:line="288" w:before="0" w:after="200"/>
        <w:jc w:val="left"/>
        <w:rPr>
          <w:rFonts w:ascii="Arial;sans-serif" w:hAnsi="Arial;sans-serif"/>
          <w:b/>
          <w:i/>
          <w:color w:val="000000"/>
          <w:sz w:val="20"/>
        </w:rPr>
      </w:pPr>
      <w:bookmarkStart w:id="128" w:name="i1d1c90b3ba9d47898387f1d88a5374e1"/>
      <w:bookmarkEnd w:id="128"/>
      <w:r>
        <w:rPr>
          <w:rFonts w:ascii="Arial;sans-serif" w:hAnsi="Arial;sans-serif"/>
          <w:b/>
          <w:i/>
          <w:color w:val="000000"/>
          <w:sz w:val="20"/>
        </w:rPr>
        <w:t>Our clients in the education sector may be adversely affected by decreases in enrollment, limitations or other restrictions on student visas, pressure on tuition costs, or increased operating expenses, which may reduce demand for our solutions.</w:t>
      </w:r>
    </w:p>
    <w:p>
      <w:pPr>
        <w:pStyle w:val="TextBody"/>
        <w:bidi w:val="0"/>
        <w:spacing w:lineRule="auto" w:line="288" w:before="0" w:after="120"/>
        <w:ind w:left="0" w:right="0" w:firstLine="490"/>
        <w:jc w:val="left"/>
        <w:rPr>
          <w:rFonts w:ascii="Arial;sans-serif" w:hAnsi="Arial;sans-serif"/>
          <w:b w:val="false"/>
          <w:color w:val="000000"/>
          <w:sz w:val="20"/>
        </w:rPr>
      </w:pPr>
      <w:r>
        <w:rPr>
          <w:rFonts w:ascii="Arial;sans-serif" w:hAnsi="Arial;sans-serif"/>
          <w:b w:val="false"/>
          <w:color w:val="000000"/>
          <w:sz w:val="20"/>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Declines in international student enrollment. Global conflict, geopolitical tensions and restrictions on immigration and revocations, suspensions or increased restrictions or limitations on the award of student visas (such as those being implemented in the U.S., U.K., Canada and Australia) has and is expected to continue to negatively impact the cross-border education industry and schools that rely on foreign student populations.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Reduced enrollment in higher education due to lack of funding, increases to cost of attendance or other inflationary pressure. Some institutes of higher education may close or merge with other colleges and universities. Significant reductions in student funding, through grants or loans, may reduce enrollments and decrease the payment volume we process. Potential students may also be deterred by increases in the cost of attendance.</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Government supported institutions may experience losses or reduction in public funding. Many of our clients rely considerably upon public funding or support, which may not always be available due to budget constraints.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Changing perceptions about in-person classes. Students may reject the opportunity to attend courses in person, when online or virtual classes are offered as an option, due to growing familiarity and perceived convenience of remote learning or a lower price point for online classes.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Our clients’ rankings, reputation and marketing efforts strongly affect enrollments, none of which we control. If we fail to maintain or add clients with strong, stable reputations and rankings, they will fail to achieve consistent enrollments.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 xml:space="preserve">A U.S. government shutdown could result in the suspension, delay or cancellation in education grants and loans or in the issuance of visas or visa denials, any of which could discourage prospective international students from choosing U.S. institutions as places for study or otherwise negatively impact our revenues derived from such students. </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cross-border payment volumes in our Education vertical are significantly influenced by the ability of international students to secure and maintain work authorization in the U.S. through programs like Optional Practical Training (“OPT”). Although bipartisan initiatives such as the “Keep Innovators in America Act” seek to stabilize the sector by codifying OPT into statute and providing "dual intent" for student visas, the program remains vulnerable to competing legislative proposals for termination and administrative processing freezes that have recently impacted students from 39 countries. Any sustained reduction in the availability of these work authorizations or a shift in the U.S. competitive position relative to other global education hubs could lead to decreased enrollment at our U.S. client institutions. Consequently, such volatility in immigration policy and work authorization processing could result in a material reduction in our transaction volumes, impacting our revenue and results of operations.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International cross-border transaction revenue represents a significant part of our revenue; international regulations and restrictions that inhibit cross-border travel and relocation of international students, as well as ongoing political friction between China and the U.S., as well as between Canada and India, that has from time to time slowed the growth of Chinese students studying in the U.S. and Indian students studying in Canada, and may have resulted in changes in Chinese and Indian student education destinations, have had and may continue to have an impact on our revenue growth. These geopolitical tensions and perceptions regarding potential hostility of host country study destinations may further suppress interest in international study (even at levels below the caps described below set by the governments of Canada and Australia), which would have an adverse effect on our business, operating results and financial condition. Sustained economic weakness in the United States or global economic conditions triggered by imposition of tariffs or other recessionary economic conditions, may disrupt international migration patterns, which are likely to reduce money transfer volumes and harm our operating results.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In January 2024, the Canadian government announced what at the time appeared to be a temporary intake cap on international student permit applications to stabilize new growth for a period of two years. This cap – intended to address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Canada’s housing shortage, overburdened health systems, and rising costs of living – has reportedly reduced the number of international students coming to Canada by about 40% since implementation. Building on these changes, the Immigration, Refugees, and Citizenship Canada (IRCC) announced in January 2025 that new study permits for international students will be reduced by 10% from the 2024 target of 485,000 to 437,000 in 2025 and 2026. In November 2025, the IRCC announced that it expected to issue up to 408,000 study permits in 2026, including 155,000 to newly arriving international students, as outlined in the 2026–2028 Immigration Levels Plan, and 253,000 extensions for current and returning students. This number is 7% lower than the 2025 issuance target of 437,000 and 16% lower than the 2024 issuance target of 485,000. As of January 1, 2026, master’s and doctoral level students enrolled at a public designated learning institution in Canada do not need to submit a provincial or territorial attestation letter with their study permit application. Additionally, in November 2024, Canada ended its Student Direct Stream (SDS) program for expedited international student visa processing, and international students applying to study in Canada no longer need to prepay tuition to apply for a study permit.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Similarly, since late 2023, the Australian government has taken actions to tighten international student visa rules, including an increase in the amount of minimum savings that international students would need to have in order to obtain a visa, raising the standards of the English language proficiency requirements for student and graduate visas, a 125% increase in the visa fee for international students, and the imposition of a ban for holders of visitor visas and students holding temporary graduate visas from applying for a student visa while in Australia. In August 2024, the Australian government announced the setting of a national planning level to apply from January 1, 2025 and which is intended to limit the number of new overseas student places available in Australia – including a ceiling of 270,000 international students for calendar year 2025. However, in December 2024, the government announced a change of course, instead implementing a system to introduce two categories of student visa processing: “high priority” and “standard priority”, with all international education providers to receive high priority processing up to 80% of their indicative international student cap. After reaching 80%, the providers will receive standard priority processing. In August 2025, the Australian government announced the setting of a national planning level to apply a ceiling of 295,000 international students for 2026 (lifting the planning level by 25,000 from the 270,000 baseline set for 2025). In July 2026, the Australian government announced that the national planning level for 2027 will remain at 295,000 new international student commencements, maintaining allocation stability across active international education providers. These new Australian government policies, including university quotas, slower visa processing, higher fees, and stricter financial and language requirements, have had an adverse impact on our business for the nine months ended September 30, 2026 and we anticipate will continue to impact our Australian revenues for the remainder of 2026.</w:t>
      </w:r>
    </w:p>
    <w:p>
      <w:pPr>
        <w:pStyle w:val="TextBody"/>
        <w:bidi w:val="0"/>
        <w:spacing w:lineRule="auto" w:line="288" w:before="0" w:after="120"/>
        <w:ind w:left="0" w:right="0" w:firstLine="490"/>
        <w:jc w:val="left"/>
        <w:rPr>
          <w:rFonts w:ascii="Arial;sans-serif" w:hAnsi="Arial;sans-serif"/>
          <w:b w:val="false"/>
          <w:color w:val="000000"/>
          <w:sz w:val="20"/>
        </w:rPr>
      </w:pPr>
      <w:r>
        <w:rPr>
          <w:rFonts w:ascii="Arial;sans-serif" w:hAnsi="Arial;sans-serif"/>
          <w:b w:val="false"/>
          <w:color w:val="000000"/>
          <w:sz w:val="20"/>
        </w:rPr>
        <w:t>The Australian government reclassified India as a highest-risk (Evidence Level 3) student-visa assessment jurisdiction under its Simplified Student Visa Framework (SSVF), shifting India from Evidence Level 2 to the more stringent Evidence Level 3 category effective January 8, 2026. This reclassification was attributed to what the Department of Home Affairs described as “emerging integrity risks,” including concerns about non-genuine applications and fraudulent documentation within the student visa system. Indian student visa applicants are now required to submit more extensive documentation, including detailed financial evidence, authenticated academic records, proof of English language proficiency, and may be subject to additional background checks or interviews before a visa decision can be finalized. Some expected impacts to Australian universities include:</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Expectation of longer student visa processing times, potentially extending from current medians to eight or more weeks, which could disrupt admissions and orientation schedules.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Increased administrative burden on international offices and recruitment staff to assist Indian applicants with enhanced documentation and compliance requirements.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Risk of a reduction in Indian student enrollments or delays in arrival, affecting tuition revenue and program planning.</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Necessity for universities to adjust intake planning, including staggered start dates or expanded online coursework, to accommodate delayed visa issuance.</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Potential for higher refusal rates requiring additional counseling and risk management for affected applicants.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Flywire could experience reduced transaction volumes and delayed payment flows from its Australian clients’ Indian student corridors due to slower visa processing times, increased application friction, and potential declines in enrollment. These factors could adversely affect our revenue growth in the Asia-Pacific education vertical and increase operational complexity associated with refunds, deferred intakes, and compliance-related payment adjustments. In addition, effective July 1, 2026, the Australian Government increased the non-refundable Student Visa (Subclass 500) application charge by 25%, raising the fee for primary applicants from AUD 2,000 to AUD 2,500. Higher upfront visa costs and potential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application friction could temper total inbound international student enrollment growth in Australia, which may impact Flywire’s Australian education vertical.</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on October 2, 2026, the Australian government implemented further student visa reforms intended to reduce “visa hopping” and strengthen the integrity of its international education system. Under these reforms, most temporary visa holders in Australia, including visitor, working holiday, temporary work and temporary graduate visa holders, are no longer able to apply for a Student Visa (subclass 500) while in Australia and must instead apply for, and be granted, a Student Visa from outside Australia, and existing Student visa holders seeking a further Student Visa while in Australia must demonstrate genuine course progression. Most Student Visa applicants are also no longer able to include partners or dependent children in their applications, subject to limited exemptions (including for PhD students, government-sponsored students and nationals of Pacific and ASEAN member countries), and Student Visa holders may no longer add family members after their visa is granted. As a transitional measure until June 30, 2027, most international students must now remain in their principal course for 12 months, rather than six months, before transferring to another education provider, and beginning July 1, 2027, students seeking to change providers after arriving in Australia will be required to apply for a new Student Visa through a new transfer stream. Applications lodged before October 2, 2026 continue to be assessed under the prior rules. These reforms may reduce the number of international students who choose to study in Australia, particularly students who would otherwise be accompanied by family members or would otherwise transition to a Student Visa while in Australia, and could reduce or delay the education payments we process for our Australian clients.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the U.K. as well, there have recently been significant modifications to the process and standards for issuance of international student visas which may reduce demand for international study and adversely affect our business. In November 2025, the U.K. budget confirmed that a levy of £925 per student per year of study will commence from August 2028, at the start of the 2028/29 academic year, for higher education institutions in England. All providers will be given an allowance of the first 220 international students per year not paying the levy, which may protect smaller, specialist providers from paying the charge. Of potentially more significance is the reduction of the U.K.’s Graduate Route post-study-work-visa from 24 to 18 months as taking effect for visa applications made after January 1, 2027. The change applies to bachelor’s and master’s degrees, and not to PhDs (which retain a 3-year option). All of these changes in UK visa policies for international students could potentially discourage international students from studying in the U.K. and have an adverse impact on our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Other governments where our client institutions are located, including in the U.S., may introduce measures from time to time to manage the growth of the international student population in their respective countries, which may have adverse effects on our business. For example, the U.S. government’s recent announcement to impose a $100,000 filing fee per new H-1B visa could adversely impact demand for international students to attend our client institutions in the U.S. The new H-1B visa fee does not apply to international students already in the U.S. looking to apply for a status change. In June 2026, the U.S. District Court for the District of Massachusetts issued an order barring implementation of the $100,000 fee, which the U.S. Court of Appeals for the First Circuit declined to stay in July 2026, and on September 30, 2026, the U.S. District Court for the Northern District of California separately blocked implementation of the fee. The U.S. government has since extended the presidential proclamation imposing the fee for an additional year, and in August 2026, the U.S. Department of Homeland Security proposed a rule that would establish a permanent fee of approximately $103,000 for certain new H-1B petitions. The status and validity of the fee therefore remain subject to ongoing litigation and rulemaking. In addition, in 2025 U.S. policy shifts prompted dramatic action to rescind student visas (including deportation of students), plan additional cutbacks to the volume of international student visa issuances, and more closely scrutinize applications for international student visas, and to cut government support for higher education, adding to uncertainty around the number of students coming to the U.S. to study in the near future. In July 2026, the U.S. Department of Homeland Security published a final rule that would replace the open-ended "duration of status" for F-1 visa holders with a fixed maximum admission period of up to four years. Although the U.S. District Court for the District of Massachusetts preliminarily enjoined implementation of the rule on September 14, 2026, the day before it was scheduled to take effect, and the U.S. government has appealed that decision, the rule, if ultimately implemented, would create additional administrative burdens and potential visa uncertainty for international students studying in the U.S. and near-term immigration friction could temper growth in overall U.S. inbound international student enrollment, which may adversely impact our revenue and results of operations. Delays in issuances of visas or visa denials – which could be exacerbated by the periodic U.S. government shutdowns – may discourage prospective international students from choosing U.S. institutions as places for study. Recent proposals in Congress to tighten visa stay rules and to implement the “OPT Fair Tax Act” could further dampen demand among international students to study in the U.S. The existing rules and any introduction of new rules further limiting the attractiveness of international study by the governments of countries where our client institutions are located has and is expected in the near term to continue to adversely impact the growth of our business in the applicable regions. In addition to caps on international students, government changes to other visa 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student insurance requirements (for example, no longer requiring a one year tuition deposit as a condition to issuance of a student visa, or eliminating a need to procure insurance) may negatively impact payment volume. The existing rules and any introduction of new rules further limiting potential payment flows or the attractiveness of international study by the governments of countries where our client institutions are located has and could continue to adversely impact our business, operating results, and financial condition. Changes to U.S. immigration policy can also dampen demands for international study.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would have an adverse effect on our business, operating results and financial condition.</w:t>
      </w:r>
    </w:p>
    <w:p>
      <w:pPr>
        <w:pStyle w:val="TextBody"/>
        <w:bidi w:val="0"/>
        <w:spacing w:lineRule="auto" w:line="288" w:before="0" w:after="200"/>
        <w:jc w:val="left"/>
        <w:rPr>
          <w:rFonts w:ascii="Arial;sans-serif" w:hAnsi="Arial;sans-serif"/>
          <w:b/>
          <w:i/>
          <w:color w:val="000000"/>
          <w:sz w:val="20"/>
        </w:rPr>
      </w:pPr>
      <w:bookmarkStart w:id="129" w:name="i57aec5b7f4354d5c9dd9b2ba6df15d12"/>
      <w:bookmarkEnd w:id="129"/>
      <w:r>
        <w:rPr>
          <w:rFonts w:ascii="Arial;sans-serif" w:hAnsi="Arial;sans-serif"/>
          <w:b/>
          <w:i/>
          <w:color w:val="000000"/>
          <w:sz w:val="20"/>
        </w:rPr>
        <w:t>A number of recent actual and proposed U.S. policy changes and enforcement practices could reshape the U.S. private secondary and higher education landscape, impacting students, our client educational institutions, and the wider educational framework in the United States.</w:t>
      </w:r>
    </w:p>
    <w:p>
      <w:pPr>
        <w:pStyle w:val="TextBody"/>
        <w:bidi w:val="0"/>
        <w:spacing w:lineRule="auto" w:line="288" w:before="0" w:after="120"/>
        <w:ind w:left="0" w:right="0" w:firstLine="490"/>
        <w:jc w:val="left"/>
        <w:rPr>
          <w:rFonts w:ascii="Arial;sans-serif" w:hAnsi="Arial;sans-serif"/>
          <w:b w:val="false"/>
          <w:color w:val="000000"/>
          <w:sz w:val="20"/>
        </w:rPr>
      </w:pPr>
      <w:r>
        <w:rPr>
          <w:rFonts w:ascii="Arial;sans-serif" w:hAnsi="Arial;sans-serif"/>
          <w:b w:val="false"/>
          <w:color w:val="000000"/>
          <w:sz w:val="20"/>
        </w:rPr>
        <w:t>In 2025, there were a number of actions and policies proposed or taken which have unsettled the U.S. private secondary and higher education sector, a historically significant source of clients and revenue for us. Any one or combination of these potential acts and policies coming to fruition or further developing – or even a perception or fear of occurrence – could negatively affect student enrollment at U.S. private boarding schools and colleges and universities, lead to diminishing operating budgets, and adversely affect our business and operating results and financial condition. Among these proposed or actual policies are:</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Restrictions on issuances and revocations of student visas, and deportation of students studying in the U.S. High profile instances of students with traditionally protective immigration status being arrested, deported, or having their student visas revoked have drawn widespread media attention. There have similarly been proposals put forth to expand the scope of bans on visa issuances. Diplomatic tensions between the U.S. and other countries can evoke visa restrictions specifically targeting students which would impact their ability to study in the U.S. Changes in U.S. immigration regulations or other laws, practices and frequency or methods of enforcement which discourage immigration or international study could adversely affect our education vertical or growth rate in the future. Reduced or disrupted international study patterns are likely to reduce the payment volumes we process and harm our operating results.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Reductions in government funding. There have been a number of instances of actual or threatened withholdings of federal funding to U.S. institutions of higher learning in general as well as to higher-profile U.S. colleges and universities. While some schools have worked out a negotiated arrangement with the U.S. government to allow for funding to continue in whole or in part – subject to specified conditions – others have not, and unreconciled instances continue to create an environment of uncertainty. Changes at the federal level regarding education policy could have a ripple effect on state funding for higher education. This could result in financial uncertainty for public universities that rely on state support, potentially leading to tougher budgetary constraints. Any such reductions could adversely affect the financial health of colleges and universities, leading to diminished operational budgets, fewer student services, and declines in enrollment, which could reduce the demand for our services and negatively impact our operating results.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Cutbacks to, or elimination of, student loan programs and the U.S. Department of Education. Alterations in student loan regulations or a reduction in U.S. government support for loan programs – particularly for international study – could exacerbate the financial burden on students and their families and make the cost of attending college prohibitively expensive for families. This situation might discourage prospective students from enrolling, thereby affecting overall college attendance rates. We have historically, and expect to continue to, process U.S. student loan payments and a loss of these payment flows or a reduction in the number of students enrolling in higher education institutions that accept U.S. student loan payments could adversely affect our business.</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 xml:space="preserve">Public image and perception. The perception of these real or proposed policies – especially with respect to immigration and availability of student visas – and their potential to make it more challenging for international students to study in the United States could result in a significant drop in enrollment numbers. This decline would particularly impact our U.S. client institutions that rely heavily on tuition revenue generated from international students. In addition, other nations may implement more attractive visa policies, which could entice international students to choose educational opportunities outside of the United States. Although we have client institutions in countries around the world where international students may choose to study if they are increasingly uncomfortable studying in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U.S., the cost of attending a school in these jurisdictions may be significantly less than in the U.S., and our payment volumes may suffer as a result.</w:t>
      </w:r>
    </w:p>
    <w:p>
      <w:pPr>
        <w:pStyle w:val="TextBody"/>
        <w:bidi w:val="0"/>
        <w:spacing w:lineRule="auto" w:line="288" w:before="0" w:after="120"/>
        <w:ind w:left="0" w:right="0" w:firstLine="490"/>
        <w:jc w:val="left"/>
        <w:rPr>
          <w:rFonts w:ascii="Arial;sans-serif" w:hAnsi="Arial;sans-serif"/>
          <w:b w:val="false"/>
          <w:color w:val="000000"/>
          <w:sz w:val="20"/>
        </w:rPr>
      </w:pPr>
      <w:r>
        <w:rPr>
          <w:rFonts w:ascii="Arial;sans-serif" w:hAnsi="Arial;sans-serif"/>
          <w:b w:val="false"/>
          <w:color w:val="000000"/>
          <w:sz w:val="20"/>
        </w:rPr>
        <w:t>After a period during which interviews and applications for student visas to study in the U.S. were temporarily suspended, in June 2025 the U.S. Department of State (DOS) resumed scheduling visa interview appointments for international students and exchange visitors while it considered new social media vetting measures. New student and exchange visitor visa policies, including the temporary pause and expanded vetting, could impact the amount of international students successfully enrolling as students in the U.S., which may adversely affect our revenue and results of operations. Some of these expected impacts include:</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Requests for deferred admissions, increased student inquiries/concerns, and delays in expected enrollment;</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Visa appointment cancellations, unavailability or delays in scheduling interviews as well as higher visa rejection rates - especially as to potential students from the countries that send the most students to the United States; and</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Students pivoting away from study and research in the United States. According to some studies, the top five countries that international students and scholars have indicated they are turning to instead of the United States are: United Kingdom, Australia, Canada, China, and Germany. The European and Asian study destinations that are gaining in market share of student interest often carry lower tuition and related costs of living relative to the United States, which can result in lower volume of payments processed within our education vertical.</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expanded social media screening process applied by the DOS to student visa applicants establishes that, of those students seeking expedited appointments, priority should be given to those attending universities with lower international enrollment (15% or less). This change potentially disadvantages those seeking to study at more internationally diverse institutions and marks a significant departure from previous DOS guidance that prioritized students based on the start of their academic studies. Administrative processing issues, a new requirement that applicants provide DOS access to social media accounts, and the resource-intensive nature of the new screening requirements is expected to create longer wait times and processing delays. All of these factors – and other related uncertainties that will surface as the new standards are implemented – can contribute to a decline in international enrollment in U.S. academic institutions, which could adversely affect our business.</w:t>
      </w:r>
    </w:p>
    <w:p>
      <w:pPr>
        <w:pStyle w:val="TextBody"/>
        <w:bidi w:val="0"/>
        <w:spacing w:lineRule="auto" w:line="288" w:before="0" w:after="120"/>
        <w:ind w:left="0" w:right="0" w:firstLine="490"/>
        <w:jc w:val="left"/>
        <w:rPr>
          <w:rFonts w:ascii="Arial;sans-serif" w:hAnsi="Arial;sans-serif"/>
          <w:b w:val="false"/>
          <w:color w:val="000000"/>
          <w:sz w:val="20"/>
        </w:rPr>
      </w:pPr>
      <w:r>
        <w:rPr>
          <w:rFonts w:ascii="Arial;sans-serif" w:hAnsi="Arial;sans-serif"/>
          <w:b w:val="false"/>
          <w:color w:val="000000"/>
          <w:sz w:val="20"/>
        </w:rPr>
        <w:t>In addition, in the U.S., the “One Big Beautiful Bill” Act (OBBBA) contains a number of provisions with the potential to significantly change the landscape for financing undergraduate and graduate study and which could adversely affect the demand for higher education in the U.S. The OBBBA limits Pell Grant awards (which provide gift aid to low-income students), eliminates the Grad PLUS program, and sets new limits for graduate and professional students for Direct Unsubsidized Loans. The new bill also caps parent loans to finance undergraduate education, and changes student loan repayment options, among other modifications. More specifically, the structural changes to federal higher education financing under the OBBBA include:</w:t>
      </w:r>
    </w:p>
    <w:p>
      <w:pPr>
        <w:pStyle w:val="TextBody"/>
        <w:bidi w:val="0"/>
        <w:spacing w:lineRule="auto" w:line="288" w:before="0" w:after="120"/>
        <w:ind w:left="0" w:right="0" w:hanging="360"/>
        <w:jc w:val="left"/>
      </w:pPr>
      <w:r>
        <w:rPr>
          <w:color w:val="000000"/>
        </w:rPr>
        <w:t>•</w:t>
      </w:r>
      <w:r>
        <w:rPr>
          <w:rFonts w:ascii="Arial;sans-serif" w:hAnsi="Arial;sans-serif"/>
          <w:b/>
          <w:color w:val="000000"/>
          <w:sz w:val="20"/>
        </w:rPr>
        <w:t>Elimination of Graduate PLUS Loans:</w:t>
      </w:r>
      <w:r>
        <w:rPr>
          <w:color w:val="000000"/>
        </w:rPr>
        <w:t xml:space="preserve"> </w:t>
      </w:r>
      <w:r>
        <w:rPr>
          <w:rFonts w:ascii="Arial;sans-serif" w:hAnsi="Arial;sans-serif"/>
          <w:b w:val="false"/>
          <w:color w:val="000000"/>
          <w:sz w:val="20"/>
        </w:rPr>
        <w:t>The Grad PLUS loan program was eliminated for new borrowers starting July 1, 2026 (with legacy grandfathering options available for up to three academic years for existing borrowers).</w:t>
      </w:r>
    </w:p>
    <w:p>
      <w:pPr>
        <w:pStyle w:val="TextBody"/>
        <w:bidi w:val="0"/>
        <w:spacing w:lineRule="auto" w:line="288" w:before="0" w:after="120"/>
        <w:ind w:left="0" w:right="0" w:hanging="360"/>
        <w:jc w:val="left"/>
      </w:pPr>
      <w:r>
        <w:rPr>
          <w:color w:val="000000"/>
        </w:rPr>
        <w:t>•</w:t>
      </w:r>
      <w:r>
        <w:rPr>
          <w:rFonts w:ascii="Arial;sans-serif" w:hAnsi="Arial;sans-serif"/>
          <w:b/>
          <w:color w:val="000000"/>
          <w:sz w:val="20"/>
        </w:rPr>
        <w:t>New Borrowing Caps:</w:t>
      </w:r>
    </w:p>
    <w:p>
      <w:pPr>
        <w:pStyle w:val="TextBody"/>
        <w:bidi w:val="0"/>
        <w:spacing w:lineRule="auto" w:line="288" w:before="0" w:after="60"/>
        <w:ind w:left="0" w:right="0" w:hanging="360"/>
        <w:jc w:val="left"/>
      </w:pPr>
      <w:r>
        <w:rPr>
          <w:color w:val="000000"/>
        </w:rPr>
        <w:t>◦</w:t>
      </w:r>
      <w:r>
        <w:rPr>
          <w:rFonts w:ascii="Arial;sans-serif" w:hAnsi="Arial;sans-serif"/>
          <w:b/>
          <w:color w:val="000000"/>
          <w:sz w:val="20"/>
        </w:rPr>
        <w:t>Graduate &amp; Professional:</w:t>
      </w:r>
      <w:r>
        <w:rPr>
          <w:color w:val="000000"/>
        </w:rPr>
        <w:t xml:space="preserve"> </w:t>
      </w:r>
      <w:r>
        <w:rPr>
          <w:rFonts w:ascii="Arial;sans-serif" w:hAnsi="Arial;sans-serif"/>
          <w:b w:val="false"/>
          <w:color w:val="000000"/>
          <w:sz w:val="20"/>
        </w:rPr>
        <w:t>Annual borrowing for Direct Unsubsidized Loans is capped at $20,500 ($100,000 aggregate) for general graduate programs and $50,000 ($200,000 aggregate) for designated professional programs.</w:t>
      </w:r>
    </w:p>
    <w:p>
      <w:pPr>
        <w:pStyle w:val="TextBody"/>
        <w:bidi w:val="0"/>
        <w:spacing w:lineRule="auto" w:line="288" w:before="0" w:after="60"/>
        <w:ind w:left="0" w:right="0" w:hanging="360"/>
        <w:jc w:val="left"/>
      </w:pPr>
      <w:r>
        <w:rPr>
          <w:color w:val="000000"/>
        </w:rPr>
        <w:t>◦</w:t>
      </w:r>
      <w:r>
        <w:rPr>
          <w:rFonts w:ascii="Arial;sans-serif" w:hAnsi="Arial;sans-serif"/>
          <w:b/>
          <w:color w:val="000000"/>
          <w:sz w:val="20"/>
        </w:rPr>
        <w:t>Parent PLUS:</w:t>
      </w:r>
      <w:r>
        <w:rPr>
          <w:color w:val="000000"/>
        </w:rPr>
        <w:t xml:space="preserve"> </w:t>
      </w:r>
      <w:r>
        <w:rPr>
          <w:rFonts w:ascii="Arial;sans-serif" w:hAnsi="Arial;sans-serif"/>
          <w:b w:val="false"/>
          <w:color w:val="000000"/>
          <w:sz w:val="20"/>
        </w:rPr>
        <w:t>Annual borrowing is capped at $20,000 per student, with a $65,000 aggregate limit per dependent.</w:t>
      </w:r>
    </w:p>
    <w:p>
      <w:pPr>
        <w:pStyle w:val="TextBody"/>
        <w:bidi w:val="0"/>
        <w:spacing w:lineRule="auto" w:line="288" w:before="0" w:after="60"/>
        <w:ind w:left="0" w:right="0" w:hanging="360"/>
        <w:jc w:val="left"/>
      </w:pPr>
      <w:r>
        <w:rPr>
          <w:color w:val="000000"/>
        </w:rPr>
        <w:t>◦</w:t>
      </w:r>
      <w:r>
        <w:rPr>
          <w:rFonts w:ascii="Arial;sans-serif" w:hAnsi="Arial;sans-serif"/>
          <w:b/>
          <w:color w:val="000000"/>
          <w:sz w:val="20"/>
        </w:rPr>
        <w:t>Lifetime Cap:</w:t>
      </w:r>
      <w:r>
        <w:rPr>
          <w:color w:val="000000"/>
        </w:rPr>
        <w:t xml:space="preserve"> </w:t>
      </w:r>
      <w:r>
        <w:rPr>
          <w:rFonts w:ascii="Arial;sans-serif" w:hAnsi="Arial;sans-serif"/>
          <w:b w:val="false"/>
          <w:color w:val="000000"/>
          <w:sz w:val="20"/>
        </w:rPr>
        <w:t>A cumulative lifetime federal student loan borrowing cap of $257,500 is established (excluding Parent PLUS).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Most of these changes went into effect July 1, 2026 and while management actively monitors institutional adaptation to these regulatory updates, the impacts of the bill may affect U.S. student enrollment in undergraduate and postgraduate programs, which could materially and adversely affect our revenue and results of operations.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In October 2025, the current administration introduced a proposal termed the “Compact for Academic Excellence in Higher Education,” under which select U.S. universities would be invited to accept a set of federal policy conditions—such as freezing tuition rates, limiting international student enrollment, altering admissions criteria, and certifying adherence to specified ideological and governance standards—in exchange for preferential access to federal funding and grants. A number of major U.S. research universities have declined to sign the compact, citing concerns regarding academic freedom, institutional autonomy and constitutional protections, while a small number of institutions have signed or agreed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 adopt the compact's conditions. Several major higher education associations, including the American Council on Education and NASFAA, have publicly opposed the compact. Certain institutions that have declined to sign the compact have reported increased scrutiny of, or delays or freezes in, previously approved federal funding. Because a meaningful portion of Flywire’s revenue is generated through cross-border payment services and tuition facilitation for higher-education institutions, changes in federal higher-education policy could indirectly but materially affect us. If major client universities (especially large public and private institutions) decline to engage in or are disqualified from federal funding programs due to a refusal or failure to comply with compact terms, they may downsize enrollments (particularly of international students), constrain capital expenditures, or restructure their financial operations. Such shifts could reduce payment volumes, delay implementation of new systems, and reduce demand for value-added services like foreign-exchange hedging, deferred payments, or collections.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Moreover, uncertainty stemming from the compact’s adoption or rejection could exacerbate institutional risk in the sector. Universities may postpone upgrades, IT transitions, or third-party service contracts pending clarity on their federal funding status. They may also prioritize internal compliance or legal capabilities over vendor innovation. If key clients delay or scale back programs, Flywire’s financial performance — including revenue growth, margins, or client retention — could be materially and adversely affected.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Finally, reputational or policy backlash could create reputational or regulatory risk for providers of educational payments solutions. If the compact becomes politically controversial or perceived as ideologically driven, vendors aligning with affected institutions might face increased scrutiny from policymakers, advocacy groups, or the press. While Flywire operates globally and across verticals, even marginal negative sentiment or regulatory uncertainty in the education payments space could make client acquisition or retention more challenging.</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On October 8, 2026, the Department of Homeland Security issued a Notice of Proposed Rulemaking that would require higher education institutions to pay a $70,000 fee for an initial Optional Practical Training (OPT) recommendation—and $30,000 for extensions—for F-1 international students seeking post-graduation work authorization in the United States. While the proposed rule remains subject to a public comment period, potential revisions, and anticipated legal challenges before any final implementation, a significant reduction in foreign student enrollment or post-graduate work pathways resulting from these prohibitive costs could adversely impact cross-border payment volumes and cross-border tuition revenue within the Company's U.S. higher education vertical.</w:t>
      </w:r>
    </w:p>
    <w:p>
      <w:pPr>
        <w:pStyle w:val="TextBody"/>
        <w:bidi w:val="0"/>
        <w:spacing w:lineRule="auto" w:line="288" w:before="0" w:after="200"/>
        <w:jc w:val="left"/>
        <w:rPr>
          <w:rFonts w:ascii="Arial;sans-serif" w:hAnsi="Arial;sans-serif"/>
          <w:b/>
          <w:i/>
          <w:color w:val="000000"/>
          <w:sz w:val="20"/>
        </w:rPr>
      </w:pPr>
      <w:bookmarkStart w:id="130" w:name="i5569413770a74354ae2d4cf3cb75d10e"/>
      <w:bookmarkEnd w:id="130"/>
      <w:r>
        <w:rPr>
          <w:rFonts w:ascii="Arial;sans-serif" w:hAnsi="Arial;sans-serif"/>
          <w:b/>
          <w:i/>
          <w:color w:val="000000"/>
          <w:sz w:val="20"/>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 In addition, the decisions we make on allocation of engineering resources, reliance on, integration with or discontinuance of, legacy systems or those acquired in acquisition, or the pace at which we remain technologically current within our internal systems and customer payment platforms, may negatively affect the morale of our engineering teams and the payment experiences our clients wish to feature to their customers. We may lose engineering talent or healthcare clients as a result, which could have a material adverse effect on our business and results of operations.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may have an adverse effect on our business, operating results and financial condition.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However, intense competition and rising costs experienced by certain major EHR providers has resulted, in certain cases, in increased financial strain on these businesses, and in at least one notable instance, an action to seek bankruptcy protection. To the extent we have outstanding amounts owed to us by companies that seek bankruptcy protection or cease operations, it may become difficult for us to be paid in full in a timely manner, if at all.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p>
    <w:p>
      <w:pPr>
        <w:pStyle w:val="TextBody"/>
        <w:bidi w:val="0"/>
        <w:spacing w:lineRule="auto" w:line="288" w:before="0" w:after="200"/>
        <w:jc w:val="left"/>
        <w:rPr>
          <w:rFonts w:ascii="Arial;sans-serif" w:hAnsi="Arial;sans-serif"/>
          <w:b/>
          <w:i/>
          <w:color w:val="000000"/>
          <w:sz w:val="20"/>
        </w:rPr>
      </w:pPr>
      <w:bookmarkStart w:id="131" w:name="ia9013e3b692c48e5a0f0d872e0442626"/>
      <w:bookmarkEnd w:id="131"/>
      <w:r>
        <w:rPr>
          <w:rFonts w:ascii="Arial;sans-serif" w:hAnsi="Arial;sans-serif"/>
          <w:b/>
          <w:i/>
          <w:color w:val="000000"/>
          <w:sz w:val="20"/>
        </w:rPr>
        <w:t>Our business serving clients in the travel sector may be sensitive to events affecting the travel industry in general.</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Events like regional or larger scale conflicts, war or other military conflict, including the conflicts between Russia and Ukraine, the conflict between Israel and Hamas, and the U.S. and Israeli military conflict with Iran, terrorist attacks, mass shooting incidents, natural disasters, such as hurricanes, earthquakes, closures, or geographical disruptions of critical natural resources, supply chains, fires, droughts, floods and volcanic activity, including events resulting from climate change, and travel-related health events, pandemics or other public health emergencies, have had a negative impact on the travel industry and affect travelers’ behavior by limiting their ability or willingness to visit certain locations. In addition, the travel industry can be negatively impacted by adverse economic conditions in the United States and globally, including economic slowdown, recessionary trends, heightened interest rates and inflation. Heightened conflict between the U.S. and Iran, and the resulting volatility in energy prices and regional security, may cause significant shifts in global travel patterns and consumer confidence. Any such disruptions could result in the cancellation or deferral of travel bookings among our travel vertical clients, leading to an elevated risk of uncollectible chargebacks and a reduction in our total payment volume. We are not in a position to evaluate the net effect of these circumstances on our business as these events are largely unpredictable; however, we believe there has been and may continue to be negative impact to our business due to such events. Furthermore, in the longer term, our business might be negatively affected by regulatory changes, financial pressures on or changes to the travel industry. For example, certain jurisdictions, particularly in Europe, have implemented or are considering implementing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affect travel and the volume of travel related payments that we process for our clients. In addition, any hostility towards tourists may depress international travel. The United States has implemented or proposed, or is considering, various changes in laws, regulations or policies such as the imposition of tariffs or sanctions that could affect U.S. trade policy or practices, relations with other countries and travel permits, which could also adversely affect travel to or from the United States. If such events result in a long-term negative impact on the travel industry, such impact could have a material adverse effect on our business. The payment volume from our travel vertical represented less than 10% of our total payment volume during the year ended December 31, 2025. Because we seek to grow the payment volume and the revenue from this vertical in the future through various initiatives, including our Sertifi acquisition, failure to grow our payment volume and resulting revenue from this industry, may have an adverse effect on our business, operating results and financial condition.</w:t>
      </w:r>
    </w:p>
    <w:p>
      <w:pPr>
        <w:pStyle w:val="TextBody"/>
        <w:bidi w:val="0"/>
        <w:spacing w:lineRule="auto" w:line="288" w:before="0" w:after="200"/>
        <w:jc w:val="left"/>
        <w:rPr>
          <w:rFonts w:ascii="Arial;sans-serif" w:hAnsi="Arial;sans-serif"/>
          <w:b/>
          <w:i/>
          <w:color w:val="000000"/>
          <w:sz w:val="20"/>
        </w:rPr>
      </w:pPr>
      <w:bookmarkStart w:id="132" w:name="i6884435b4f9d43c5b29d460a2aae9b2c"/>
      <w:bookmarkEnd w:id="132"/>
      <w:r>
        <w:rPr>
          <w:rFonts w:ascii="Arial;sans-serif" w:hAnsi="Arial;sans-serif"/>
          <w:b/>
          <w:i/>
          <w:color w:val="000000"/>
          <w:sz w:val="20"/>
        </w:rPr>
        <w:t>If we are unable to enter or expand new client verticals or sub-verticals, including our relatively new B2B payment vertical, or if our solutions for any new vertical fail to achieve market acceptance, our operating results could be adversely affected and we may be required to reconsider our growth strategy.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growth strategy is influenced, in part, on our ability to expand into new client verticals and sub-verticals, including our relatively new B2B payment vertical. The B2B payment vertical represents a relatively new market for us, and we have limited prior experience with the key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Our payment volume and resulting revenue from serving the B2B vertical is highly sensitive to restrictions on the cross-border commerce on which our clients rely, and declining economic conditions, increases in the costs or unavailability of imported goods and services due to imposition of tariffs, sanctions or other restrictions, could adversely affect our development of this vertical or our overall operating results and financial condition. The payment volume and resulting revenue from our B2B payment vertical during the year ended December 31, 2025 represented,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may be unable to identify new verticals or sub-verticals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Even if we choose to enter new verticals or sub-verticals,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pStyle w:val="TextBody"/>
        <w:bidi w:val="0"/>
        <w:spacing w:lineRule="auto" w:line="288" w:before="0" w:after="200"/>
        <w:jc w:val="left"/>
        <w:rPr>
          <w:rFonts w:ascii="Arial;sans-serif" w:hAnsi="Arial;sans-serif"/>
          <w:b/>
          <w:i/>
          <w:color w:val="000000"/>
          <w:sz w:val="20"/>
        </w:rPr>
      </w:pPr>
      <w:bookmarkStart w:id="133" w:name="ia127f9dfad7649db8da9add3e4fffdb6"/>
      <w:bookmarkEnd w:id="133"/>
      <w:r>
        <w:rPr>
          <w:rFonts w:ascii="Arial;sans-serif" w:hAnsi="Arial;sans-serif"/>
          <w:b/>
          <w:i/>
          <w:color w:val="000000"/>
          <w:sz w:val="20"/>
        </w:rPr>
        <w:t>Consolidation in the payment processing or enablement industry could have a material adverse effect on our business, financial condition and results of operations.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potential results of consolidation could have a material adverse effect on our business, financial condition and results of operations.</w:t>
      </w:r>
    </w:p>
    <w:p>
      <w:pPr>
        <w:pStyle w:val="TextBody"/>
        <w:bidi w:val="0"/>
        <w:spacing w:lineRule="auto" w:line="288" w:before="0" w:after="200"/>
        <w:jc w:val="left"/>
        <w:rPr>
          <w:rFonts w:ascii="Arial;sans-serif" w:hAnsi="Arial;sans-serif"/>
          <w:b/>
          <w:i/>
          <w:color w:val="000000"/>
          <w:sz w:val="20"/>
        </w:rPr>
      </w:pPr>
      <w:bookmarkStart w:id="134" w:name="i231403cdd2c14902b5267a2d2386884e"/>
      <w:bookmarkEnd w:id="134"/>
      <w:r>
        <w:rPr>
          <w:rFonts w:ascii="Arial;sans-serif" w:hAnsi="Arial;sans-serif"/>
          <w:b/>
          <w:i/>
          <w:color w:val="000000"/>
          <w:sz w:val="20"/>
        </w:rPr>
        <w:t>We may be adversely affected by global economic and political instability.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we seek to continue to operate and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heightened interest rates, reduced corporate profitability, employment pressures in services sectors, volatility in the banking ecosystem or credit, equity and foreign exchange markets, bankruptcies, as well as war, terrorist activity, political or social unrest, civil strife and other geopolitical uncertainty, or the effects of ongoing diplomatic and trade friction between Canada and India and the U.S. and countries such as Canada, Mexico and China, and the resulting impact on business continuity and travel, supply chain disruptions, inflation, security issues, and overall uncertainty with respect to the economy, including with respect to tariff and trade issues. To the extent that inflationary pressures and other global factors including concerns of restrictions on global supplies, including but not limited to oil, due to conflict in the Middle East lead to an economic recession, demand for our solutions, our business and financial condition could be negatively impacted. In addition, from time to time we have reduced expenses and needed to restructure or reorganize certain portions of our operations, including our restructuring announced in February 2025, in order to align our business with market conditions and our strategies, any of which can result in near term expense and harm to our growth prospects.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For example, on February 24, 2022, Russian military forces invaded Ukraine, and continued conflict and disruption in the region is likely, and on October 7, 2023, Hamas terrorists infiltrated Israel’s southern border from the Gaza Strip and conducted a series of attacks on civilian and military targets. Hamas also launched extensive rocket attacks on the Israeli population and industrial centers located along Israel’s border with the Gaza Strip and in other areas within the State of Israel. On October 8, 2023, Israel formally declared war on Hamas, and thereafter commenced military operations against Hamas. After two years of steady conflict, an agreement was reached to end hostilities in October 2025. It is difficult to predict if the additional steps identified as part of a peace plan will be achieved in a timely fashion if at all, or if hostilities will recommence, and if so, their duration.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most recent outbreak of hostilities and military strikes involving the U.S. and Israel alliance positioned against Iran, and Iran's restriction of traffic through the Strait of Hormuz has amplified global economic uncertainty. The Israel Defense Force (IDF), the national military of Israel, is a conscripted military service, subject to certain exceptions. In March 2026, the IDF approved the call-up of up to 400,000 reservists to support operations across multiple fronts, including Iran and Hezbollah. It is possible that there will be further military reserve duty call-ups in the future, which may affect our business due to a shortage of skilled labor and loss of institutional knowledge, and necessary mitigation measures we may take to respond to a decrease in labor availability, such as overtime and third-party outsourcing, for example, may have unintended negative effects and adversely impact our business, financial condition and results of operations.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Although the length, impact and outcome of these conflicts are highly unpredictable, these conflicts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 Further, heightened conflict between the U.S. and Iran, and the resulting volatility in energy prices and regional security, may cause significant shifts in global travel patterns and consumer confidence. Any such disruptions could result in the cancellation or deferral of travel bookings among our travel vertical clients, leading to an elevated risk of uncollectible chargebacks and a reduction in our total payment volume.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We are actively monitoring the situations in Ukraine and the Middle East and assessing any potential impact on our business, but to date have not experienced any material impact. We have no way to predict the progress or outcome of the conflicts in Ukraine and the Middle East or any peace that has or may be reached, as the conflicts, and any resulting government reactions, continue to develop beyond our control and can quickly change. The extent and duration of the military action, sanctions and resulting market disruptions could be significant and could potentially have a substantial impact on the global economy and our business for an unknown period of time. As the adverse effects of these conflicts continue to develop and potentially spread, both in Europe, the Middle East and through the rest of the world, our clients,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these conflicts and any of the abovementioned factors could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have a material adverse effect on our business, financial condition and results of operations, particularly to the extent the conflict escalates to involve additional countries, further economic sanctions and wider military conflicts. Any such disruptions could also magnify the impact of other risks described in this Quarterly Report on Form 10-Q.</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political tensions between the U.S. and countries, such as Canada, Mexico and China, have recently escalated due to, among other things, U.S. policy shifts, and could have an adverse effect on our operating results. Rising political tensions could reduce levels of trade, investments, technological and educational exchanges, travel and other economic activities between the U.S. and such other countries, which would have a material adverse effect on global economic conditions and the stability of global financial markets. Since February 2025, the U.S. government has enacted, and continues to enact, a series of new tariffs, including a tariff on all imports and additional “reciprocal” tariffs targeting imports from specified countries. These tariffs and other changes in U.S. trade policy have triggered, and could continue to trigger, retaliatory actions by affected countries, including retaliatory tariffs or other protectionist measures that could harm our business, results of operations and financial condition. The tariff policy environment has been and can be expected to continue to be dynamic. The ultimate impact of these newly enacted and potential future tariffs or other restrictions on international trade will depend on various factors, including the ultimate levels of such tariffs, how long such tariffs remain in place, and how other countries respond to the U.S. tariffs. Any of these factors could have a material adverse effect on our business, prospects, financial condition and results of operations. We cannot assure you that, if the political tension between the U.S. and other countries intensifies and further regulations affecting our business are passed, our business will not be materially and adversely affected.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Inflation and heightened interest rates have and may in the future result in decreased demand for our solutions, increases in our operating costs including our labor costs, constrained credit and liquidity, and volatility in financial markets and the banking ecosystem. The Federal Reserve lowered interest rates by 25 basis points on each of September 17, 2025, October 29, 2025, and December 10, 2025, but on September 16, 2026, raised the federal funds target range by 25 basis points to 3.75% to 4.00%. Interest rates remain elevated, and there continues to be uncertainty in the changing market and economic conditions, including the effects of additional measures that have and could be taken by the Trump administration, the Federal Reserve and other government agencies, related to concerns over inflation risk. A sharp rise in interest rates could have an adverse impact on the fair market value of securities we may invest in as part of our portfolio investments, which could adversely affect our financial results.</w:t>
      </w:r>
    </w:p>
    <w:p>
      <w:pPr>
        <w:pStyle w:val="TextBody"/>
        <w:bidi w:val="0"/>
        <w:spacing w:lineRule="auto" w:line="288" w:before="0" w:after="200"/>
        <w:jc w:val="left"/>
        <w:rPr>
          <w:rFonts w:ascii="Arial;sans-serif" w:hAnsi="Arial;sans-serif"/>
          <w:b/>
          <w:color w:val="000000"/>
          <w:sz w:val="20"/>
        </w:rPr>
      </w:pPr>
      <w:bookmarkStart w:id="135" w:name="i1924f3dce14e4e3ea5d3dea874f71060"/>
      <w:bookmarkEnd w:id="135"/>
      <w:r>
        <w:rPr>
          <w:rFonts w:ascii="Arial;sans-serif" w:hAnsi="Arial;sans-serif"/>
          <w:b/>
          <w:color w:val="000000"/>
          <w:sz w:val="20"/>
        </w:rPr>
        <w:t>Risks Related to Our Operations</w:t>
      </w:r>
    </w:p>
    <w:p>
      <w:pPr>
        <w:pStyle w:val="TextBody"/>
        <w:bidi w:val="0"/>
        <w:spacing w:lineRule="auto" w:line="288" w:before="0" w:after="200"/>
        <w:jc w:val="left"/>
        <w:rPr>
          <w:rFonts w:ascii="Arial;sans-serif" w:hAnsi="Arial;sans-serif"/>
          <w:b/>
          <w:i/>
          <w:color w:val="000000"/>
          <w:sz w:val="20"/>
        </w:rPr>
      </w:pPr>
      <w:bookmarkStart w:id="136" w:name="i70bb98562b5e4cfaa35bf363bdf4a80d"/>
      <w:bookmarkEnd w:id="136"/>
      <w:r>
        <w:rPr>
          <w:rFonts w:ascii="Arial;sans-serif" w:hAnsi="Arial;sans-serif"/>
          <w:b/>
          <w:i/>
          <w:color w:val="000000"/>
          <w:sz w:val="20"/>
        </w:rPr>
        <w:t>We may not be able to scale our business quickly enough to meet our growing client base, and if we are not able to grow efficiently, our operating results could be harmed.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 We are currently actively engaged in a comprehensive, company-wide operational and systems transformation program, which encompasses a re-architecting of our data infrastructure, consolidation and upgrade of our enterprise and billing systems and underlying operating models, alongside the strategic alignment of our organizational structure, talent, and internal processes. Ultimately, this foundational work is intended to position the Company for continued scalability and long-term growth.</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or improve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pStyle w:val="TextBody"/>
        <w:bidi w:val="0"/>
        <w:spacing w:lineRule="auto" w:line="288" w:before="0" w:after="200"/>
        <w:jc w:val="left"/>
        <w:rPr>
          <w:rFonts w:ascii="Arial;sans-serif" w:hAnsi="Arial;sans-serif"/>
          <w:b/>
          <w:i/>
          <w:color w:val="000000"/>
          <w:sz w:val="20"/>
        </w:rPr>
      </w:pPr>
      <w:bookmarkStart w:id="137" w:name="i5e454cf973d14ce0afbb509e437d42fd"/>
      <w:bookmarkEnd w:id="137"/>
      <w:r>
        <w:rPr>
          <w:rFonts w:ascii="Arial;sans-serif" w:hAnsi="Arial;sans-serif"/>
          <w:b/>
          <w:i/>
          <w:color w:val="000000"/>
          <w:sz w:val="20"/>
        </w:rPr>
        <w:t>We enable the transfer of large sums of funds to our clients daily, and are subject to the risk of errors, which could result in financial losses, damage to our reputation, or loss of trust in our brand, which would harm our business and financial results.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For the years ended December 31, 2025 and 2024, we processed over $37.6 billion and over $29.7 billion in payments on our solutions, respectively. For the nine months ended September 30, 2026, we processed approximately $37.4 billion in payments on our solutions. We have grown rapidly and seek to continue to grow, and our business is subject to the risk of financial losses as a result of chargebacks for client-related losses, credit losses, operational errors, software defects, service disruption, employee or partner misconduct, security breaches, or other similar actions or errors in our solutions. As a provider of accounts receivable and other payment solutions, we enable the transfer of funds to our clients from their customers. Software errors in our solutions, including as a result of ordinary course updates to our software and systems, and operational errors by our FlyMates and business partners may also expose us to losses. Payments companies are frequent targets of social engineering and AI "deepfake" attacks. In our business model, subject to certain exceptions, we function as a merchant of record in connection with the receipt of payments by our clients’ customers, which subjects us to chargeback risk in the event a client’s customer cancels or otherwise does not receive the services for which such customer paid. This risk is heightened in sectors characterized by advanced bookings, extended delivery timelines, or elevated economic sensitivity—such as our travel, B2B, and for-profit education verticals. In these verticals, payors frequently purchase services, travel accommodations, or educational courses well in advance of performance. If a client in these or other sectors experiences severe financial difficulty, restructuring, or insolvency, or enters bankruptcy proceedings before fulfilling its obligations, payors may initiate chargebacks or demand full refunds. Because we act as merchant of record, payment card networks and acquiring banks hold us directly liable for these chargebacks. Although our client contracts allow us to pass such chargeback risk to our client, if a client has gone out of business or we are otherwise unable to collect on the chargeback, we will bear the economic loss, which can negatively impact our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loss of clients or a reduction in use of our solutions by our clients’ customers;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lost or delayed market acceptance and acquisition of new clients;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legal claims against us;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regulatory enforcement action; or</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diversion of our resources, including through increased service expenses or financial concessions, and increased insurance costs.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pStyle w:val="TextBody"/>
        <w:bidi w:val="0"/>
        <w:spacing w:lineRule="auto" w:line="288" w:before="0" w:after="200"/>
        <w:jc w:val="left"/>
        <w:rPr>
          <w:rFonts w:ascii="Arial;sans-serif" w:hAnsi="Arial;sans-serif"/>
          <w:b/>
          <w:i/>
          <w:color w:val="000000"/>
          <w:sz w:val="20"/>
        </w:rPr>
      </w:pPr>
      <w:bookmarkStart w:id="138" w:name="i54203426d4f6433da386b4fd9de6ad98"/>
      <w:bookmarkEnd w:id="138"/>
      <w:r>
        <w:rPr>
          <w:rFonts w:ascii="Arial;sans-serif" w:hAnsi="Arial;sans-serif"/>
          <w:b/>
          <w:i/>
          <w:color w:val="000000"/>
          <w:sz w:val="20"/>
        </w:rPr>
        <w:t>Our management of our operating funds and client funds may be reliant on a limited number of our banking partners and other financial institutions.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to certain verticals that we may choose to serve, as well as in selected geographical locations, our network of banking and other financial institution partners may be limited. As a result, although we seek to distribute financial and credit risk among multiple financial institutions, from time to time there may be a concentration of operating funds or client fund flows among a more limited number of financial institution partners. These partners are generally heavily regulated by national and local governments, and in some locations may be involved in a multitude of related businesses or part of larger, higher-profile financial conglomerates. These partners and suppliers are often subject to strict regulatory requirements and enforcement actions or may experience failures to satisfy capital adequacy conditions that result in a suspension of operations, seizure of assets or closure, which could materially impact the safeguarding of our operating funds or client funds. If we are not able to access, or are delayed in accessing, our own funds or if client funds were in any way impacted, we could be adversely impacted, including by experiencing reputational damage and claims for restitution, potentially interfering with our existing client relationships or making us less attractive to potential new clients.</w:t>
      </w:r>
    </w:p>
    <w:p>
      <w:pPr>
        <w:pStyle w:val="TextBody"/>
        <w:bidi w:val="0"/>
        <w:spacing w:lineRule="auto" w:line="288" w:before="0" w:after="200"/>
        <w:jc w:val="left"/>
        <w:rPr>
          <w:rFonts w:ascii="Arial;sans-serif" w:hAnsi="Arial;sans-serif"/>
          <w:b/>
          <w:i/>
          <w:color w:val="000000"/>
          <w:sz w:val="20"/>
        </w:rPr>
      </w:pPr>
      <w:bookmarkStart w:id="139" w:name="i62386a2ee6094d638be86d089a467ffa"/>
      <w:bookmarkEnd w:id="139"/>
      <w:r>
        <w:rPr>
          <w:rFonts w:ascii="Arial;sans-serif" w:hAnsi="Arial;sans-serif"/>
          <w:b/>
          <w:i/>
          <w:color w:val="000000"/>
          <w:sz w:val="20"/>
        </w:rPr>
        <w:t>Our marketable securities portfolio is subject to credit, liquidity, market, and interest rate risks that could cause its value to decline significantly and materially adversely affect our business, financial condition, results of operations, and prospects.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maintain an investment portfolio of marketable securities. These investments are subject to general credit, liquidity, market, and interest rate risks that can affect the income that we receive from our investments, the net realizable value of our investments, and our ability to sell them, which may be exacerbated by market downturns or events that affect global financial markets. As a result, we may experience a significant decline in value or loss of liquidity of our investments, which could materially adversely affect our business, financial condition, results of operations, and prospects. We attempt to mitigate these risks through diversification of our investments and continuous monitoring of our portfolio’s overall risk profile, but the value of our investments may nevertheless decline. To the extent that we increase the amount of our security investments in the future, these risks could be exacerbated.</w:t>
      </w:r>
    </w:p>
    <w:p>
      <w:pPr>
        <w:pStyle w:val="TextBody"/>
        <w:bidi w:val="0"/>
        <w:spacing w:lineRule="auto" w:line="288" w:before="0" w:after="200"/>
        <w:jc w:val="left"/>
        <w:rPr>
          <w:rFonts w:ascii="Arial;sans-serif" w:hAnsi="Arial;sans-serif"/>
          <w:b/>
          <w:i/>
          <w:color w:val="000000"/>
          <w:sz w:val="20"/>
        </w:rPr>
      </w:pPr>
      <w:bookmarkStart w:id="140" w:name="ib878775520de4b07b3575f07afe28b17"/>
      <w:bookmarkEnd w:id="140"/>
      <w:r>
        <w:rPr>
          <w:rFonts w:ascii="Arial;sans-serif" w:hAnsi="Arial;sans-serif"/>
          <w:b/>
          <w:i/>
          <w:color w:val="000000"/>
          <w:sz w:val="20"/>
        </w:rPr>
        <w:t>Volatility in the banking and financial services ecosystems may impact our bank partnerships and relationships, which could adversely affect our operations and liquidity.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Instability and volatility in the banking and financial services ecosystems, including limited liquidity, defaults, non-performance or other adverse developments that affect the banking ecosystem, or concerns or rumors about any such events or other similar risks, has and may in the future increase uncertainty in the global economy and the risk of a recession. Volatility in the banking and financial services sectors may impact our bank partnerships and relationships, which could adversely affect our operations and liquidity.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cash equivalents include money market funds, which are AAA-rated and comprised of liquid, high-quality debt securities issued by the U.S. government. Our access to our cash and cash equivalents and client funds could be significantly impacted in volatile markets given our concentration in government money market funds or impaired by the financial institutions with which we have arrangements directly, if such financial institutions are facing liquidity constraints or failures. We regularly maintain cash balances at third-party financial institutions in excess of the Federal Deposit Insurance Corporation (FDIC) insurance limit. A failure of a depository institution to return these deposits, or if a depository institution is subject to other adverse conditions in the financial or credit markets, could further impact access to our invested cash or cash equivalents and could adversely impact our operating liquidity, financial performance and ability to recover or repay client funds. If one or more of our bank partners were to fail and enter receivership proceedings, we may not be able to withdraw our or our clients' funds in excess of FDIC insurance limits, or may not be able to withdraw such funds in a timely manner, which could adversely affect our brand, business and results of operations, and may lead to regulatory or other claims or litigation, which may be costly to address.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pStyle w:val="TextBody"/>
        <w:bidi w:val="0"/>
        <w:spacing w:lineRule="auto" w:line="288" w:before="0" w:after="200"/>
        <w:jc w:val="left"/>
        <w:rPr>
          <w:rFonts w:ascii="Arial;sans-serif" w:hAnsi="Arial;sans-serif"/>
          <w:b/>
          <w:i/>
          <w:color w:val="000000"/>
          <w:sz w:val="20"/>
        </w:rPr>
      </w:pPr>
      <w:bookmarkStart w:id="141" w:name="i05cceb9eda5a4a7ea410e88f547ecc13"/>
      <w:bookmarkEnd w:id="141"/>
      <w:r>
        <w:rPr>
          <w:rFonts w:ascii="Arial;sans-serif" w:hAnsi="Arial;sans-serif"/>
          <w:b/>
          <w:i/>
          <w:color w:val="000000"/>
          <w:sz w:val="20"/>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In particular, the emergence and growing adoption of cryptocurrencies, including stablecoins, and related blockchain-based payment solutions may disrupt the traditional payments ecosystem in ways that could adversely affect our business. These technologies may enable new or existing competitors to offer cross-border payment and settlement services that are faster, lower cost, or otherwise more attractive than our solutions, including direct wallet-to-wallet transfers or alternative settlement rails that bypass intermediary financial institutions. As a result, merchants, payers, or financial institution partners in the verticals we serve may shift volume away from our platform or demand lower pricing, which could erode our revenue and margins. In addition, stablecoin- or cryptocurrency-based payment models may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reduce foreign exchange spreads, transaction fees, or other economic components of our offerings, alter customer expectations regarding speed and transparency, and increase competition from fintech companies, payment networks, or technology providers that leverage these technologies. The regulatory treatment of cryptocurrencies and stablecoins remains uncertain and continues to evolve, and new frameworks could accelerate adoption or enable broader participation by competitors. If cryptocurrencies or stablecoins gain broader acceptance as payment or settlement mechanisms, or if we are unable to adapt our platform, pricing, or product strategy effectively in response to these developments, our business, operating results, and financial condition could be harmed.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due to regulatory restrictions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pStyle w:val="TextBody"/>
        <w:bidi w:val="0"/>
        <w:spacing w:lineRule="auto" w:line="288" w:before="0" w:after="200"/>
        <w:jc w:val="left"/>
        <w:rPr>
          <w:rFonts w:ascii="Arial;sans-serif" w:hAnsi="Arial;sans-serif"/>
          <w:b/>
          <w:i/>
          <w:color w:val="000000"/>
          <w:sz w:val="20"/>
        </w:rPr>
      </w:pPr>
      <w:bookmarkStart w:id="142" w:name="ie8d42f09508d4dfda768f4696860b750"/>
      <w:bookmarkEnd w:id="142"/>
      <w:r>
        <w:rPr>
          <w:rFonts w:ascii="Arial;sans-serif" w:hAnsi="Arial;sans-serif"/>
          <w:b/>
          <w:i/>
          <w:color w:val="000000"/>
          <w:sz w:val="20"/>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NACHA, which manages the governance of the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clients for our failure or the failure of third parties with whom we contract to protect this data in accordance with PCI DSS and network requirements. The loss, destruction or unauthorized modification or disclosure of merchant or cardholder data by us or our contracted third parties could result in significant fines, sanctions, claims, litigation and proceedings or actions against us by the payment networks, governmental entities, clients, client customers or others and damage our reputation.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Similarly, there are existing regulatory regimes designed to protect the privacy of categories of personal or otherwise sensitive data. Relevant U.S. federal privacy laws include the FERPA, the Gramm-Leach-Bliley Act (GLBA), and HIPAA.</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and could materially adversely affect our reputation and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Threats may derive from human error, fraud, or malice on the part of employees or third parties, or from accidental technological failure. For example, certain of our FlyMates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Additionally, it is also possible that unauthorized access to sensitive customer and business data may be obtained through inadequate use of security controls by our clients, suppliers or other vendors.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 and our reputation may be harmed. Additional risks will emerge to the extent we incorporate artificial intelligence in our solutions. Artificial intelligence algorithms or automated processing of data may be flawed, and datasets may be insufficient or may use third party artificial intelligence with unclear intellectual property rights or interests. Inappropriate or controversial data practices by us or others could subject us to lawsuits, regulatory investigations, legal and financial liability, or reputational harm. Additionally, our use of artificial intelligence may create additional cybersecurity risks or increase cybersecurity risks, including risks of security breaches and incidents.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pStyle w:val="TextBody"/>
        <w:bidi w:val="0"/>
        <w:spacing w:lineRule="auto" w:line="288" w:before="0" w:after="200"/>
        <w:jc w:val="left"/>
        <w:rPr>
          <w:rFonts w:ascii="Arial;sans-serif" w:hAnsi="Arial;sans-serif"/>
          <w:b/>
          <w:i/>
          <w:color w:val="000000"/>
          <w:sz w:val="20"/>
        </w:rPr>
      </w:pPr>
      <w:bookmarkStart w:id="143" w:name="i3c752f1d893e4b5cbaa751f0b3d94155"/>
      <w:bookmarkEnd w:id="143"/>
      <w:r>
        <w:rPr>
          <w:rFonts w:ascii="Arial;sans-serif" w:hAnsi="Arial;sans-serif"/>
          <w:b/>
          <w:i/>
          <w:color w:val="000000"/>
          <w:sz w:val="20"/>
        </w:rPr>
        <w:t>Cyberattacks and security vulnerabilities can disrupt our business and harm our competitive position.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wars in the Ukraine and Middle East and continued political uncertainty involving Russia and Ukraine, Israel and Hamas and the ongoing conflict between the U.S., Iran and Israel, respectively, and potentially other regions of Europe and the Middle East, there is an increased likelihood that escalation of tensions could result in cyberattacks that could either directly or indirectly impact our operations. In addition, the development and implementation of AI technologies may further increase our exposure to or exacerbate the risks of cyberattacks or other security incidents, particularly where such technologies are exploited by third parties to breach our or other parties’ systems, including when such technologies are used to target our employees or impersonate members of senior management in order to gain unauthorized access to our systems. In addition, vulnerabilities in widely used third-party and open-source software, programming languages and other technology components on which we, our clients and our third-party providers rely may be discovered and exploited by threat actors, in some cases before a patch or other remediation is available or before it can be fully deployed across affected systems, and the use of AI tools to identify and exploit such vulnerabilities may shorten the time between their discovery or disclosure and their exploitation. Because of this, we face additional cybersecurity challenges, including threats to our own IT infrastructure or those of our clients, our clients’ customers,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business policies and internal security controls may not keep pace with these evolving threats. Despite the internal control measures, and security procedures we employ to safeguard our systems, we may still be vulnerable to a security breach, intrusion, or loss or theft of personal or sensitive data, which may harm our business, reputation and future financial results. The lost revenue and containment, remediation, investigation, legal and other costs could be significant and may exceed our insurance policy limits or may not be covered by insurance at all. Further, we may be subject to regulatory enforcement actions and litigation that could result in financial judgments or the payment of settlement amounts and disputes with insurance carriers concerning coverage. In addition, sufficient insurance coverage may become increasingly expensive to maintain as incidents increase globally.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i/>
          <w:color w:val="000000"/>
          <w:sz w:val="20"/>
        </w:rPr>
      </w:pPr>
      <w:bookmarkStart w:id="144" w:name="i59c2fae34f6c4b218dc2c4deb1786c2c"/>
      <w:bookmarkEnd w:id="144"/>
      <w:r>
        <w:rPr>
          <w:rFonts w:ascii="Arial;sans-serif" w:hAnsi="Arial;sans-serif"/>
          <w:b/>
          <w:i/>
          <w:color w:val="000000"/>
          <w:sz w:val="20"/>
        </w:rPr>
        <w:t>Our risk management efforts may not be effective to prevent fraudulent activities by our clients, FlyMates or other third parties, which could expose us to material financial losses and liability and otherwise harm our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advanced uses of AI for fraudulent purposes, compromised business email accounts, employee or insider fraud, account takeover, false applications, and fake invoicing. We may suffer losses from acts of financial fraud committed by our clients, our clients’ customers and purported customers, our FlyMates and payment partners or third parties.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FlyMates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 teams to investigate and remediate, or prompt us to reimburse our clients for such losses in order to maintain client business relationships.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current business, the changing and uncertain economic, geopolitical and regulatory environment, and our anticipated domestic and international growth will continue to place significant demands on our risk management and compliance efforts. As our business grows and becomes more complex, we will need to continue developing and improving and investing in our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pStyle w:val="TextBody"/>
        <w:bidi w:val="0"/>
        <w:spacing w:lineRule="auto" w:line="288" w:before="0" w:after="200"/>
        <w:jc w:val="left"/>
        <w:rPr>
          <w:rFonts w:ascii="Arial;sans-serif" w:hAnsi="Arial;sans-serif"/>
          <w:b/>
          <w:i/>
          <w:color w:val="000000"/>
          <w:sz w:val="20"/>
        </w:rPr>
      </w:pPr>
      <w:bookmarkStart w:id="145" w:name="ia2a7535ea1054b36b9f838622c719cb0"/>
      <w:bookmarkEnd w:id="145"/>
      <w:r>
        <w:rPr>
          <w:rFonts w:ascii="Arial;sans-serif" w:hAnsi="Arial;sans-serif"/>
          <w:b/>
          <w:i/>
          <w:color w:val="000000"/>
          <w:sz w:val="20"/>
        </w:rPr>
        <w:t>We rely on a third-party digital asset partner to process stablecoin transactions and facilitate fiat conversion. Any operational failure, security breach, or regulatory action affecting our third-party digital asset partner could expose us to additional financial, regulatory, operational, and market risks that could adversely affect our business, financial condition, and results of operations.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To enable our clients to offer stablecoin payment options, we partner with a third-party digital asset service provider (Digital Asset Partner). Under this arrangement, the Digital Asset Partner receives the stablecoins directly from the client's customer, converts the digital assets into fiat currency, and settles the fiat currency to us for payout to our client. We do not buy, sell, receive, transmit, custody, hold, issue, or exchange digital assets. However, we are highly dependent on the operational and financial stability of our Digital Asset Partner. If our Digital Asset Partner experiences system outages, cybersecurity breaches, insolvency, or loss of its regulatory authorizations or banking relationships, the conversion and settlement of funds could be delayed or frozen (temporarily or permanently).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Stablecoins also introduce additional operational and cybersecurity risks. The blockchain networks and digital wallets our Digital Asset Partner uses to process stablecoin transactions may be vulnerable to congestion, security breaches, hacking, phishing attacks, software bugs, hard forks, and network failures. Any of these could result in the loss or theft of stablecoin funds, for which we may have limited recourse due to the decentralized and irreversible nature of blockchain transactions. If our Digital Asset Partner, the public blockchain networks, or any stablecoin issuers experience insolvency, operational disruptions, or fraudulent activity, our Digital Asset Partner’s ability to process payments or convert stablecoins to fiat currency could be impaired, potentially leading to financial losses or liquidity constraints.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Although we operate exclusively in fiat currency, our Digital Asset Partner’s processing of stablecoin payments indirectly exposes us to complex, evolving, and uncertain digital asset regulations. The regulatory environment surrounding stablecoins remains uncertain and rapidly evolving. Legislatures and regulatory bodies, including foreign authorities, continue to evaluate whether stablecoins constitute securities, commodities, or other regulated financial instruments. Although our business model is limited to receiving and settling in fiat currency, regulators may interpret existing laws and regulations to apply to our activities or our integration with our Digital Asset Partner. In addition, new laws, regulations, or enforcement actions could impose significant compliance obligations on our Digital Asset Partner or on us, including additional licensing, AML and KYC requirements. This could restrict our ability to continue collaborating with our Digital Asset Partner, result in unfavorable changes in use, transfer, and redemption of stablecoins, or impose tax liabilities upon stablecoin holders. Noncompliance with such regulations, even unintentional, could result in fines, penalties, legal proceedings, and reputational harm. Furthermore, if a stablecoin issuer is deemed non-compliant with applicable laws, it could disrupt our payment operations or expose us to liability for including a non-compliant stablecoin as a payment option in our client’s checkout.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stablecoins utilized in our payment flows may be subject to "de-pegging" events (“De-pegging Event”) and market volatility and are not protected by deposit insurance. Although stablecoins are designed to maintain a stable value while being pegged to fiat currencies like the U.S. dollar, the stability and reliability of stablecoins are not guaranteed and depend on various factors beyond our control, including the financial health of the issuing entity, the adequacy and liquidity of reserve assets, and the effectiveness of the underlying stabilization mechanisms. A stablecoin that our Digital Asset Partner handles may experience a significant devaluation or De-pegging Event, where its market value drops materially below its intended fiat value peg due to algorithmic failures, lack of adequate reserve assets, or panic selling. If a De-pegging Event occurs during the window between a payer initiating a checkout and our Digital Asset Partner executing the conversion from stablecoin to fiat, it could result in a shortfall of fiat funds delivered to us, causing us to incur losses. A De-pegging Event could also cause disruptions in transaction processing and may cause our clients or our client's customers to lose confidence in us. All of these things could negatively impact our financial condition, operations, and reputation. Moreover, stablecoins are not subject to any deposit insurance protection scheme, and the presence of fiat currency reserves is not a guarantee for redemption. There is a possibility that the assets that stablecoin issuers hold in reserves are not sufficient or may not be available for redemption at times of extremely high demand. Volatility spikes in the cryptocurrency markets also might lead to De-pegging Events.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Stablecoins are a relatively new payment method, and they present additional risks related to market acceptance. If clients or their customers lose confidence in stablecoins due to volatility, scandals, legislative or regulatory actions, or other factors, demand for stablecoin payment options could decline or we would be forced to incur costs to adapt to such changes. Conversely, if we cease enabling stablecoin as a payment method in response to these risks, we may alienate a segment of our client or client’s customer base that prefers cryptocurrency payments, potentially reducing our market competitiveness.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Fluctuations in the broader cryptocurrency market could also indirectly impact stablecoin transactions. A significant downturn in cryptocurrency prices or public sentiment could trigger redemption pressures on stablecoin issuers, straining their reserves and increasing the likelihood of instability. Such events could disrupt our Digital Asset Partner’s payment processing capabilities and financial position and, in turn, negatively impact our financial condition, operations, and reputation</w:t>
      </w:r>
    </w:p>
    <w:p>
      <w:pPr>
        <w:pStyle w:val="TextBody"/>
        <w:bidi w:val="0"/>
        <w:spacing w:lineRule="auto" w:line="288" w:before="0" w:after="200"/>
        <w:jc w:val="left"/>
        <w:rPr>
          <w:rFonts w:ascii="Arial;sans-serif" w:hAnsi="Arial;sans-serif"/>
          <w:b/>
          <w:i/>
          <w:color w:val="000000"/>
          <w:sz w:val="20"/>
        </w:rPr>
      </w:pPr>
      <w:bookmarkStart w:id="146" w:name="iace8ed4d59384716b156af8573a29713"/>
      <w:bookmarkEnd w:id="146"/>
      <w:r>
        <w:rPr>
          <w:rFonts w:ascii="Arial;sans-serif" w:hAnsi="Arial;sans-serif"/>
          <w:b/>
          <w:i/>
          <w:color w:val="000000"/>
          <w:sz w:val="20"/>
        </w:rPr>
        <w:t>If we fail to adapt and respond effectively to rapidly and significantly changing technology, evolving industry standards, changing regulations, and changing business needs, requirements, or preferences, or if we fail to continue to grow and develop our payments solutions, our business may be materially and adversely affected.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Rapid and significant technological changes, evolving industry standards, changing regulations and business needs continue to confront the verticals in which we operate, including developments in digital banking, open banking, mobile financial apps, as well as developments in cryptocurrencies and in tokenization (e.g., replacing sensitive data such as payment card information) with symbols (tokens) to keep the data safe), blockchain, and artificial intelligence, including machine learning. The success of our business will depend, in part, on our ability to adapt and respond effectively to these changes through methods which include launching new solutions and incorporating new technologies, such as generative artificial intelligence, into our solutions.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Spain, Romania, the United States, Israel and Australia),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p>
    <w:p>
      <w:pPr>
        <w:pStyle w:val="TextBody"/>
        <w:bidi w:val="0"/>
        <w:spacing w:lineRule="auto" w:line="288" w:before="0" w:after="200"/>
        <w:jc w:val="left"/>
        <w:rPr>
          <w:rFonts w:ascii="Arial;sans-serif" w:hAnsi="Arial;sans-serif"/>
          <w:b/>
          <w:i/>
          <w:color w:val="000000"/>
          <w:sz w:val="20"/>
        </w:rPr>
      </w:pPr>
      <w:bookmarkStart w:id="147" w:name="ie9811e8dee7241f0a252204c1d301ba6"/>
      <w:bookmarkEnd w:id="147"/>
      <w:r>
        <w:rPr>
          <w:rFonts w:ascii="Arial;sans-serif" w:hAnsi="Arial;sans-serif"/>
          <w:b/>
          <w:i/>
          <w:color w:val="000000"/>
          <w:sz w:val="20"/>
        </w:rPr>
        <w:t>We use artificial intelligence (AI) in our solutions and services which may result in operational challenges, legal liability, reputational harm, competitive risks and regulatory and enhanced fraud concerns that could adversely affect our business and results of operations.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incorporate AI, including generative AI, into our solutions and services, including into our payor virtual assistant self-help chatbot. We may also incorporate or resell third-party AI technology into the services we provide to our clients. In addition, as part of our broader digital transformation strategy, we are integrating artificial intelligence to support our internal business functions and exploring additional uses for the future. These technologies are complex and rapidly evolving and building them requires significant investment in infrastructure and personnel with no assurance that we will realize the desired or anticipated benefits. There is no assurance that the usage of such AI-powered solutions, whether developed in-house or sourced from third-parties, will enhance our business, or otherwise help our operations become more effective, efficient, or profitable. The models underlying our AI-powered solutions may be incorrectly or inadequately designed or implemented. They may also be trained on, or otherwise use, biased, incomplete, inaccurate, misleading, or poor-quality data or algorithms, any of which may not be easily detectable. AI-powered solutions may also be adversely impacted by unforeseen defects, technical challenges, cyberattacks, cybersecurity breaches, service outages or other similar incidents, or material performance issues. Accordingly, our use or delivery to our clients of AI-powered solutions may inadvertently reduce our effectiveness and efficiency or generate unintentional or unexpected outputs (including any AI-generated content, analyses, or recommendations) that are, or are perceived to be, biased, incomplete, inaccurate, misleading, poor-quality, unethical, or otherwise deficient or flawed, do not match our business goals, standards, or values, do not comply with our policies or procedures, harm our brand or reputation, negatively impact our clients or clients’ customers or partners, or otherwise interfere with the performance of our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rapid adoption of generative AI technologies—such as OpenAI’s ChatGPT, Anthropic's Claude and similar tools—may adversely impact certain categories of our traditional clients, including online learning platforms and education technology providers. As students increasingly use AI tools as substitutes for conventional digital learning and tutoring services, these clients could experience reduced demand for their offerings, which in turn may decrease the volume of transactions processed through our platform and negatively affect our results of operations.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competitors may more successfully or more quickly incorporate AI into their products and achieve higher market acceptance of their AI solutions, which could impair our ability to compete effectively and adversely affect our results of operations, and we may also encounter new risks, challenges, and unintended consequences as a result of our use of AI. For example, the issue of intellectual property ownership and license rights surrounding AI technologies has not been fully addressed by U.S. or international courts or federal or state laws and regulations. We may not have adequate rights to use the data on which our AI-powered solutions rely. To the extent that we do not have sufficient rights to use the data used in, or produced by, the AI-powered solutions employed in our business and operations, we could be exposed to intellectual property claims or mandatory compliance with open-source software or other license terms. Further, any content or other output created by us using AI-powered solutions may not be subject to copyright protection, which may adversely affect our ability to commercialize or use, or the validity or enforceability of any IP rights in, such content or other output.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Our use of AI may also lead to novel cybersecurity or privacy risks, including those that implicate the confidential and personal information of users of AI-powered solutions, which may adversely affect our operations and reputation and expose us to legal liability or regulatory risks, including with respect to third-party IP rights or privacy, publicity, contractual, or other rights. If any of our employees, contractors, or other third parties with whom we partner input confidential or personal information while using any third-party AI-powered solution in connection with our business or the products, solutions, and services they provide to us, such practice may lead to the inadvertent disclosure of such confidential 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personal information, which may impact our ability to realize the benefit of, or adequately obtain, maintain, protect, defend, and enforce our IP rights in, such information or otherwise harm our competitive position, reputation, or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European Union’s Artificial Intelligence Act (the EU AI Act), which would apply beyond the European Union's borders, came into force in August 2024, and various other governments have proposed or adopted policy and regulatory responses to oversee the use of AI. There is a risk that our current or future AI-powered solutions may obligate us to comply with the applicable requirements of the EU AI Act, which may impose additional costs on us, increase our risk of liability and fines, or otherwise adversely affect our business, financial condition, operating results, and future prospects. Compliance with other regulations as well as social and ethical standards and client expectations relating to AI may require significant research and development costs as well as management and employee attention. Any actual or perceived failure to comply with these laws, regulations, ethical standards or expectations could include severe penalties, reputational harm, and slow adoption of AI in our solutions and services. In addition, our business may be disrupted if any of the third-party AI services we use become unavailable due to extended outages or commercially unreasonable terms of service.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the nefarious and fraudulent uses of AI by bad actors could lead to reputational damage if we fail, or are perceived to fail, to align our AML, KYC, sanctions and verification screening policies, procedures and protocols to detect fraudulent activity relating to the use of AI. Such failures may result in financial loss to our business, other fines, penalties or disciplinary actions imposed by regulators, lawsuits and claims from negatively impacted clients or payors, and may also erode trust in the use of our services by clients and our clients’ customers. Although we take steps designed to mitigate the risks associated with the use of AI in our business and operations, our use or the use of AI for fraudulent purposes by bad actors may present ethical, reputational, technical, operational, legal, competitive, or regulatory risks, any of which could adversely affect our business, financial condition, operating results, and future prospects.</w:t>
      </w:r>
    </w:p>
    <w:p>
      <w:pPr>
        <w:pStyle w:val="TextBody"/>
        <w:bidi w:val="0"/>
        <w:spacing w:lineRule="auto" w:line="288" w:before="0" w:after="200"/>
        <w:jc w:val="left"/>
        <w:rPr>
          <w:rFonts w:ascii="Arial;sans-serif" w:hAnsi="Arial;sans-serif"/>
          <w:b/>
          <w:i/>
          <w:color w:val="000000"/>
          <w:sz w:val="20"/>
        </w:rPr>
      </w:pPr>
      <w:bookmarkStart w:id="148" w:name="i9b9cc1d18f35438a858d4b39a22f40d1"/>
      <w:bookmarkEnd w:id="148"/>
      <w:r>
        <w:rPr>
          <w:rFonts w:ascii="Arial;sans-serif" w:hAnsi="Arial;sans-serif"/>
          <w:b/>
          <w:i/>
          <w:color w:val="000000"/>
          <w:sz w:val="20"/>
        </w:rPr>
        <w:t>Our operational and systems transformation program may not be successful.</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operational and systems transformation initiative involves a multi-year roadmap with accelerated focus and planned "go lives" over its first 18-months aimed at rebuilding our foundational enterprise operating systems, consolidating disparate software applications, establishing a certified data architecture, and deploying enterprise-wide agentic artificial intelligence workflows. Because this initiative involves a highly complex, multi-dimensional modification of our people, processes, governance, and technology, it is subject to substantial execution risks. Inadequate or defective implementation of core enterprise software platforms, and shortcomings in the consolidation and/or integration of disparate software applications (and in certain instances replacing legacy applications with new ones) could result in significant project delays, systemic operational disruptions, or total project failure. In addition, we may have challenges implementing these replacement systems and driving efficient and effective adoption and use within our employee base, which can create lapses in productivity and magnify the potential for human error. Furthermore, if our data architecture fails to enforce proper data governance and data contracts, or if there are material errors or discrepancies in data conversion and migration cycles, our upstream business metrics will be compromised. This could lead to a systemic failure to achieve our target "Single Source of Truth," which would severely undermine the performance, reliability, and security of our downstream models and automated forecasting tools.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vast operational scope of the transformation program demands a significant commitment of internal subject matter experts and has resulted in a substantial focus of management and engineering resources away from day-to-day operations and business-as-usual strategic goals. By aligning our core innovation strategies so heavily with specific strategic partners, and centering our digital infrastructure around select technical ecosystems, we face considerable opportunity costs and reliance on third-party vendors to deliver timely on architected solutions. These dependencies could cause us to lose valuable opportunities to spend capital on, or develop, alternative or superior technologies that may emerge in the rapidly evolving artificial intelligence and data management markets. If our management team is unable to successfully balance these competing operational demands, our core product timelines, client relationship management activities, and global payment network support capabilities may suffer, which could materially and adversely affect our competitive positioning, financial health, and overall growth trajectory.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Financially, the transformation program requires a substantial financial commitment, including initial capital expenditure alongside millions of dollars in incremental recurring software-as-a-service (SaaS) licensing fees and ongoing platform investments. Despite our efforts to maintain rigid budget discipline, we face the distinct possibility of significant cost overruns due to unforeseen engineering complexities, integration bottlenecks across disparate third-party systems, regional talent constraints, evolving global regulatory standards, or extended vendor deployment timelines. The ultimate commercial success and return on investment of the transformation program are deeply contingent upon our ability to capture significant long-term operational savings and drive aggressive structural productivity gains. If we experience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implementation delays, high personnel attrition within our newly reorganized data and systems squads, or an inability to successfully transition historical manual and spreadsheet-based workflows into automated processes, our anticipated cost structure improvements will fail to materialize. Under such circumstances, we may not achieve our anticipated cost savings or operating efficiencies, which could result in asset impairments and harm our operating margins and net income.</w:t>
      </w:r>
    </w:p>
    <w:p>
      <w:pPr>
        <w:pStyle w:val="TextBody"/>
        <w:bidi w:val="0"/>
        <w:spacing w:lineRule="auto" w:line="288" w:before="0" w:after="200"/>
        <w:jc w:val="left"/>
        <w:rPr>
          <w:rFonts w:ascii="Arial;sans-serif" w:hAnsi="Arial;sans-serif"/>
          <w:b/>
          <w:i/>
          <w:color w:val="000000"/>
          <w:sz w:val="20"/>
        </w:rPr>
      </w:pPr>
      <w:bookmarkStart w:id="149" w:name="ie26ffea54feb4dd79e5129e534caa74a"/>
      <w:bookmarkEnd w:id="149"/>
      <w:r>
        <w:rPr>
          <w:rFonts w:ascii="Arial;sans-serif" w:hAnsi="Arial;sans-serif"/>
          <w:b/>
          <w:i/>
          <w:color w:val="000000"/>
          <w:sz w:val="20"/>
        </w:rPr>
        <w:t>Changes to payment card networks fees or rules could harm our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are required to comply with Mastercard, American Express, and Visa payment card network operating rules and the rules of other regional card (such as China UnionPay or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(including demanding a cash reserve from Flywire) that could negatively impact our margins.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Additionally, from time to time, American Express and the card networks, including Visa and Mastercard, increase the fees that they charge processors. Changes in pricing, fee structures, or network rules by American Express or other card networks could adversely affect our costs and margins. We rely on global card networks, including American Express, to process certain payment types, and these networks may from time to time modify their interchange rates, assessments, discount fees, or other pricing components, or apply different cost structures based on the nature of an underlying transaction (such as education, travel, healthcare, or other categories) or the manner in which Flywire or our transactions are classified under their rules. If a card network were to reclassify Flywire, our customers, or specific payment flows, or to increase fees applicable to one or more of our core verticals, we may be unable to fully pass those increased costs on to customers without adversely affecting demand, competitiveness, or customer relationships.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pStyle w:val="TextBody"/>
        <w:bidi w:val="0"/>
        <w:spacing w:lineRule="auto" w:line="288" w:before="0" w:after="200"/>
        <w:jc w:val="left"/>
        <w:rPr>
          <w:rFonts w:ascii="Arial;sans-serif" w:hAnsi="Arial;sans-serif"/>
          <w:b/>
          <w:i/>
          <w:color w:val="000000"/>
          <w:sz w:val="20"/>
        </w:rPr>
      </w:pPr>
      <w:bookmarkStart w:id="150" w:name="ic8024f4f3efd4875bfb68fe0d8de390a"/>
      <w:bookmarkEnd w:id="150"/>
      <w:r>
        <w:rPr>
          <w:rFonts w:ascii="Arial;sans-serif" w:hAnsi="Arial;sans-serif"/>
          <w:b/>
          <w:i/>
          <w:color w:val="000000"/>
          <w:sz w:val="20"/>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Flywire's platform is designed to integrate with a broad ecosystem of ERP and financial management systems, such as Workday and Oracle for B2B payments, Oracle, Workday and Ellucian for education, Epic Systems for healthcare, and Rezdy for travel. These integrations enhance our ability to streamline complex flows, improve operational efficiency, and deepen our value proposition across vertical markets.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We also rely on our proprietary global payment network comprised of leading global, regional and local banks and technology and payment partners. If we do not or cannot maintain the interoperability of their products or services or the products of our key software vendors that are integral to our solutions, our business may be materially and adversely affected. These third parties periodically update and change their systems, and although we have been able to adapt our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If any of the third party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pStyle w:val="TextBody"/>
        <w:bidi w:val="0"/>
        <w:spacing w:lineRule="auto" w:line="288" w:before="0" w:after="200"/>
        <w:jc w:val="left"/>
        <w:rPr>
          <w:rFonts w:ascii="Arial;sans-serif" w:hAnsi="Arial;sans-serif"/>
          <w:b/>
          <w:i/>
          <w:color w:val="000000"/>
          <w:sz w:val="20"/>
        </w:rPr>
      </w:pPr>
      <w:bookmarkStart w:id="151" w:name="i4b41f991f956419eaf283938f45e565f"/>
      <w:bookmarkEnd w:id="151"/>
      <w:r>
        <w:rPr>
          <w:rFonts w:ascii="Arial;sans-serif" w:hAnsi="Arial;sans-serif"/>
          <w:b/>
          <w:i/>
          <w:color w:val="000000"/>
          <w:sz w:val="20"/>
        </w:rPr>
        <w:t>If we fail to maintain, protect and enhance our brand, our ability to expand our client base will be impaired and our business, operating results, and financial condition may suffer.</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believe that further developing, maintaining, protecting and enhancing our brand domestically and on a global basis is important to support the marketing and sale of our existing and future solutions to existing and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our solutions from competitive solutions. Our brand promotion activities may not generate client awareness or yield increased revenue, and even if they do, any increased revenue may not offset the expenses we incur in maintaining and building our brand. If we fail to successfully promote and maintain our brand or if we incur excessive expenses in this effort, our business could suffer.</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introduction and promotion of new solutions, as well as the promotion of existing solutions, may be partly dependent on our visibility on third-party advertising platforms, such as Google, LinkedIn, Facebook, or X. Changes in the way these platforms operate or changes in their advertising prices, data use practices or other terms could make the maintenance and promotion of our products and services and our brands more expensive or more difficult. If we are unable to market and promote our brands on third-party platforms effectively, our ability to acquire new clients would be materially harmed.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Harm to our brand can arise from many sources, including failure by us or our partners and service providers to satisfy expectations of service and quality; inadequate protection or misuse of sensitive information; fraud committed by third parties using our solutions; compliance failures and claims; litigation, regulatory and other claims; errors caused by us or our partners; and misconduct by our partners, service providers, or other counterparties. In addition, negative statements about us can cause and have caused a decline in the market price of our common stock, divert our management’s attention and resources, and could cause other adverse impacts to our business. Partners with whom we maintain relationships could engage in behavior or use their platforms to communicate directly with our clients and their customers in a manner that reflects poorly on our brand and such behavior or communications may adversely affect us. Further, negative publicity or commentary regarding the partners who are, or are perceived to be, affiliated with us may also damage our reputation, even if the negative publicity or commentary is not directly related to us. Any negative publicity about the industries we operate in or our company, the quality and reliability of our solutions, our risk management processes, changes to our products and services, our ability to effectively manage and resolve customer complaints, our privacy, data protection, and information security practices, litigation, regulatory activity, policy positions, and the experience of our clients and their customers with us, our products or services could adversely affect our reputation and the confidence in and use of our solutions. If we do not successfully maintain, protect or enhance our brands, our business could be materially and adversely affected.</w:t>
      </w:r>
    </w:p>
    <w:p>
      <w:pPr>
        <w:pStyle w:val="TextBody"/>
        <w:bidi w:val="0"/>
        <w:spacing w:lineRule="auto" w:line="288" w:before="0" w:after="200"/>
        <w:jc w:val="left"/>
        <w:rPr>
          <w:rFonts w:ascii="Arial;sans-serif" w:hAnsi="Arial;sans-serif"/>
          <w:b/>
          <w:i/>
          <w:color w:val="000000"/>
          <w:sz w:val="20"/>
        </w:rPr>
      </w:pPr>
      <w:bookmarkStart w:id="152" w:name="ie7a3a340591b4eec996bdd89e89ebf26"/>
      <w:bookmarkEnd w:id="152"/>
      <w:r>
        <w:rPr>
          <w:rFonts w:ascii="Arial;sans-serif" w:hAnsi="Arial;sans-serif"/>
          <w:b/>
          <w:i/>
          <w:color w:val="000000"/>
          <w:sz w:val="20"/>
        </w:rPr>
        <w:t>If we lose key members of our management team or are unable to attract and retain executives and employees we need to support our operations and growth, our business may be harmed.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Changes in our senior management may be disruptive to our business, and, if we are unable to manage an orderly transition, our business may be adversely affected. We currently have “key person” insurance on our Chief Executive Officer, Michael Massaro, but not for any other members of our management team. Certain of our key employees have been with us for a long period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time and have fully vested stock options or other long-term equity incentives that are or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pStyle w:val="TextBody"/>
        <w:bidi w:val="0"/>
        <w:spacing w:lineRule="auto" w:line="288" w:before="0" w:after="200"/>
        <w:jc w:val="left"/>
        <w:rPr>
          <w:rFonts w:ascii="Arial;sans-serif" w:hAnsi="Arial;sans-serif"/>
          <w:b/>
          <w:i/>
          <w:color w:val="000000"/>
          <w:sz w:val="20"/>
        </w:rPr>
      </w:pPr>
      <w:bookmarkStart w:id="153" w:name="i2fc4b6eaba394cbcb6f950cc2595990f"/>
      <w:bookmarkEnd w:id="153"/>
      <w:r>
        <w:rPr>
          <w:rFonts w:ascii="Arial;sans-serif" w:hAnsi="Arial;sans-serif"/>
          <w:b/>
          <w:i/>
          <w:color w:val="000000"/>
          <w:sz w:val="20"/>
        </w:rPr>
        <w:t>The failure to attract and retain additional qualified personnel could prevent us from executing our business strategy and growth plans.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In addition, immigration policy and regulatory changes may also affect our ability to hire, mobilize, or retain some of our global talent. If we fail to identify, attract, develop and integrate new personnel, or fail to retain and motivate our current personnel, our growth prospects would be adversely affected.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rely on highly skilled employees, including software engineers and product specialists, many of whom are foreign nationals working in the United States under H-1B and other temporary work visas. In September 2025, the U.S. government announced its plans to require employers pay a $100,000 filing fee per H-1B visa petition to bring new H-1B workers into the U.S. The new H-1B visa fee would not apply to international students already in the U.S. looking to apply for a status change, but this new requirement would significantly increase the cost of employing new foreign nationals in the U.S and could materially impact our operating expenses and our ability to attract specialized talent. If these visa-related costs remain in effect or increase further, we may be required to reduce our reliance on new H-1B visa holders or absorb materially higher personnel costs, either of which could negatively affect our financial performance. In addition, the number of H-1B visas available each year is limited by quota and lottery, and future changes in immigration laws or enforcement could further restrict our access to qualified foreign workers. Our inability to recruit or retain critical technical and operational talent—whether due to higher visa costs, policy changes, or processing delays—could hinder our ability to innovate, maintain our technology infrastructure, or expand internationally. In June 2026, the U.S. District Court for the District of Massachusetts issued an order barring implementation of the $100,000 fee, which the U.S. Court of Appeals for the First Circuit declined to stay in July 2026, and on September 30, 2026, the U.S. District Court for the Northern District of California separately blocked implementation of the fee. The U.S. government has since extended the presidential proclamation imposing the fee for an additional year, and in August 2026, the U.S. Department of Homeland Security proposed a rule that would establish a permanent fee of approximately $103,000 for certain new H-1B petitions. The status and validity of the fee therefore remain subject to ongoing litigation and rulemaking.</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new visa fee requirement could also indirectly affect our global operations. Increased hiring costs in the United States may lead us to reallocate engineering or compliance resources abroad, resulting in higher coordination costs, reduced operational efficiency, or delays in product development. If we are unable to effectively manage these transitions or attract equivalent talent in other jurisdictions, our business, financial condition, and results of operations could be materially and adversely affected.</w:t>
      </w:r>
    </w:p>
    <w:p>
      <w:pPr>
        <w:pStyle w:val="TextBody"/>
        <w:bidi w:val="0"/>
        <w:spacing w:lineRule="auto" w:line="288" w:before="0" w:after="200"/>
        <w:jc w:val="left"/>
        <w:rPr>
          <w:rFonts w:ascii="Arial;sans-serif" w:hAnsi="Arial;sans-serif"/>
          <w:b/>
          <w:i/>
          <w:color w:val="000000"/>
          <w:sz w:val="20"/>
        </w:rPr>
      </w:pPr>
      <w:bookmarkStart w:id="154" w:name="i0dcb48b547bf4ae8a96d087229b77737"/>
      <w:bookmarkEnd w:id="154"/>
      <w:r>
        <w:rPr>
          <w:rFonts w:ascii="Arial;sans-serif" w:hAnsi="Arial;sans-serif"/>
          <w:b/>
          <w:i/>
          <w:color w:val="000000"/>
          <w:sz w:val="20"/>
        </w:rPr>
        <w:t>If we cannot maintain our company culture as we grow, our success and our business may be harmed.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continue to develop our infrastructure, we may find it difficult to maintain these important aspects of our culture. If we fail to maintain our culture, our business and competitive position may be adversely affected.</w:t>
      </w:r>
    </w:p>
    <w:p>
      <w:pPr>
        <w:pStyle w:val="TextBody"/>
        <w:bidi w:val="0"/>
        <w:spacing w:lineRule="auto" w:line="288" w:before="0" w:after="200"/>
        <w:jc w:val="left"/>
        <w:rPr>
          <w:rFonts w:ascii="Arial;sans-serif" w:hAnsi="Arial;sans-serif"/>
          <w:b/>
          <w:i/>
          <w:color w:val="000000"/>
          <w:sz w:val="20"/>
        </w:rPr>
      </w:pPr>
      <w:bookmarkStart w:id="155" w:name="i1da9b8f82c5b4b0f8933c542f4578015"/>
      <w:bookmarkEnd w:id="155"/>
      <w:r>
        <w:rPr>
          <w:rFonts w:ascii="Arial;sans-serif" w:hAnsi="Arial;sans-serif"/>
          <w:b/>
          <w:i/>
          <w:color w:val="000000"/>
          <w:sz w:val="20"/>
        </w:rPr>
        <w:t>Our sales cycles may be long and vary.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devote significant resources to establish relationships with new clients and deepen relationships with existing clients. The sales cycles of our solutions tend to vary depending on the client industry sector which makes forecasting more complex and uncertain.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heightened inflationary conditions, regulatory concerns, recession concerns, priorities of the U.S. presidential administration and related changes in laws, regulations or policies, and the escalation of hostilities between Russia and Ukraine, or the ongoing conflict between the U.S., Iran and Israel in the Middle East or the failure of an agreed-upon peace in the conflict between Israel and Hamas to become permanent),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p>
    <w:p>
      <w:pPr>
        <w:pStyle w:val="TextBody"/>
        <w:bidi w:val="0"/>
        <w:spacing w:lineRule="auto" w:line="288" w:before="0" w:after="200"/>
        <w:jc w:val="left"/>
        <w:rPr>
          <w:rFonts w:ascii="Arial;sans-serif" w:hAnsi="Arial;sans-serif"/>
          <w:b/>
          <w:i/>
          <w:color w:val="000000"/>
          <w:sz w:val="20"/>
        </w:rPr>
      </w:pPr>
      <w:bookmarkStart w:id="156" w:name="ie3bc6648394e4921b1c40652ea910f8a"/>
      <w:bookmarkEnd w:id="156"/>
      <w:r>
        <w:rPr>
          <w:rFonts w:ascii="Arial;sans-serif" w:hAnsi="Arial;sans-serif"/>
          <w:b/>
          <w:i/>
          <w:color w:val="000000"/>
          <w:sz w:val="20"/>
        </w:rPr>
        <w:t>We typically incur significant upfront costs in our client relationships, and if we are unable to develop or grow these relationships over time, we are unlikely to recover these costs and our operating results may suffer.</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maintain profitability. Any increased or unexpected costs or unanticipated delays, including delays caused by factors outside of our control, could cause our operating results to suffer.</w:t>
      </w:r>
    </w:p>
    <w:p>
      <w:pPr>
        <w:pStyle w:val="TextBody"/>
        <w:bidi w:val="0"/>
        <w:spacing w:lineRule="auto" w:line="288" w:before="0" w:after="200"/>
        <w:jc w:val="left"/>
        <w:rPr>
          <w:rFonts w:ascii="Arial;sans-serif" w:hAnsi="Arial;sans-serif"/>
          <w:b/>
          <w:i/>
          <w:color w:val="000000"/>
          <w:sz w:val="20"/>
        </w:rPr>
      </w:pPr>
      <w:bookmarkStart w:id="157" w:name="i769f79e48b794856ab6fcef3dbf46ee3"/>
      <w:bookmarkEnd w:id="157"/>
      <w:r>
        <w:rPr>
          <w:rFonts w:ascii="Arial;sans-serif" w:hAnsi="Arial;sans-serif"/>
          <w:b/>
          <w:i/>
          <w:color w:val="000000"/>
          <w:sz w:val="20"/>
        </w:rPr>
        <w:t>If we fail to offer high-quality client support, or if our support is more expensive than anticipated, our business and reputation could suffer.</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failure to scale our client service organization adequately may adversely impact our business results and financial condition.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as we continue to operate and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p>
    <w:p>
      <w:pPr>
        <w:pStyle w:val="TextBody"/>
        <w:bidi w:val="0"/>
        <w:spacing w:lineRule="auto" w:line="288" w:before="0" w:after="200"/>
        <w:jc w:val="left"/>
        <w:rPr>
          <w:rFonts w:ascii="Arial;sans-serif" w:hAnsi="Arial;sans-serif"/>
          <w:b/>
          <w:i/>
          <w:color w:val="000000"/>
          <w:sz w:val="20"/>
        </w:rPr>
      </w:pPr>
      <w:bookmarkStart w:id="158" w:name="i556589e21b604cdba91b0e885c96278a"/>
      <w:bookmarkEnd w:id="158"/>
      <w:r>
        <w:rPr>
          <w:rFonts w:ascii="Arial;sans-serif" w:hAnsi="Arial;sans-serif"/>
          <w:b/>
          <w:i/>
          <w:color w:val="000000"/>
          <w:sz w:val="20"/>
        </w:rPr>
        <w:t>We may require additional capital to support the growth of our business, and this capital might not be available on acceptable terms, if at all.</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have funded our operations since inception primarily through equity and debt financings, sales of our solutions, and fees. We cannot be certain if our operations will continue to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lineRule="auto" w:line="288" w:before="0" w:after="200"/>
        <w:jc w:val="left"/>
        <w:rPr>
          <w:rFonts w:ascii="Arial;sans-serif" w:hAnsi="Arial;sans-serif"/>
          <w:b/>
          <w:i/>
          <w:color w:val="000000"/>
          <w:sz w:val="20"/>
        </w:rPr>
      </w:pPr>
      <w:bookmarkStart w:id="159" w:name="i1854a66668e74e448cac713f8a48705f"/>
      <w:bookmarkEnd w:id="159"/>
      <w:r>
        <w:rPr>
          <w:rFonts w:ascii="Arial;sans-serif" w:hAnsi="Arial;sans-serif"/>
          <w:b/>
          <w:i/>
          <w:color w:val="000000"/>
          <w:sz w:val="20"/>
        </w:rPr>
        <w:t>Our business could be harmed as a result of the risks associated with our acquisitions.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connection with any potential acquisitions, particularly of businesses with legacy or less robust information technology and cybersecurity controls than ours, we may face heightened vulnerability to cybersecurity threats, including pre-existing or undiscovered compromises which may lead to data loss, interruptions, increased integration and remediation costs, regulatory investigations, reputational harm, and other adverse impacts.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pStyle w:val="TextBody"/>
        <w:bidi w:val="0"/>
        <w:spacing w:lineRule="auto" w:line="288" w:before="0" w:after="120"/>
        <w:ind w:left="0" w:right="0" w:firstLine="490"/>
        <w:jc w:val="left"/>
        <w:rPr>
          <w:rFonts w:ascii="Arial;sans-serif" w:hAnsi="Arial;sans-serif"/>
          <w:b w:val="false"/>
          <w:color w:val="000000"/>
          <w:sz w:val="20"/>
        </w:rPr>
      </w:pPr>
      <w:r>
        <w:rPr>
          <w:rFonts w:ascii="Arial;sans-serif" w:hAnsi="Arial;sans-serif"/>
          <w:b w:val="false"/>
          <w:color w:val="000000"/>
          <w:sz w:val="20"/>
        </w:rPr>
        <w:t>Any acquisitions we undertake or have recently completed, including the acquisitions of Sertifi in February 2025 and Invoiced in August 2024, will likely be accompanied by business risks which may include, among other things: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effect of the acquisition on our financial results, strategic position or reputation;</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failure of an acquisition to result in expected benefits, which may include benefits relating to enhanced revenues, technology, human resources, costs savings, operating efficiencies, goodwill and other synergies;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difficulty, cost and management effort required to integrate the acquired businesses, including costs and delays in implementing common systems and procedures and costs and delays caused by communication difficulties;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assumption of certain known or unknown liabilities of the acquired business, including litigation-related liabilities;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reduction of our cash available for operations and other uses, the increase in amortization expense related to identifiable assets acquired, potentially dilutive issuances of equity securities or the incurrence of debt;</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a lack of experience in new markets, new geographies, new business culture, products or technologies or an initial dependence on unfamiliar distribution partners;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possibility that we will pay more than the value we derive from the acquisition;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impairment of relationships with our clients, clients' customers, partners or suppliers or those of the acquired business; and</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the potential loss of key employees of the acquired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These factors could harm our business, results of operations or financial condition.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Sertifi has been the largest acquisition in our operating history. We may not realize the anticipated benefits of our acquisition of Sertifi on the expected timeline or at all, which could adversely affect our business and financial results. Achieving expected synergies depends on, among other things, the successful integration and reconciliation of Sertifi’s platform and data with our existing systems, the effective monetization of acquired payment flows, and the onboarding and migration of Sertifi’s legacy customers to Flywire’s platform, each of which may prove more complex, time-consuming, or costly than anticipated. Delays or challenges in these areas could increase operating expenses, limit revenue growth, and reduce the strategic and financial benefits we expected from the transaction.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pStyle w:val="TextBody"/>
        <w:bidi w:val="0"/>
        <w:spacing w:lineRule="auto" w:line="288" w:before="0" w:after="200"/>
        <w:jc w:val="left"/>
        <w:rPr>
          <w:rFonts w:ascii="Arial;sans-serif" w:hAnsi="Arial;sans-serif"/>
          <w:b/>
          <w:i/>
          <w:color w:val="000000"/>
          <w:sz w:val="20"/>
        </w:rPr>
      </w:pPr>
      <w:bookmarkStart w:id="160" w:name="ieb24ea3050ab4670a0ae5cab19a08fed"/>
      <w:bookmarkEnd w:id="160"/>
      <w:r>
        <w:rPr>
          <w:rFonts w:ascii="Arial;sans-serif" w:hAnsi="Arial;sans-serif"/>
          <w:b/>
          <w:i/>
          <w:color w:val="000000"/>
          <w:sz w:val="20"/>
        </w:rPr>
        <w:t>Systems failures and resulting interruptions in the availability of our solutions and core payment platform could harm our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systems and payment platform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including events resulting from climate change, war or other military conflict, including the continuation or escalation of the conflicts between Russia and Ukraine, Israel and Hamas, and the ongoing conflict between the U.S., Iran and Israel, respectively,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are costly and time-consuming to implement, and may divert our resources from other business priorities.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 prolonged interruption in the availability, speed, or functionality of our solutions, payment platform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or platform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have undertaken and continue to make certain technology and network upgrades and redundancies which are designed to improve the reliability of our solutions and payment platform.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We use public cloud hosting with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On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telecommunications failures, unauthorized intrusion, computer viruses and disabling devices, natural disasters, war or other military conflict, including an escalation of the conflicts between Russia and Ukraine, or in the Middle East involving the U.S., Israel, Hamas and Iran, terrorist attacks, negligence, and other similar events beyond our control could negatively affect our solutions.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w:t>
      </w:r>
    </w:p>
    <w:p>
      <w:pPr>
        <w:pStyle w:val="TextBody"/>
        <w:bidi w:val="0"/>
        <w:spacing w:lineRule="auto" w:line="288" w:before="0" w:after="120"/>
        <w:ind w:left="0" w:right="0" w:firstLine="490"/>
        <w:jc w:val="left"/>
        <w:rPr>
          <w:rFonts w:ascii="Arial;sans-serif" w:hAnsi="Arial;sans-serif"/>
          <w:b w:val="false"/>
          <w:color w:val="000000"/>
          <w:sz w:val="20"/>
        </w:rPr>
      </w:pPr>
      <w:r>
        <w:rPr>
          <w:rFonts w:ascii="Arial;sans-serif" w:hAnsi="Arial;sans-serif"/>
          <w:b w:val="false"/>
          <w:color w:val="000000"/>
          <w:sz w:val="20"/>
        </w:rPr>
        <w:t>In addition, we may experience financial losses due to a number of factors, including:</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third party disruptions, including potential outages at network providers and other suppliers;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supply chain impacts, including shortages of goods, raw materials, increased prices or delays in shipment;</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challenges to the availability and reliability of our network due to changes to normal operations;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increased cyber and payment fraud risk, as cybercriminals attempt DDoS related attacks, phishing scams and other disruptive actions, given the shift to online banking, e-commerce and other online activity, as well as more FlyMates working remotely; and</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system failures or outages, including any potential disruptions due to significantly increased global demand on certain cloud-based systems, could compromise our ability to provide our solutions in a timely manner, which could harm our ability to conduct business or delay our financial reporting. Such failures could adversely affect our operating results and financial condition.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solutions and payment platform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platform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pStyle w:val="TextBody"/>
        <w:bidi w:val="0"/>
        <w:spacing w:lineRule="auto" w:line="288" w:before="0" w:after="200"/>
        <w:jc w:val="left"/>
        <w:rPr>
          <w:rFonts w:ascii="Arial;sans-serif" w:hAnsi="Arial;sans-serif"/>
          <w:b/>
          <w:color w:val="000000"/>
          <w:sz w:val="20"/>
        </w:rPr>
      </w:pPr>
      <w:bookmarkStart w:id="161" w:name="i02e467b2223b40fe83f04bf41948776d"/>
      <w:bookmarkEnd w:id="161"/>
      <w:r>
        <w:rPr>
          <w:rFonts w:ascii="Arial;sans-serif" w:hAnsi="Arial;sans-serif"/>
          <w:b/>
          <w:color w:val="000000"/>
          <w:sz w:val="20"/>
        </w:rPr>
        <w:t>Risks Related to Our Legal, Regulatory and Compliance Landscape</w:t>
      </w:r>
    </w:p>
    <w:p>
      <w:pPr>
        <w:pStyle w:val="TextBody"/>
        <w:bidi w:val="0"/>
        <w:spacing w:lineRule="auto" w:line="288" w:before="0" w:after="200"/>
        <w:jc w:val="left"/>
        <w:rPr>
          <w:rFonts w:ascii="Arial;sans-serif" w:hAnsi="Arial;sans-serif"/>
          <w:b/>
          <w:i/>
          <w:color w:val="000000"/>
          <w:sz w:val="20"/>
        </w:rPr>
      </w:pPr>
      <w:bookmarkStart w:id="162" w:name="ibe6108611d8b4b8d80f1ba81dd2389e9"/>
      <w:bookmarkEnd w:id="162"/>
      <w:r>
        <w:rPr>
          <w:rFonts w:ascii="Arial;sans-serif" w:hAnsi="Arial;sans-serif"/>
          <w:b/>
          <w:i/>
          <w:color w:val="000000"/>
          <w:sz w:val="20"/>
        </w:rPr>
        <w:t>We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pStyle w:val="TextBody"/>
        <w:bidi w:val="0"/>
        <w:spacing w:lineRule="auto" w:line="288" w:before="0" w:after="12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potential implementation of tariffs, the possibility of renegotiated trade deals and international tax law treaties, priorities of the U.S. presidential administration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and related changes in laws, regulations or policies, United States-China and Canada-India diplomatic and trade friction, heightened tensions between China and Taiwan and the continuation or escalation of the conflicts between Russia and Ukraine, Israel and Hamas and Israel, the U.S., and Iran, respectively,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foreign currency exchange rate volatility;</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adverse economic conditions in the United States and globally, including economic slowdown, heightened interest rates, inflation, recession concerns and the disruption, volatility and tightening of credit and capital markets;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risks related to compliance with multiple complex, potentially conflicting and changing governmental laws and regulations;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local licensing and reporting obligations or the imposition of currency controls which make it impossible or increasingly difficult for our clients to collect payments from international customers;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local regulatory and legal obligations related to privacy, data protection, data localization, and user protections;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need to localize our solutions, including offering clients and their customers the ability to transact business in the local currency and adapting our solutions to local preferences, in markets in which we may have limited or no experience;</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trade barriers, tariffs and changes in trade regulations;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impact of government sanctions on our ability to offer services in a region, such as sanctions issued by the U.S. and other countries against Russia;</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difficulties in developing, staffing, and managing a large number of varying foreign operations as a result of distance, language, and cultural differences;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stringent local labor laws and regulations;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limitations on the repatriation of cash, including imposition or increase of withholding and other taxes on remittances and other payments by foreign subsidiaries;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diplomatic friction, political or social unrest, war or other military conflict, including the continuation or escalation of the conflicts between Russia and Ukraine, Israel and Hamas and Israel, the U.S., and Iran, respectively, economic instability, repression, or human rights issues;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natural disasters, global pandemics or other public health emergencies, acts of war, and terrorism;</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compliance with U.S. laws and foreign laws prohibiting corrupt payments to government officials, such as the Foreign Corrupt Practices Act (FCPA) and the U.K. Bribery Act, and other local anti-corruption laws;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compliance with U.S. and foreign laws designed to combat money laundering and the financing of terrorist activities;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retaliatory tariffs and restrictions limiting free movement of currency and an unfavorable trade environment, including as a result of political conditions and changes in the laws, regulations or policies in the United States and elsewhere and as described in more detail below;</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antitrust and competition regulations;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including the Inflation Reduction Act of 2022, which includes a minimum corporate tax which could result in an additional tax liability in a given year;</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expected or actual extended federal government shutdowns or the priorities of the U.S. presidential administration and related changes in laws, regulations or policies;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national or regional differences in macroeconomic growth rates; and</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increased difficulties in collecting accounts receivable.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Foreign operations may also expose us to political, social, regulatory and economic uncertainties affecting a country or region, or to political hostility to investments by foreign or private equity investors. Many financial markets are not as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or impose regulatory requirements that may require modifications to our business model for our clients' payors located in China.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pStyle w:val="TextBody"/>
        <w:bidi w:val="0"/>
        <w:spacing w:lineRule="auto" w:line="288" w:before="0" w:after="200"/>
        <w:jc w:val="left"/>
        <w:rPr>
          <w:rFonts w:ascii="Arial;sans-serif" w:hAnsi="Arial;sans-serif"/>
          <w:b/>
          <w:i/>
          <w:color w:val="000000"/>
          <w:sz w:val="20"/>
        </w:rPr>
      </w:pPr>
      <w:bookmarkStart w:id="163" w:name="idf8f4bbd8ecb43058bbea6fe37d41fc8"/>
      <w:bookmarkEnd w:id="163"/>
      <w:r>
        <w:rPr>
          <w:rFonts w:ascii="Arial;sans-serif" w:hAnsi="Arial;sans-serif"/>
          <w:b/>
          <w:i/>
          <w:color w:val="000000"/>
          <w:sz w:val="20"/>
        </w:rPr>
        <w:t>Payments and other financial services-related regulations and oversight are material to our business. Our failure to comply could materially harm our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in our Annual Report on Form 10-K for the year ended December 31, 2025.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Certain of our subsidiaries are registered with FinCEN. Our subsidiary Flywire Global Corp. has obtained licenses to operate as a money transmitter (or the statutory equivalent) in 46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For additional discussion of the requirements of our MSB registration, please see “Business – Regulation and Industry Standards.”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Recent changes to card payment regulation announced by the Reserve Bank of Australia may also adversely affect our business in Australia, operating results, and financial condition. In particular, the elimination of merchant surcharging on certain card networks, which took effect in October 2026, may increase the cost of card acceptance for merchants that use our platform and reduce the economics associated with domestic and cross-border payment transactions processed in Australia. These changes require select merchants to begin absorbing card-related costs, which are partially mitigated by new domestic interchange fee caps. In addition, beginning April 1, 2027, interchange fee caps will apply to transactions on foreign-issued cards acquired in Australia, which may further affect the economics of cross-border payment transactions processed in Australia. These changes may compress margins on certain domestic payment flows or reduce the attractiveness of card-based payment methods relative to alternative payment options, and require us to modify our pricing, routing, or product strategies. In addition, these regulatory developments may prompt issuers, networks, or other market participants to adjust their fee structures, incentives, or processing practices in ways that could further impact transaction volumes or revenue derived from Australian payment activity. Any of these effects, individually or in the aggregate, could adversely impact our business, operating results, and financial condition.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pStyle w:val="TextBody"/>
        <w:bidi w:val="0"/>
        <w:spacing w:lineRule="auto" w:line="288" w:before="0" w:after="200"/>
        <w:jc w:val="left"/>
        <w:rPr>
          <w:rFonts w:ascii="Arial;sans-serif" w:hAnsi="Arial;sans-serif"/>
          <w:b/>
          <w:i/>
          <w:color w:val="000000"/>
          <w:sz w:val="20"/>
        </w:rPr>
      </w:pPr>
      <w:bookmarkStart w:id="164" w:name="i594736e6fc484b6cb4c2c11a67476914"/>
      <w:bookmarkEnd w:id="164"/>
      <w:r>
        <w:rPr>
          <w:rFonts w:ascii="Arial;sans-serif" w:hAnsi="Arial;sans-serif"/>
          <w:b/>
          <w:i/>
          <w:color w:val="000000"/>
          <w:sz w:val="20"/>
        </w:rPr>
        <w:t>The regulatory environment in which we operate is subject to constant change, and new regulations could make aspects of our business as currently conducted no longer possible.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120"/>
        <w:ind w:left="0" w:right="0" w:firstLine="490"/>
        <w:jc w:val="left"/>
        <w:rPr>
          <w:rFonts w:ascii="Arial;sans-serif" w:hAnsi="Arial;sans-serif"/>
          <w:b w:val="false"/>
          <w:color w:val="000000"/>
          <w:sz w:val="20"/>
        </w:rPr>
      </w:pPr>
      <w:r>
        <w:rPr>
          <w:rFonts w:ascii="Arial;sans-serif" w:hAnsi="Arial;sans-serif"/>
          <w:b w:val="false"/>
          <w:color w:val="000000"/>
          <w:sz w:val="20"/>
        </w:rPr>
        <w:t>Government agencies may impose new or additional rules on money transmission, which may increase our costs of doing business, including, but not limited to regulations that:</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prohibit, restrict, and/or impose taxes or fees on money transmission transactions in, to or from certain countries or with certain governments, individuals, and entities;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impose additional client identification and client due diligence requirements;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impose additional reporting or recordkeeping requirements, or require enhanced transaction monitoring;</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limit the types of entities capable of providing money transmission services, or impose additional licensing or registration requirements;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impose minimum capital or other financial requirements;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require enhanced disclosures to our money transmission clients or their customers;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require the principal amount of money transmission transactions originated in a country to be invested in that country or held in trust until paid;</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limit the number or principal amount of money transmission transactions that may be sent to or from a jurisdiction, whether by an individual or in the aggregate; and</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restrict or limit our ability to process transactions using centralized databases, for example, by requiring that transactions be processed using a database maintained in a particular country or region.</w:t>
      </w:r>
    </w:p>
    <w:p>
      <w:pPr>
        <w:pStyle w:val="TextBody"/>
        <w:bidi w:val="0"/>
        <w:spacing w:lineRule="auto" w:line="288" w:before="0" w:after="200"/>
        <w:jc w:val="left"/>
        <w:rPr>
          <w:rFonts w:ascii="Arial;sans-serif" w:hAnsi="Arial;sans-serif"/>
          <w:b/>
          <w:i/>
          <w:color w:val="000000"/>
          <w:sz w:val="20"/>
        </w:rPr>
      </w:pPr>
      <w:bookmarkStart w:id="165" w:name="iae9b4af64bfc4b50992771ba55167b79"/>
      <w:bookmarkEnd w:id="165"/>
      <w:r>
        <w:rPr>
          <w:rFonts w:ascii="Arial;sans-serif" w:hAnsi="Arial;sans-serif"/>
          <w:b/>
          <w:i/>
          <w:color w:val="000000"/>
          <w:sz w:val="20"/>
        </w:rPr>
        <w:t>We are subject to governmental laws and requirements regarding economic and trade sanctions, AML and CFT that could impair our ability to compete in international markets or subject us to criminal or civil liability if we violate them.</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are currently required to comply with U.S. economic and trade sanctions administered by OFAC and we have processes in place designed to comply with the OFAC regulations as well as similar requirements in the foreign jurisdictions in which we already operate. As part of our compliance efforts, we scan our clients and their customers against watch lists promulgated by OFAC and certain other international agencies. Our application can be accessed from nearly anywhere in the world, and if our service is accessed from a sanctioned country or otherwise accessed or used in violation of applicable trade and economic sanctions, we could be subject to fines or other enforcement actions. In the course of enhancing our sanctions compliance function, we initiated an internal review that identified issues related to our compliance with sanctions, including payments that may have originated from sanctioned jurisdictions or sanctioned persons. We have made voluntary submissions to OFAC to report the apparent violations and to provide supplemental information. Flywire is currently engaging with OFAC to resolve these matters. Although the internal review completed to date suggests that any loss incurred as a result of this matter would not be material to our business, if OFAC ultimately concludes any violation has occurred in connection with these or other transactions, it could result in penalties, fines, costs, and restrictions on our ability to do business, which could also harm our operating results.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Our business operations in other parts of the world such as the U.K., Lithuania, Canada, Australia, Hong Kong, New Zealand, Indonesia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early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pStyle w:val="TextBody"/>
        <w:bidi w:val="0"/>
        <w:spacing w:lineRule="auto" w:line="288" w:before="0" w:after="200"/>
        <w:jc w:val="left"/>
        <w:rPr>
          <w:rFonts w:ascii="Arial;sans-serif" w:hAnsi="Arial;sans-serif"/>
          <w:b/>
          <w:i/>
          <w:color w:val="000000"/>
          <w:sz w:val="20"/>
        </w:rPr>
      </w:pPr>
      <w:bookmarkStart w:id="166" w:name="i52f56866584f48c7bdd66b97ef3ede61"/>
      <w:bookmarkEnd w:id="166"/>
      <w:r>
        <w:rPr>
          <w:rFonts w:ascii="Arial;sans-serif" w:hAnsi="Arial;sans-serif"/>
          <w:b/>
          <w:i/>
          <w:color w:val="000000"/>
          <w:sz w:val="20"/>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 CCPA and CPRA enforcement actions have resulted in significant penalties, and the California Privacy Protection Agency has continued to expand its enforcement activities.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Additionally, the California Privacy Rights Act (CPRA), which was passed in November 2020 and became effective on January 1, 2023, imposed additional obligations on companies covered by the legislation and significantly modified the CCPA, including by expanding consumers’ rights with respect to certain sensitive personal information. The CPRA also created a new state agency that is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Several states in the U.S. have proposed or enacted laws that contain obligations similar to the CCPA and CPRA that have taken effect or will take effect in coming years. The U.S. federal government also is contemplating federal privacy legislation. The effects of recently proposed or enacted legislation potentially are far-reaching. Such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 clients and their customers throughout the E.U., where the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pStyle w:val="TextBody"/>
        <w:bidi w:val="0"/>
        <w:spacing w:lineRule="auto" w:line="288" w:before="0" w:after="200"/>
        <w:ind w:left="0" w:right="0" w:firstLine="490"/>
        <w:jc w:val="left"/>
      </w:pPr>
      <w:r>
        <w:rPr>
          <w:rFonts w:ascii="Arial;sans-serif" w:hAnsi="Arial;sans-serif"/>
          <w:b w:val="false"/>
          <w:color w:val="000000"/>
          <w:sz w:val="20"/>
        </w:rPr>
        <w:t>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w:t>
      </w:r>
      <w:r>
        <w:rPr>
          <w:rFonts w:ascii="Arial;sans-serif" w:hAnsi="Arial;sans-serif"/>
          <w:b w:val="false"/>
          <w:i/>
          <w:color w:val="000000"/>
          <w:sz w:val="20"/>
        </w:rPr>
        <w:t>Schrems II</w:t>
      </w:r>
      <w:r>
        <w:rPr>
          <w:color w:val="000000"/>
        </w:rPr>
        <w:t xml:space="preserve">” </w:t>
      </w:r>
      <w:r>
        <w:rPr>
          <w:rFonts w:ascii="Arial;sans-serif" w:hAnsi="Arial;sans-serif"/>
          <w:b w:val="false"/>
          <w:color w:val="000000"/>
          <w:sz w:val="20"/>
        </w:rPr>
        <w:t xml:space="preserve">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SCCs, while the authorities interpret the </w:t>
      </w:r>
      <w:r>
        <w:rPr>
          <w:rFonts w:ascii="Arial;sans-serif" w:hAnsi="Arial;sans-serif"/>
          <w:b w:val="false"/>
          <w:i/>
          <w:color w:val="000000"/>
          <w:sz w:val="20"/>
        </w:rPr>
        <w:t>Schrems II</w:t>
      </w:r>
      <w:r>
        <w:rPr>
          <w:color w:val="000000"/>
        </w:rPr>
        <w:t xml:space="preserve"> </w:t>
      </w:r>
      <w:r>
        <w:rPr>
          <w:rFonts w:ascii="Arial;sans-serif" w:hAnsi="Arial;sans-serif"/>
          <w:b w:val="false"/>
          <w:color w:val="000000"/>
          <w:sz w:val="20"/>
        </w:rPr>
        <w:t xml:space="preserve">decision and the validity of alternative data transfer mechanisms. The SCCs, though previously approved by the European Commission, have faced challenges in European courts (including being called into question in the </w:t>
      </w:r>
      <w:r>
        <w:rPr>
          <w:rFonts w:ascii="Arial;sans-serif" w:hAnsi="Arial;sans-serif"/>
          <w:b w:val="false"/>
          <w:i/>
          <w:color w:val="000000"/>
          <w:sz w:val="20"/>
        </w:rPr>
        <w:t>Schrems II</w:t>
      </w:r>
      <w:r>
        <w:rPr>
          <w:color w:val="000000"/>
        </w:rPr>
        <w:t xml:space="preserve"> </w:t>
      </w:r>
      <w:r>
        <w:rPr>
          <w:rFonts w:ascii="Arial;sans-serif" w:hAnsi="Arial;sans-serif"/>
          <w:b w:val="false"/>
          <w:color w:val="000000"/>
          <w:sz w:val="20"/>
        </w:rPr>
        <w:t xml:space="preserve">decision), and may be further challenged, suspended or invalidated for transfers to some or all countries. For example, guidance regarding </w:t>
      </w:r>
      <w:r>
        <w:rPr>
          <w:rFonts w:ascii="Arial;sans-serif" w:hAnsi="Arial;sans-serif"/>
          <w:b w:val="false"/>
          <w:i/>
          <w:color w:val="000000"/>
          <w:sz w:val="20"/>
        </w:rPr>
        <w:t>Schrems II</w:t>
      </w:r>
      <w:r>
        <w:rPr>
          <w:color w:val="000000"/>
        </w:rPr>
        <w:t xml:space="preserve"> </w:t>
      </w:r>
      <w:r>
        <w:rPr>
          <w:rFonts w:ascii="Arial;sans-serif" w:hAnsi="Arial;sans-serif"/>
          <w:b w:val="false"/>
          <w:color w:val="000000"/>
          <w:sz w:val="20"/>
        </w:rPr>
        <w:t>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then in effect were required to be replaced with the New SCCs by December 27, 2022.</w:t>
      </w:r>
    </w:p>
    <w:p>
      <w:pPr>
        <w:pStyle w:val="TextBody"/>
        <w:bidi w:val="0"/>
        <w:spacing w:lineRule="auto" w:line="288" w:before="0" w:after="200"/>
        <w:ind w:left="0" w:right="0" w:firstLine="490"/>
        <w:jc w:val="left"/>
      </w:pPr>
      <w:r>
        <w:rPr>
          <w:rFonts w:ascii="Arial;sans-serif" w:hAnsi="Arial;sans-serif"/>
          <w:b w:val="false"/>
          <w:color w:val="000000"/>
          <w:sz w:val="20"/>
        </w:rPr>
        <w:t xml:space="preserve">On July 10, 2023, the European Commission formally approved the new EU-U.S. Data Privacy Framework (the “Framework”), under which European entities will now be able to transfer personal data to Framework participants in the U.S. without having to put in place additional data protection safeguards or use the Standard Contractual Clauses for data transfers. </w:t>
      </w:r>
      <w:r>
        <w:rPr>
          <w:rFonts w:ascii="Arial;sans-serif" w:hAnsi="Arial;sans-serif"/>
          <w:b w:val="false"/>
          <w:color w:val="000000"/>
          <w:sz w:val="20"/>
          <w:shd w:fill="FFFFFF" w:val="clear"/>
        </w:rPr>
        <w:t>Flywire has self-certified our compliance with the EU-U.S. Data Privacy Framework, the UK Extension to the EU-U.S. Data Privacy Framework, and the Swiss-U.S. Data Privacy Framework with the U.S. Department of Commerce and continues to maintain our active certification.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E.U. data protection authorities have the power to impose administrative fines for violations of the GDPR of up to a maximum of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included a ‘sunset clause’, limiting its duration to four years. On December 19, 2025, the European Commission formally renewed its data adequacy decisions for the U.K., reaffirming that the U.K. maintains an equivalent level of personal data protection under its post-Brexit framework, including updates made by the U.K.’s Data (Use and Access) Act 2025. Following a technical six-month extension granted in June 2025 to review the new legislation, this decision allows personal data to continue flowing freely between the European Economic Area (EEA) and the U.K. without requiring additional transfer safeguards through December 27, 2031.</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U.K.’s Data (Use and Access) Act 2025 overhauled the U.K. data governance framework by establishing Digital Verification Services standards, creating "Smart Data" sharing schemes, and updating U.K. GDPR rules to streamline automated decision-making and subject access requests. In certain respects, these regulatory changes ease administrative data burdens and facilitate digitized identity verification across our U.K. education and healthcare client networks, while requiring updates to customer complaint handling timelines and data privacy compliance workflows.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 On April 7, 2026, the Japanese Cabinet approved and submitted to the Diet a bill to amend the APPI, which includes both deregulatory measures and strengthened regulatory provisions. Key highlights among other matters include: a new consent exemption for statistical processing (e.g., AI development); broader relaxation of consent requirements; specific protections for children’s personal data; new rules on biometric data; and regulatory relief for entrusted data processors. Assuming the bill passes the Diet in 2026, the new rules are expected to take full effect by 2028 at the latest. We have taken steps to address compliance obligations that apply to us under the Amended APPI, but cannot assure you that such steps will be effective, and we may face the risk of increased costs, liability and loss of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China (home to the most online users in the world) passed its DSL and its PIPL in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enforcement actions against Alibaba Group Holding Ltd and Didi Global Inc. in 2022.</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a reaction to data security concerns, in 2022, the Australian parliament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which the Australian parliament considered inadequate to incentivize companies to improve their data security mechanisms. The Office of the Australian Information Commissioner has new regulatory tools and flexibility that should, together with an ongoing focus on funding enforcement, see a more proactive regulator with capacity and capability to investigate and litigate more privacy incidents in Australia.</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have taken steps to address compliance obligations that apply to us under the Amended APPI, the DSL, the PIPL and applicable Australian regulations, but cannot assure you that such steps will be effective, and we may face the risk of increased costs, liability and loss of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pStyle w:val="TextBody"/>
        <w:bidi w:val="0"/>
        <w:spacing w:lineRule="auto" w:line="288" w:before="0" w:after="200"/>
        <w:jc w:val="left"/>
        <w:rPr>
          <w:rFonts w:ascii="Arial;sans-serif" w:hAnsi="Arial;sans-serif"/>
          <w:b/>
          <w:i/>
          <w:color w:val="000000"/>
          <w:sz w:val="20"/>
        </w:rPr>
      </w:pPr>
      <w:bookmarkStart w:id="167" w:name="ifd3964406dec429482b7578ea1508b48"/>
      <w:bookmarkEnd w:id="167"/>
      <w:r>
        <w:rPr>
          <w:rFonts w:ascii="Arial;sans-serif" w:hAnsi="Arial;sans-serif"/>
          <w:b/>
          <w:i/>
          <w:color w:val="000000"/>
          <w:sz w:val="20"/>
        </w:rPr>
        <w:t>We are subject to anti-corruption, anti-bribery, and similar laws, and non-compliance with such laws can subject us to criminal or civil liability and harm our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solutions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While we maintain policies and training programs for our FlyMates related to anti-corruption, anti-bribery and gift giving, and include representations regarding legal compliance in our contracts with vendors and strategic partners, there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February 2022, following Russia’s invasion of Ukraine, the United States and other countries announced sanctions against Russia. The sanctions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pStyle w:val="TextBody"/>
        <w:bidi w:val="0"/>
        <w:spacing w:lineRule="auto" w:line="288" w:before="0" w:after="200"/>
        <w:jc w:val="left"/>
        <w:rPr>
          <w:rFonts w:ascii="Arial;sans-serif" w:hAnsi="Arial;sans-serif"/>
          <w:b/>
          <w:i/>
          <w:color w:val="000000"/>
          <w:sz w:val="20"/>
        </w:rPr>
      </w:pPr>
      <w:bookmarkStart w:id="168" w:name="ifcf22e2b072341c2907677a3292a0c38"/>
      <w:bookmarkEnd w:id="168"/>
      <w:r>
        <w:rPr>
          <w:rFonts w:ascii="Arial;sans-serif" w:hAnsi="Arial;sans-serif"/>
          <w:b/>
          <w:i/>
          <w:color w:val="000000"/>
          <w:sz w:val="20"/>
        </w:rPr>
        <w:t>If we fail to adequately protect our proprietary rights, our competitive position could be impaired and we may lose valuable assets, generate less revenue and incur costly litigation to protect our rights.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 Furthermore, the growing use of generative artificial intelligence presents an increased risk of unintentional and/or unauthorized disclosure or use of our intellectual property rights.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We endeavor to enter into agreements with our FlyMates,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FlyMates, consultants, contractors clients, their customers, or strategic partners and others will be effective in controlling access to and distribution of our solutions and proprietary information, potentially resulting in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pStyle w:val="TextBody"/>
        <w:bidi w:val="0"/>
        <w:spacing w:lineRule="auto" w:line="288" w:before="0" w:after="200"/>
        <w:jc w:val="left"/>
        <w:rPr>
          <w:rFonts w:ascii="Arial;sans-serif" w:hAnsi="Arial;sans-serif"/>
          <w:b/>
          <w:i/>
          <w:color w:val="000000"/>
          <w:sz w:val="20"/>
        </w:rPr>
      </w:pPr>
      <w:bookmarkStart w:id="169" w:name="i0e25fc06156e4c1a99ad1858c7de4ddb"/>
      <w:bookmarkEnd w:id="169"/>
      <w:r>
        <w:rPr>
          <w:rFonts w:ascii="Arial;sans-serif" w:hAnsi="Arial;sans-serif"/>
          <w:b/>
          <w:i/>
          <w:color w:val="000000"/>
          <w:sz w:val="20"/>
        </w:rPr>
        <w:t>We may in the future be subject to intellectual property disputes, which are costly and may subject us to significant liability and increased costs of doing business.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p>
    <w:p>
      <w:pPr>
        <w:pStyle w:val="TextBody"/>
        <w:bidi w:val="0"/>
        <w:spacing w:lineRule="auto" w:line="288" w:before="0" w:after="200"/>
        <w:jc w:val="left"/>
        <w:rPr>
          <w:rFonts w:ascii="Arial;sans-serif" w:hAnsi="Arial;sans-serif"/>
          <w:b/>
          <w:i/>
          <w:color w:val="000000"/>
          <w:sz w:val="20"/>
        </w:rPr>
      </w:pPr>
      <w:bookmarkStart w:id="170" w:name="ieb86e8044721439ea2035e32fd669008"/>
      <w:bookmarkEnd w:id="170"/>
      <w:r>
        <w:rPr>
          <w:rFonts w:ascii="Arial;sans-serif" w:hAnsi="Arial;sans-serif"/>
          <w:b/>
          <w:i/>
          <w:color w:val="000000"/>
          <w:sz w:val="20"/>
        </w:rPr>
        <w:t>Our use of “open source” software could negatively affect our ability to offer and sell access to our solutions and subject us to possible litigation.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incorporation of open source software into our solutions, we cannot be certain that we have not incorporated open source software in our solutions in a manner that is inconsistent with such policies.</w:t>
      </w:r>
    </w:p>
    <w:p>
      <w:pPr>
        <w:pStyle w:val="TextBody"/>
        <w:bidi w:val="0"/>
        <w:spacing w:lineRule="auto" w:line="288" w:before="0" w:after="200"/>
        <w:jc w:val="left"/>
        <w:rPr>
          <w:rFonts w:ascii="Arial;sans-serif" w:hAnsi="Arial;sans-serif"/>
          <w:b/>
          <w:i/>
          <w:color w:val="000000"/>
          <w:sz w:val="20"/>
        </w:rPr>
      </w:pPr>
      <w:bookmarkStart w:id="171" w:name="icfce9f841dd54078aa9153f436920b26"/>
      <w:bookmarkEnd w:id="171"/>
      <w:r>
        <w:rPr>
          <w:rFonts w:ascii="Arial;sans-serif" w:hAnsi="Arial;sans-serif"/>
          <w:b/>
          <w:i/>
          <w:color w:val="000000"/>
          <w:sz w:val="20"/>
        </w:rPr>
        <w:t>Indemnity and liability provisions in various agreements potentially expose us to substantial liability for intellectual property infringement, data protection, and other losses.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p>
    <w:p>
      <w:pPr>
        <w:pStyle w:val="TextBody"/>
        <w:bidi w:val="0"/>
        <w:spacing w:lineRule="auto" w:line="288" w:before="0" w:after="200"/>
        <w:jc w:val="left"/>
        <w:rPr>
          <w:rFonts w:ascii="Arial;sans-serif" w:hAnsi="Arial;sans-serif"/>
          <w:b/>
          <w:i/>
          <w:color w:val="000000"/>
          <w:sz w:val="20"/>
        </w:rPr>
      </w:pPr>
      <w:bookmarkStart w:id="172" w:name="idbbcb3e1385246719bdcfed724c0e88b"/>
      <w:bookmarkEnd w:id="172"/>
      <w:r>
        <w:rPr>
          <w:rFonts w:ascii="Arial;sans-serif" w:hAnsi="Arial;sans-serif"/>
          <w:b/>
          <w:i/>
          <w:color w:val="000000"/>
          <w:sz w:val="20"/>
        </w:rPr>
        <w:t>New or revised tax regulations, unfavorable resolution of tax contingencies or changes to enacted tax rates could adversely affect our tax expense.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For example, the Inflation Reduction Act of 2022 includes a minimum tax equal to fifteen percent of the adjusted financial statement income of certain corporations as well as a one percent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Relevant foreign taxing authorities may disagree with our determinations as to whether we have established a taxable nexus, often referred to as a “permanent establishment”, or the income and expenses attributable to specific jurisdictions. In addition, these authorities may take aggressive tax recovery positions that the funds flows we process are subject to value added tax or goods and services tax.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pStyle w:val="TextBody"/>
        <w:bidi w:val="0"/>
        <w:spacing w:lineRule="auto" w:line="288" w:before="0" w:after="200"/>
        <w:jc w:val="left"/>
        <w:rPr>
          <w:rFonts w:ascii="Arial;sans-serif" w:hAnsi="Arial;sans-serif"/>
          <w:b/>
          <w:i/>
          <w:color w:val="000000"/>
          <w:sz w:val="20"/>
        </w:rPr>
      </w:pPr>
      <w:bookmarkStart w:id="173" w:name="i9aa99eaba3dc4126904f327f5b508b27"/>
      <w:bookmarkEnd w:id="173"/>
      <w:r>
        <w:rPr>
          <w:rFonts w:ascii="Arial;sans-serif" w:hAnsi="Arial;sans-serif"/>
          <w:b/>
          <w:i/>
          <w:color w:val="000000"/>
          <w:sz w:val="20"/>
        </w:rPr>
        <w:t>Our ability to use our net operating losses (NOLs) to offset future taxable income may be subject to certain limitations.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of September 30, 2026, we had U.S. federal NOL carryforwards of approximately $18.3 million and state NOL carryforwards of approximately $79.4 million. The federal and material state NOL carryforwards will both begin to expire in 2031. Ownership changes, as defined under Internal Revenue Code Section 382 and similar state provisions, may limit the amount of federal and state NOL and credit carryforwards that can be utilized annually to offset future federal and state taxable income and tax. Generally, an ownership change occurs when the ownership percentage of 5% or greater stockholders increases by more than 50% over a three-year period. Accordingly, the purchase of our stock in amounts greater than specified levels could limit our ability to utilize federal and state NOL and credit carryforwards for tax purposes.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During 2022, we completed a Section 382 study and as a result of the ownership changes identified, $1.6 million of Flywire’s NOLs and $0.2 million of Simplificare Inc.’s NOLs will expire unutilized, assuming sufficient taxable income is generated in the future. We updated our Section 382 study through the 2024 tax year and determined there are no additional limitations in using federal and state NOL and credit carryforwards.</w:t>
      </w:r>
    </w:p>
    <w:p>
      <w:pPr>
        <w:pStyle w:val="TextBody"/>
        <w:bidi w:val="0"/>
        <w:spacing w:lineRule="auto" w:line="288" w:before="0" w:after="200"/>
        <w:jc w:val="left"/>
        <w:rPr>
          <w:rFonts w:ascii="Arial;sans-serif" w:hAnsi="Arial;sans-serif"/>
          <w:b/>
          <w:color w:val="000000"/>
          <w:sz w:val="20"/>
        </w:rPr>
      </w:pPr>
      <w:bookmarkStart w:id="174" w:name="i1c9ab5d621d24137b6cc3fc4995bf0fd"/>
      <w:bookmarkEnd w:id="174"/>
      <w:r>
        <w:rPr>
          <w:rFonts w:ascii="Arial;sans-serif" w:hAnsi="Arial;sans-serif"/>
          <w:b/>
          <w:color w:val="000000"/>
          <w:sz w:val="20"/>
        </w:rPr>
        <w:t>Risks Related to Being a Public Company</w:t>
      </w:r>
    </w:p>
    <w:p>
      <w:pPr>
        <w:pStyle w:val="TextBody"/>
        <w:bidi w:val="0"/>
        <w:spacing w:lineRule="auto" w:line="288" w:before="0" w:after="200"/>
        <w:jc w:val="left"/>
        <w:rPr>
          <w:rFonts w:ascii="Arial;sans-serif" w:hAnsi="Arial;sans-serif"/>
          <w:b/>
          <w:i/>
          <w:color w:val="000000"/>
          <w:sz w:val="20"/>
        </w:rPr>
      </w:pPr>
      <w:bookmarkStart w:id="175" w:name="i6383d9543925460e9dbd9fa0a6c52898"/>
      <w:bookmarkEnd w:id="175"/>
      <w:r>
        <w:rPr>
          <w:rFonts w:ascii="Arial;sans-serif" w:hAnsi="Arial;sans-serif"/>
          <w:b/>
          <w:i/>
          <w:color w:val="000000"/>
          <w:sz w:val="20"/>
        </w:rPr>
        <w:t>As a public company, we are obligated to develop and maintain proper and effective internal control over financial reporting, and if we fail to continue to maintain an effective system of disclosure controls and internal control over financial reporting, our ability to produce timely and accurate financial statements or comply with applicable laws and regulations could be impaired.</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a public company, we are subject to the reporting requirements of the Securities Exchange Act of 1934, as amended (the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a "large accelerated" filer, we are required, pursuant to Section 404 of the Sarbanes-Oxley Act (Section 404),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maintain our internal controls,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This assessment includes disclosure of any material weaknesses identified by our management in our internal control over financial reporting and our independent registered public accounting firm is required to issue an opinion on the effectiveness of our internal control over financial reporting. We expect to continue to incur significant expenses and devote substantial management effort toward ensuring compliance with the auditor attestation requirements of Section 404.</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An independent assessment of the effectiveness of our internal controls could detect problems that our management’s assessment might not. Undetected material weaknesses in our internal controls could lead to financial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statement restatements and require us to incur the expense of remediation. We are required to disclose changes made in our internal control and procedures on a quarterly basis. To comply with the requirements of being a public company, we have undertaken and expect to need to continue to undertake various actions, such as implementing new internal controls and procedures, hiring risk professionals, accounting and internal audit staff, and engaging outside consultants, which will increase our operating expenses.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are actively engaged in the ongoing costly process of maintaining compliance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pStyle w:val="TextBody"/>
        <w:bidi w:val="0"/>
        <w:spacing w:lineRule="auto" w:line="288" w:before="0" w:after="200"/>
        <w:jc w:val="left"/>
        <w:rPr>
          <w:rFonts w:ascii="Arial;sans-serif" w:hAnsi="Arial;sans-serif"/>
          <w:b/>
          <w:i/>
          <w:color w:val="000000"/>
          <w:sz w:val="20"/>
        </w:rPr>
      </w:pPr>
      <w:bookmarkStart w:id="176" w:name="ibb7d3d0f5ac44be0917e83279c95994d"/>
      <w:bookmarkEnd w:id="176"/>
      <w:r>
        <w:rPr>
          <w:rFonts w:ascii="Arial;sans-serif" w:hAnsi="Arial;sans-serif"/>
          <w:b/>
          <w:i/>
          <w:color w:val="000000"/>
          <w:sz w:val="20"/>
        </w:rPr>
        <w:t>We will continue to incur increased costs as a result of operating as a public company, and our management will be required to devote substantial time to compliance with our public company responsibilities and corporate governance practices.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a public company, we will continue to incur significant legal, accounting, and other expenses as a result of operating as a public company, which increased starting in 2023 as a result of becoming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pStyle w:val="TextBody"/>
        <w:bidi w:val="0"/>
        <w:spacing w:lineRule="auto" w:line="288" w:before="0" w:after="200"/>
        <w:jc w:val="left"/>
        <w:rPr>
          <w:rFonts w:ascii="Arial;sans-serif" w:hAnsi="Arial;sans-serif"/>
          <w:b/>
          <w:color w:val="000000"/>
          <w:sz w:val="20"/>
        </w:rPr>
      </w:pPr>
      <w:bookmarkStart w:id="177" w:name="i2900327c0dc94a3a83345553d79cd960"/>
      <w:bookmarkEnd w:id="177"/>
      <w:r>
        <w:rPr>
          <w:rFonts w:ascii="Arial;sans-serif" w:hAnsi="Arial;sans-serif"/>
          <w:b/>
          <w:color w:val="000000"/>
          <w:sz w:val="20"/>
        </w:rPr>
        <w:t>Risks Related to Ownership of Our Common Stock</w:t>
      </w:r>
    </w:p>
    <w:p>
      <w:pPr>
        <w:pStyle w:val="TextBody"/>
        <w:bidi w:val="0"/>
        <w:spacing w:lineRule="auto" w:line="288" w:before="0" w:after="200"/>
        <w:jc w:val="left"/>
        <w:rPr>
          <w:rFonts w:ascii="Arial;sans-serif" w:hAnsi="Arial;sans-serif"/>
          <w:b/>
          <w:i/>
          <w:color w:val="000000"/>
          <w:sz w:val="20"/>
        </w:rPr>
      </w:pPr>
      <w:bookmarkStart w:id="178" w:name="i72782219b66d410ab575dc33e9418ff6"/>
      <w:bookmarkEnd w:id="178"/>
      <w:r>
        <w:rPr>
          <w:rFonts w:ascii="Arial;sans-serif" w:hAnsi="Arial;sans-serif"/>
          <w:b/>
          <w:i/>
          <w:color w:val="000000"/>
          <w:sz w:val="20"/>
        </w:rPr>
        <w:t>The price of our common stock may be volatile or may decline regardless of our operating performance and you may not be able to resell your shares at or above the price you paid for them.</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An active or liquid market in our common stock may not be sustainable.</w:t>
      </w:r>
    </w:p>
    <w:p>
      <w:pPr>
        <w:pStyle w:val="TextBody"/>
        <w:bidi w:val="0"/>
        <w:spacing w:lineRule="auto" w:line="288" w:before="0" w:after="120"/>
        <w:ind w:left="0" w:right="0" w:firstLine="490"/>
        <w:jc w:val="left"/>
        <w:rPr>
          <w:rFonts w:ascii="Arial;sans-serif" w:hAnsi="Arial;sans-serif"/>
          <w:b w:val="false"/>
          <w:color w:val="000000"/>
          <w:sz w:val="20"/>
        </w:rPr>
      </w:pPr>
      <w:r>
        <w:rPr>
          <w:rFonts w:ascii="Arial;sans-serif" w:hAnsi="Arial;sans-serif"/>
          <w:b w:val="false"/>
          <w:color w:val="000000"/>
          <w:sz w:val="20"/>
        </w:rPr>
        <w:t>The market price of our common stock may fluctuate significantly in response to numerous factors, many of which are beyond our control, including:</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overall performance of the equity markets;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our operating performance and the performance of other similar companies;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delays in the roll out of new solutions;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changes in our projected operating results that we provide to the public, our failure to meet these projections or changes in recommendations by securities analysts that elect to follow our common stock;</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regulatory actions with respect to our payment solutions;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regulatory or legal developments in the United States and other countries, including the priorities of the U.S. presidential administration and related changes in laws, regulations or policies;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level of expenses related to our solutions;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announcements of acquisitions, strategic alliances or significant agreements by us or by our competitors;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developments or disputes concerning patent applications, issued patents or other intellectual property or proprietary rights;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recruitment or departure of key personnel;</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economy as a whole and market conditions in our industry;</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political or social unrest, war or other military conflict, including the continuation or escalation of the conflicts between Russia and Ukraine, or between Israel and Hamas and the ongoing conflict between the U.S., Iran and Israel (or other combatants in the region), respectively, economic instability, repression, or human rights issues;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variations in our financial results or the financial results of companies that are perceived to be similar to us;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financing or other corporate transactions, or inability to obtain additional funding;</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cutbacks or withholding of funding to, and real or perceived hostility towards higher education institutions in the U.S.;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restrictions that negatively impact international travel, study or commerce, including actual or threatened revocation of visas, mass deportations, or delays in issuances of visas;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changes in the structure of payment systems;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actual or threatened imposition of tariffs, trade wars including the effects of ongoing United States-China and Canada-India diplomatic and trade friction;</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trading activity by a limited number of stockholders who together beneficially own a majority of our outstanding common stock;</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size of our market float; and</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any other factors discussed in this Quarterly Report on Form 10-Q and our other SEC filings.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the stock markets have experienced extreme price and volume fluctuations that have affected and continue to affect the market prices of equity securities of many companies.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Concerns over economic recession, heightened interest rates and inflation, supply chain delays and disruptions, priorities of the U.S. presidential administration and Congress and related changes in laws, regulations or policies,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or Israel and Hamas and/or Iran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w:t>
      </w:r>
    </w:p>
    <w:p>
      <w:pPr>
        <w:pStyle w:val="TextBody"/>
        <w:bidi w:val="0"/>
        <w:spacing w:lineRule="auto" w:line="288" w:before="0" w:after="200"/>
        <w:jc w:val="left"/>
        <w:rPr>
          <w:rFonts w:ascii="Arial;sans-serif" w:hAnsi="Arial;sans-serif"/>
          <w:b/>
          <w:i/>
          <w:color w:val="000000"/>
          <w:sz w:val="20"/>
        </w:rPr>
      </w:pPr>
      <w:bookmarkStart w:id="179" w:name="i5b3270b3775f414f936c104125d890ef"/>
      <w:bookmarkEnd w:id="179"/>
      <w:r>
        <w:rPr>
          <w:rFonts w:ascii="Arial;sans-serif" w:hAnsi="Arial;sans-serif"/>
          <w:b/>
          <w:i/>
          <w:color w:val="000000"/>
          <w:sz w:val="20"/>
        </w:rPr>
        <w:t>Our business and operations could be negatively affected by securities litigation or stockholder activism.</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From time to time, we may be subject to securities class actions, derivative suits or other securities-related legal actions.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the past, securities class action litigation have often been brought against a company following a decline in the market price of its securities. In July 2025, we and certain of our current and former officers were named as defendants in a securities class action complaint captioned Hickman v. Flywire Corporation filed in the United States District Court for the Eastern District of New York on behalf of a putative class of investors who purchased Flywire securities from February 28, 2024, through February 25, 2025. In January 2026, the complaint was amended to, among other matters, remove a former officer from the claim and modify the class period to the time period between May 21, 2024 through February 25, 2025. Plaintiffs’ counsel filed a second amended complaint on May 7, 2026, which among other matters, added new allegations and another named plaintiff. Plaintiffs allege that the defendants violated Sections 10(b) and 20(a) of the Exchange Act by purportedly overstating the strength and sustainability of our revenue growth and understating the negative impact of certain government permit and visa related policies on the business. The lawsuit seeks unspecified damages, costs, attorneys’ fees, and other relief. We believe we have strong defenses against the asserted claims and intend to vigorously defend ourselves and we filed a motion to dismiss in response to the second amended complaint on June 15, 2026. On September 28, 2026, the Company submitted its reply memorandum of law in further support of its motion to dismiss the second amended class action complaint.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In addition, stockholder activism, which could take many forms and arise in a variety of situations, has been increasing recently, and universal proxy rules could significantly lower the cost and further increase the ease and likelihood of stockholder activism. This risk is especially relevant for us because technology companies have experienced significant stock price volatility in recent years. Volatility in our stock price or other reasons may in the future cause us to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become the target of securities litigation or stockholder activism. Securities litigation and stockholder activism, including potential proxy contests, could result in substantial costs, including significant legal fees and other expenses, and divert our management and board of directors’ attention and resources from our business. Additionally, securities litigation and stockholder activism could give rise to perceived uncertainties as to our future, adversely affect our relationships with clients and business partners, adversely affect our reputation, and make it more difficult to attract and retain qualified personnel. Our stock price could also be subject to significant fluctuation or otherwise be adversely affected by the events, risks and uncertainties of any securities litigation and stockholder activism.</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Any claims or litigation, even if fully indemnified or insured, could adversely affect our relationships with clients and business partners, damage our reputation, decrease client or their customers’ demand for our solutions and make it more difficult to attract and retain qualified personnel, making it more difficult for us to compete effectively. In addition, lawsuits or legal claims involving us may increase our insurance premiums, deductibles or co-insurance requirements or otherwise make it more difficult for us to maintain or obtain adequate insurance coverage on acceptable terms, if at all. Furthermore, while we maintain insurance for certain potential liabilities, such insurance does not cover all types and amounts of potential liabilities and is subject to various exclusions, as well as caps on amounts recoverable. Even if we believe that a claim is covered by insurance, insurers may dispute our entitlement to recovery for a variety of potential reasons, which may affect the timing and, if the insurers prevail, the amount of our recovery. Our exposure under these matters may also include our indemnification obligations, to the extent that we have any, to current and former officers and directors against losses incurred in connection with these matters, including reimbursement of legal fees and other expenses.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As a result, lawsuits involving us, or our officers or directors, could have a material adverse effect on our business, reputation, financial condition, results of operations, liquidity and the trading price of our common stock.</w:t>
      </w:r>
    </w:p>
    <w:p>
      <w:pPr>
        <w:pStyle w:val="TextBody"/>
        <w:bidi w:val="0"/>
        <w:spacing w:lineRule="auto" w:line="288" w:before="0" w:after="200"/>
        <w:jc w:val="left"/>
        <w:rPr>
          <w:rFonts w:ascii="Arial;sans-serif" w:hAnsi="Arial;sans-serif"/>
          <w:b/>
          <w:i/>
          <w:color w:val="000000"/>
          <w:sz w:val="20"/>
        </w:rPr>
      </w:pPr>
      <w:bookmarkStart w:id="180" w:name="i205f5c87344442adba51f8d9be35e3a0"/>
      <w:bookmarkEnd w:id="180"/>
      <w:r>
        <w:rPr>
          <w:rFonts w:ascii="Arial;sans-serif" w:hAnsi="Arial;sans-serif"/>
          <w:b/>
          <w:i/>
          <w:color w:val="000000"/>
          <w:sz w:val="20"/>
        </w:rPr>
        <w:t>Raising additional capital may cause dilution to our existing stockholders, restrict our operations or require us to relinquish rights to our intellectual property on unfavorable terms to us.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may finance our cash needs through a combination of equity offerings,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disruptions in the capital markets, particularly with respect to financial technology companies,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pStyle w:val="TextBody"/>
        <w:bidi w:val="0"/>
        <w:spacing w:lineRule="auto" w:line="288" w:before="0" w:after="200"/>
        <w:jc w:val="left"/>
        <w:rPr>
          <w:rFonts w:ascii="Arial;sans-serif" w:hAnsi="Arial;sans-serif"/>
          <w:b/>
          <w:i/>
          <w:color w:val="000000"/>
          <w:sz w:val="20"/>
        </w:rPr>
      </w:pPr>
      <w:bookmarkStart w:id="181" w:name="i168e610c9cfc41f2929d0513b936bd81"/>
      <w:bookmarkEnd w:id="181"/>
      <w:r>
        <w:rPr>
          <w:rFonts w:ascii="Arial;sans-serif" w:hAnsi="Arial;sans-serif"/>
          <w:b/>
          <w:i/>
          <w:color w:val="000000"/>
          <w:sz w:val="20"/>
        </w:rPr>
        <w:t>We may allocate our cash and cash equivalents in ways that you and other stockholders may not approve.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We may invest our cash and cash equivalents in short-term, investment-grade, interest-bearing securities, which may not yield a favorable return to our stockholders. If we do not invest or apply our cash and cash equivalents in ways that enhance stockholder value, we may fail to achieve expected financial results, which could cause our stock price to decline.</w:t>
      </w:r>
    </w:p>
    <w:p>
      <w:pPr>
        <w:pStyle w:val="TextBody"/>
        <w:bidi w:val="0"/>
        <w:spacing w:lineRule="auto" w:line="288" w:before="0" w:after="200"/>
        <w:jc w:val="left"/>
        <w:rPr>
          <w:rFonts w:ascii="Arial;sans-serif" w:hAnsi="Arial;sans-serif"/>
          <w:b/>
          <w:i/>
          <w:color w:val="000000"/>
          <w:sz w:val="20"/>
        </w:rPr>
      </w:pPr>
      <w:bookmarkStart w:id="182" w:name="ie11387e1776243c9b0437bbb827d463e"/>
      <w:bookmarkEnd w:id="182"/>
      <w:r>
        <w:rPr>
          <w:rFonts w:ascii="Arial;sans-serif" w:hAnsi="Arial;sans-serif"/>
          <w:b/>
          <w:i/>
          <w:color w:val="000000"/>
          <w:sz w:val="20"/>
        </w:rPr>
        <w:t>We cannot guarantee that our Repurchase Program will be fully implemented or that it will enhance stockholder value, and share repurchases could affect the price of our common stock.</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In August 2024, we announced that our Board of Directors authorized the Repurchase Program, pursuant to which we may, from time to time, purchase shares of our voting and non-voting common stock for an aggregate purchase price not to exceed $150.0 million. In July 2025, our Board of Directors approved an increase in the aggregate amount of voting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106</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and non-voting common stock outstanding that may be repurchased under the Repurchase Program by an additional $150.0 million, bringing the total authorized amount under the Repurchase Program to $300.0 million. As of September 30, 2026, approximately $122.7 million remained available for repurchases under the Repurchase Program.</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Repurchases under the Repurchase Program may be made through a variety of methods and are subject to market and business conditions, levels of available liquidity, cash requirements for other purposes, regulatory, and other relevant factors. The timing, pricing, and size of share repurchases under the Repurchase Program will depend on a number of factors, including price, corporate and regulatory requirements, capital allocation alternatives, and general market and economic conditions. The Repurchase Program does not obligate us to repurchase any minimum dollar amount or number of shares, and may be suspended or discontinued by our Board of Directors at any time, which may result in a decrease in the price of our common stock.</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Repurchases under the Repurchase Program will decrease the number of outstanding shares of our common stock and therefore could affect the price of our common stock and increase its volatility. The existence of the Repurchase Program could also cause the price of our common stock to be higher than it would be in the absence of such a program and could reduce the market liquidity for our common stock. Repurchases under the Repurchase Program will diminish our cash reserves, which could impact our ability to further develop our business and service any future indebtedness. There can be no assurance that any share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common stock price. Although the Repurchase Program is intended to enhance long-term stockholder value, short-term price fluctuations could reduce the program’s effectiveness.</w:t>
      </w:r>
    </w:p>
    <w:p>
      <w:pPr>
        <w:pStyle w:val="TextBody"/>
        <w:bidi w:val="0"/>
        <w:spacing w:lineRule="auto" w:line="288" w:before="0" w:after="200"/>
        <w:jc w:val="left"/>
        <w:rPr>
          <w:rFonts w:ascii="Arial;sans-serif" w:hAnsi="Arial;sans-serif"/>
          <w:b/>
          <w:i/>
          <w:color w:val="000000"/>
          <w:sz w:val="20"/>
        </w:rPr>
      </w:pPr>
      <w:bookmarkStart w:id="183" w:name="iadb56c0ce9144984b4a82008ed397215"/>
      <w:bookmarkEnd w:id="183"/>
      <w:r>
        <w:rPr>
          <w:rFonts w:ascii="Arial;sans-serif" w:hAnsi="Arial;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lineRule="auto" w:line="288" w:before="0" w:after="200"/>
        <w:jc w:val="left"/>
        <w:rPr>
          <w:rFonts w:ascii="Arial;sans-serif" w:hAnsi="Arial;sans-serif"/>
          <w:b/>
          <w:i/>
          <w:color w:val="000000"/>
          <w:sz w:val="20"/>
        </w:rPr>
      </w:pPr>
      <w:bookmarkStart w:id="184" w:name="i68f6ada65c8e44edb37b192dbe243864"/>
      <w:bookmarkEnd w:id="184"/>
      <w:r>
        <w:rPr>
          <w:rFonts w:ascii="Arial;sans-serif" w:hAnsi="Arial;sans-serif"/>
          <w:b/>
          <w:i/>
          <w:color w:val="000000"/>
          <w:sz w:val="20"/>
        </w:rPr>
        <w:t>Sales of substantial amounts of our common stock in the public markets could cause the market price of our common stock to decline.</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122,494,955 shares of our voting common stock outstanding as of September 30, 2026. Other than shares held by directors, executive officers and other affiliates that are subject to volume limitations under Rule 144 under the Securities Act and various vesting agreements, these shares of common stock generally are freely tradable without restrictions or further registration under the Securities Act.</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Certain of our stockholders have rights, subject to some conditions, to require us to file registration statements covering their shares or to include their shares in registration statements that we may file for ourselves or our stockholders. We registered shares of common stock that we have issued and may issue under our equity incentive plans. These shares will be able to be sold freely in the public market upon issuance, subject to securities laws.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pStyle w:val="TextBody"/>
        <w:bidi w:val="0"/>
        <w:spacing w:lineRule="auto" w:line="288" w:before="0" w:after="200"/>
        <w:jc w:val="left"/>
        <w:rPr>
          <w:rFonts w:ascii="Arial;sans-serif" w:hAnsi="Arial;sans-serif"/>
          <w:b/>
          <w:i/>
          <w:color w:val="000000"/>
          <w:sz w:val="20"/>
        </w:rPr>
      </w:pPr>
      <w:bookmarkStart w:id="185" w:name="i6b31a9ac43e749afb747758c7ebbc847"/>
      <w:bookmarkEnd w:id="185"/>
      <w:r>
        <w:rPr>
          <w:rFonts w:ascii="Arial;sans-serif" w:hAnsi="Arial;sans-serif"/>
          <w:b/>
          <w:i/>
          <w:color w:val="000000"/>
          <w:sz w:val="20"/>
        </w:rPr>
        <w:t>The concentration of our stock ownership will likely limit your ability to influence corporate matters, including the ability to influence the outcome of director elections and other matters requiring stockholder approval.</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As of September 30, 2026, our current executive officers, directors and the holders of more than 5% of our outstanding voting common stock, in the aggregate, beneficially owned a significant percentage of our outstanding voting common stock. As a result, these stockholders, acting together, will have significant influence over all matters that require approval by our stockholders, including the election of directors and approval of significant corporate transactions.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107</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Corporate actions might be taken even if other stockholders oppose them. This concentration of ownership might also have the effect of delaying or preventing a change of control of our company that other stockholders may view as beneficial.</w:t>
      </w:r>
    </w:p>
    <w:p>
      <w:pPr>
        <w:pStyle w:val="TextBody"/>
        <w:bidi w:val="0"/>
        <w:spacing w:lineRule="auto" w:line="288" w:before="0" w:after="200"/>
        <w:jc w:val="left"/>
        <w:rPr>
          <w:rFonts w:ascii="Arial;sans-serif" w:hAnsi="Arial;sans-serif"/>
          <w:b/>
          <w:i/>
          <w:color w:val="000000"/>
          <w:sz w:val="20"/>
        </w:rPr>
      </w:pPr>
      <w:bookmarkStart w:id="186" w:name="i1848a43167d64b2d9e1ecb134a409358"/>
      <w:bookmarkEnd w:id="186"/>
      <w:r>
        <w:rPr>
          <w:rFonts w:ascii="Arial;sans-serif" w:hAnsi="Arial;sans-serif"/>
          <w:b/>
          <w:i/>
          <w:color w:val="000000"/>
          <w:sz w:val="20"/>
        </w:rPr>
        <w:t>We do not intend to pay dividends on our common stock, consequently, your ability to achieve a return on your investment will depend on appreciation in the price of our common stock.</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We have never declared or paid any cash dividend on our common stock and do not currently intend to do so for the foreseeable future. We currently anticipate that we will retain all available funds and any future earnings for reinvestment to fund the development, operation, expansion and growth of our business and to fund our Repurchase Program and do not anticipate declaring or paying any cash dividends for the foreseeable future. In addition, our senior secured revolving credit syndication loan currently limits our ability to pay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pStyle w:val="TextBody"/>
        <w:bidi w:val="0"/>
        <w:spacing w:lineRule="auto" w:line="288" w:before="0" w:after="200"/>
        <w:jc w:val="left"/>
        <w:rPr>
          <w:rFonts w:ascii="Arial;sans-serif" w:hAnsi="Arial;sans-serif"/>
          <w:b/>
          <w:i/>
          <w:color w:val="000000"/>
          <w:sz w:val="20"/>
        </w:rPr>
      </w:pPr>
      <w:bookmarkStart w:id="187" w:name="i438f26dfaa3f48a38b78e180029c440d"/>
      <w:bookmarkEnd w:id="187"/>
      <w:r>
        <w:rPr>
          <w:rFonts w:ascii="Arial;sans-serif" w:hAnsi="Arial;sans-serif"/>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lineRule="auto" w:line="288" w:before="0" w:after="120"/>
        <w:ind w:left="0" w:right="0" w:firstLine="490"/>
        <w:jc w:val="left"/>
        <w:rPr>
          <w:rFonts w:ascii="Arial;sans-serif" w:hAnsi="Arial;sans-serif"/>
          <w:b w:val="false"/>
          <w:color w:val="000000"/>
          <w:sz w:val="20"/>
        </w:rPr>
      </w:pPr>
      <w:r>
        <w:rPr>
          <w:rFonts w:ascii="Arial;sans-serif" w:hAnsi="Arial;sans-serif"/>
          <w:b w:val="false"/>
          <w:color w:val="000000"/>
          <w:sz w:val="20"/>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lineRule="auto" w:line="288" w:before="0" w:after="120"/>
        <w:ind w:left="0" w:right="0" w:hanging="360"/>
        <w:jc w:val="left"/>
      </w:pPr>
      <w:r>
        <w:rPr>
          <w:color w:val="000000"/>
        </w:rPr>
        <w:t>•</w:t>
      </w:r>
      <w:r>
        <w:rPr>
          <w:rFonts w:ascii="Arial;sans-serif" w:hAnsi="Arial;sans-serif"/>
          <w:b w:val="false"/>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pStyle w:val="TextBody"/>
        <w:bidi w:val="0"/>
        <w:spacing w:lineRule="auto" w:line="288" w:before="0" w:after="200"/>
        <w:ind w:left="0" w:right="0" w:hanging="360"/>
        <w:jc w:val="left"/>
      </w:pPr>
      <w:r>
        <w:rPr>
          <w:color w:val="000000"/>
        </w:rPr>
        <w:t>•</w:t>
      </w:r>
      <w:r>
        <w:rPr>
          <w:rFonts w:ascii="Arial;sans-serif" w:hAnsi="Arial;sans-serif"/>
          <w:b w:val="false"/>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108</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pStyle w:val="TextBody"/>
        <w:bidi w:val="0"/>
        <w:spacing w:lineRule="auto" w:line="288" w:before="0" w:after="200"/>
        <w:jc w:val="left"/>
        <w:rPr>
          <w:rFonts w:ascii="Arial;sans-serif" w:hAnsi="Arial;sans-serif"/>
          <w:b/>
          <w:i/>
          <w:color w:val="000000"/>
          <w:sz w:val="20"/>
        </w:rPr>
      </w:pPr>
      <w:bookmarkStart w:id="188" w:name="i8a8092a5c3804cde85a537a581bf2f5f"/>
      <w:bookmarkEnd w:id="188"/>
      <w:r>
        <w:rPr>
          <w:rFonts w:ascii="Arial;sans-serif" w:hAnsi="Arial;sans-serif"/>
          <w:b/>
          <w:i/>
          <w:color w:val="000000"/>
          <w:sz w:val="20"/>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FlyMates.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FlyMates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189" w:name="if2a315604de14fd398d42b1415cc5382"/>
      <w:bookmarkEnd w:id="189"/>
      <w:r>
        <w:rPr>
          <w:rFonts w:ascii="Arial;sans-serif" w:hAnsi="Arial;sans-serif"/>
          <w:b/>
          <w:color w:val="000000"/>
          <w:sz w:val="20"/>
        </w:rPr>
        <w:t>Item 2. Unregistered Sales of Equity Securities and Use of Proceeds</w:t>
      </w:r>
    </w:p>
    <w:p>
      <w:pPr>
        <w:pStyle w:val="TextBody"/>
        <w:bidi w:val="0"/>
        <w:spacing w:lineRule="auto" w:line="288" w:before="0" w:after="200"/>
        <w:jc w:val="left"/>
        <w:rPr>
          <w:rFonts w:ascii="Arial;sans-serif" w:hAnsi="Arial;sans-serif"/>
          <w:b/>
          <w:i/>
          <w:color w:val="000000"/>
          <w:sz w:val="20"/>
        </w:rPr>
      </w:pPr>
      <w:bookmarkStart w:id="190" w:name="i180426de64424699abbd1be379fcca51"/>
      <w:bookmarkEnd w:id="190"/>
      <w:r>
        <w:rPr>
          <w:rFonts w:ascii="Arial;sans-serif" w:hAnsi="Arial;sans-serif"/>
          <w:b/>
          <w:i/>
          <w:color w:val="000000"/>
          <w:sz w:val="20"/>
        </w:rPr>
        <w:t>Recent Sales of Unregistered Equity Securities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0" w:after="200"/>
        <w:jc w:val="left"/>
        <w:rPr>
          <w:rFonts w:ascii="Arial;sans-serif" w:hAnsi="Arial;sans-serif"/>
          <w:b/>
          <w:i/>
          <w:color w:val="000000"/>
          <w:sz w:val="20"/>
        </w:rPr>
      </w:pPr>
      <w:bookmarkStart w:id="191" w:name="i4426030a17784ed994bfc198739423df"/>
      <w:bookmarkEnd w:id="191"/>
      <w:r>
        <w:rPr>
          <w:rFonts w:ascii="Arial;sans-serif" w:hAnsi="Arial;sans-serif"/>
          <w:b/>
          <w:i/>
          <w:color w:val="000000"/>
          <w:sz w:val="20"/>
        </w:rPr>
        <w:t>Issuer Purchases of Equity Securities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192" w:name="ie3064b367bde49d9853f55e888d85ad2"/>
      <w:bookmarkEnd w:id="192"/>
      <w:r>
        <w:rPr>
          <w:rFonts w:ascii="Arial;sans-serif" w:hAnsi="Arial;sans-serif"/>
          <w:b/>
          <w:color w:val="000000"/>
          <w:sz w:val="20"/>
        </w:rPr>
        <w:t>Item 3. Defaults Upon Senior Securities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193" w:name="i2e1f5919f60744708b615aea75f64c59"/>
      <w:bookmarkEnd w:id="193"/>
      <w:r>
        <w:rPr>
          <w:rFonts w:ascii="Arial;sans-serif" w:hAnsi="Arial;sans-serif"/>
          <w:b/>
          <w:color w:val="000000"/>
          <w:sz w:val="20"/>
        </w:rPr>
        <w:t>Item 4. Mine Safety Disclosures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bookmarkStart w:id="194" w:name="i5fd3e4ee713f4585b193d3e2338f644d"/>
      <w:bookmarkEnd w:id="194"/>
      <w:r>
        <w:rPr>
          <w:rFonts w:ascii="Arial;sans-serif" w:hAnsi="Arial;sans-serif"/>
          <w:b/>
          <w:color w:val="000000"/>
          <w:sz w:val="20"/>
        </w:rPr>
        <w:t>Item 5. Other Information</w:t>
      </w:r>
    </w:p>
    <w:p>
      <w:pPr>
        <w:pStyle w:val="TextBody"/>
        <w:bidi w:val="0"/>
        <w:spacing w:lineRule="auto" w:line="288" w:before="0" w:after="200"/>
        <w:jc w:val="left"/>
        <w:rPr>
          <w:rFonts w:ascii="Arial;sans-serif" w:hAnsi="Arial;sans-serif"/>
          <w:b/>
          <w:i/>
          <w:color w:val="000000"/>
          <w:sz w:val="20"/>
        </w:rPr>
      </w:pPr>
      <w:bookmarkStart w:id="195" w:name="i8775fe1d8cee4814ac4b6c0b5923d4d9"/>
      <w:bookmarkEnd w:id="195"/>
      <w:r>
        <w:rPr>
          <w:rFonts w:ascii="Arial;sans-serif" w:hAnsi="Arial;sans-serif"/>
          <w:b/>
          <w:i/>
          <w:color w:val="000000"/>
          <w:sz w:val="20"/>
        </w:rPr>
        <w:t>Rule 10b5-1 Trading Plans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During the period covered by this Quarterly Report on Form 10-Q, other than as set forth below, no director or officer of the Company “adopted” or terminated a “Rule 10b5-1 trading arrangement” or “non-Rule 10b5-1 trading arrangement” as each term is defined in Item 408(a) of Regulation S-K.</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On September 9, 2026, Michael Massaro, our Chief Executive Officer, adopted a trading arrangement for the sale of shares of our common stock that is intended to satisfy the affirmative defense conditions of Securities Exchange Act Rule 10b5-1(c) (a Rule 10b-5 Trading Plan). Mr. Massaro's Rule 10b-5 Trading Plan provides for the sale of up to 600,000 shares of common stock pursuant to the terms of the plan. The plan is effective through February 1, 2028 unless earlier terminated in accordance with the terms of the plan.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2"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109</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On September 11, 2026, Cosmin Pitigoi, our Chief Financial Officer, adopted a Rule 10b-5 Trading Plan for the sale of shares of our common stock. Mr. Pitigoi’s Rule 10b-5 Trading Plan provides for the sale of up to 182,452 shares of common stock pursuant to the terms of the plan. The plan is effective through December 31, 2027 unless earlier terminated in accordance with the terms of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3"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0"/>
        <w:jc w:val="left"/>
        <w:rPr>
          <w:rFonts w:ascii="Arial;sans-serif" w:hAnsi="Arial;sans-serif"/>
          <w:b/>
          <w:color w:val="000000"/>
          <w:sz w:val="20"/>
        </w:rPr>
      </w:pPr>
      <w:bookmarkStart w:id="196" w:name="i29bcb09c30be485791ed8b7bb4b38c78"/>
      <w:bookmarkEnd w:id="196"/>
      <w:r>
        <w:rPr>
          <w:rFonts w:ascii="Arial;sans-serif" w:hAnsi="Arial;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308"/>
        <w:gridCol w:w="270"/>
        <w:gridCol w:w="271"/>
        <w:gridCol w:w="109"/>
        <w:gridCol w:w="109"/>
        <w:gridCol w:w="109"/>
        <w:gridCol w:w="2638"/>
        <w:gridCol w:w="2638"/>
        <w:gridCol w:w="3753"/>
      </w:tblGrid>
      <w:tr>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c>
          <w:tcPr>
            <w:tcW w:w="849"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Arial;sans-serif" w:hAnsi="Arial;sans-serif"/>
                <w:b/>
                <w:color w:val="000000"/>
                <w:sz w:val="18"/>
              </w:rPr>
            </w:pPr>
            <w:r>
              <w:rPr>
                <w:rFonts w:ascii="Arial;sans-serif" w:hAnsi="Arial;sans-serif"/>
                <w:b/>
                <w:color w:val="000000"/>
                <w:sz w:val="18"/>
              </w:rPr>
              <w:t>Exhibit</w:t>
            </w:r>
          </w:p>
          <w:p>
            <w:pPr>
              <w:pStyle w:val="TableContents"/>
              <w:bidi w:val="0"/>
              <w:spacing w:lineRule="auto" w:line="276" w:before="14" w:after="283"/>
              <w:jc w:val="center"/>
              <w:rPr>
                <w:rFonts w:ascii="Arial;sans-serif" w:hAnsi="Arial;sans-serif"/>
                <w:b/>
                <w:color w:val="000000"/>
                <w:sz w:val="18"/>
              </w:rPr>
            </w:pPr>
            <w:r>
              <w:rPr>
                <w:rFonts w:ascii="Arial;sans-serif" w:hAnsi="Arial;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Description</w:t>
            </w:r>
          </w:p>
        </w:tc>
      </w:tr>
      <w:tr>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4" w:after="283"/>
              <w:jc w:val="left"/>
            </w:pPr>
            <w:hyperlink w:anchor="flyw-20260930xexx311.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c>
          <w:tcPr>
            <w:tcW w:w="8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tcMar>
              <w:top w:w="0" w:type="dxa"/>
              <w:left w:w="0" w:type="dxa"/>
              <w:bottom w:w="0" w:type="dxa"/>
              <w:right w:w="0" w:type="dxa"/>
            </w:tcMar>
            <w:vAlign w:val="center"/>
          </w:tcPr>
          <w:p>
            <w:pPr>
              <w:pStyle w:val="TableContents"/>
              <w:bidi w:val="0"/>
              <w:spacing w:lineRule="auto" w:line="276" w:before="14" w:after="283"/>
              <w:jc w:val="left"/>
            </w:pPr>
            <w:hyperlink w:anchor="flyw-20260930xexx312.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c>
          <w:tcPr>
            <w:tcW w:w="8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tcMar>
              <w:top w:w="0" w:type="dxa"/>
              <w:left w:w="0" w:type="dxa"/>
              <w:bottom w:w="0" w:type="dxa"/>
              <w:right w:w="0" w:type="dxa"/>
            </w:tcMar>
            <w:vAlign w:val="center"/>
          </w:tcPr>
          <w:p>
            <w:pPr>
              <w:pStyle w:val="TableContents"/>
              <w:bidi w:val="0"/>
              <w:spacing w:lineRule="auto" w:line="276" w:before="14" w:after="283"/>
              <w:jc w:val="left"/>
            </w:pPr>
            <w:hyperlink w:anchor="flyw-20260930xexx321.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r>
      <w:tr>
        <w:tc>
          <w:tcPr>
            <w:tcW w:w="8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tcMar>
              <w:top w:w="0" w:type="dxa"/>
              <w:left w:w="0" w:type="dxa"/>
              <w:bottom w:w="0" w:type="dxa"/>
              <w:right w:w="0" w:type="dxa"/>
            </w:tcMar>
            <w:vAlign w:val="center"/>
          </w:tcPr>
          <w:p>
            <w:pPr>
              <w:pStyle w:val="TableContents"/>
              <w:bidi w:val="0"/>
              <w:spacing w:lineRule="auto" w:line="276" w:before="14" w:after="283"/>
              <w:jc w:val="left"/>
            </w:pPr>
            <w:hyperlink w:anchor="flyw-20260930xexx322.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r>
      <w:tr>
        <w:tc>
          <w:tcPr>
            <w:tcW w:w="8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XBRL tags are embedded within the Inline XBRL document.</w:t>
            </w:r>
          </w:p>
        </w:tc>
      </w:tr>
      <w:tr>
        <w:tc>
          <w:tcPr>
            <w:tcW w:w="8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with embedded linkbase documents.</w:t>
            </w:r>
          </w:p>
        </w:tc>
      </w:tr>
      <w:tr>
        <w:tc>
          <w:tcPr>
            <w:tcW w:w="8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_____________________</w:t>
      </w:r>
    </w:p>
    <w:p>
      <w:pPr>
        <w:pStyle w:val="TextBody"/>
        <w:bidi w:val="0"/>
        <w:spacing w:lineRule="auto" w:line="288" w:before="0" w:after="0"/>
        <w:ind w:left="0" w:right="0" w:hanging="144"/>
        <w:jc w:val="left"/>
      </w:pPr>
      <w:r>
        <w:rPr>
          <w:rFonts w:ascii="Arial;sans-serif" w:hAnsi="Arial;sans-serif"/>
          <w:b w:val="false"/>
          <w:color w:val="000000"/>
          <w:sz w:val="20"/>
        </w:rPr>
        <w:t>*</w:t>
      </w:r>
      <w:r>
        <w:rPr>
          <w:color w:val="000000"/>
        </w:rPr>
        <w:t xml:space="preserve"> </w:t>
      </w:r>
      <w:r>
        <w:rPr>
          <w:rFonts w:ascii="Arial;sans-serif" w:hAnsi="Arial;sans-serif"/>
          <w:b w:val="false"/>
          <w:color w:val="000000"/>
          <w:sz w:val="20"/>
        </w:rPr>
        <w:t>Filed herewith</w:t>
      </w:r>
    </w:p>
    <w:p>
      <w:pPr>
        <w:pStyle w:val="TextBody"/>
        <w:bidi w:val="0"/>
        <w:spacing w:lineRule="auto" w:line="288" w:before="0" w:after="0"/>
        <w:ind w:left="0" w:right="0" w:hanging="144"/>
        <w:jc w:val="left"/>
        <w:rPr>
          <w:rFonts w:ascii="Arial;sans-serif" w:hAnsi="Arial;sans-serif"/>
          <w:b w:val="false"/>
          <w:color w:val="000000"/>
          <w:sz w:val="20"/>
        </w:rPr>
      </w:pPr>
      <w:r>
        <w:rPr>
          <w:rFonts w:ascii="Arial;sans-serif" w:hAnsi="Arial;sans-serif"/>
          <w:b w:val="false"/>
          <w:color w:val="000000"/>
          <w:sz w:val="20"/>
        </w:rPr>
        <w:t>** 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pStyle w:val="TextBody"/>
        <w:bidi w:val="0"/>
        <w:spacing w:before="0" w:after="0"/>
        <w:ind w:left="0" w:right="0" w:firstLine="216"/>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4"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111</w:t>
                      </w:r>
                    </w:p>
                  </w:txbxContent>
                </v:textbox>
                <w10:wrap type="none"/>
              </v:rect>
            </w:pict>
          </mc:Fallback>
        </mc:AlternateContent>
      </w:r>
    </w:p>
    <w:p>
      <w:pPr>
        <w:pStyle w:val="TextBody"/>
        <w:bidi w:val="0"/>
        <w:spacing w:lineRule="auto" w:line="288" w:before="0" w:after="0"/>
        <w:jc w:val="left"/>
      </w:pPr>
      <w:hyperlink w:anchor="ib6af6337cef042b89a72935ed08dcc65_7">
        <w:r>
          <w:rPr>
            <w:rStyle w:val="InternetLink"/>
          </w:rPr>
          <w:t>Table of Cont</w:t>
        </w:r>
      </w:hyperlink>
      <w:hyperlink w:anchor="ib6af6337cef042b89a72935ed08dcc65_7">
        <w:r>
          <w:rPr>
            <w:rStyle w:val="InternetLink"/>
          </w:rPr>
          <w:t>e</w:t>
        </w:r>
      </w:hyperlink>
      <w:hyperlink w:anchor="ib6af6337cef042b89a72935ed08dcc65_7">
        <w:r>
          <w:rPr>
            <w:rStyle w:val="InternetLink"/>
          </w:rPr>
          <w:t>nts</w:t>
        </w:r>
      </w:hyperlink>
    </w:p>
    <w:p>
      <w:pPr>
        <w:pStyle w:val="TextBody"/>
        <w:bidi w:val="0"/>
        <w:spacing w:lineRule="auto" w:line="288" w:before="0" w:after="200"/>
        <w:jc w:val="center"/>
        <w:rPr>
          <w:rFonts w:ascii="Arial;sans-serif" w:hAnsi="Arial;sans-serif"/>
          <w:b/>
          <w:color w:val="000000"/>
          <w:sz w:val="20"/>
        </w:rPr>
      </w:pPr>
      <w:bookmarkStart w:id="197" w:name="i32ebc8eac5814f8185b2f1416fe812c2"/>
      <w:bookmarkEnd w:id="197"/>
      <w:r>
        <w:rPr>
          <w:rFonts w:ascii="Arial;sans-serif" w:hAnsi="Arial;sans-serif"/>
          <w:b/>
          <w:color w:val="000000"/>
          <w:sz w:val="20"/>
        </w:rPr>
        <w:t>SIGNATURES</w:t>
      </w:r>
    </w:p>
    <w:p>
      <w:pPr>
        <w:pStyle w:val="TextBody"/>
        <w:bidi w:val="0"/>
        <w:spacing w:lineRule="auto" w:line="288" w:before="0" w:after="200"/>
        <w:ind w:left="0" w:right="0" w:firstLine="49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8078" w:type="dxa"/>
        <w:jc w:val="left"/>
        <w:tblInd w:w="0" w:type="dxa"/>
        <w:tblLayout w:type="fixed"/>
        <w:tblCellMar>
          <w:top w:w="28" w:type="dxa"/>
          <w:left w:w="28" w:type="dxa"/>
          <w:bottom w:w="28" w:type="dxa"/>
          <w:right w:w="28" w:type="dxa"/>
        </w:tblCellMar>
      </w:tblPr>
      <w:tblGrid>
        <w:gridCol w:w="808"/>
        <w:gridCol w:w="709"/>
        <w:gridCol w:w="717"/>
        <w:gridCol w:w="269"/>
        <w:gridCol w:w="269"/>
        <w:gridCol w:w="269"/>
        <w:gridCol w:w="269"/>
        <w:gridCol w:w="269"/>
        <w:gridCol w:w="269"/>
        <w:gridCol w:w="1239"/>
        <w:gridCol w:w="1239"/>
        <w:gridCol w:w="1752"/>
      </w:tblGrid>
      <w:t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4"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color w:val="000000"/>
                <w:sz w:val="20"/>
              </w:rPr>
            </w:pPr>
            <w:r>
              <w:rPr>
                <w:rFonts w:ascii="Arial;sans-serif" w:hAnsi="Arial;sans-serif"/>
                <w:b/>
                <w:color w:val="000000"/>
                <w:sz w:val="20"/>
              </w:rPr>
              <w:t>FLYWIRE CORPORATION</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Date: November 3, 2026</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/s/ Michael Massaro</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Michael Massaro</w:t>
              <w:br/>
              <w:t>Chief Executive Officer and Director</w:t>
              <w:br/>
              <w:t>(Principal Executive Officer)</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Date: November 3, 2026</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/s/ Cosmin Pitigoi</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Cosmin Pitigoi</w:t>
              <w:br/>
              <w:t>Chief Financial Officer</w:t>
              <w:br/>
              <w:t>(Principal Financial and Accounting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5"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112</w:t>
                      </w:r>
                    </w:p>
                  </w:txbxContent>
                </v:textbox>
                <w10:wrap type="none"/>
              </v:rect>
            </w:pict>
          </mc:Fallback>
        </mc:AlternateContent>
      </w:r>
    </w:p>
    <w:p>
      <w:pPr>
        <w:pStyle w:val="TextBody"/>
        <w:bidi w:val="0"/>
        <w:spacing w:lineRule="auto" w:line="288" w:before="0" w:after="48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EXECUTIVE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RULES 13a-14(a) AND 15d-14(a) UNDER THE SECURITIES EXCHANGE ACT OF 1934,</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AS ADOPTED PURSUANT TO SECTION 302 OF THE SARBANES-OXLEY ACT OF 2002</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 Michael Massaro, certify that:</w:t>
      </w:r>
    </w:p>
    <w:p>
      <w:pPr>
        <w:pStyle w:val="TextBody"/>
        <w:bidi w:val="0"/>
        <w:spacing w:lineRule="auto" w:line="288" w:before="0" w:after="120"/>
        <w:ind w:left="0" w:right="0" w:hanging="49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for the quarter ended September 30, 2026 of Flywire Corporation;</w:t>
      </w:r>
    </w:p>
    <w:p>
      <w:pPr>
        <w:pStyle w:val="TextBody"/>
        <w:bidi w:val="0"/>
        <w:spacing w:lineRule="auto" w:line="288" w:before="0" w:after="120"/>
        <w:ind w:left="0" w:right="0" w:hanging="49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49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49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518"/>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518"/>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518"/>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518"/>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49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518"/>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518"/>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6103" w:type="dxa"/>
        <w:jc w:val="left"/>
        <w:tblInd w:w="0" w:type="dxa"/>
        <w:tblLayout w:type="fixed"/>
        <w:tblCellMar>
          <w:top w:w="28" w:type="dxa"/>
          <w:left w:w="28" w:type="dxa"/>
          <w:bottom w:w="28" w:type="dxa"/>
          <w:right w:w="28" w:type="dxa"/>
        </w:tblCellMar>
      </w:tblPr>
      <w:tblGrid>
        <w:gridCol w:w="808"/>
        <w:gridCol w:w="709"/>
        <w:gridCol w:w="717"/>
        <w:gridCol w:w="134"/>
        <w:gridCol w:w="134"/>
        <w:gridCol w:w="136"/>
        <w:gridCol w:w="1015"/>
        <w:gridCol w:w="1015"/>
        <w:gridCol w:w="1435"/>
      </w:tblGrid>
      <w:t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Date: November 3,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/s/ Michael Massaro</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3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Michael Massaro</w:t>
              <w:br/>
              <w:t>Chief Executive Officer and Director</w:t>
              <w:br/>
              <w:t>(Principal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48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FINANCIAL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RULES 13a-14(a) AND 15d-14(a) UNDER THE SECURITIES EXCHANGE ACT OF 1934,</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AS ADOPTED PURSUANT TO SECTION 302 OF THE SARBANES-OXLEY ACT OF 2002</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 Cosmin Pitigoi, certify that:</w:t>
      </w:r>
    </w:p>
    <w:p>
      <w:pPr>
        <w:pStyle w:val="TextBody"/>
        <w:bidi w:val="0"/>
        <w:spacing w:lineRule="auto" w:line="288" w:before="0" w:after="120"/>
        <w:ind w:left="0" w:right="0" w:hanging="49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for the quarter ended September 30, 2026 of Flywire Corporation;</w:t>
      </w:r>
    </w:p>
    <w:p>
      <w:pPr>
        <w:pStyle w:val="TextBody"/>
        <w:bidi w:val="0"/>
        <w:spacing w:lineRule="auto" w:line="288" w:before="0" w:after="120"/>
        <w:ind w:left="0" w:right="0" w:hanging="49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49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49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518"/>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518"/>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518"/>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518"/>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49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518"/>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518"/>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6868" w:type="dxa"/>
        <w:jc w:val="center"/>
        <w:tblInd w:w="0" w:type="dxa"/>
        <w:tblLayout w:type="fixed"/>
        <w:tblCellMar>
          <w:top w:w="28" w:type="dxa"/>
          <w:left w:w="28" w:type="dxa"/>
          <w:bottom w:w="28" w:type="dxa"/>
          <w:right w:w="28" w:type="dxa"/>
        </w:tblCellMar>
      </w:tblPr>
      <w:tblGrid>
        <w:gridCol w:w="808"/>
        <w:gridCol w:w="709"/>
        <w:gridCol w:w="717"/>
        <w:gridCol w:w="134"/>
        <w:gridCol w:w="134"/>
        <w:gridCol w:w="136"/>
        <w:gridCol w:w="1236"/>
        <w:gridCol w:w="1236"/>
        <w:gridCol w:w="1758"/>
      </w:tblGrid>
      <w:t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Date: November 3,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/s/ Cosmin Pitigoi</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4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Cosmin Pitigoi</w:t>
              <w:br/>
              <w:t>Chief Financial Officer</w:t>
              <w:br/>
              <w:t>(Principal Financial and Accounting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48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EXECUTIVE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connection with the Quarterly Report of Flywire Corporation (the “Company”) on Form 10-Q for the quarter ended September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0" w:after="120"/>
        <w:ind w:left="0" w:right="0" w:hanging="518"/>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120"/>
        <w:ind w:left="0" w:right="0" w:hanging="518"/>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 of operations of the Company.</w:t>
      </w:r>
    </w:p>
    <w:tbl>
      <w:tblPr>
        <w:tblW w:w="6103" w:type="dxa"/>
        <w:jc w:val="center"/>
        <w:tblInd w:w="0" w:type="dxa"/>
        <w:tblLayout w:type="fixed"/>
        <w:tblCellMar>
          <w:top w:w="28" w:type="dxa"/>
          <w:left w:w="28" w:type="dxa"/>
          <w:bottom w:w="28" w:type="dxa"/>
          <w:right w:w="28" w:type="dxa"/>
        </w:tblCellMar>
      </w:tblPr>
      <w:tblGrid>
        <w:gridCol w:w="808"/>
        <w:gridCol w:w="709"/>
        <w:gridCol w:w="717"/>
        <w:gridCol w:w="134"/>
        <w:gridCol w:w="134"/>
        <w:gridCol w:w="136"/>
        <w:gridCol w:w="1015"/>
        <w:gridCol w:w="1015"/>
        <w:gridCol w:w="1435"/>
      </w:tblGrid>
      <w:t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rFonts w:ascii="Arial;sans-serif" w:hAnsi="Arial;sans-serif"/>
                <w:b w:val="false"/>
                <w:color w:val="000000"/>
                <w:sz w:val="20"/>
              </w:rPr>
            </w:pPr>
            <w:r>
              <w:rPr>
                <w:rFonts w:ascii="Arial;sans-serif" w:hAnsi="Arial;sans-serif"/>
                <w:b w:val="false"/>
                <w:color w:val="000000"/>
                <w:sz w:val="20"/>
              </w:rPr>
              <w:t>Date: November 3,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/s/ Michael Massaro</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Michael Massaro</w:t>
              <w:br/>
              <w:t>Chief Executive Officer and Director</w:t>
              <w:br/>
              <w:t>(Principal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48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PRINCIPAL FINANCIAL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connection with the Quarterly Report of Flywire Corporation (the “Company”) on Form 10-Q for the quarter ended September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0" w:after="120"/>
        <w:ind w:left="0" w:right="0" w:hanging="518"/>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120"/>
        <w:ind w:left="0" w:right="0" w:hanging="518"/>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 of operations of the Company.</w:t>
      </w:r>
    </w:p>
    <w:tbl>
      <w:tblPr>
        <w:tblW w:w="6868" w:type="dxa"/>
        <w:jc w:val="center"/>
        <w:tblInd w:w="0" w:type="dxa"/>
        <w:tblLayout w:type="fixed"/>
        <w:tblCellMar>
          <w:top w:w="28" w:type="dxa"/>
          <w:left w:w="28" w:type="dxa"/>
          <w:bottom w:w="28" w:type="dxa"/>
          <w:right w:w="28" w:type="dxa"/>
        </w:tblCellMar>
      </w:tblPr>
      <w:tblGrid>
        <w:gridCol w:w="808"/>
        <w:gridCol w:w="709"/>
        <w:gridCol w:w="717"/>
        <w:gridCol w:w="134"/>
        <w:gridCol w:w="134"/>
        <w:gridCol w:w="136"/>
        <w:gridCol w:w="1236"/>
        <w:gridCol w:w="1236"/>
        <w:gridCol w:w="1758"/>
      </w:tblGrid>
      <w:t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lineRule="auto" w:line="273" w:before="0" w:after="0"/>
              <w:ind w:left="0" w:right="0" w:hanging="0"/>
              <w:jc w:val="left"/>
              <w:rPr>
                <w:rFonts w:ascii="Arial;sans-serif" w:hAnsi="Arial;sans-serif"/>
                <w:b w:val="false"/>
                <w:color w:val="000000"/>
                <w:sz w:val="20"/>
              </w:rPr>
            </w:pPr>
            <w:r>
              <w:rPr>
                <w:rFonts w:ascii="Arial;sans-serif" w:hAnsi="Arial;sans-serif"/>
                <w:b w:val="false"/>
                <w:color w:val="000000"/>
                <w:sz w:val="20"/>
              </w:rPr>
              <w:t>Date: November 3,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/s/ Cosmin Pitigoi</w:t>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4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Cosmin Pitigoi</w:t>
              <w:br/>
              <w:t>Chief Financial Officer</w:t>
              <w:br/>
              <w:t>(Principal Financial and Accounting Officer)</w:t>
            </w:r>
          </w:p>
        </w:tc>
      </w:tr>
    </w:tbl>
    <w:p>
      <w:pPr>
        <w:pStyle w:val="TextBody"/>
        <w:bidi w:val="0"/>
        <w:spacing w:before="0" w:after="283"/>
        <w:jc w:val="left"/>
      </w:p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79046</Words>
  <Characters>447433</Characters>
  <CharactersWithSpaces>523584</CharactersWithSpaces>
  <Paragraphs>4525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