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-234315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21590</wp:posOffset>
            </wp:positionV>
            <wp:extent cx="6992620" cy="5772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77215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Butterfield Peter</w:t>
        </w:r>
      </w:hyperlink>
    </w:p>
    <w:p>
      <w:pPr>
        <w:spacing w:after="0" w:line="29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100"/>
        <w:spacing w:after="0" w:line="419" w:lineRule="auto"/>
        <w:rPr>
          <w:sz w:val="20"/>
          <w:szCs w:val="20"/>
          <w:color w:val="auto"/>
        </w:rPr>
      </w:pPr>
      <w:r>
        <w:rPr>
          <w:rFonts w:ascii="Arial" w:cs="Arial" w:eastAsia="Arial" w:hAnsi="Arial"/>
          <w:sz w:val="15"/>
          <w:szCs w:val="15"/>
          <w:color w:val="0000FF"/>
        </w:rPr>
        <w:t>C/O FLYWIRE CORPORATION 141 TREMONT STREET, SUITE 10</w:t>
      </w:r>
    </w:p>
    <w:p>
      <w:pPr>
        <w:spacing w:after="0" w:line="138"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33"/>
        </w:trPr>
        <w:tc>
          <w:tcPr>
            <w:tcW w:w="20" w:type="dxa"/>
            <w:vAlign w:val="bottom"/>
          </w:tcPr>
          <w:p>
            <w:pPr>
              <w:spacing w:after="0"/>
              <w:rPr>
                <w:sz w:val="20"/>
                <w:szCs w:val="20"/>
                <w:color w:val="auto"/>
              </w:rPr>
            </w:pPr>
          </w:p>
        </w:tc>
        <w:tc>
          <w:tcPr>
            <w:tcW w:w="960" w:type="dxa"/>
            <w:vAlign w:val="bottom"/>
          </w:tcPr>
          <w:p>
            <w:pPr>
              <w:ind w:left="20"/>
              <w:spacing w:after="0"/>
              <w:rPr>
                <w:sz w:val="20"/>
                <w:szCs w:val="20"/>
                <w:color w:val="auto"/>
              </w:rPr>
            </w:pPr>
            <w:r>
              <w:rPr>
                <w:rFonts w:ascii="Arial" w:cs="Arial" w:eastAsia="Arial" w:hAnsi="Arial"/>
                <w:sz w:val="17"/>
                <w:szCs w:val="17"/>
                <w:color w:val="0000FF"/>
              </w:rPr>
              <w:t>BOSTON</w:t>
            </w:r>
          </w:p>
        </w:tc>
        <w:tc>
          <w:tcPr>
            <w:tcW w:w="1080" w:type="dxa"/>
            <w:vAlign w:val="bottom"/>
          </w:tcPr>
          <w:p>
            <w:pPr>
              <w:ind w:left="280"/>
              <w:spacing w:after="0"/>
              <w:rPr>
                <w:sz w:val="20"/>
                <w:szCs w:val="20"/>
                <w:color w:val="auto"/>
              </w:rPr>
            </w:pPr>
            <w:r>
              <w:rPr>
                <w:rFonts w:ascii="Arial" w:cs="Arial" w:eastAsia="Arial" w:hAnsi="Arial"/>
                <w:sz w:val="17"/>
                <w:szCs w:val="17"/>
                <w:color w:val="0000FF"/>
              </w:rPr>
              <w:t>MA</w:t>
            </w:r>
          </w:p>
        </w:tc>
        <w:tc>
          <w:tcPr>
            <w:tcW w:w="1620" w:type="dxa"/>
            <w:vAlign w:val="bottom"/>
          </w:tcPr>
          <w:p>
            <w:pPr>
              <w:ind w:left="420"/>
              <w:spacing w:after="0"/>
              <w:rPr>
                <w:sz w:val="20"/>
                <w:szCs w:val="20"/>
                <w:color w:val="auto"/>
              </w:rPr>
            </w:pPr>
            <w:r>
              <w:rPr>
                <w:rFonts w:ascii="Arial" w:cs="Arial" w:eastAsia="Arial" w:hAnsi="Arial"/>
                <w:sz w:val="17"/>
                <w:szCs w:val="17"/>
                <w:color w:val="0000FF"/>
              </w:rPr>
              <w:t>02111</w:t>
            </w:r>
          </w:p>
        </w:tc>
      </w:tr>
      <w:tr>
        <w:trPr>
          <w:trHeight w:val="151"/>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Flywire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FLYW</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6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80" w:type="dxa"/>
            <w:vAlign w:val="bottom"/>
            <w:tcBorders>
              <w:bottom w:val="single" w:sz="8" w:color="0000EE"/>
            </w:tcBorders>
          </w:tcPr>
          <w:p>
            <w:pPr>
              <w:spacing w:after="0"/>
              <w:rPr>
                <w:sz w:val="3"/>
                <w:szCs w:val="3"/>
                <w:color w:val="auto"/>
              </w:rPr>
            </w:pPr>
          </w:p>
        </w:tc>
        <w:tc>
          <w:tcPr>
            <w:tcW w:w="2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266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18"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1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1180" w:type="dxa"/>
            <w:vAlign w:val="bottom"/>
            <w:gridSpan w:val="3"/>
          </w:tcPr>
          <w:p>
            <w:pPr>
              <w:ind w:left="80"/>
              <w:spacing w:after="0"/>
              <w:rPr>
                <w:sz w:val="20"/>
                <w:szCs w:val="20"/>
                <w:color w:val="auto"/>
              </w:rPr>
            </w:pPr>
            <w:r>
              <w:rPr>
                <w:rFonts w:ascii="Arial" w:cs="Arial" w:eastAsia="Arial" w:hAnsi="Arial"/>
                <w:sz w:val="17"/>
                <w:szCs w:val="17"/>
                <w:color w:val="0000FF"/>
              </w:rPr>
              <w:t>09/05/2023</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General Counsel and CCO</w:t>
            </w:r>
          </w:p>
        </w:tc>
        <w:tc>
          <w:tcPr>
            <w:tcW w:w="0" w:type="dxa"/>
            <w:vAlign w:val="bottom"/>
          </w:tcPr>
          <w:p>
            <w:pPr>
              <w:spacing w:after="0"/>
              <w:rPr>
                <w:sz w:val="1"/>
                <w:szCs w:val="1"/>
                <w:color w:val="auto"/>
              </w:rPr>
            </w:pPr>
          </w:p>
        </w:tc>
      </w:tr>
      <w:tr>
        <w:trPr>
          <w:trHeight w:val="77"/>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2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26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43"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0" w:lineRule="exact"/>
        <w:rPr>
          <w:sz w:val="24"/>
          <w:szCs w:val="24"/>
          <w:color w:val="auto"/>
        </w:rPr>
      </w:pPr>
    </w:p>
    <w:p>
      <w:pPr>
        <w:ind w:left="340" w:right="600"/>
        <w:spacing w:after="0" w:line="242"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40"/>
              <w:spacing w:after="0" w:line="127"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10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40" w:type="dxa"/>
            <w:vAlign w:val="bottom"/>
            <w:gridSpan w:val="2"/>
          </w:tcPr>
          <w:p>
            <w:pPr>
              <w:ind w:left="54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54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09/05/2023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2"/>
              <w:spacing w:after="0"/>
              <w:rPr>
                <w:sz w:val="20"/>
                <w:szCs w:val="20"/>
                <w:color w:val="auto"/>
              </w:rPr>
            </w:pPr>
            <w:r>
              <w:rPr>
                <w:rFonts w:ascii="Arial" w:cs="Arial" w:eastAsia="Arial" w:hAnsi="Arial"/>
                <w:sz w:val="13"/>
                <w:szCs w:val="13"/>
                <w:color w:val="0000FF"/>
                <w:w w:val="91"/>
              </w:rPr>
              <w:t>S</w:t>
            </w:r>
          </w:p>
        </w:tc>
        <w:tc>
          <w:tcPr>
            <w:tcW w:w="740" w:type="dxa"/>
            <w:vAlign w:val="bottom"/>
            <w:tcBorders>
              <w:bottom w:val="single" w:sz="8" w:color="2C2C2C"/>
            </w:tcBorders>
          </w:tcPr>
          <w:p>
            <w:pPr>
              <w:jc w:val="center"/>
              <w:ind w:left="12"/>
              <w:spacing w:after="0"/>
              <w:rPr>
                <w:sz w:val="20"/>
                <w:szCs w:val="20"/>
                <w:color w:val="auto"/>
              </w:rPr>
            </w:pPr>
            <w:r>
              <w:rPr>
                <w:rFonts w:ascii="Arial" w:cs="Arial" w:eastAsia="Arial" w:hAnsi="Arial"/>
                <w:sz w:val="17"/>
                <w:szCs w:val="17"/>
                <w:color w:val="0000FF"/>
                <w:w w:val="83"/>
              </w:rPr>
              <w:t>1,351</w:t>
            </w:r>
            <w:r>
              <w:rPr>
                <w:rFonts w:ascii="Arial" w:cs="Arial" w:eastAsia="Arial" w:hAnsi="Arial"/>
                <w:sz w:val="21"/>
                <w:szCs w:val="21"/>
                <w:color w:val="008000"/>
                <w:w w:val="83"/>
                <w:vertAlign w:val="superscript"/>
              </w:rPr>
              <w:t>(1)</w:t>
            </w:r>
          </w:p>
        </w:tc>
        <w:tc>
          <w:tcPr>
            <w:tcW w:w="6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33.748</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148,170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54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09/05/2023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2"/>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(2)</w:t>
            </w:r>
          </w:p>
        </w:tc>
        <w:tc>
          <w:tcPr>
            <w:tcW w:w="740" w:type="dxa"/>
            <w:vAlign w:val="bottom"/>
            <w:tcBorders>
              <w:bottom w:val="single" w:sz="8" w:color="2C2C2C"/>
            </w:tcBorders>
          </w:tcPr>
          <w:p>
            <w:pPr>
              <w:jc w:val="center"/>
              <w:ind w:left="12"/>
              <w:spacing w:after="0"/>
              <w:rPr>
                <w:sz w:val="20"/>
                <w:szCs w:val="20"/>
                <w:color w:val="auto"/>
              </w:rPr>
            </w:pPr>
            <w:r>
              <w:rPr>
                <w:rFonts w:ascii="Arial" w:cs="Arial" w:eastAsia="Arial" w:hAnsi="Arial"/>
                <w:sz w:val="17"/>
                <w:szCs w:val="17"/>
                <w:color w:val="0000FF"/>
                <w:w w:val="89"/>
              </w:rPr>
              <w:t>9,207</w:t>
            </w:r>
          </w:p>
        </w:tc>
        <w:tc>
          <w:tcPr>
            <w:tcW w:w="6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3.9466</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157,377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54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09/05/2023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2"/>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740" w:type="dxa"/>
            <w:vAlign w:val="bottom"/>
            <w:tcBorders>
              <w:bottom w:val="single" w:sz="8" w:color="2C2C2C"/>
            </w:tcBorders>
          </w:tcPr>
          <w:p>
            <w:pPr>
              <w:jc w:val="center"/>
              <w:ind w:left="12"/>
              <w:spacing w:after="0"/>
              <w:rPr>
                <w:sz w:val="20"/>
                <w:szCs w:val="20"/>
                <w:color w:val="auto"/>
              </w:rPr>
            </w:pPr>
            <w:r>
              <w:rPr>
                <w:rFonts w:ascii="Arial" w:cs="Arial" w:eastAsia="Arial" w:hAnsi="Arial"/>
                <w:sz w:val="17"/>
                <w:szCs w:val="17"/>
                <w:color w:val="0000FF"/>
                <w:w w:val="83"/>
              </w:rPr>
              <w:t>11,232</w:t>
            </w:r>
            <w:r>
              <w:rPr>
                <w:rFonts w:ascii="Arial" w:cs="Arial" w:eastAsia="Arial" w:hAnsi="Arial"/>
                <w:sz w:val="21"/>
                <w:szCs w:val="21"/>
                <w:color w:val="008000"/>
                <w:w w:val="83"/>
                <w:vertAlign w:val="superscript"/>
              </w:rPr>
              <w:t>(3)</w:t>
            </w:r>
          </w:p>
        </w:tc>
        <w:tc>
          <w:tcPr>
            <w:tcW w:w="6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33.719</w:t>
            </w:r>
            <w:r>
              <w:rPr>
                <w:rFonts w:ascii="Arial" w:cs="Arial" w:eastAsia="Arial" w:hAnsi="Arial"/>
                <w:sz w:val="21"/>
                <w:szCs w:val="21"/>
                <w:color w:val="008000"/>
                <w:w w:val="86"/>
                <w:vertAlign w:val="superscript"/>
              </w:rPr>
              <w:t>(4)</w:t>
            </w:r>
          </w:p>
        </w:tc>
        <w:tc>
          <w:tcPr>
            <w:tcW w:w="118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146,145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4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vMerge w:val="restart"/>
          </w:tcPr>
          <w:p>
            <w:pPr>
              <w:ind w:left="120"/>
              <w:spacing w:after="0"/>
              <w:rPr>
                <w:sz w:val="20"/>
                <w:szCs w:val="20"/>
                <w:color w:val="auto"/>
              </w:rPr>
            </w:pPr>
            <w:r>
              <w:rPr>
                <w:rFonts w:ascii="Arial" w:cs="Arial" w:eastAsia="Arial" w:hAnsi="Arial"/>
                <w:sz w:val="13"/>
                <w:szCs w:val="13"/>
                <w:color w:val="0000FF"/>
              </w:rPr>
              <w:t>Voting</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(5)</w:t>
            </w: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vMerge w:val="restart"/>
          </w:tcPr>
          <w:p>
            <w:pPr>
              <w:ind w:left="60"/>
              <w:spacing w:after="0"/>
              <w:rPr>
                <w:sz w:val="20"/>
                <w:szCs w:val="20"/>
                <w:color w:val="auto"/>
              </w:rPr>
            </w:pPr>
            <w:r>
              <w:rPr>
                <w:rFonts w:ascii="Arial" w:cs="Arial" w:eastAsia="Arial" w:hAnsi="Arial"/>
                <w:sz w:val="17"/>
                <w:szCs w:val="17"/>
                <w:color w:val="0000FF"/>
              </w:rPr>
              <w:t>9,207</w:t>
            </w: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3.9466</w:t>
            </w:r>
          </w:p>
        </w:tc>
        <w:tc>
          <w:tcPr>
            <w:tcW w:w="1080" w:type="dxa"/>
            <w:vAlign w:val="bottom"/>
            <w:vMerge w:val="restart"/>
          </w:tcPr>
          <w:p>
            <w:pPr>
              <w:ind w:left="240"/>
              <w:spacing w:after="0" w:line="143" w:lineRule="exact"/>
              <w:rPr>
                <w:sz w:val="20"/>
                <w:szCs w:val="20"/>
                <w:color w:val="auto"/>
              </w:rPr>
            </w:pPr>
            <w:r>
              <w:rPr>
                <w:rFonts w:ascii="Arial" w:cs="Arial" w:eastAsia="Arial" w:hAnsi="Arial"/>
                <w:sz w:val="13"/>
                <w:szCs w:val="13"/>
                <w:color w:val="0000FF"/>
              </w:rPr>
              <w:t>09/05/2023</w:t>
            </w:r>
          </w:p>
        </w:tc>
        <w:tc>
          <w:tcPr>
            <w:tcW w:w="1100" w:type="dxa"/>
            <w:vAlign w:val="bottom"/>
          </w:tcPr>
          <w:p>
            <w:pPr>
              <w:spacing w:after="0"/>
              <w:rPr>
                <w:sz w:val="6"/>
                <w:szCs w:val="6"/>
                <w:color w:val="auto"/>
              </w:rPr>
            </w:pPr>
          </w:p>
        </w:tc>
        <w:tc>
          <w:tcPr>
            <w:tcW w:w="44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6"/>
                <w:szCs w:val="6"/>
                <w:color w:val="auto"/>
              </w:rPr>
            </w:pPr>
          </w:p>
        </w:tc>
        <w:tc>
          <w:tcPr>
            <w:tcW w:w="70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9,207</w:t>
            </w:r>
          </w:p>
        </w:tc>
        <w:tc>
          <w:tcPr>
            <w:tcW w:w="780" w:type="dxa"/>
            <w:vAlign w:val="bottom"/>
            <w:vMerge w:val="continue"/>
          </w:tcPr>
          <w:p>
            <w:pPr>
              <w:spacing w:after="0"/>
              <w:rPr>
                <w:sz w:val="6"/>
                <w:szCs w:val="6"/>
                <w:color w:val="auto"/>
              </w:rPr>
            </w:pPr>
          </w:p>
        </w:tc>
        <w:tc>
          <w:tcPr>
            <w:tcW w:w="74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01/20/2031</w:t>
            </w:r>
          </w:p>
        </w:tc>
        <w:tc>
          <w:tcPr>
            <w:tcW w:w="64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80" w:type="dxa"/>
            <w:vAlign w:val="bottom"/>
            <w:vMerge w:val="restart"/>
          </w:tcPr>
          <w:p>
            <w:pPr>
              <w:ind w:left="300"/>
              <w:spacing w:after="0" w:line="143" w:lineRule="exact"/>
              <w:rPr>
                <w:sz w:val="20"/>
                <w:szCs w:val="20"/>
                <w:color w:val="auto"/>
              </w:rPr>
            </w:pPr>
            <w:r>
              <w:rPr>
                <w:rFonts w:ascii="Arial" w:cs="Arial" w:eastAsia="Arial" w:hAnsi="Arial"/>
                <w:sz w:val="13"/>
                <w:szCs w:val="13"/>
                <w:color w:val="0000FF"/>
                <w:w w:val="90"/>
              </w:rPr>
              <w:t>85,026</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-2197100</wp:posOffset>
            </wp:positionV>
            <wp:extent cx="29210" cy="220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0218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16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subject to a lock-up agreement with the underwriter for the public offering of Voting Common Stock by the Issuer for which the underwriting agreement was entered into on August 9, 2023. The transaction was pursuant to an exception to the lock-up agreement for sales to cover tax withholding obligations upon the settlement of certain time-based restricted stock unit awards. These shares of common stock were automatically sold in a non-discretionary transaction by the Reporting Person.</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reported transactions were effected pursuant to a Rule 10b5-1 trading plan adopted by the Reporting Person, entered into prior to the effectiveness of the revised requirements of Rule 10b5-1(c).</w:t>
      </w:r>
    </w:p>
    <w:p>
      <w:pPr>
        <w:spacing w:after="0" w:line="56" w:lineRule="exact"/>
        <w:rPr>
          <w:rFonts w:ascii="Arial" w:cs="Arial" w:eastAsia="Arial" w:hAnsi="Arial"/>
          <w:sz w:val="12"/>
          <w:szCs w:val="12"/>
          <w:color w:val="008000"/>
        </w:rPr>
      </w:pPr>
    </w:p>
    <w:p>
      <w:pPr>
        <w:ind w:left="40" w:right="24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subject to a lock-up agreement with the underwriter for the public offering of Voting Common Stock by the Issuer for which the underwriting agreement was entered into on August 9, 2023. The transaction was pursuant to an exception to the lock-up agreement for sales pursuant to a trading plan that complies with Rule 10b5-1 that has been entered into by the Reporting Person prior the date of the lock-up agreement.</w:t>
      </w:r>
    </w:p>
    <w:p>
      <w:pPr>
        <w:spacing w:after="0" w:line="31" w:lineRule="exact"/>
        <w:rPr>
          <w:rFonts w:ascii="Arial" w:cs="Arial" w:eastAsia="Arial" w:hAnsi="Arial"/>
          <w:sz w:val="13"/>
          <w:szCs w:val="13"/>
          <w:color w:val="008000"/>
        </w:rPr>
      </w:pPr>
    </w:p>
    <w:p>
      <w:pPr>
        <w:ind w:left="40" w:right="18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$33.48 to $34.00,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4 to this Form 4.</w:t>
      </w:r>
    </w:p>
    <w:p>
      <w:pPr>
        <w:spacing w:after="0" w:line="31" w:lineRule="exact"/>
        <w:rPr>
          <w:rFonts w:ascii="Arial" w:cs="Arial" w:eastAsia="Arial" w:hAnsi="Arial"/>
          <w:sz w:val="13"/>
          <w:szCs w:val="13"/>
          <w:color w:val="008000"/>
        </w:rPr>
      </w:pPr>
    </w:p>
    <w:p>
      <w:pPr>
        <w:ind w:left="40" w:right="28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this option vest over 4 years of service following January 21, 2021, with 25% vesting upon completion of 1 year of continuous service to the Issuer and the balance vesting in 36 equal monthly installments thereafter.</w:t>
      </w:r>
    </w:p>
    <w:p>
      <w:pPr>
        <w:spacing w:after="0" w:line="3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Arial" w:cs="Arial" w:eastAsia="Arial" w:hAnsi="Arial"/>
                <w:sz w:val="17"/>
                <w:szCs w:val="17"/>
                <w:color w:val="0000FF"/>
              </w:rPr>
              <w:t>/s/ Peter Butterfield</w:t>
            </w: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09/07/2023</w:t>
            </w:r>
          </w:p>
        </w:tc>
      </w:tr>
      <w:tr>
        <w:trPr>
          <w:trHeight w:val="20"/>
        </w:trPr>
        <w:tc>
          <w:tcPr>
            <w:tcW w:w="13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133"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2023-09-07T15:30:17Z</dcterms:created>
  <dcterms:modified xsi:type="dcterms:W3CDTF">2023-09-07T15:30:17Z</dcterms:modified>
</cp:coreProperties>
</file>