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spacing w:after="0" w:line="23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-219075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14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4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7"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4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5172710</wp:posOffset>
            </wp:positionH>
            <wp:positionV relativeFrom="paragraph">
              <wp:posOffset>-589915</wp:posOffset>
            </wp:positionV>
            <wp:extent cx="5651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-1741170</wp:posOffset>
            </wp:positionH>
            <wp:positionV relativeFrom="paragraph">
              <wp:posOffset>15875</wp:posOffset>
            </wp:positionV>
            <wp:extent cx="7001510" cy="7186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1510" cy="718629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120" w:space="600"/>
            <w:col w:w="8360"/>
          </w:cols>
          <w:pgMar w:left="460" w:top="218"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Natauri Jo</w:t>
        </w:r>
      </w:hyperlink>
    </w:p>
    <w:p>
      <w:pPr>
        <w:spacing w:after="0" w:line="294"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GOLDMAN SACHS GROUP INC.</w:t>
      </w:r>
    </w:p>
    <w:p>
      <w:pPr>
        <w:spacing w:after="0" w:line="59"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200 WEST STREET</w:t>
      </w:r>
    </w:p>
    <w:p>
      <w:pPr>
        <w:spacing w:after="0" w:line="273"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24"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6"/>
          <w:szCs w:val="16"/>
          <w:color w:val="0000FF"/>
        </w:rPr>
        <w:t>NEW YORK</w:t>
      </w:r>
      <w:r>
        <w:rPr>
          <w:sz w:val="20"/>
          <w:szCs w:val="20"/>
          <w:color w:val="auto"/>
        </w:rPr>
        <w:tab/>
      </w:r>
      <w:r>
        <w:rPr>
          <w:rFonts w:ascii="Arial" w:cs="Arial" w:eastAsia="Arial" w:hAnsi="Arial"/>
          <w:sz w:val="16"/>
          <w:szCs w:val="16"/>
          <w:color w:val="0000FF"/>
        </w:rPr>
        <w:t>NY</w:t>
      </w:r>
      <w:r>
        <w:rPr>
          <w:sz w:val="20"/>
          <w:szCs w:val="20"/>
          <w:color w:val="auto"/>
        </w:rPr>
        <w:tab/>
      </w:r>
      <w:r>
        <w:rPr>
          <w:rFonts w:ascii="Arial" w:cs="Arial" w:eastAsia="Arial" w:hAnsi="Arial"/>
          <w:sz w:val="14"/>
          <w:szCs w:val="14"/>
          <w:color w:val="0000FF"/>
        </w:rPr>
        <w:t>10282</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8"/>
        </w:trPr>
        <w:tc>
          <w:tcPr>
            <w:tcW w:w="3840" w:type="dxa"/>
            <w:vAlign w:val="bottom"/>
            <w:gridSpan w:val="4"/>
          </w:tcPr>
          <w:p>
            <w:pPr>
              <w:ind w:left="60"/>
              <w:spacing w:after="0" w:line="129" w:lineRule="exact"/>
              <w:rPr>
                <w:rFonts w:ascii="Arial" w:cs="Arial" w:eastAsia="Arial" w:hAnsi="Arial"/>
                <w:sz w:val="14"/>
                <w:szCs w:val="14"/>
                <w:color w:val="0000EE"/>
              </w:rPr>
            </w:pPr>
            <w:hyperlink r:id="rId13">
              <w:r>
                <w:rPr>
                  <w:rFonts w:ascii="Arial" w:cs="Arial" w:eastAsia="Arial" w:hAnsi="Arial"/>
                  <w:sz w:val="14"/>
                  <w:szCs w:val="14"/>
                  <w:color w:val="0000EE"/>
                </w:rPr>
                <w:t xml:space="preserve">Flywire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FLYW</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40" w:type="dxa"/>
            <w:vAlign w:val="bottom"/>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1"/>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8"/>
                <w:szCs w:val="8"/>
                <w:color w:val="auto"/>
              </w:rPr>
            </w:pPr>
          </w:p>
        </w:tc>
        <w:tc>
          <w:tcPr>
            <w:tcW w:w="13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80" w:type="dxa"/>
            <w:vAlign w:val="bottom"/>
          </w:tcPr>
          <w:p>
            <w:pPr>
              <w:ind w:left="34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100" w:type="dxa"/>
            <w:vAlign w:val="bottom"/>
            <w:gridSpan w:val="3"/>
          </w:tcPr>
          <w:p>
            <w:pPr>
              <w:ind w:left="60"/>
              <w:spacing w:after="0"/>
              <w:rPr>
                <w:sz w:val="20"/>
                <w:szCs w:val="20"/>
                <w:color w:val="auto"/>
              </w:rPr>
            </w:pPr>
            <w:r>
              <w:rPr>
                <w:rFonts w:ascii="Arial" w:cs="Arial" w:eastAsia="Arial" w:hAnsi="Arial"/>
                <w:sz w:val="16"/>
                <w:szCs w:val="16"/>
                <w:color w:val="0000FF"/>
              </w:rPr>
              <w:t>05/28/2021</w:t>
            </w:r>
          </w:p>
        </w:tc>
        <w:tc>
          <w:tcPr>
            <w:tcW w:w="2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0000FF"/>
              </w:rPr>
              <w:t>X</w:t>
            </w: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20" w:space="720"/>
            <w:col w:w="7240"/>
          </w:cols>
          <w:pgMar w:left="460" w:top="218" w:right="359" w:bottom="0" w:gutter="0" w:footer="0" w:header="0"/>
          <w:type w:val="continuous"/>
        </w:sectPr>
      </w:pPr>
    </w:p>
    <w:p>
      <w:pPr>
        <w:spacing w:after="0" w:line="6"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00" w:type="dxa"/>
            <w:vAlign w:val="bottom"/>
            <w:gridSpan w:val="3"/>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2"/>
                <w:szCs w:val="12"/>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80"/>
              <w:spacing w:after="0" w:line="120"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(Month/Day/Year)  if any</w:t>
            </w:r>
          </w:p>
        </w:tc>
        <w:tc>
          <w:tcPr>
            <w:tcW w:w="56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4"/>
            <w:vMerge w:val="restart"/>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jc w:val="right"/>
              <w:ind w:right="216"/>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400" w:type="dxa"/>
            <w:vAlign w:val="bottom"/>
            <w:gridSpan w:val="3"/>
            <w:vMerge w:val="restart"/>
          </w:tcPr>
          <w:p>
            <w:pPr>
              <w:ind w:left="8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w:t>
            </w:r>
          </w:p>
        </w:tc>
        <w:tc>
          <w:tcPr>
            <w:tcW w:w="960" w:type="dxa"/>
            <w:vAlign w:val="bottom"/>
          </w:tcPr>
          <w:p>
            <w:pPr>
              <w:spacing w:after="0"/>
              <w:rPr>
                <w:sz w:val="20"/>
                <w:szCs w:val="20"/>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6"/>
                <w:szCs w:val="16"/>
                <w:color w:val="0000FF"/>
              </w:rPr>
              <w:t>05/28/2021</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12"/>
                <w:szCs w:val="12"/>
                <w:color w:val="0000FF"/>
                <w:w w:val="91"/>
              </w:rPr>
              <w:t>C</w:t>
            </w:r>
          </w:p>
        </w:tc>
        <w:tc>
          <w:tcPr>
            <w:tcW w:w="740" w:type="dxa"/>
            <w:vAlign w:val="bottom"/>
            <w:vMerge w:val="restart"/>
          </w:tcPr>
          <w:p>
            <w:pPr>
              <w:jc w:val="center"/>
              <w:ind w:left="41"/>
              <w:spacing w:after="0"/>
              <w:rPr>
                <w:sz w:val="20"/>
                <w:szCs w:val="20"/>
                <w:color w:val="auto"/>
              </w:rPr>
            </w:pPr>
            <w:r>
              <w:rPr>
                <w:rFonts w:ascii="Arial" w:cs="Arial" w:eastAsia="Arial" w:hAnsi="Arial"/>
                <w:sz w:val="16"/>
                <w:szCs w:val="16"/>
                <w:color w:val="0000FF"/>
                <w:w w:val="89"/>
              </w:rPr>
              <w:t>2,909,892</w:t>
            </w:r>
          </w:p>
        </w:tc>
        <w:tc>
          <w:tcPr>
            <w:tcW w:w="52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176"/>
              <w:spacing w:after="0"/>
              <w:rPr>
                <w:sz w:val="20"/>
                <w:szCs w:val="20"/>
                <w:color w:val="auto"/>
              </w:rPr>
            </w:pPr>
            <w:r>
              <w:rPr>
                <w:rFonts w:ascii="Arial" w:cs="Arial" w:eastAsia="Arial" w:hAnsi="Arial"/>
                <w:sz w:val="10"/>
                <w:szCs w:val="10"/>
                <w:color w:val="008000"/>
              </w:rPr>
              <w:t>(2)</w:t>
            </w: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2,909,892</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5"/>
        </w:trPr>
        <w:tc>
          <w:tcPr>
            <w:tcW w:w="240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(3)</w:t>
            </w:r>
          </w:p>
        </w:tc>
        <w:tc>
          <w:tcPr>
            <w:tcW w:w="1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400" w:type="dxa"/>
            <w:vAlign w:val="bottom"/>
            <w:gridSpan w:val="3"/>
            <w:vMerge w:val="restart"/>
          </w:tcPr>
          <w:p>
            <w:pPr>
              <w:ind w:left="8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w:t>
            </w:r>
          </w:p>
        </w:tc>
        <w:tc>
          <w:tcPr>
            <w:tcW w:w="960" w:type="dxa"/>
            <w:vAlign w:val="bottom"/>
          </w:tcPr>
          <w:p>
            <w:pPr>
              <w:spacing w:after="0"/>
              <w:rPr>
                <w:sz w:val="20"/>
                <w:szCs w:val="20"/>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6"/>
                <w:szCs w:val="16"/>
                <w:color w:val="0000FF"/>
              </w:rPr>
              <w:t>05/28/2021</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12"/>
                <w:szCs w:val="12"/>
                <w:color w:val="0000FF"/>
                <w:w w:val="91"/>
              </w:rPr>
              <w:t>C</w:t>
            </w:r>
          </w:p>
        </w:tc>
        <w:tc>
          <w:tcPr>
            <w:tcW w:w="740" w:type="dxa"/>
            <w:vAlign w:val="bottom"/>
            <w:vMerge w:val="restart"/>
          </w:tcPr>
          <w:p>
            <w:pPr>
              <w:jc w:val="center"/>
              <w:ind w:left="41"/>
              <w:spacing w:after="0"/>
              <w:rPr>
                <w:sz w:val="20"/>
                <w:szCs w:val="20"/>
                <w:color w:val="auto"/>
              </w:rPr>
            </w:pPr>
            <w:r>
              <w:rPr>
                <w:rFonts w:ascii="Arial" w:cs="Arial" w:eastAsia="Arial" w:hAnsi="Arial"/>
                <w:sz w:val="16"/>
                <w:szCs w:val="16"/>
                <w:color w:val="0000FF"/>
                <w:w w:val="89"/>
              </w:rPr>
              <w:t>172,125</w:t>
            </w:r>
          </w:p>
        </w:tc>
        <w:tc>
          <w:tcPr>
            <w:tcW w:w="52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176"/>
              <w:spacing w:after="0"/>
              <w:rPr>
                <w:sz w:val="20"/>
                <w:szCs w:val="20"/>
                <w:color w:val="auto"/>
              </w:rPr>
            </w:pPr>
            <w:r>
              <w:rPr>
                <w:rFonts w:ascii="Arial" w:cs="Arial" w:eastAsia="Arial" w:hAnsi="Arial"/>
                <w:sz w:val="10"/>
                <w:szCs w:val="10"/>
                <w:color w:val="008000"/>
              </w:rPr>
              <w:t>(2)</w:t>
            </w: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3,082,017</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5"/>
        </w:trPr>
        <w:tc>
          <w:tcPr>
            <w:tcW w:w="240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(4)</w:t>
            </w:r>
          </w:p>
        </w:tc>
        <w:tc>
          <w:tcPr>
            <w:tcW w:w="1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400" w:type="dxa"/>
            <w:vAlign w:val="bottom"/>
            <w:gridSpan w:val="3"/>
            <w:vMerge w:val="restart"/>
          </w:tcPr>
          <w:p>
            <w:pPr>
              <w:ind w:left="8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w:t>
            </w:r>
          </w:p>
        </w:tc>
        <w:tc>
          <w:tcPr>
            <w:tcW w:w="960" w:type="dxa"/>
            <w:vAlign w:val="bottom"/>
          </w:tcPr>
          <w:p>
            <w:pPr>
              <w:spacing w:after="0"/>
              <w:rPr>
                <w:sz w:val="20"/>
                <w:szCs w:val="20"/>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6"/>
                <w:szCs w:val="16"/>
                <w:color w:val="0000FF"/>
              </w:rPr>
              <w:t>05/28/2021</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40" w:type="dxa"/>
            <w:vAlign w:val="bottom"/>
            <w:vMerge w:val="restart"/>
          </w:tcPr>
          <w:p>
            <w:pPr>
              <w:jc w:val="center"/>
              <w:ind w:left="41"/>
              <w:spacing w:after="0"/>
              <w:rPr>
                <w:sz w:val="20"/>
                <w:szCs w:val="20"/>
                <w:color w:val="auto"/>
              </w:rPr>
            </w:pPr>
            <w:r>
              <w:rPr>
                <w:rFonts w:ascii="Arial" w:cs="Arial" w:eastAsia="Arial" w:hAnsi="Arial"/>
                <w:sz w:val="16"/>
                <w:szCs w:val="16"/>
                <w:color w:val="0000FF"/>
                <w:w w:val="89"/>
              </w:rPr>
              <w:t>3,082,017</w:t>
            </w:r>
          </w:p>
        </w:tc>
        <w:tc>
          <w:tcPr>
            <w:tcW w:w="520" w:type="dxa"/>
            <w:vAlign w:val="bottom"/>
            <w:vMerge w:val="restart"/>
          </w:tcPr>
          <w:p>
            <w:pPr>
              <w:ind w:left="300"/>
              <w:spacing w:after="0"/>
              <w:rPr>
                <w:sz w:val="20"/>
                <w:szCs w:val="20"/>
                <w:color w:val="auto"/>
              </w:rPr>
            </w:pPr>
            <w:r>
              <w:rPr>
                <w:rFonts w:ascii="Arial" w:cs="Arial" w:eastAsia="Arial" w:hAnsi="Arial"/>
                <w:sz w:val="16"/>
                <w:szCs w:val="16"/>
                <w:color w:val="0000FF"/>
              </w:rPr>
              <w:t>D</w:t>
            </w:r>
          </w:p>
        </w:tc>
        <w:tc>
          <w:tcPr>
            <w:tcW w:w="700" w:type="dxa"/>
            <w:vAlign w:val="bottom"/>
            <w:vMerge w:val="restart"/>
          </w:tcPr>
          <w:p>
            <w:pPr>
              <w:jc w:val="right"/>
              <w:ind w:right="176"/>
              <w:spacing w:after="0"/>
              <w:rPr>
                <w:sz w:val="20"/>
                <w:szCs w:val="20"/>
                <w:color w:val="auto"/>
              </w:rPr>
            </w:pPr>
            <w:r>
              <w:rPr>
                <w:rFonts w:ascii="Arial" w:cs="Arial" w:eastAsia="Arial" w:hAnsi="Arial"/>
                <w:sz w:val="10"/>
                <w:szCs w:val="10"/>
                <w:color w:val="008000"/>
              </w:rPr>
              <w:t>(5)</w:t>
            </w:r>
          </w:p>
        </w:tc>
        <w:tc>
          <w:tcPr>
            <w:tcW w:w="760" w:type="dxa"/>
            <w:vAlign w:val="bottom"/>
            <w:gridSpan w:val="2"/>
            <w:vMerge w:val="restart"/>
          </w:tcPr>
          <w:p>
            <w:pPr>
              <w:jc w:val="center"/>
              <w:ind w:left="338"/>
              <w:spacing w:after="0"/>
              <w:rPr>
                <w:sz w:val="20"/>
                <w:szCs w:val="20"/>
                <w:color w:val="auto"/>
              </w:rPr>
            </w:pPr>
            <w:r>
              <w:rPr>
                <w:rFonts w:ascii="Arial" w:cs="Arial" w:eastAsia="Arial" w:hAnsi="Arial"/>
                <w:sz w:val="16"/>
                <w:szCs w:val="16"/>
                <w:color w:val="0000FF"/>
                <w:w w:val="89"/>
              </w:rPr>
              <w:t>0</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5"/>
        </w:trPr>
        <w:tc>
          <w:tcPr>
            <w:tcW w:w="240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(4)</w:t>
            </w:r>
          </w:p>
        </w:tc>
        <w:tc>
          <w:tcPr>
            <w:tcW w:w="1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400" w:type="dxa"/>
            <w:vAlign w:val="bottom"/>
            <w:gridSpan w:val="3"/>
            <w:vMerge w:val="restart"/>
          </w:tcPr>
          <w:p>
            <w:pPr>
              <w:ind w:left="80"/>
              <w:spacing w:after="0"/>
              <w:rPr>
                <w:sz w:val="20"/>
                <w:szCs w:val="20"/>
                <w:color w:val="auto"/>
              </w:rPr>
            </w:pPr>
            <w:r>
              <w:rPr>
                <w:rFonts w:ascii="Arial" w:cs="Arial" w:eastAsia="Arial" w:hAnsi="Arial"/>
                <w:sz w:val="16"/>
                <w:szCs w:val="16"/>
                <w:color w:val="0000FF"/>
              </w:rPr>
              <w:t>Voting Common Stock</w:t>
            </w:r>
            <w:r>
              <w:rPr>
                <w:rFonts w:ascii="Arial" w:cs="Arial" w:eastAsia="Arial" w:hAnsi="Arial"/>
                <w:sz w:val="20"/>
                <w:szCs w:val="20"/>
                <w:color w:val="008000"/>
                <w:vertAlign w:val="superscript"/>
              </w:rPr>
              <w:t>(1)</w:t>
            </w:r>
          </w:p>
        </w:tc>
        <w:tc>
          <w:tcPr>
            <w:tcW w:w="960" w:type="dxa"/>
            <w:vAlign w:val="bottom"/>
          </w:tcPr>
          <w:p>
            <w:pPr>
              <w:spacing w:after="0"/>
              <w:rPr>
                <w:sz w:val="20"/>
                <w:szCs w:val="20"/>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6"/>
                <w:szCs w:val="16"/>
                <w:color w:val="0000FF"/>
              </w:rPr>
              <w:t>05/28/2021</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40" w:type="dxa"/>
            <w:vAlign w:val="bottom"/>
            <w:vMerge w:val="restart"/>
          </w:tcPr>
          <w:p>
            <w:pPr>
              <w:jc w:val="center"/>
              <w:ind w:left="41"/>
              <w:spacing w:after="0"/>
              <w:rPr>
                <w:sz w:val="20"/>
                <w:szCs w:val="20"/>
                <w:color w:val="auto"/>
              </w:rPr>
            </w:pPr>
            <w:r>
              <w:rPr>
                <w:rFonts w:ascii="Arial" w:cs="Arial" w:eastAsia="Arial" w:hAnsi="Arial"/>
                <w:sz w:val="16"/>
                <w:szCs w:val="16"/>
                <w:color w:val="0000FF"/>
                <w:w w:val="89"/>
              </w:rPr>
              <w:t>3,082,017</w:t>
            </w:r>
          </w:p>
        </w:tc>
        <w:tc>
          <w:tcPr>
            <w:tcW w:w="52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176"/>
              <w:spacing w:after="0"/>
              <w:rPr>
                <w:sz w:val="20"/>
                <w:szCs w:val="20"/>
                <w:color w:val="auto"/>
              </w:rPr>
            </w:pPr>
            <w:r>
              <w:rPr>
                <w:rFonts w:ascii="Arial" w:cs="Arial" w:eastAsia="Arial" w:hAnsi="Arial"/>
                <w:sz w:val="10"/>
                <w:szCs w:val="10"/>
                <w:color w:val="008000"/>
              </w:rPr>
              <w:t>(5)</w:t>
            </w: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3,082,017</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5"/>
        </w:trPr>
        <w:tc>
          <w:tcPr>
            <w:tcW w:w="240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41"/>
        </w:trPr>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60" w:type="dxa"/>
            <w:vAlign w:val="bottom"/>
            <w:gridSpan w:val="12"/>
          </w:tcPr>
          <w:p>
            <w:pPr>
              <w:ind w:lef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40" w:type="dxa"/>
            <w:vAlign w:val="bottom"/>
            <w:gridSpan w:val="9"/>
          </w:tcPr>
          <w:p>
            <w:pPr>
              <w:jc w:val="right"/>
              <w:ind w:right="316"/>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140"/>
              <w:spacing w:after="0"/>
              <w:rPr>
                <w:sz w:val="20"/>
                <w:szCs w:val="20"/>
                <w:color w:val="auto"/>
              </w:rPr>
            </w:pPr>
            <w:r>
              <w:rPr>
                <w:rFonts w:ascii="Arial" w:cs="Arial" w:eastAsia="Arial" w:hAnsi="Arial"/>
                <w:sz w:val="11"/>
                <w:szCs w:val="11"/>
                <w:b w:val="1"/>
                <w:bCs w:val="1"/>
                <w:color w:val="auto"/>
                <w:w w:val="86"/>
              </w:rPr>
              <w:t>4.</w:t>
            </w:r>
          </w:p>
        </w:tc>
        <w:tc>
          <w:tcPr>
            <w:tcW w:w="6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jc w:val="center"/>
              <w:ind w:right="5"/>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9"/>
              </w:rPr>
              <w:t>Derivative Securities</w:t>
            </w:r>
          </w:p>
        </w:tc>
        <w:tc>
          <w:tcPr>
            <w:tcW w:w="15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jc w:val="center"/>
              <w:ind w:right="5"/>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15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24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w w:val="81"/>
              </w:rPr>
              <w:t>8)</w:t>
            </w:r>
          </w:p>
        </w:tc>
        <w:tc>
          <w:tcPr>
            <w:tcW w:w="620" w:type="dxa"/>
            <w:vAlign w:val="bottom"/>
          </w:tcPr>
          <w:p>
            <w:pPr>
              <w:spacing w:after="0"/>
              <w:rPr>
                <w:sz w:val="10"/>
                <w:szCs w:val="10"/>
                <w:color w:val="auto"/>
              </w:rPr>
            </w:pPr>
          </w:p>
        </w:tc>
        <w:tc>
          <w:tcPr>
            <w:tcW w:w="1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4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1"/>
              <w:spacing w:after="0" w:line="122" w:lineRule="exact"/>
              <w:rPr>
                <w:sz w:val="20"/>
                <w:szCs w:val="20"/>
                <w:color w:val="auto"/>
              </w:rPr>
            </w:pPr>
            <w:r>
              <w:rPr>
                <w:rFonts w:ascii="Arial" w:cs="Arial" w:eastAsia="Arial" w:hAnsi="Arial"/>
                <w:sz w:val="11"/>
                <w:szCs w:val="11"/>
                <w:b w:val="1"/>
                <w:bCs w:val="1"/>
                <w:color w:val="auto"/>
                <w:w w:val="96"/>
              </w:rPr>
              <w:t>Expiration</w:t>
            </w:r>
          </w:p>
        </w:tc>
        <w:tc>
          <w:tcPr>
            <w:tcW w:w="5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w w:val="92"/>
              </w:rPr>
              <w:t>(Instr. 4)</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tcPr>
          <w:p>
            <w:pPr>
              <w:ind w:left="80"/>
              <w:spacing w:after="0"/>
              <w:rPr>
                <w:sz w:val="20"/>
                <w:szCs w:val="20"/>
                <w:color w:val="auto"/>
              </w:rPr>
            </w:pPr>
            <w:r>
              <w:rPr>
                <w:rFonts w:ascii="Arial" w:cs="Arial" w:eastAsia="Arial" w:hAnsi="Arial"/>
                <w:sz w:val="12"/>
                <w:szCs w:val="12"/>
                <w:color w:val="0000FF"/>
                <w:w w:val="99"/>
              </w:rPr>
              <w:t>Series E-1</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center"/>
              <w:ind w:right="1"/>
              <w:spacing w:after="0"/>
              <w:rPr>
                <w:sz w:val="20"/>
                <w:szCs w:val="20"/>
                <w:color w:val="auto"/>
              </w:rPr>
            </w:pPr>
            <w:r>
              <w:rPr>
                <w:rFonts w:ascii="Arial" w:cs="Arial" w:eastAsia="Arial" w:hAnsi="Arial"/>
                <w:sz w:val="12"/>
                <w:szCs w:val="12"/>
                <w:color w:val="0000FF"/>
                <w:w w:val="91"/>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2,909,892</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56"/>
        </w:trPr>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color w:val="0000FF"/>
              </w:rPr>
              <w:t>Preferred</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(2)</w:t>
            </w:r>
          </w:p>
        </w:tc>
        <w:tc>
          <w:tcPr>
            <w:tcW w:w="1000" w:type="dxa"/>
            <w:vAlign w:val="bottom"/>
            <w:vMerge w:val="restart"/>
          </w:tcPr>
          <w:p>
            <w:pPr>
              <w:jc w:val="center"/>
              <w:spacing w:after="0" w:line="130" w:lineRule="exact"/>
              <w:rPr>
                <w:sz w:val="20"/>
                <w:szCs w:val="20"/>
                <w:color w:val="auto"/>
              </w:rPr>
            </w:pPr>
            <w:r>
              <w:rPr>
                <w:rFonts w:ascii="Arial" w:cs="Arial" w:eastAsia="Arial" w:hAnsi="Arial"/>
                <w:sz w:val="12"/>
                <w:szCs w:val="12"/>
                <w:color w:val="0000FF"/>
                <w:w w:val="93"/>
              </w:rPr>
              <w:t>05/28/2021</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ind w:left="160"/>
              <w:spacing w:after="0" w:line="130" w:lineRule="exact"/>
              <w:rPr>
                <w:sz w:val="20"/>
                <w:szCs w:val="20"/>
                <w:color w:val="auto"/>
              </w:rPr>
            </w:pPr>
            <w:r>
              <w:rPr>
                <w:rFonts w:ascii="Arial" w:cs="Arial" w:eastAsia="Arial" w:hAnsi="Arial"/>
                <w:sz w:val="12"/>
                <w:szCs w:val="12"/>
                <w:color w:val="0000FF"/>
              </w:rPr>
              <w:t>C</w:t>
            </w:r>
          </w:p>
        </w:tc>
        <w:tc>
          <w:tcPr>
            <w:tcW w:w="580" w:type="dxa"/>
            <w:vAlign w:val="bottom"/>
          </w:tcPr>
          <w:p>
            <w:pPr>
              <w:spacing w:after="0"/>
              <w:rPr>
                <w:sz w:val="4"/>
                <w:szCs w:val="4"/>
                <w:color w:val="auto"/>
              </w:rPr>
            </w:pPr>
          </w:p>
        </w:tc>
        <w:tc>
          <w:tcPr>
            <w:tcW w:w="560" w:type="dxa"/>
            <w:vAlign w:val="bottom"/>
            <w:vMerge w:val="restart"/>
          </w:tcPr>
          <w:p>
            <w:pPr>
              <w:jc w:val="center"/>
              <w:ind w:left="1"/>
              <w:spacing w:after="0" w:line="130" w:lineRule="exact"/>
              <w:rPr>
                <w:sz w:val="20"/>
                <w:szCs w:val="20"/>
                <w:color w:val="auto"/>
              </w:rPr>
            </w:pPr>
            <w:r>
              <w:rPr>
                <w:rFonts w:ascii="Arial" w:cs="Arial" w:eastAsia="Arial" w:hAnsi="Arial"/>
                <w:sz w:val="12"/>
                <w:szCs w:val="12"/>
                <w:color w:val="0000FF"/>
                <w:w w:val="93"/>
              </w:rPr>
              <w:t>2,909,892</w:t>
            </w:r>
          </w:p>
        </w:tc>
        <w:tc>
          <w:tcPr>
            <w:tcW w:w="780" w:type="dxa"/>
            <w:vAlign w:val="bottom"/>
            <w:vMerge w:val="restart"/>
          </w:tcPr>
          <w:p>
            <w:pPr>
              <w:jc w:val="right"/>
              <w:ind w:right="246"/>
              <w:spacing w:after="0"/>
              <w:rPr>
                <w:sz w:val="20"/>
                <w:szCs w:val="20"/>
                <w:color w:val="auto"/>
              </w:rPr>
            </w:pPr>
            <w:r>
              <w:rPr>
                <w:rFonts w:ascii="Arial" w:cs="Arial" w:eastAsia="Arial" w:hAnsi="Arial"/>
                <w:sz w:val="10"/>
                <w:szCs w:val="10"/>
                <w:color w:val="008000"/>
              </w:rPr>
              <w:t>(2)</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(2)</w:t>
            </w:r>
          </w:p>
        </w:tc>
        <w:tc>
          <w:tcPr>
            <w:tcW w:w="520" w:type="dxa"/>
            <w:vAlign w:val="bottom"/>
            <w:vMerge w:val="restart"/>
          </w:tcPr>
          <w:p>
            <w:pPr>
              <w:jc w:val="center"/>
              <w:ind w:right="1"/>
              <w:spacing w:after="0" w:line="130" w:lineRule="exact"/>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(2)</w:t>
            </w:r>
          </w:p>
        </w:tc>
        <w:tc>
          <w:tcPr>
            <w:tcW w:w="440" w:type="dxa"/>
            <w:vAlign w:val="bottom"/>
            <w:vMerge w:val="restart"/>
          </w:tcPr>
          <w:p>
            <w:pPr>
              <w:jc w:val="center"/>
              <w:ind w:left="283"/>
              <w:spacing w:after="0" w:line="130" w:lineRule="exact"/>
              <w:rPr>
                <w:sz w:val="20"/>
                <w:szCs w:val="20"/>
                <w:color w:val="auto"/>
              </w:rPr>
            </w:pPr>
            <w:r>
              <w:rPr>
                <w:rFonts w:ascii="Arial" w:cs="Arial" w:eastAsia="Arial" w:hAnsi="Arial"/>
                <w:sz w:val="12"/>
                <w:szCs w:val="12"/>
                <w:color w:val="0000FF"/>
                <w:w w:val="89"/>
              </w:rPr>
              <w:t>0</w:t>
            </w:r>
          </w:p>
        </w:tc>
        <w:tc>
          <w:tcPr>
            <w:tcW w:w="360" w:type="dxa"/>
            <w:vAlign w:val="bottom"/>
          </w:tcPr>
          <w:p>
            <w:pPr>
              <w:spacing w:after="0"/>
              <w:rPr>
                <w:sz w:val="4"/>
                <w:szCs w:val="4"/>
                <w:color w:val="auto"/>
              </w:rPr>
            </w:pPr>
          </w:p>
        </w:tc>
        <w:tc>
          <w:tcPr>
            <w:tcW w:w="580" w:type="dxa"/>
            <w:vAlign w:val="bottom"/>
            <w:vMerge w:val="restart"/>
          </w:tcPr>
          <w:p>
            <w:pPr>
              <w:ind w:left="340"/>
              <w:spacing w:after="0" w:line="130"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ind w:left="460"/>
              <w:spacing w:after="0" w:line="74" w:lineRule="exact"/>
              <w:rPr>
                <w:sz w:val="20"/>
                <w:szCs w:val="20"/>
                <w:color w:val="auto"/>
              </w:rPr>
            </w:pPr>
            <w:r>
              <w:rPr>
                <w:rFonts w:ascii="Arial" w:cs="Arial" w:eastAsia="Arial" w:hAnsi="Arial"/>
                <w:sz w:val="8"/>
                <w:szCs w:val="8"/>
                <w:color w:val="008000"/>
              </w:rPr>
              <w:t>(4)</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2C2C2C"/>
            </w:tcBorders>
          </w:tcPr>
          <w:p>
            <w:pPr>
              <w:ind w:left="80"/>
              <w:spacing w:after="0" w:line="219" w:lineRule="exact"/>
              <w:rPr>
                <w:sz w:val="20"/>
                <w:szCs w:val="20"/>
                <w:color w:val="auto"/>
              </w:rPr>
            </w:pPr>
            <w:r>
              <w:rPr>
                <w:rFonts w:ascii="Arial" w:cs="Arial" w:eastAsia="Arial" w:hAnsi="Arial"/>
                <w:sz w:val="12"/>
                <w:szCs w:val="12"/>
                <w:color w:val="0000FF"/>
              </w:rPr>
              <w:t>Stock</w:t>
            </w:r>
            <w:r>
              <w:rPr>
                <w:rFonts w:ascii="Arial" w:cs="Arial" w:eastAsia="Arial" w:hAnsi="Arial"/>
                <w:sz w:val="20"/>
                <w:szCs w:val="20"/>
                <w:color w:val="008000"/>
                <w:vertAlign w:val="superscript"/>
              </w:rPr>
              <w:t>(1)</w:t>
            </w:r>
          </w:p>
        </w:tc>
        <w:tc>
          <w:tcPr>
            <w:tcW w:w="74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
              <w:spacing w:after="0"/>
              <w:rPr>
                <w:sz w:val="20"/>
                <w:szCs w:val="20"/>
                <w:color w:val="auto"/>
              </w:rPr>
            </w:pPr>
            <w:r>
              <w:rPr>
                <w:rFonts w:ascii="Arial" w:cs="Arial" w:eastAsia="Arial" w:hAnsi="Arial"/>
                <w:sz w:val="12"/>
                <w:szCs w:val="12"/>
                <w:color w:val="0000FF"/>
                <w:w w:val="86"/>
              </w:rPr>
              <w:t>Stock</w:t>
            </w: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right w:val="single" w:sz="8" w:color="2C2C2C"/>
            </w:tcBorders>
            <w:gridSpan w:val="3"/>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173"/>
        </w:trPr>
        <w:tc>
          <w:tcPr>
            <w:tcW w:w="660" w:type="dxa"/>
            <w:vAlign w:val="bottom"/>
          </w:tcPr>
          <w:p>
            <w:pPr>
              <w:ind w:left="80"/>
              <w:spacing w:after="0"/>
              <w:rPr>
                <w:sz w:val="20"/>
                <w:szCs w:val="20"/>
                <w:color w:val="auto"/>
              </w:rPr>
            </w:pPr>
            <w:r>
              <w:rPr>
                <w:rFonts w:ascii="Arial" w:cs="Arial" w:eastAsia="Arial" w:hAnsi="Arial"/>
                <w:sz w:val="12"/>
                <w:szCs w:val="12"/>
                <w:color w:val="0000FF"/>
                <w:w w:val="99"/>
              </w:rPr>
              <w:t>Series E-2</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center"/>
              <w:ind w:right="1"/>
              <w:spacing w:after="0"/>
              <w:rPr>
                <w:sz w:val="20"/>
                <w:szCs w:val="20"/>
                <w:color w:val="auto"/>
              </w:rPr>
            </w:pPr>
            <w:r>
              <w:rPr>
                <w:rFonts w:ascii="Arial" w:cs="Arial" w:eastAsia="Arial" w:hAnsi="Arial"/>
                <w:sz w:val="12"/>
                <w:szCs w:val="12"/>
                <w:color w:val="0000FF"/>
                <w:w w:val="91"/>
              </w:rPr>
              <w:t>Class B</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4,115,058</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56"/>
        </w:trPr>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color w:val="0000FF"/>
              </w:rPr>
              <w:t>Preferred</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(2)</w:t>
            </w:r>
          </w:p>
        </w:tc>
        <w:tc>
          <w:tcPr>
            <w:tcW w:w="1000" w:type="dxa"/>
            <w:vAlign w:val="bottom"/>
            <w:vMerge w:val="restart"/>
          </w:tcPr>
          <w:p>
            <w:pPr>
              <w:jc w:val="center"/>
              <w:spacing w:after="0" w:line="130" w:lineRule="exact"/>
              <w:rPr>
                <w:sz w:val="20"/>
                <w:szCs w:val="20"/>
                <w:color w:val="auto"/>
              </w:rPr>
            </w:pPr>
            <w:r>
              <w:rPr>
                <w:rFonts w:ascii="Arial" w:cs="Arial" w:eastAsia="Arial" w:hAnsi="Arial"/>
                <w:sz w:val="12"/>
                <w:szCs w:val="12"/>
                <w:color w:val="0000FF"/>
                <w:w w:val="93"/>
              </w:rPr>
              <w:t>05/28/2021</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ind w:left="160"/>
              <w:spacing w:after="0" w:line="130" w:lineRule="exact"/>
              <w:rPr>
                <w:sz w:val="20"/>
                <w:szCs w:val="20"/>
                <w:color w:val="auto"/>
              </w:rPr>
            </w:pPr>
            <w:r>
              <w:rPr>
                <w:rFonts w:ascii="Arial" w:cs="Arial" w:eastAsia="Arial" w:hAnsi="Arial"/>
                <w:sz w:val="12"/>
                <w:szCs w:val="12"/>
                <w:color w:val="0000FF"/>
              </w:rPr>
              <w:t>C</w:t>
            </w:r>
          </w:p>
        </w:tc>
        <w:tc>
          <w:tcPr>
            <w:tcW w:w="580" w:type="dxa"/>
            <w:vAlign w:val="bottom"/>
          </w:tcPr>
          <w:p>
            <w:pPr>
              <w:spacing w:after="0"/>
              <w:rPr>
                <w:sz w:val="4"/>
                <w:szCs w:val="4"/>
                <w:color w:val="auto"/>
              </w:rPr>
            </w:pPr>
          </w:p>
        </w:tc>
        <w:tc>
          <w:tcPr>
            <w:tcW w:w="560" w:type="dxa"/>
            <w:vAlign w:val="bottom"/>
            <w:vMerge w:val="restart"/>
          </w:tcPr>
          <w:p>
            <w:pPr>
              <w:jc w:val="center"/>
              <w:spacing w:after="0" w:line="130" w:lineRule="exact"/>
              <w:rPr>
                <w:sz w:val="20"/>
                <w:szCs w:val="20"/>
                <w:color w:val="auto"/>
              </w:rPr>
            </w:pPr>
            <w:r>
              <w:rPr>
                <w:rFonts w:ascii="Arial" w:cs="Arial" w:eastAsia="Arial" w:hAnsi="Arial"/>
                <w:sz w:val="12"/>
                <w:szCs w:val="12"/>
                <w:color w:val="0000FF"/>
                <w:w w:val="89"/>
              </w:rPr>
              <w:t>4,115,058</w:t>
            </w:r>
          </w:p>
        </w:tc>
        <w:tc>
          <w:tcPr>
            <w:tcW w:w="780" w:type="dxa"/>
            <w:vAlign w:val="bottom"/>
            <w:vMerge w:val="restart"/>
          </w:tcPr>
          <w:p>
            <w:pPr>
              <w:jc w:val="right"/>
              <w:ind w:right="246"/>
              <w:spacing w:after="0"/>
              <w:rPr>
                <w:sz w:val="20"/>
                <w:szCs w:val="20"/>
                <w:color w:val="auto"/>
              </w:rPr>
            </w:pPr>
            <w:r>
              <w:rPr>
                <w:rFonts w:ascii="Arial" w:cs="Arial" w:eastAsia="Arial" w:hAnsi="Arial"/>
                <w:sz w:val="10"/>
                <w:szCs w:val="10"/>
                <w:color w:val="008000"/>
              </w:rPr>
              <w:t>(2)</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(2)</w:t>
            </w:r>
          </w:p>
        </w:tc>
        <w:tc>
          <w:tcPr>
            <w:tcW w:w="520" w:type="dxa"/>
            <w:vAlign w:val="bottom"/>
            <w:vMerge w:val="restart"/>
          </w:tcPr>
          <w:p>
            <w:pPr>
              <w:jc w:val="center"/>
              <w:ind w:right="1"/>
              <w:spacing w:after="0" w:line="130" w:lineRule="exact"/>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(2)</w:t>
            </w:r>
          </w:p>
        </w:tc>
        <w:tc>
          <w:tcPr>
            <w:tcW w:w="440" w:type="dxa"/>
            <w:vAlign w:val="bottom"/>
            <w:vMerge w:val="restart"/>
          </w:tcPr>
          <w:p>
            <w:pPr>
              <w:jc w:val="center"/>
              <w:ind w:left="283"/>
              <w:spacing w:after="0" w:line="130" w:lineRule="exact"/>
              <w:rPr>
                <w:sz w:val="20"/>
                <w:szCs w:val="20"/>
                <w:color w:val="auto"/>
              </w:rPr>
            </w:pPr>
            <w:r>
              <w:rPr>
                <w:rFonts w:ascii="Arial" w:cs="Arial" w:eastAsia="Arial" w:hAnsi="Arial"/>
                <w:sz w:val="12"/>
                <w:szCs w:val="12"/>
                <w:color w:val="0000FF"/>
                <w:w w:val="89"/>
              </w:rPr>
              <w:t>0</w:t>
            </w:r>
          </w:p>
        </w:tc>
        <w:tc>
          <w:tcPr>
            <w:tcW w:w="360" w:type="dxa"/>
            <w:vAlign w:val="bottom"/>
          </w:tcPr>
          <w:p>
            <w:pPr>
              <w:spacing w:after="0"/>
              <w:rPr>
                <w:sz w:val="4"/>
                <w:szCs w:val="4"/>
                <w:color w:val="auto"/>
              </w:rPr>
            </w:pPr>
          </w:p>
        </w:tc>
        <w:tc>
          <w:tcPr>
            <w:tcW w:w="580" w:type="dxa"/>
            <w:vAlign w:val="bottom"/>
            <w:vMerge w:val="restart"/>
          </w:tcPr>
          <w:p>
            <w:pPr>
              <w:ind w:left="340"/>
              <w:spacing w:after="0" w:line="130"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ind w:left="460"/>
              <w:spacing w:after="0" w:line="74" w:lineRule="exact"/>
              <w:rPr>
                <w:sz w:val="20"/>
                <w:szCs w:val="20"/>
                <w:color w:val="auto"/>
              </w:rPr>
            </w:pPr>
            <w:r>
              <w:rPr>
                <w:rFonts w:ascii="Arial" w:cs="Arial" w:eastAsia="Arial" w:hAnsi="Arial"/>
                <w:sz w:val="8"/>
                <w:szCs w:val="8"/>
                <w:color w:val="008000"/>
              </w:rPr>
              <w:t>(4)</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2C2C2C"/>
            </w:tcBorders>
          </w:tcPr>
          <w:p>
            <w:pPr>
              <w:ind w:left="80"/>
              <w:spacing w:after="0" w:line="219" w:lineRule="exact"/>
              <w:rPr>
                <w:sz w:val="20"/>
                <w:szCs w:val="20"/>
                <w:color w:val="auto"/>
              </w:rPr>
            </w:pPr>
            <w:r>
              <w:rPr>
                <w:rFonts w:ascii="Arial" w:cs="Arial" w:eastAsia="Arial" w:hAnsi="Arial"/>
                <w:sz w:val="12"/>
                <w:szCs w:val="12"/>
                <w:color w:val="0000FF"/>
              </w:rPr>
              <w:t>Stock</w:t>
            </w:r>
            <w:r>
              <w:rPr>
                <w:rFonts w:ascii="Arial" w:cs="Arial" w:eastAsia="Arial" w:hAnsi="Arial"/>
                <w:sz w:val="20"/>
                <w:szCs w:val="20"/>
                <w:color w:val="008000"/>
                <w:vertAlign w:val="superscript"/>
              </w:rPr>
              <w:t>(1)</w:t>
            </w:r>
          </w:p>
        </w:tc>
        <w:tc>
          <w:tcPr>
            <w:tcW w:w="74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
              <w:spacing w:after="0"/>
              <w:rPr>
                <w:sz w:val="20"/>
                <w:szCs w:val="20"/>
                <w:color w:val="auto"/>
              </w:rPr>
            </w:pPr>
            <w:r>
              <w:rPr>
                <w:rFonts w:ascii="Arial" w:cs="Arial" w:eastAsia="Arial" w:hAnsi="Arial"/>
                <w:sz w:val="12"/>
                <w:szCs w:val="12"/>
                <w:color w:val="0000FF"/>
                <w:w w:val="86"/>
              </w:rPr>
              <w:t>Stock</w:t>
            </w: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right w:val="single" w:sz="8" w:color="2C2C2C"/>
            </w:tcBorders>
            <w:gridSpan w:val="3"/>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173"/>
        </w:trPr>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center"/>
              <w:ind w:right="1"/>
              <w:spacing w:after="0"/>
              <w:rPr>
                <w:sz w:val="20"/>
                <w:szCs w:val="20"/>
                <w:color w:val="auto"/>
              </w:rPr>
            </w:pPr>
            <w:r>
              <w:rPr>
                <w:rFonts w:ascii="Arial" w:cs="Arial" w:eastAsia="Arial" w:hAnsi="Arial"/>
                <w:sz w:val="12"/>
                <w:szCs w:val="12"/>
                <w:color w:val="0000FF"/>
                <w:w w:val="99"/>
              </w:rPr>
              <w:t>Non-</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9"/>
        </w:trPr>
        <w:tc>
          <w:tcPr>
            <w:tcW w:w="660" w:type="dxa"/>
            <w:vAlign w:val="bottom"/>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(2)</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3"/>
              </w:rPr>
              <w:t>05/28/2021</w:t>
            </w: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w w:val="97"/>
              </w:rPr>
              <w:t>4,115,058</w:t>
            </w:r>
          </w:p>
        </w:tc>
        <w:tc>
          <w:tcPr>
            <w:tcW w:w="560" w:type="dxa"/>
            <w:vAlign w:val="bottom"/>
          </w:tcPr>
          <w:p>
            <w:pPr>
              <w:spacing w:after="0"/>
              <w:rPr>
                <w:sz w:val="6"/>
                <w:szCs w:val="6"/>
                <w:color w:val="auto"/>
              </w:rPr>
            </w:pPr>
          </w:p>
        </w:tc>
        <w:tc>
          <w:tcPr>
            <w:tcW w:w="780" w:type="dxa"/>
            <w:vAlign w:val="bottom"/>
            <w:vMerge w:val="restart"/>
          </w:tcPr>
          <w:p>
            <w:pPr>
              <w:jc w:val="right"/>
              <w:ind w:right="246"/>
              <w:spacing w:after="0"/>
              <w:rPr>
                <w:sz w:val="20"/>
                <w:szCs w:val="20"/>
                <w:color w:val="auto"/>
              </w:rPr>
            </w:pPr>
            <w:r>
              <w:rPr>
                <w:rFonts w:ascii="Arial" w:cs="Arial" w:eastAsia="Arial" w:hAnsi="Arial"/>
                <w:sz w:val="10"/>
                <w:szCs w:val="10"/>
                <w:color w:val="008000"/>
              </w:rPr>
              <w:t>(2)</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(2)</w:t>
            </w:r>
          </w:p>
        </w:tc>
        <w:tc>
          <w:tcPr>
            <w:tcW w:w="520" w:type="dxa"/>
            <w:vAlign w:val="bottom"/>
            <w:vMerge w:val="restart"/>
          </w:tcPr>
          <w:p>
            <w:pPr>
              <w:jc w:val="center"/>
              <w:ind w:right="1"/>
              <w:spacing w:after="0" w:line="118" w:lineRule="exact"/>
              <w:rPr>
                <w:sz w:val="20"/>
                <w:szCs w:val="20"/>
                <w:color w:val="auto"/>
              </w:rPr>
            </w:pPr>
            <w:r>
              <w:rPr>
                <w:rFonts w:ascii="Arial" w:cs="Arial" w:eastAsia="Arial" w:hAnsi="Arial"/>
                <w:sz w:val="12"/>
                <w:szCs w:val="12"/>
                <w:color w:val="0000FF"/>
                <w:w w:val="99"/>
              </w:rPr>
              <w:t>Voting</w:t>
            </w:r>
          </w:p>
        </w:tc>
        <w:tc>
          <w:tcPr>
            <w:tcW w:w="700" w:type="dxa"/>
            <w:vAlign w:val="bottom"/>
            <w:vMerge w:val="restart"/>
          </w:tcPr>
          <w:p>
            <w:pPr>
              <w:jc w:val="center"/>
              <w:spacing w:after="0" w:line="148" w:lineRule="exact"/>
              <w:rPr>
                <w:sz w:val="20"/>
                <w:szCs w:val="20"/>
                <w:color w:val="auto"/>
              </w:rPr>
            </w:pPr>
            <w:r>
              <w:rPr>
                <w:rFonts w:ascii="Arial" w:cs="Arial" w:eastAsia="Arial" w:hAnsi="Arial"/>
                <w:sz w:val="16"/>
                <w:szCs w:val="16"/>
                <w:color w:val="0000FF"/>
                <w:w w:val="89"/>
              </w:rPr>
              <w:t>4,115,058</w:t>
            </w: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(2)</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9"/>
              </w:rPr>
              <w:t>4,115,058</w:t>
            </w:r>
          </w:p>
        </w:tc>
        <w:tc>
          <w:tcPr>
            <w:tcW w:w="58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6"/>
                <w:szCs w:val="6"/>
                <w:color w:val="auto"/>
              </w:rPr>
            </w:pPr>
          </w:p>
        </w:tc>
        <w:tc>
          <w:tcPr>
            <w:tcW w:w="70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660" w:type="dxa"/>
            <w:vAlign w:val="bottom"/>
            <w:vMerge w:val="restart"/>
          </w:tcPr>
          <w:p>
            <w:pPr>
              <w:ind w:left="340"/>
              <w:spacing w:after="0" w:line="79" w:lineRule="exact"/>
              <w:rPr>
                <w:sz w:val="20"/>
                <w:szCs w:val="20"/>
                <w:color w:val="auto"/>
              </w:rPr>
            </w:pPr>
            <w:r>
              <w:rPr>
                <w:rFonts w:ascii="Arial" w:cs="Arial" w:eastAsia="Arial" w:hAnsi="Arial"/>
                <w:sz w:val="9"/>
                <w:szCs w:val="9"/>
                <w:color w:val="008000"/>
              </w:rPr>
              <w:t>(1)</w:t>
            </w:r>
          </w:p>
        </w:tc>
        <w:tc>
          <w:tcPr>
            <w:tcW w:w="7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6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tcPr>
          <w:p>
            <w:pPr>
              <w:jc w:val="center"/>
              <w:ind w:right="1"/>
              <w:spacing w:after="0" w:line="31" w:lineRule="exact"/>
              <w:rPr>
                <w:sz w:val="20"/>
                <w:szCs w:val="20"/>
                <w:color w:val="auto"/>
              </w:rPr>
            </w:pPr>
            <w:r>
              <w:rPr>
                <w:rFonts w:ascii="Arial" w:cs="Arial" w:eastAsia="Arial" w:hAnsi="Arial"/>
                <w:sz w:val="3"/>
                <w:szCs w:val="3"/>
                <w:color w:val="0000FF"/>
              </w:rPr>
              <w:t>Common</w:t>
            </w:r>
          </w:p>
        </w:tc>
        <w:tc>
          <w:tcPr>
            <w:tcW w:w="70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2C2C2C"/>
            </w:tcBorders>
            <w:gridSpan w:val="3"/>
          </w:tcPr>
          <w:p>
            <w:pPr>
              <w:ind w:left="60"/>
              <w:spacing w:after="0" w:line="31" w:lineRule="exact"/>
              <w:rPr>
                <w:sz w:val="20"/>
                <w:szCs w:val="20"/>
                <w:color w:val="auto"/>
              </w:rPr>
            </w:pPr>
            <w:r>
              <w:rPr>
                <w:rFonts w:ascii="Arial" w:cs="Arial" w:eastAsia="Arial" w:hAnsi="Arial"/>
                <w:sz w:val="2"/>
                <w:szCs w:val="2"/>
                <w:color w:val="0000FF"/>
              </w:rPr>
              <w:t>footnote</w:t>
            </w:r>
            <w:r>
              <w:rPr>
                <w:rFonts w:ascii="Arial" w:cs="Arial" w:eastAsia="Arial" w:hAnsi="Arial"/>
                <w:sz w:val="3"/>
                <w:szCs w:val="3"/>
                <w:color w:val="008000"/>
                <w:vertAlign w:val="superscript"/>
              </w:rPr>
              <w:t>(4)</w:t>
            </w:r>
          </w:p>
        </w:tc>
        <w:tc>
          <w:tcPr>
            <w:tcW w:w="0" w:type="dxa"/>
            <w:vAlign w:val="bottom"/>
          </w:tcPr>
          <w:p>
            <w:pPr>
              <w:spacing w:after="0" w:line="20" w:lineRule="exact"/>
              <w:rPr>
                <w:sz w:val="1"/>
                <w:szCs w:val="1"/>
                <w:color w:val="auto"/>
              </w:rPr>
            </w:pPr>
          </w:p>
        </w:tc>
      </w:tr>
      <w:tr>
        <w:trPr>
          <w:trHeight w:val="58"/>
        </w:trPr>
        <w:tc>
          <w:tcPr>
            <w:tcW w:w="660" w:type="dxa"/>
            <w:vAlign w:val="bottom"/>
          </w:tcPr>
          <w:p>
            <w:pPr>
              <w:ind w:left="80"/>
              <w:spacing w:after="0" w:line="58" w:lineRule="exact"/>
              <w:rPr>
                <w:sz w:val="20"/>
                <w:szCs w:val="20"/>
                <w:color w:val="auto"/>
              </w:rPr>
            </w:pPr>
            <w:r>
              <w:rPr>
                <w:rFonts w:ascii="Arial" w:cs="Arial" w:eastAsia="Arial" w:hAnsi="Arial"/>
                <w:sz w:val="6"/>
                <w:szCs w:val="6"/>
                <w:color w:val="0000FF"/>
              </w:rPr>
              <w:t>Common</w:t>
            </w:r>
          </w:p>
        </w:tc>
        <w:tc>
          <w:tcPr>
            <w:tcW w:w="7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60" w:type="dxa"/>
            <w:vAlign w:val="bottom"/>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vMerge w:val="restart"/>
          </w:tcPr>
          <w:p>
            <w:pPr>
              <w:jc w:val="center"/>
              <w:ind w:right="1"/>
              <w:spacing w:after="0"/>
              <w:rPr>
                <w:sz w:val="20"/>
                <w:szCs w:val="20"/>
                <w:color w:val="auto"/>
              </w:rPr>
            </w:pPr>
            <w:r>
              <w:rPr>
                <w:rFonts w:ascii="Arial" w:cs="Arial" w:eastAsia="Arial" w:hAnsi="Arial"/>
                <w:sz w:val="12"/>
                <w:szCs w:val="12"/>
                <w:color w:val="0000FF"/>
                <w:w w:val="86"/>
              </w:rPr>
              <w:t>Stock</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center"/>
              <w:ind w:right="1"/>
              <w:spacing w:after="0"/>
              <w:rPr>
                <w:sz w:val="20"/>
                <w:szCs w:val="20"/>
                <w:color w:val="auto"/>
              </w:rPr>
            </w:pPr>
            <w:r>
              <w:rPr>
                <w:rFonts w:ascii="Arial" w:cs="Arial" w:eastAsia="Arial" w:hAnsi="Arial"/>
                <w:sz w:val="12"/>
                <w:szCs w:val="12"/>
                <w:color w:val="0000FF"/>
                <w:w w:val="99"/>
              </w:rPr>
              <w:t>Non-</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9"/>
        </w:trPr>
        <w:tc>
          <w:tcPr>
            <w:tcW w:w="660" w:type="dxa"/>
            <w:vAlign w:val="bottom"/>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(6)</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3"/>
              </w:rPr>
              <w:t>05/28/2021</w:t>
            </w: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0"/>
                <w:szCs w:val="10"/>
                <w:color w:val="008000"/>
              </w:rPr>
              <w:t>(6)</w:t>
            </w:r>
          </w:p>
        </w:tc>
        <w:tc>
          <w:tcPr>
            <w:tcW w:w="58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89"/>
              </w:rPr>
              <w:t>4,115,058</w:t>
            </w:r>
          </w:p>
        </w:tc>
        <w:tc>
          <w:tcPr>
            <w:tcW w:w="780" w:type="dxa"/>
            <w:vAlign w:val="bottom"/>
            <w:vMerge w:val="restart"/>
          </w:tcPr>
          <w:p>
            <w:pPr>
              <w:jc w:val="right"/>
              <w:ind w:right="246"/>
              <w:spacing w:after="0"/>
              <w:rPr>
                <w:sz w:val="20"/>
                <w:szCs w:val="20"/>
                <w:color w:val="auto"/>
              </w:rPr>
            </w:pPr>
            <w:r>
              <w:rPr>
                <w:rFonts w:ascii="Arial" w:cs="Arial" w:eastAsia="Arial" w:hAnsi="Arial"/>
                <w:sz w:val="10"/>
                <w:szCs w:val="10"/>
                <w:color w:val="008000"/>
              </w:rPr>
              <w:t>(6)</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(6)</w:t>
            </w:r>
          </w:p>
        </w:tc>
        <w:tc>
          <w:tcPr>
            <w:tcW w:w="520" w:type="dxa"/>
            <w:vAlign w:val="bottom"/>
            <w:vMerge w:val="restart"/>
          </w:tcPr>
          <w:p>
            <w:pPr>
              <w:jc w:val="center"/>
              <w:ind w:right="1"/>
              <w:spacing w:after="0" w:line="118" w:lineRule="exact"/>
              <w:rPr>
                <w:sz w:val="20"/>
                <w:szCs w:val="20"/>
                <w:color w:val="auto"/>
              </w:rPr>
            </w:pPr>
            <w:r>
              <w:rPr>
                <w:rFonts w:ascii="Arial" w:cs="Arial" w:eastAsia="Arial" w:hAnsi="Arial"/>
                <w:sz w:val="12"/>
                <w:szCs w:val="12"/>
                <w:color w:val="0000FF"/>
                <w:w w:val="99"/>
              </w:rPr>
              <w:t>Voting</w:t>
            </w:r>
          </w:p>
        </w:tc>
        <w:tc>
          <w:tcPr>
            <w:tcW w:w="700" w:type="dxa"/>
            <w:vAlign w:val="bottom"/>
            <w:vMerge w:val="restart"/>
          </w:tcPr>
          <w:p>
            <w:pPr>
              <w:jc w:val="center"/>
              <w:spacing w:after="0" w:line="148" w:lineRule="exact"/>
              <w:rPr>
                <w:sz w:val="20"/>
                <w:szCs w:val="20"/>
                <w:color w:val="auto"/>
              </w:rPr>
            </w:pPr>
            <w:r>
              <w:rPr>
                <w:rFonts w:ascii="Arial" w:cs="Arial" w:eastAsia="Arial" w:hAnsi="Arial"/>
                <w:sz w:val="16"/>
                <w:szCs w:val="16"/>
                <w:color w:val="0000FF"/>
                <w:w w:val="89"/>
              </w:rPr>
              <w:t>4,115,058</w:t>
            </w: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(6)</w:t>
            </w:r>
          </w:p>
        </w:tc>
        <w:tc>
          <w:tcPr>
            <w:tcW w:w="440" w:type="dxa"/>
            <w:vAlign w:val="bottom"/>
            <w:vMerge w:val="restart"/>
          </w:tcPr>
          <w:p>
            <w:pPr>
              <w:jc w:val="center"/>
              <w:ind w:left="283"/>
              <w:spacing w:after="0"/>
              <w:rPr>
                <w:sz w:val="20"/>
                <w:szCs w:val="20"/>
                <w:color w:val="auto"/>
              </w:rPr>
            </w:pPr>
            <w:r>
              <w:rPr>
                <w:rFonts w:ascii="Arial" w:cs="Arial" w:eastAsia="Arial" w:hAnsi="Arial"/>
                <w:sz w:val="12"/>
                <w:szCs w:val="12"/>
                <w:color w:val="0000FF"/>
                <w:w w:val="89"/>
              </w:rPr>
              <w:t>0</w:t>
            </w:r>
          </w:p>
        </w:tc>
        <w:tc>
          <w:tcPr>
            <w:tcW w:w="360" w:type="dxa"/>
            <w:vAlign w:val="bottom"/>
          </w:tcPr>
          <w:p>
            <w:pPr>
              <w:spacing w:after="0"/>
              <w:rPr>
                <w:sz w:val="6"/>
                <w:szCs w:val="6"/>
                <w:color w:val="auto"/>
              </w:rPr>
            </w:pPr>
          </w:p>
        </w:tc>
        <w:tc>
          <w:tcPr>
            <w:tcW w:w="58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6"/>
                <w:szCs w:val="6"/>
                <w:color w:val="auto"/>
              </w:rPr>
            </w:pPr>
          </w:p>
        </w:tc>
        <w:tc>
          <w:tcPr>
            <w:tcW w:w="70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660" w:type="dxa"/>
            <w:vAlign w:val="bottom"/>
            <w:vMerge w:val="restart"/>
          </w:tcPr>
          <w:p>
            <w:pPr>
              <w:ind w:left="340"/>
              <w:spacing w:after="0" w:line="79" w:lineRule="exact"/>
              <w:rPr>
                <w:sz w:val="20"/>
                <w:szCs w:val="20"/>
                <w:color w:val="auto"/>
              </w:rPr>
            </w:pPr>
            <w:r>
              <w:rPr>
                <w:rFonts w:ascii="Arial" w:cs="Arial" w:eastAsia="Arial" w:hAnsi="Arial"/>
                <w:sz w:val="9"/>
                <w:szCs w:val="9"/>
                <w:color w:val="008000"/>
              </w:rPr>
              <w:t>(1)</w:t>
            </w:r>
          </w:p>
        </w:tc>
        <w:tc>
          <w:tcPr>
            <w:tcW w:w="7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vMerge w:val="restart"/>
          </w:tcPr>
          <w:p>
            <w:pPr>
              <w:ind w:left="120"/>
              <w:spacing w:after="0"/>
              <w:rPr>
                <w:sz w:val="20"/>
                <w:szCs w:val="20"/>
                <w:color w:val="auto"/>
              </w:rPr>
            </w:pPr>
            <w:r>
              <w:rPr>
                <w:rFonts w:ascii="Arial" w:cs="Arial" w:eastAsia="Arial" w:hAnsi="Arial"/>
                <w:sz w:val="5"/>
                <w:szCs w:val="5"/>
                <w:color w:val="0000FF"/>
                <w:w w:val="78"/>
              </w:rPr>
              <w:t>J</w:t>
            </w: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6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tcPr>
          <w:p>
            <w:pPr>
              <w:jc w:val="center"/>
              <w:ind w:right="1"/>
              <w:spacing w:after="0" w:line="31" w:lineRule="exact"/>
              <w:rPr>
                <w:sz w:val="20"/>
                <w:szCs w:val="20"/>
                <w:color w:val="auto"/>
              </w:rPr>
            </w:pPr>
            <w:r>
              <w:rPr>
                <w:rFonts w:ascii="Arial" w:cs="Arial" w:eastAsia="Arial" w:hAnsi="Arial"/>
                <w:sz w:val="3"/>
                <w:szCs w:val="3"/>
                <w:color w:val="0000FF"/>
              </w:rPr>
              <w:t>Common</w:t>
            </w:r>
          </w:p>
        </w:tc>
        <w:tc>
          <w:tcPr>
            <w:tcW w:w="70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2C2C2C"/>
            </w:tcBorders>
            <w:gridSpan w:val="3"/>
          </w:tcPr>
          <w:p>
            <w:pPr>
              <w:ind w:left="60"/>
              <w:spacing w:after="0" w:line="31" w:lineRule="exact"/>
              <w:rPr>
                <w:sz w:val="20"/>
                <w:szCs w:val="20"/>
                <w:color w:val="auto"/>
              </w:rPr>
            </w:pPr>
            <w:r>
              <w:rPr>
                <w:rFonts w:ascii="Arial" w:cs="Arial" w:eastAsia="Arial" w:hAnsi="Arial"/>
                <w:sz w:val="2"/>
                <w:szCs w:val="2"/>
                <w:color w:val="0000FF"/>
              </w:rPr>
              <w:t>footnote</w:t>
            </w:r>
            <w:r>
              <w:rPr>
                <w:rFonts w:ascii="Arial" w:cs="Arial" w:eastAsia="Arial" w:hAnsi="Arial"/>
                <w:sz w:val="3"/>
                <w:szCs w:val="3"/>
                <w:color w:val="008000"/>
                <w:vertAlign w:val="superscript"/>
              </w:rPr>
              <w:t>(4)</w:t>
            </w:r>
          </w:p>
        </w:tc>
        <w:tc>
          <w:tcPr>
            <w:tcW w:w="0" w:type="dxa"/>
            <w:vAlign w:val="bottom"/>
          </w:tcPr>
          <w:p>
            <w:pPr>
              <w:spacing w:after="0" w:line="20" w:lineRule="exact"/>
              <w:rPr>
                <w:sz w:val="1"/>
                <w:szCs w:val="1"/>
                <w:color w:val="auto"/>
              </w:rPr>
            </w:pPr>
          </w:p>
        </w:tc>
      </w:tr>
      <w:tr>
        <w:trPr>
          <w:trHeight w:val="58"/>
        </w:trPr>
        <w:tc>
          <w:tcPr>
            <w:tcW w:w="660" w:type="dxa"/>
            <w:vAlign w:val="bottom"/>
          </w:tcPr>
          <w:p>
            <w:pPr>
              <w:ind w:left="80"/>
              <w:spacing w:after="0" w:line="58" w:lineRule="exact"/>
              <w:rPr>
                <w:sz w:val="20"/>
                <w:szCs w:val="20"/>
                <w:color w:val="auto"/>
              </w:rPr>
            </w:pPr>
            <w:r>
              <w:rPr>
                <w:rFonts w:ascii="Arial" w:cs="Arial" w:eastAsia="Arial" w:hAnsi="Arial"/>
                <w:sz w:val="6"/>
                <w:szCs w:val="6"/>
                <w:color w:val="0000FF"/>
              </w:rPr>
              <w:t>Common</w:t>
            </w:r>
          </w:p>
        </w:tc>
        <w:tc>
          <w:tcPr>
            <w:tcW w:w="7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60" w:type="dxa"/>
            <w:vAlign w:val="bottom"/>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vMerge w:val="restart"/>
          </w:tcPr>
          <w:p>
            <w:pPr>
              <w:jc w:val="center"/>
              <w:ind w:right="1"/>
              <w:spacing w:after="0"/>
              <w:rPr>
                <w:sz w:val="20"/>
                <w:szCs w:val="20"/>
                <w:color w:val="auto"/>
              </w:rPr>
            </w:pPr>
            <w:r>
              <w:rPr>
                <w:rFonts w:ascii="Arial" w:cs="Arial" w:eastAsia="Arial" w:hAnsi="Arial"/>
                <w:sz w:val="12"/>
                <w:szCs w:val="12"/>
                <w:color w:val="0000FF"/>
                <w:w w:val="86"/>
              </w:rPr>
              <w:t>Stock</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tcPr>
          <w:p>
            <w:pPr>
              <w:ind w:left="80"/>
              <w:spacing w:after="0"/>
              <w:rPr>
                <w:sz w:val="20"/>
                <w:szCs w:val="20"/>
                <w:color w:val="auto"/>
              </w:rPr>
            </w:pPr>
            <w:r>
              <w:rPr>
                <w:rFonts w:ascii="Arial" w:cs="Arial" w:eastAsia="Arial" w:hAnsi="Arial"/>
                <w:sz w:val="12"/>
                <w:szCs w:val="12"/>
                <w:color w:val="0000FF"/>
              </w:rPr>
              <w:t>Non-</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vMerge w:val="restart"/>
          </w:tcPr>
          <w:p>
            <w:pPr>
              <w:jc w:val="center"/>
              <w:ind w:right="1"/>
              <w:spacing w:after="0"/>
              <w:rPr>
                <w:sz w:val="20"/>
                <w:szCs w:val="20"/>
                <w:color w:val="auto"/>
              </w:rPr>
            </w:pPr>
            <w:r>
              <w:rPr>
                <w:rFonts w:ascii="Arial" w:cs="Arial" w:eastAsia="Arial" w:hAnsi="Arial"/>
                <w:sz w:val="12"/>
                <w:szCs w:val="12"/>
                <w:color w:val="0000FF"/>
                <w:w w:val="99"/>
              </w:rPr>
              <w:t>Voting</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color w:val="0000FF"/>
              </w:rPr>
              <w:t>Voting</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(2)</w:t>
            </w: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0"/>
                <w:szCs w:val="10"/>
                <w:color w:val="008000"/>
              </w:rPr>
              <w:t>(6)</w:t>
            </w: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vMerge w:val="restart"/>
          </w:tcPr>
          <w:p>
            <w:pPr>
              <w:jc w:val="right"/>
              <w:ind w:right="246"/>
              <w:spacing w:after="0"/>
              <w:rPr>
                <w:sz w:val="20"/>
                <w:szCs w:val="20"/>
                <w:color w:val="auto"/>
              </w:rPr>
            </w:pPr>
            <w:r>
              <w:rPr>
                <w:rFonts w:ascii="Arial" w:cs="Arial" w:eastAsia="Arial" w:hAnsi="Arial"/>
                <w:sz w:val="10"/>
                <w:szCs w:val="10"/>
                <w:color w:val="008000"/>
              </w:rPr>
              <w:t>(6)</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(6)</w:t>
            </w:r>
          </w:p>
        </w:tc>
        <w:tc>
          <w:tcPr>
            <w:tcW w:w="52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4,115,058</w:t>
            </w: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(6)</w:t>
            </w: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Borders>
              <w:right w:val="single" w:sz="8" w:color="2C2C2C"/>
            </w:tcBorders>
            <w:gridSpan w:val="3"/>
            <w:vMerge w:val="restart"/>
          </w:tcPr>
          <w:p>
            <w:pPr>
              <w:ind w:left="60"/>
              <w:spacing w:after="0" w:line="129" w:lineRule="exact"/>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56"/>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0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05/28/2021</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vMerge w:val="restart"/>
          </w:tcPr>
          <w:p>
            <w:pPr>
              <w:ind w:left="120"/>
              <w:spacing w:after="0"/>
              <w:rPr>
                <w:sz w:val="20"/>
                <w:szCs w:val="20"/>
                <w:color w:val="auto"/>
              </w:rPr>
            </w:pPr>
            <w:r>
              <w:rPr>
                <w:rFonts w:ascii="Arial" w:cs="Arial" w:eastAsia="Arial" w:hAnsi="Arial"/>
                <w:sz w:val="5"/>
                <w:szCs w:val="5"/>
                <w:color w:val="0000FF"/>
                <w:w w:val="78"/>
              </w:rPr>
              <w:t>J</w:t>
            </w:r>
          </w:p>
        </w:tc>
        <w:tc>
          <w:tcPr>
            <w:tcW w:w="620" w:type="dxa"/>
            <w:vAlign w:val="bottom"/>
            <w:vMerge w:val="continue"/>
          </w:tcPr>
          <w:p>
            <w:pPr>
              <w:spacing w:after="0"/>
              <w:rPr>
                <w:sz w:val="4"/>
                <w:szCs w:val="4"/>
                <w:color w:val="auto"/>
              </w:rPr>
            </w:pPr>
          </w:p>
        </w:tc>
        <w:tc>
          <w:tcPr>
            <w:tcW w:w="580" w:type="dxa"/>
            <w:vAlign w:val="bottom"/>
            <w:vMerge w:val="restart"/>
          </w:tcPr>
          <w:p>
            <w:pPr>
              <w:ind w:left="40"/>
              <w:spacing w:after="0" w:line="134" w:lineRule="exact"/>
              <w:rPr>
                <w:sz w:val="20"/>
                <w:szCs w:val="20"/>
                <w:color w:val="auto"/>
              </w:rPr>
            </w:pPr>
            <w:r>
              <w:rPr>
                <w:rFonts w:ascii="Arial" w:cs="Arial" w:eastAsia="Arial" w:hAnsi="Arial"/>
                <w:sz w:val="12"/>
                <w:szCs w:val="12"/>
                <w:color w:val="0000FF"/>
                <w:w w:val="97"/>
              </w:rPr>
              <w:t>4,115,058</w:t>
            </w:r>
          </w:p>
        </w:tc>
        <w:tc>
          <w:tcPr>
            <w:tcW w:w="5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20" w:type="dxa"/>
            <w:vAlign w:val="bottom"/>
            <w:vMerge w:val="restart"/>
          </w:tcPr>
          <w:p>
            <w:pPr>
              <w:jc w:val="center"/>
              <w:ind w:right="1"/>
              <w:spacing w:after="0" w:line="134" w:lineRule="exact"/>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89"/>
              </w:rPr>
              <w:t>4,115,058</w:t>
            </w:r>
          </w:p>
        </w:tc>
        <w:tc>
          <w:tcPr>
            <w:tcW w:w="580" w:type="dxa"/>
            <w:vAlign w:val="bottom"/>
            <w:vMerge w:val="restart"/>
          </w:tcPr>
          <w:p>
            <w:pPr>
              <w:ind w:left="340"/>
              <w:spacing w:after="0" w:line="134"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660" w:type="dxa"/>
            <w:vAlign w:val="bottom"/>
          </w:tcPr>
          <w:p>
            <w:pPr>
              <w:ind w:left="80"/>
              <w:spacing w:after="0" w:line="62" w:lineRule="exact"/>
              <w:rPr>
                <w:sz w:val="20"/>
                <w:szCs w:val="20"/>
                <w:color w:val="auto"/>
              </w:rPr>
            </w:pPr>
            <w:r>
              <w:rPr>
                <w:rFonts w:ascii="Arial" w:cs="Arial" w:eastAsia="Arial" w:hAnsi="Arial"/>
                <w:sz w:val="7"/>
                <w:szCs w:val="7"/>
                <w:color w:val="0000FF"/>
              </w:rPr>
              <w:t>Common</w:t>
            </w: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Borders>
              <w:right w:val="single" w:sz="8" w:color="2C2C2C"/>
            </w:tcBorders>
            <w:gridSpan w:val="3"/>
          </w:tcPr>
          <w:p>
            <w:pPr>
              <w:ind w:left="60"/>
              <w:spacing w:after="0" w:line="62"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(4)</w:t>
            </w:r>
          </w:p>
        </w:tc>
        <w:tc>
          <w:tcPr>
            <w:tcW w:w="0" w:type="dxa"/>
            <w:vAlign w:val="bottom"/>
          </w:tcPr>
          <w:p>
            <w:pPr>
              <w:spacing w:after="0"/>
              <w:rPr>
                <w:sz w:val="1"/>
                <w:szCs w:val="1"/>
                <w:color w:val="auto"/>
              </w:rPr>
            </w:pPr>
          </w:p>
        </w:tc>
      </w:tr>
      <w:tr>
        <w:trPr>
          <w:trHeight w:val="154"/>
        </w:trPr>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Stock</w:t>
            </w:r>
            <w:r>
              <w:rPr>
                <w:rFonts w:ascii="Arial" w:cs="Arial" w:eastAsia="Arial" w:hAnsi="Arial"/>
                <w:sz w:val="20"/>
                <w:szCs w:val="20"/>
                <w:color w:val="008000"/>
                <w:vertAlign w:val="superscript"/>
              </w:rPr>
              <w:t>(1)</w:t>
            </w: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jc w:val="center"/>
              <w:ind w:right="1"/>
              <w:spacing w:after="0"/>
              <w:rPr>
                <w:sz w:val="20"/>
                <w:szCs w:val="20"/>
                <w:color w:val="auto"/>
              </w:rPr>
            </w:pPr>
            <w:r>
              <w:rPr>
                <w:rFonts w:ascii="Arial" w:cs="Arial" w:eastAsia="Arial" w:hAnsi="Arial"/>
                <w:sz w:val="12"/>
                <w:szCs w:val="12"/>
                <w:color w:val="0000FF"/>
                <w:w w:val="86"/>
              </w:rPr>
              <w:t>Stock</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60" w:type="dxa"/>
            <w:vAlign w:val="bottom"/>
            <w:tcBorders>
              <w:bottom w:val="single" w:sz="8" w:color="2C2C2C"/>
            </w:tcBorders>
            <w:vMerge w:val="continue"/>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0" w:type="dxa"/>
            <w:vAlign w:val="bottom"/>
          </w:tcPr>
          <w:p>
            <w:pPr>
              <w:ind w:left="80"/>
              <w:spacing w:after="0"/>
              <w:rPr>
                <w:sz w:val="20"/>
                <w:szCs w:val="20"/>
                <w:color w:val="auto"/>
              </w:rPr>
            </w:pPr>
            <w:r>
              <w:rPr>
                <w:rFonts w:ascii="Arial" w:cs="Arial" w:eastAsia="Arial" w:hAnsi="Arial"/>
                <w:sz w:val="12"/>
                <w:szCs w:val="12"/>
                <w:color w:val="0000FF"/>
              </w:rPr>
              <w:t>Series F-1</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center"/>
              <w:ind w:right="1"/>
              <w:spacing w:after="0"/>
              <w:rPr>
                <w:sz w:val="20"/>
                <w:szCs w:val="20"/>
                <w:color w:val="auto"/>
              </w:rPr>
            </w:pPr>
            <w:r>
              <w:rPr>
                <w:rFonts w:ascii="Arial" w:cs="Arial" w:eastAsia="Arial" w:hAnsi="Arial"/>
                <w:sz w:val="12"/>
                <w:szCs w:val="12"/>
                <w:color w:val="0000FF"/>
                <w:w w:val="91"/>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172,125</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56"/>
        </w:trPr>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color w:val="0000FF"/>
              </w:rPr>
              <w:t>Preferred</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(2)</w:t>
            </w:r>
          </w:p>
        </w:tc>
        <w:tc>
          <w:tcPr>
            <w:tcW w:w="1000" w:type="dxa"/>
            <w:vAlign w:val="bottom"/>
            <w:vMerge w:val="restart"/>
          </w:tcPr>
          <w:p>
            <w:pPr>
              <w:jc w:val="center"/>
              <w:spacing w:after="0" w:line="130" w:lineRule="exact"/>
              <w:rPr>
                <w:sz w:val="20"/>
                <w:szCs w:val="20"/>
                <w:color w:val="auto"/>
              </w:rPr>
            </w:pPr>
            <w:r>
              <w:rPr>
                <w:rFonts w:ascii="Arial" w:cs="Arial" w:eastAsia="Arial" w:hAnsi="Arial"/>
                <w:sz w:val="12"/>
                <w:szCs w:val="12"/>
                <w:color w:val="0000FF"/>
                <w:w w:val="93"/>
              </w:rPr>
              <w:t>05/28/2021</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ind w:left="160"/>
              <w:spacing w:after="0" w:line="130" w:lineRule="exact"/>
              <w:rPr>
                <w:sz w:val="20"/>
                <w:szCs w:val="20"/>
                <w:color w:val="auto"/>
              </w:rPr>
            </w:pPr>
            <w:r>
              <w:rPr>
                <w:rFonts w:ascii="Arial" w:cs="Arial" w:eastAsia="Arial" w:hAnsi="Arial"/>
                <w:sz w:val="12"/>
                <w:szCs w:val="12"/>
                <w:color w:val="0000FF"/>
              </w:rPr>
              <w:t>C</w:t>
            </w:r>
          </w:p>
        </w:tc>
        <w:tc>
          <w:tcPr>
            <w:tcW w:w="580" w:type="dxa"/>
            <w:vAlign w:val="bottom"/>
          </w:tcPr>
          <w:p>
            <w:pPr>
              <w:spacing w:after="0"/>
              <w:rPr>
                <w:sz w:val="4"/>
                <w:szCs w:val="4"/>
                <w:color w:val="auto"/>
              </w:rPr>
            </w:pPr>
          </w:p>
        </w:tc>
        <w:tc>
          <w:tcPr>
            <w:tcW w:w="560" w:type="dxa"/>
            <w:vAlign w:val="bottom"/>
            <w:vMerge w:val="restart"/>
          </w:tcPr>
          <w:p>
            <w:pPr>
              <w:jc w:val="center"/>
              <w:ind w:left="1"/>
              <w:spacing w:after="0" w:line="130" w:lineRule="exact"/>
              <w:rPr>
                <w:sz w:val="20"/>
                <w:szCs w:val="20"/>
                <w:color w:val="auto"/>
              </w:rPr>
            </w:pPr>
            <w:r>
              <w:rPr>
                <w:rFonts w:ascii="Arial" w:cs="Arial" w:eastAsia="Arial" w:hAnsi="Arial"/>
                <w:sz w:val="12"/>
                <w:szCs w:val="12"/>
                <w:color w:val="0000FF"/>
                <w:w w:val="87"/>
              </w:rPr>
              <w:t>172,125</w:t>
            </w:r>
          </w:p>
        </w:tc>
        <w:tc>
          <w:tcPr>
            <w:tcW w:w="780" w:type="dxa"/>
            <w:vAlign w:val="bottom"/>
            <w:vMerge w:val="restart"/>
          </w:tcPr>
          <w:p>
            <w:pPr>
              <w:jc w:val="right"/>
              <w:ind w:right="246"/>
              <w:spacing w:after="0"/>
              <w:rPr>
                <w:sz w:val="20"/>
                <w:szCs w:val="20"/>
                <w:color w:val="auto"/>
              </w:rPr>
            </w:pPr>
            <w:r>
              <w:rPr>
                <w:rFonts w:ascii="Arial" w:cs="Arial" w:eastAsia="Arial" w:hAnsi="Arial"/>
                <w:sz w:val="10"/>
                <w:szCs w:val="10"/>
                <w:color w:val="008000"/>
              </w:rPr>
              <w:t>(2)</w:t>
            </w:r>
          </w:p>
        </w:tc>
        <w:tc>
          <w:tcPr>
            <w:tcW w:w="740" w:type="dxa"/>
            <w:vAlign w:val="bottom"/>
            <w:vMerge w:val="restart"/>
          </w:tcPr>
          <w:p>
            <w:pPr>
              <w:jc w:val="center"/>
              <w:ind w:right="1"/>
              <w:spacing w:after="0"/>
              <w:rPr>
                <w:sz w:val="20"/>
                <w:szCs w:val="20"/>
                <w:color w:val="auto"/>
              </w:rPr>
            </w:pPr>
            <w:r>
              <w:rPr>
                <w:rFonts w:ascii="Arial" w:cs="Arial" w:eastAsia="Arial" w:hAnsi="Arial"/>
                <w:sz w:val="10"/>
                <w:szCs w:val="10"/>
                <w:color w:val="008000"/>
                <w:w w:val="97"/>
              </w:rPr>
              <w:t>(2)</w:t>
            </w:r>
          </w:p>
        </w:tc>
        <w:tc>
          <w:tcPr>
            <w:tcW w:w="520" w:type="dxa"/>
            <w:vAlign w:val="bottom"/>
            <w:vMerge w:val="restart"/>
          </w:tcPr>
          <w:p>
            <w:pPr>
              <w:jc w:val="center"/>
              <w:ind w:right="1"/>
              <w:spacing w:after="0" w:line="130" w:lineRule="exact"/>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(2)</w:t>
            </w:r>
          </w:p>
        </w:tc>
        <w:tc>
          <w:tcPr>
            <w:tcW w:w="440" w:type="dxa"/>
            <w:vAlign w:val="bottom"/>
            <w:vMerge w:val="restart"/>
          </w:tcPr>
          <w:p>
            <w:pPr>
              <w:jc w:val="center"/>
              <w:ind w:left="283"/>
              <w:spacing w:after="0" w:line="130" w:lineRule="exact"/>
              <w:rPr>
                <w:sz w:val="20"/>
                <w:szCs w:val="20"/>
                <w:color w:val="auto"/>
              </w:rPr>
            </w:pPr>
            <w:r>
              <w:rPr>
                <w:rFonts w:ascii="Arial" w:cs="Arial" w:eastAsia="Arial" w:hAnsi="Arial"/>
                <w:sz w:val="12"/>
                <w:szCs w:val="12"/>
                <w:color w:val="0000FF"/>
                <w:w w:val="89"/>
              </w:rPr>
              <w:t>0</w:t>
            </w:r>
          </w:p>
        </w:tc>
        <w:tc>
          <w:tcPr>
            <w:tcW w:w="360" w:type="dxa"/>
            <w:vAlign w:val="bottom"/>
          </w:tcPr>
          <w:p>
            <w:pPr>
              <w:spacing w:after="0"/>
              <w:rPr>
                <w:sz w:val="4"/>
                <w:szCs w:val="4"/>
                <w:color w:val="auto"/>
              </w:rPr>
            </w:pPr>
          </w:p>
        </w:tc>
        <w:tc>
          <w:tcPr>
            <w:tcW w:w="580" w:type="dxa"/>
            <w:vAlign w:val="bottom"/>
            <w:vMerge w:val="restart"/>
          </w:tcPr>
          <w:p>
            <w:pPr>
              <w:ind w:left="340"/>
              <w:spacing w:after="0" w:line="130"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ind w:left="460"/>
              <w:spacing w:after="0" w:line="74" w:lineRule="exact"/>
              <w:rPr>
                <w:sz w:val="20"/>
                <w:szCs w:val="20"/>
                <w:color w:val="auto"/>
              </w:rPr>
            </w:pPr>
            <w:r>
              <w:rPr>
                <w:rFonts w:ascii="Arial" w:cs="Arial" w:eastAsia="Arial" w:hAnsi="Arial"/>
                <w:sz w:val="8"/>
                <w:szCs w:val="8"/>
                <w:color w:val="008000"/>
              </w:rPr>
              <w:t>(4)</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2C2C2C"/>
            </w:tcBorders>
          </w:tcPr>
          <w:p>
            <w:pPr>
              <w:ind w:left="80"/>
              <w:spacing w:after="0" w:line="219" w:lineRule="exact"/>
              <w:rPr>
                <w:sz w:val="20"/>
                <w:szCs w:val="20"/>
                <w:color w:val="auto"/>
              </w:rPr>
            </w:pPr>
            <w:r>
              <w:rPr>
                <w:rFonts w:ascii="Arial" w:cs="Arial" w:eastAsia="Arial" w:hAnsi="Arial"/>
                <w:sz w:val="12"/>
                <w:szCs w:val="12"/>
                <w:color w:val="0000FF"/>
              </w:rPr>
              <w:t>Stock</w:t>
            </w:r>
            <w:r>
              <w:rPr>
                <w:rFonts w:ascii="Arial" w:cs="Arial" w:eastAsia="Arial" w:hAnsi="Arial"/>
                <w:sz w:val="20"/>
                <w:szCs w:val="20"/>
                <w:color w:val="008000"/>
                <w:vertAlign w:val="superscript"/>
              </w:rPr>
              <w:t>(1)</w:t>
            </w:r>
          </w:p>
        </w:tc>
        <w:tc>
          <w:tcPr>
            <w:tcW w:w="74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
              <w:spacing w:after="0"/>
              <w:rPr>
                <w:sz w:val="20"/>
                <w:szCs w:val="20"/>
                <w:color w:val="auto"/>
              </w:rPr>
            </w:pPr>
            <w:r>
              <w:rPr>
                <w:rFonts w:ascii="Arial" w:cs="Arial" w:eastAsia="Arial" w:hAnsi="Arial"/>
                <w:sz w:val="12"/>
                <w:szCs w:val="12"/>
                <w:color w:val="0000FF"/>
                <w:w w:val="86"/>
              </w:rPr>
              <w:t>Stock</w:t>
            </w: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right w:val="single" w:sz="8" w:color="2C2C2C"/>
            </w:tcBorders>
            <w:gridSpan w:val="3"/>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-3403600</wp:posOffset>
            </wp:positionV>
            <wp:extent cx="27940" cy="3409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4093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4"/>
          <w:szCs w:val="24"/>
          <w:color w:val="auto"/>
        </w:rPr>
      </w:pPr>
    </w:p>
    <w:p>
      <w:pPr>
        <w:ind w:left="40" w:right="200" w:hanging="6"/>
        <w:spacing w:after="0" w:line="246"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4" w:lineRule="exact"/>
        <w:rPr>
          <w:rFonts w:ascii="Arial" w:cs="Arial" w:eastAsia="Arial" w:hAnsi="Arial"/>
          <w:sz w:val="12"/>
          <w:szCs w:val="12"/>
          <w:color w:val="008000"/>
        </w:rPr>
      </w:pPr>
    </w:p>
    <w:p>
      <w:pPr>
        <w:ind w:left="40" w:right="200" w:hanging="6"/>
        <w:spacing w:after="0" w:line="246"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the Issuer's Series E-1 Preferred Stock and Series F-1 Preferred Stock automatically converted on a one for one basis into Class A Common Stock immediately prior to the closing of the Issuer's initial public offering, and each share of the Issuer's Series E-2 Preferred Stock automatically converted on a one for one basis into Class B Common Stock immediately prior to the closing of the Issuer's initial public offering (the "Conversion"). The shares have no expiration date.</w:t>
      </w:r>
    </w:p>
    <w:p>
      <w:pPr>
        <w:spacing w:after="0" w:line="24" w:lineRule="exact"/>
        <w:rPr>
          <w:rFonts w:ascii="Arial" w:cs="Arial" w:eastAsia="Arial" w:hAnsi="Arial"/>
          <w:sz w:val="12"/>
          <w:szCs w:val="12"/>
          <w:color w:val="008000"/>
        </w:rPr>
      </w:pPr>
    </w:p>
    <w:p>
      <w:pPr>
        <w:ind w:left="40" w:right="220" w:hanging="6"/>
        <w:spacing w:after="0" w:line="241"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8" w:lineRule="exact"/>
        <w:rPr>
          <w:rFonts w:ascii="Arial" w:cs="Arial" w:eastAsia="Arial" w:hAnsi="Arial"/>
          <w:sz w:val="12"/>
          <w:szCs w:val="12"/>
          <w:color w:val="008000"/>
        </w:rPr>
      </w:pPr>
    </w:p>
    <w:p>
      <w:pPr>
        <w:ind w:left="40" w:right="220" w:hanging="6"/>
        <w:spacing w:after="0" w:line="299" w:lineRule="auto"/>
        <w:tabs>
          <w:tab w:leader="none" w:pos="16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ind w:left="40" w:right="160" w:hanging="6"/>
        <w:spacing w:after="0" w:line="260"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 reclassification exempt under Rule 16b-7, each share of the Issuer's Class A Common Stock was automatically reclassified into one share of Voting Common Stock following the Conversion, and immediately prior to the closing of the Issuer's initial public offering.</w:t>
      </w:r>
    </w:p>
    <w:p>
      <w:pPr>
        <w:spacing w:after="0" w:line="16" w:lineRule="exact"/>
        <w:rPr>
          <w:rFonts w:ascii="Arial" w:cs="Arial" w:eastAsia="Arial" w:hAnsi="Arial"/>
          <w:sz w:val="12"/>
          <w:szCs w:val="12"/>
          <w:color w:val="008000"/>
        </w:rPr>
      </w:pPr>
    </w:p>
    <w:p>
      <w:pPr>
        <w:ind w:left="40" w:right="560" w:hanging="6"/>
        <w:spacing w:after="0" w:line="260"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 reclassification exempt under Rule 16b-7, each share of the Issuer's Class B Common Stock was automatically reclassified into one share of Non-Voting Common Stock following the Conversion, and immediately prior to the closing of the Issuer's initial public offering.</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Arial" w:cs="Arial" w:eastAsia="Arial" w:hAnsi="Arial"/>
                <w:sz w:val="16"/>
                <w:szCs w:val="16"/>
                <w:color w:val="0000FF"/>
              </w:rPr>
              <w:t>/s/ Jo Natauri</w:t>
            </w:r>
          </w:p>
        </w:tc>
        <w:tc>
          <w:tcPr>
            <w:tcW w:w="940" w:type="dxa"/>
            <w:vAlign w:val="bottom"/>
            <w:gridSpan w:val="2"/>
          </w:tcPr>
          <w:p>
            <w:pPr>
              <w:ind w:left="220"/>
              <w:spacing w:after="0"/>
              <w:rPr>
                <w:sz w:val="20"/>
                <w:szCs w:val="20"/>
                <w:color w:val="auto"/>
              </w:rPr>
            </w:pPr>
            <w:r>
              <w:rPr>
                <w:rFonts w:ascii="Arial" w:cs="Arial" w:eastAsia="Arial" w:hAnsi="Arial"/>
                <w:sz w:val="16"/>
                <w:szCs w:val="16"/>
                <w:color w:val="0000FF"/>
                <w:w w:val="87"/>
              </w:rPr>
              <w:t>05/28/2021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ectPr>
          <w:pgSz w:w="11900" w:h="16838" w:orient="portrait"/>
          <w:cols w:equalWidth="0" w:num="1">
            <w:col w:w="11080"/>
          </w:cols>
          <w:pgMar w:left="460" w:top="218" w:right="359" w:bottom="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6" w:right="2959" w:hanging="6"/>
        <w:spacing w:after="0" w:line="31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6"/>
      </w:cols>
      <w:pgMar w:left="494"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2021-05-29T09:10:28Z</dcterms:created>
  <dcterms:modified xsi:type="dcterms:W3CDTF">2021-05-29T09:10:28Z</dcterms:modified>
</cp:coreProperties>
</file>