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715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71500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051"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Riese Phillip John</w:t>
              </w:r>
            </w:hyperlink>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Flywire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06/02/2026</w:t>
            </w:r>
          </w:p>
        </w:tc>
        <w:tc>
          <w:tcPr>
            <w:tcW w:w="26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FLYWIRE CORPORATION</w:t>
            </w:r>
          </w:p>
        </w:tc>
        <w:tc>
          <w:tcPr>
            <w:tcW w:w="12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6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141 TREMONT STREET, SUITE 10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26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051"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02111</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05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46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gridSpan w:val="2"/>
          </w:tcPr>
          <w:p>
            <w:pPr>
              <w:jc w:val="center"/>
              <w:ind w:left="311"/>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00" w:type="dxa"/>
            <w:vAlign w:val="bottom"/>
            <w:gridSpan w:val="2"/>
          </w:tcPr>
          <w:p>
            <w:pPr>
              <w:jc w:val="center"/>
              <w:ind w:left="311"/>
              <w:spacing w:after="0"/>
              <w:rPr>
                <w:sz w:val="20"/>
                <w:szCs w:val="20"/>
                <w:color w:val="auto"/>
              </w:rPr>
            </w:pPr>
            <w:r>
              <w:rPr>
                <w:rFonts w:ascii="Times New Roman" w:cs="Times New Roman" w:eastAsia="Times New Roman" w:hAnsi="Times New Roman"/>
                <w:sz w:val="17"/>
                <w:szCs w:val="17"/>
                <w:color w:val="0000FF"/>
                <w:w w:val="98"/>
              </w:rPr>
              <w:t>06/02/2026</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7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0.59</w:t>
            </w:r>
          </w:p>
        </w:tc>
        <w:tc>
          <w:tcPr>
            <w:tcW w:w="160" w:type="dxa"/>
            <w:vAlign w:val="bottom"/>
          </w:tcPr>
          <w:p>
            <w:pPr>
              <w:spacing w:after="0"/>
              <w:rPr>
                <w:sz w:val="22"/>
                <w:szCs w:val="22"/>
                <w:color w:val="auto"/>
              </w:rPr>
            </w:pPr>
          </w:p>
        </w:tc>
        <w:tc>
          <w:tcPr>
            <w:tcW w:w="1200" w:type="dxa"/>
            <w:vAlign w:val="bottom"/>
            <w:gridSpan w:val="3"/>
          </w:tcPr>
          <w:p>
            <w:pPr>
              <w:jc w:val="right"/>
              <w:ind w:right="261"/>
              <w:spacing w:after="0"/>
              <w:rPr>
                <w:sz w:val="20"/>
                <w:szCs w:val="20"/>
                <w:color w:val="auto"/>
              </w:rPr>
            </w:pPr>
            <w:r>
              <w:rPr>
                <w:rFonts w:ascii="Times New Roman" w:cs="Times New Roman" w:eastAsia="Times New Roman" w:hAnsi="Times New Roman"/>
                <w:sz w:val="17"/>
                <w:szCs w:val="17"/>
                <w:color w:val="0000FF"/>
              </w:rPr>
              <w:t>239,493</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00" w:type="dxa"/>
            <w:vAlign w:val="bottom"/>
            <w:tcBorders>
              <w:bottom w:val="single" w:sz="8" w:color="2C2C2C"/>
            </w:tcBorders>
            <w:gridSpan w:val="2"/>
          </w:tcPr>
          <w:p>
            <w:pPr>
              <w:jc w:val="center"/>
              <w:ind w:left="311"/>
              <w:spacing w:after="0"/>
              <w:rPr>
                <w:sz w:val="20"/>
                <w:szCs w:val="20"/>
                <w:color w:val="auto"/>
              </w:rPr>
            </w:pPr>
            <w:r>
              <w:rPr>
                <w:rFonts w:ascii="Times New Roman" w:cs="Times New Roman" w:eastAsia="Times New Roman" w:hAnsi="Times New Roman"/>
                <w:sz w:val="17"/>
                <w:szCs w:val="17"/>
                <w:color w:val="0000FF"/>
                <w:w w:val="98"/>
              </w:rPr>
              <w:t>06/02/2026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4,800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15.3946</w:t>
            </w:r>
            <w:r>
              <w:rPr>
                <w:rFonts w:ascii="Times New Roman" w:cs="Times New Roman" w:eastAsia="Times New Roman" w:hAnsi="Times New Roman"/>
                <w:sz w:val="21"/>
                <w:szCs w:val="21"/>
                <w:color w:val="008000"/>
                <w:w w:val="93"/>
                <w:vertAlign w:val="superscript"/>
              </w:rPr>
              <w:t>(2)</w:t>
            </w:r>
          </w:p>
        </w:tc>
        <w:tc>
          <w:tcPr>
            <w:tcW w:w="1200" w:type="dxa"/>
            <w:vAlign w:val="bottom"/>
            <w:tcBorders>
              <w:bottom w:val="single" w:sz="8" w:color="2C2C2C"/>
            </w:tcBorders>
            <w:gridSpan w:val="3"/>
          </w:tcPr>
          <w:p>
            <w:pPr>
              <w:jc w:val="right"/>
              <w:ind w:right="261"/>
              <w:spacing w:after="0"/>
              <w:rPr>
                <w:sz w:val="20"/>
                <w:szCs w:val="20"/>
                <w:color w:val="auto"/>
              </w:rPr>
            </w:pPr>
            <w:r>
              <w:rPr>
                <w:rFonts w:ascii="Times New Roman" w:cs="Times New Roman" w:eastAsia="Times New Roman" w:hAnsi="Times New Roman"/>
                <w:sz w:val="17"/>
                <w:szCs w:val="17"/>
                <w:color w:val="0000FF"/>
              </w:rPr>
              <w:t>234,693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00" w:type="dxa"/>
            <w:vAlign w:val="bottom"/>
            <w:tcBorders>
              <w:bottom w:val="single" w:sz="8" w:color="2C2C2C"/>
            </w:tcBorders>
            <w:gridSpan w:val="2"/>
          </w:tcPr>
          <w:p>
            <w:pPr>
              <w:jc w:val="center"/>
              <w:ind w:left="311"/>
              <w:spacing w:after="0"/>
              <w:rPr>
                <w:sz w:val="20"/>
                <w:szCs w:val="20"/>
                <w:color w:val="auto"/>
              </w:rPr>
            </w:pPr>
            <w:r>
              <w:rPr>
                <w:rFonts w:ascii="Times New Roman" w:cs="Times New Roman" w:eastAsia="Times New Roman" w:hAnsi="Times New Roman"/>
                <w:sz w:val="17"/>
                <w:szCs w:val="17"/>
                <w:color w:val="0000FF"/>
                <w:w w:val="98"/>
              </w:rPr>
              <w:t>06/02/2026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16.1825</w:t>
            </w:r>
            <w:r>
              <w:rPr>
                <w:rFonts w:ascii="Times New Roman" w:cs="Times New Roman" w:eastAsia="Times New Roman" w:hAnsi="Times New Roman"/>
                <w:sz w:val="21"/>
                <w:szCs w:val="21"/>
                <w:color w:val="008000"/>
                <w:w w:val="93"/>
                <w:vertAlign w:val="superscript"/>
              </w:rPr>
              <w:t>(3)</w:t>
            </w:r>
          </w:p>
        </w:tc>
        <w:tc>
          <w:tcPr>
            <w:tcW w:w="1200" w:type="dxa"/>
            <w:vAlign w:val="bottom"/>
            <w:tcBorders>
              <w:bottom w:val="single" w:sz="8" w:color="2C2C2C"/>
            </w:tcBorders>
            <w:gridSpan w:val="3"/>
          </w:tcPr>
          <w:p>
            <w:pPr>
              <w:jc w:val="right"/>
              <w:ind w:right="261"/>
              <w:spacing w:after="0"/>
              <w:rPr>
                <w:sz w:val="20"/>
                <w:szCs w:val="20"/>
                <w:color w:val="auto"/>
              </w:rPr>
            </w:pPr>
            <w:r>
              <w:rPr>
                <w:rFonts w:ascii="Times New Roman" w:cs="Times New Roman" w:eastAsia="Times New Roman" w:hAnsi="Times New Roman"/>
                <w:sz w:val="17"/>
                <w:szCs w:val="17"/>
                <w:color w:val="0000FF"/>
              </w:rPr>
              <w:t>234,493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00" w:type="dxa"/>
            <w:vAlign w:val="bottom"/>
            <w:tcBorders>
              <w:bottom w:val="single" w:sz="8" w:color="2C2C2C"/>
            </w:tcBorders>
            <w:gridSpan w:val="2"/>
          </w:tcPr>
          <w:p>
            <w:pPr>
              <w:jc w:val="center"/>
              <w:ind w:left="311"/>
              <w:spacing w:after="0"/>
              <w:rPr>
                <w:sz w:val="20"/>
                <w:szCs w:val="20"/>
                <w:color w:val="auto"/>
              </w:rPr>
            </w:pPr>
            <w:r>
              <w:rPr>
                <w:rFonts w:ascii="Times New Roman" w:cs="Times New Roman" w:eastAsia="Times New Roman" w:hAnsi="Times New Roman"/>
                <w:sz w:val="17"/>
                <w:szCs w:val="17"/>
                <w:color w:val="0000FF"/>
                <w:w w:val="98"/>
              </w:rPr>
              <w:t>06/02/2026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11,558</w:t>
            </w:r>
            <w:r>
              <w:rPr>
                <w:rFonts w:ascii="Times New Roman" w:cs="Times New Roman" w:eastAsia="Times New Roman" w:hAnsi="Times New Roman"/>
                <w:sz w:val="21"/>
                <w:szCs w:val="21"/>
                <w:color w:val="008000"/>
                <w:w w:val="91"/>
                <w:vertAlign w:val="superscript"/>
              </w:rPr>
              <w:t>(4)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right"/>
              <w:ind w:right="261"/>
              <w:spacing w:after="0"/>
              <w:rPr>
                <w:sz w:val="20"/>
                <w:szCs w:val="20"/>
                <w:color w:val="auto"/>
              </w:rPr>
            </w:pPr>
            <w:r>
              <w:rPr>
                <w:rFonts w:ascii="Times New Roman" w:cs="Times New Roman" w:eastAsia="Times New Roman" w:hAnsi="Times New Roman"/>
                <w:sz w:val="17"/>
                <w:szCs w:val="17"/>
                <w:color w:val="0000FF"/>
              </w:rPr>
              <w:t>246,051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Voting</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5,000</w:t>
            </w: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0.59</w:t>
            </w: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06/02/2026</w:t>
            </w:r>
          </w:p>
        </w:tc>
        <w:tc>
          <w:tcPr>
            <w:tcW w:w="1100" w:type="dxa"/>
            <w:vAlign w:val="bottom"/>
          </w:tcPr>
          <w:p>
            <w:pPr>
              <w:spacing w:after="0"/>
              <w:rPr>
                <w:sz w:val="6"/>
                <w:szCs w:val="6"/>
                <w:color w:val="auto"/>
              </w:rPr>
            </w:pPr>
          </w:p>
        </w:tc>
        <w:tc>
          <w:tcPr>
            <w:tcW w:w="4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6"/>
                <w:szCs w:val="6"/>
                <w:color w:val="auto"/>
              </w:rPr>
            </w:pPr>
          </w:p>
        </w:tc>
        <w:tc>
          <w:tcPr>
            <w:tcW w:w="660" w:type="dxa"/>
            <w:vAlign w:val="bottom"/>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w w:val="95"/>
              </w:rPr>
              <w:t>5,000</w:t>
            </w:r>
          </w:p>
        </w:tc>
        <w:tc>
          <w:tcPr>
            <w:tcW w:w="820" w:type="dxa"/>
            <w:vAlign w:val="bottom"/>
            <w:vMerge w:val="continue"/>
          </w:tcPr>
          <w:p>
            <w:pPr>
              <w:spacing w:after="0"/>
              <w:rPr>
                <w:sz w:val="6"/>
                <w:szCs w:val="6"/>
                <w:color w:val="auto"/>
              </w:rPr>
            </w:pPr>
          </w:p>
        </w:tc>
        <w:tc>
          <w:tcPr>
            <w:tcW w:w="76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12/14/2026</w:t>
            </w:r>
          </w:p>
        </w:tc>
        <w:tc>
          <w:tcPr>
            <w:tcW w:w="5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gridSpan w:val="2"/>
            <w:vMerge w:val="restart"/>
          </w:tcPr>
          <w:p>
            <w:pPr>
              <w:jc w:val="right"/>
              <w:ind w:right="1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8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48,000</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-2197100</wp:posOffset>
            </wp:positionV>
            <wp:extent cx="29210" cy="2202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previously adopted Rule 10b5-1 trading plan.</w:t>
      </w:r>
    </w:p>
    <w:p>
      <w:pPr>
        <w:spacing w:after="0" w:line="45" w:lineRule="exact"/>
        <w:rPr>
          <w:rFonts w:ascii="Times New Roman" w:cs="Times New Roman" w:eastAsia="Times New Roman" w:hAnsi="Times New Roman"/>
          <w:sz w:val="13"/>
          <w:szCs w:val="13"/>
          <w:color w:val="008000"/>
        </w:rPr>
      </w:pPr>
    </w:p>
    <w:p>
      <w:pPr>
        <w:jc w:val="both"/>
        <w:ind w:left="40" w:right="180" w:firstLine="3"/>
        <w:spacing w:after="0" w:line="293" w:lineRule="auto"/>
        <w:tabs>
          <w:tab w:leader="none" w:pos="17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 weighted average sales price per share. These shares were sold in multiple transactions at prices ranging from $15.09 to $15.88.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p>
      <w:pPr>
        <w:ind w:left="40" w:right="50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per share. These shares were sold in multiple transactions at prices ranging from $16.155 to $16.21.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p>
      <w:pPr>
        <w:spacing w:after="0" w:line="26" w:lineRule="exact"/>
        <w:rPr>
          <w:rFonts w:ascii="Times New Roman" w:cs="Times New Roman" w:eastAsia="Times New Roman" w:hAnsi="Times New Roman"/>
          <w:sz w:val="13"/>
          <w:szCs w:val="13"/>
          <w:color w:val="008000"/>
        </w:rPr>
      </w:pPr>
    </w:p>
    <w:p>
      <w:pPr>
        <w:ind w:left="40" w:right="46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award that vests on the earlier of (a) June 2, 2027, and (b) the Issuer's next annual meeting of stockholders, provided that the Reporting Person has provided continuous service to the Issuer through such date. In addition, the restricted stock unit award will accelerate and fully vest upon a change in control, or the Reporting Person's earlier death or disability.</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are fully vested.</w:t>
      </w:r>
    </w:p>
    <w:p>
      <w:pPr>
        <w:spacing w:after="0" w:line="5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/s/Phillip John Riese</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06/04/2026</w:t>
            </w:r>
          </w:p>
        </w:tc>
      </w:tr>
      <w:tr>
        <w:trPr>
          <w:trHeight w:val="20"/>
        </w:trPr>
        <w:tc>
          <w:tcPr>
            <w:tcW w:w="13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05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07696"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2026-06-04T16:18:36Z</dcterms:created>
  <dcterms:modified xsi:type="dcterms:W3CDTF">2026-06-04T16:18:36Z</dcterms:modified>
</cp:coreProperties>
</file>