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6"/>
        <w:gridCol w:w="919"/>
        <w:gridCol w:w="788"/>
        <w:gridCol w:w="610"/>
        <w:gridCol w:w="349"/>
        <w:gridCol w:w="842"/>
        <w:gridCol w:w="447"/>
        <w:gridCol w:w="669"/>
        <w:gridCol w:w="1157"/>
        <w:gridCol w:w="996"/>
        <w:gridCol w:w="11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10/27/2023</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438,119</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(1)</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vest over 4 years of service following January 21, 2021, with 25% vesting upon completion of 1 year of continuous service to the Issuer and the balance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946"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3742</Characters>
  <CharactersWithSpaces>4368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