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0001862133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Flywire Corporation</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001-40430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141 TREMONT STREET, SUITE 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Boston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02111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617-329-4524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Peter Butterfield</w:t>
      </w:r>
    </w:p>
    <w:p>
      <w:pPr>
        <w:spacing w:after="0" w:line="44" w:lineRule="exact"/>
        <w:rPr>
          <w:sz w:val="24"/>
          <w:szCs w:val="24"/>
          <w:color w:val="auto"/>
        </w:rPr>
      </w:pPr>
    </w:p>
    <w:p>
      <w:pPr>
        <w:sectPr>
          <w:pgSz w:w="11900" w:h="16838" w:orient="portrait"/>
          <w:cols w:equalWidth="0" w:num="2">
            <w:col w:w="6440" w:space="720"/>
            <w:col w:w="40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J.P. Morgan Securities</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390 Madison Avenue</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5921</w:t>
            </w:r>
          </w:p>
        </w:tc>
        <w:tc>
          <w:tcPr>
            <w:tcW w:w="1140" w:type="dxa"/>
            <w:vAlign w:val="bottom"/>
          </w:tcPr>
          <w:p>
            <w:pPr>
              <w:jc w:val="right"/>
              <w:ind w:right="352"/>
              <w:spacing w:after="0" w:line="243" w:lineRule="exact"/>
              <w:rPr>
                <w:sz w:val="20"/>
                <w:szCs w:val="20"/>
                <w:color w:val="auto"/>
              </w:rPr>
            </w:pPr>
            <w:r>
              <w:rPr>
                <w:rFonts w:ascii="Times New Roman" w:cs="Times New Roman" w:eastAsia="Times New Roman" w:hAnsi="Times New Roman"/>
                <w:sz w:val="22"/>
                <w:szCs w:val="22"/>
                <w:color w:val="auto"/>
                <w:w w:val="99"/>
              </w:rPr>
              <w:t>110663</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6th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123309828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08/09/2024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06/01/2024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2551</w:t>
            </w:r>
          </w:p>
        </w:tc>
        <w:tc>
          <w:tcPr>
            <w:tcW w:w="14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06/01/2024 NA</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4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06/04/2024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3370</w:t>
            </w:r>
          </w:p>
        </w:tc>
        <w:tc>
          <w:tcPr>
            <w:tcW w:w="14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06/04/2024 NA</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4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040" w:type="dxa"/>
            <w:vAlign w:val="bottom"/>
          </w:tcPr>
          <w:p>
            <w:pPr>
              <w:spacing w:after="0"/>
              <w:rPr>
                <w:sz w:val="24"/>
                <w:szCs w:val="24"/>
                <w:color w:val="auto"/>
              </w:rPr>
            </w:pPr>
          </w:p>
        </w:tc>
      </w:tr>
      <w:tr>
        <w:trPr>
          <w:trHeight w:val="297"/>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08/09/2024</w:t>
            </w:r>
          </w:p>
        </w:tc>
      </w:tr>
    </w:tbl>
    <w:p>
      <w:pPr>
        <w:ind w:left="40" w:right="4820"/>
        <w:spacing w:after="0" w:line="181" w:lineRule="auto"/>
        <w:rPr>
          <w:sz w:val="20"/>
          <w:szCs w:val="20"/>
          <w:color w:val="auto"/>
        </w:rPr>
      </w:pPr>
      <w:r>
        <w:rPr>
          <w:rFonts w:ascii="Times New Roman" w:cs="Times New Roman" w:eastAsia="Times New Roman" w:hAnsi="Times New Roman"/>
          <w:sz w:val="21"/>
          <w:szCs w:val="21"/>
          <w:color w:val="auto"/>
        </w:rPr>
        <w:t xml:space="preserve">Date of Plan Adoption or Giving of Instruction, If Relying on </w:t>
      </w:r>
      <w:r>
        <w:rPr>
          <w:rFonts w:ascii="Times New Roman" w:cs="Times New Roman" w:eastAsia="Times New Roman" w:hAnsi="Times New Roman"/>
          <w:sz w:val="41"/>
          <w:szCs w:val="41"/>
          <w:color w:val="auto"/>
          <w:vertAlign w:val="subscript"/>
        </w:rPr>
        <w:t>09/08/2023</w:t>
      </w:r>
      <w:r>
        <w:rPr>
          <w:rFonts w:ascii="Times New Roman" w:cs="Times New Roman" w:eastAsia="Times New Roman" w:hAnsi="Times New Roman"/>
          <w:sz w:val="21"/>
          <w:szCs w:val="21"/>
          <w:color w:val="auto"/>
        </w:rPr>
        <w:t xml:space="preserve"> Rule 10b5-1</w:t>
      </w:r>
    </w:p>
    <w:p>
      <w:pPr>
        <w:spacing w:after="0" w:line="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740" w:type="dxa"/>
            <w:vAlign w:val="bottom"/>
          </w:tcPr>
          <w:p>
            <w:pPr>
              <w:ind w:left="2280"/>
              <w:spacing w:after="0"/>
              <w:rPr>
                <w:sz w:val="20"/>
                <w:szCs w:val="20"/>
                <w:color w:val="auto"/>
              </w:rPr>
            </w:pPr>
            <w:r>
              <w:rPr>
                <w:rFonts w:ascii="Times New Roman" w:cs="Times New Roman" w:eastAsia="Times New Roman" w:hAnsi="Times New Roman"/>
                <w:sz w:val="22"/>
                <w:szCs w:val="22"/>
                <w:color w:val="auto"/>
                <w:w w:val="97"/>
              </w:rPr>
              <w:t>/s/ J.P. Morgan Securities LLC as agent and attorney-in-fact for</w:t>
            </w:r>
          </w:p>
        </w:tc>
        <w:tc>
          <w:tcPr>
            <w:tcW w:w="0" w:type="dxa"/>
            <w:vAlign w:val="bottom"/>
          </w:tcPr>
          <w:p>
            <w:pPr>
              <w:spacing w:after="0"/>
              <w:rPr>
                <w:sz w:val="1"/>
                <w:szCs w:val="1"/>
                <w:color w:val="auto"/>
              </w:rPr>
            </w:pPr>
          </w:p>
        </w:tc>
      </w:tr>
      <w:tr>
        <w:trPr>
          <w:trHeight w:val="161"/>
        </w:trPr>
        <w:tc>
          <w:tcPr>
            <w:tcW w:w="3120" w:type="dxa"/>
            <w:vAlign w:val="bottom"/>
            <w:vMerge w:val="continue"/>
          </w:tcPr>
          <w:p>
            <w:pPr>
              <w:spacing w:after="0"/>
              <w:rPr>
                <w:sz w:val="13"/>
                <w:szCs w:val="13"/>
                <w:color w:val="auto"/>
              </w:rPr>
            </w:pPr>
          </w:p>
        </w:tc>
        <w:tc>
          <w:tcPr>
            <w:tcW w:w="7740" w:type="dxa"/>
            <w:vAlign w:val="bottom"/>
            <w:vMerge w:val="restart"/>
          </w:tcPr>
          <w:p>
            <w:pPr>
              <w:ind w:left="2280"/>
              <w:spacing w:after="0"/>
              <w:rPr>
                <w:sz w:val="20"/>
                <w:szCs w:val="20"/>
                <w:color w:val="auto"/>
              </w:rPr>
            </w:pPr>
            <w:r>
              <w:rPr>
                <w:rFonts w:ascii="Times New Roman" w:cs="Times New Roman" w:eastAsia="Times New Roman" w:hAnsi="Times New Roman"/>
                <w:sz w:val="22"/>
                <w:szCs w:val="22"/>
                <w:color w:val="auto"/>
              </w:rPr>
              <w:t>Peter Butterfield</w:t>
            </w:r>
          </w:p>
        </w:tc>
        <w:tc>
          <w:tcPr>
            <w:tcW w:w="0" w:type="dxa"/>
            <w:vAlign w:val="bottom"/>
          </w:tcPr>
          <w:p>
            <w:pPr>
              <w:spacing w:after="0"/>
              <w:rPr>
                <w:sz w:val="1"/>
                <w:szCs w:val="1"/>
                <w:color w:val="auto"/>
              </w:rPr>
            </w:pPr>
          </w:p>
        </w:tc>
      </w:tr>
      <w:tr>
        <w:trPr>
          <w:trHeight w:val="122"/>
        </w:trPr>
        <w:tc>
          <w:tcPr>
            <w:tcW w:w="3120" w:type="dxa"/>
            <w:vAlign w:val="bottom"/>
          </w:tcPr>
          <w:p>
            <w:pPr>
              <w:spacing w:after="0"/>
              <w:rPr>
                <w:sz w:val="10"/>
                <w:szCs w:val="10"/>
                <w:color w:val="auto"/>
              </w:rPr>
            </w:pPr>
          </w:p>
        </w:tc>
        <w:tc>
          <w:tcPr>
            <w:tcW w:w="7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2024-08-09T16:22:15Z</dcterms:created>
  <dcterms:modified xsi:type="dcterms:W3CDTF">2024-08-09T16:22:15Z</dcterms:modified>
</cp:coreProperties>
</file>