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95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95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07"/>
              <w:spacing w:after="0"/>
              <w:rPr>
                <w:sz w:val="20"/>
                <w:szCs w:val="20"/>
                <w:color w:val="auto"/>
              </w:rPr>
            </w:pPr>
            <w:r>
              <w:rPr>
                <w:rFonts w:ascii="Arial" w:cs="Arial" w:eastAsia="Arial" w:hAnsi="Arial"/>
                <w:sz w:val="17"/>
                <w:szCs w:val="17"/>
                <w:color w:val="0000FF"/>
                <w:w w:val="93"/>
              </w:rPr>
              <w:t>05/28/2021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1,225,530</w:t>
            </w:r>
          </w:p>
        </w:tc>
        <w:tc>
          <w:tcPr>
            <w:tcW w:w="3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
              <w:spacing w:after="0"/>
              <w:rPr>
                <w:sz w:val="20"/>
                <w:szCs w:val="20"/>
                <w:color w:val="auto"/>
              </w:rPr>
            </w:pPr>
            <w:r>
              <w:rPr>
                <w:rFonts w:ascii="Arial" w:cs="Arial" w:eastAsia="Arial" w:hAnsi="Arial"/>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3"/>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jc w:val="center"/>
              <w:ind w:left="307"/>
              <w:spacing w:after="0"/>
              <w:rPr>
                <w:sz w:val="20"/>
                <w:szCs w:val="20"/>
                <w:color w:val="auto"/>
              </w:rPr>
            </w:pPr>
            <w:r>
              <w:rPr>
                <w:rFonts w:ascii="Arial" w:cs="Arial" w:eastAsia="Arial" w:hAnsi="Arial"/>
                <w:sz w:val="17"/>
                <w:szCs w:val="17"/>
                <w:color w:val="0000FF"/>
                <w:w w:val="93"/>
              </w:rPr>
              <w:t>05/28/2021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4"/>
              </w:rPr>
              <w:t>180,000</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180" w:type="dxa"/>
            <w:vAlign w:val="bottom"/>
          </w:tcPr>
          <w:p>
            <w:pPr>
              <w:spacing w:after="0"/>
              <w:rPr>
                <w:sz w:val="22"/>
                <w:szCs w:val="22"/>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vMerge w:val="restart"/>
          </w:tcPr>
          <w:p>
            <w:pPr>
              <w:jc w:val="center"/>
              <w:ind w:right="47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jc w:val="center"/>
              <w:ind w:left="307"/>
              <w:spacing w:after="0"/>
              <w:rPr>
                <w:sz w:val="20"/>
                <w:szCs w:val="20"/>
                <w:color w:val="auto"/>
              </w:rPr>
            </w:pPr>
            <w:r>
              <w:rPr>
                <w:rFonts w:ascii="Arial" w:cs="Arial" w:eastAsia="Arial" w:hAnsi="Arial"/>
                <w:sz w:val="17"/>
                <w:szCs w:val="17"/>
                <w:color w:val="0000FF"/>
                <w:w w:val="93"/>
              </w:rPr>
              <w:t>05/28/2021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4"/>
              </w:rPr>
              <w:t>120,000</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180" w:type="dxa"/>
            <w:vAlign w:val="bottom"/>
          </w:tcPr>
          <w:p>
            <w:pPr>
              <w:spacing w:after="0"/>
              <w:rPr>
                <w:sz w:val="22"/>
                <w:szCs w:val="22"/>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vMerge w:val="restart"/>
          </w:tcPr>
          <w:p>
            <w:pPr>
              <w:jc w:val="center"/>
              <w:ind w:right="47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40" w:type="dxa"/>
            <w:vAlign w:val="bottom"/>
            <w:tcBorders>
              <w:top w:val="single" w:sz="8" w:color="2C2C2C"/>
              <w:bottom w:val="single" w:sz="8" w:color="2C2C2C"/>
            </w:tcBorders>
            <w:gridSpan w:val="2"/>
          </w:tcPr>
          <w:p>
            <w:pPr>
              <w:jc w:val="center"/>
              <w:ind w:left="307"/>
              <w:spacing w:after="0"/>
              <w:rPr>
                <w:sz w:val="20"/>
                <w:szCs w:val="20"/>
                <w:color w:val="auto"/>
              </w:rPr>
            </w:pPr>
            <w:r>
              <w:rPr>
                <w:rFonts w:ascii="Arial" w:cs="Arial" w:eastAsia="Arial" w:hAnsi="Arial"/>
                <w:sz w:val="17"/>
                <w:szCs w:val="17"/>
                <w:color w:val="0000FF"/>
                <w:w w:val="93"/>
              </w:rPr>
              <w:t>05/28/2021</w:t>
            </w: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jc w:val="center"/>
              <w:ind w:right="3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2"/>
              </w:rPr>
              <w:t>1,225,530</w:t>
            </w:r>
          </w:p>
        </w:tc>
        <w:tc>
          <w:tcPr>
            <w:tcW w:w="38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1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right"/>
              <w:ind w:right="4"/>
              <w:spacing w:after="0"/>
              <w:rPr>
                <w:sz w:val="20"/>
                <w:szCs w:val="20"/>
                <w:color w:val="auto"/>
              </w:rPr>
            </w:pPr>
            <w:r>
              <w:rPr>
                <w:rFonts w:ascii="Arial" w:cs="Arial" w:eastAsia="Arial" w:hAnsi="Arial"/>
                <w:sz w:val="11"/>
                <w:szCs w:val="11"/>
                <w:color w:val="008000"/>
              </w:rPr>
              <w:t>(1)</w:t>
            </w:r>
          </w:p>
        </w:tc>
        <w:tc>
          <w:tcPr>
            <w:tcW w:w="8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1,225,530</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40" w:type="dxa"/>
            <w:vAlign w:val="bottom"/>
            <w:gridSpan w:val="2"/>
            <w:vMerge w:val="restart"/>
          </w:tcPr>
          <w:p>
            <w:pPr>
              <w:jc w:val="center"/>
              <w:ind w:left="307"/>
              <w:spacing w:after="0"/>
              <w:rPr>
                <w:sz w:val="20"/>
                <w:szCs w:val="20"/>
                <w:color w:val="auto"/>
              </w:rPr>
            </w:pPr>
            <w:r>
              <w:rPr>
                <w:rFonts w:ascii="Arial" w:cs="Arial" w:eastAsia="Arial" w:hAnsi="Arial"/>
                <w:sz w:val="17"/>
                <w:szCs w:val="17"/>
                <w:color w:val="0000FF"/>
                <w:w w:val="93"/>
              </w:rPr>
              <w:t>05/28/2021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4"/>
              </w:rPr>
              <w:t>180,000</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180,000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40" w:type="dxa"/>
            <w:vAlign w:val="bottom"/>
            <w:gridSpan w:val="2"/>
            <w:vMerge w:val="restart"/>
          </w:tcPr>
          <w:p>
            <w:pPr>
              <w:jc w:val="center"/>
              <w:ind w:left="307"/>
              <w:spacing w:after="0"/>
              <w:rPr>
                <w:sz w:val="20"/>
                <w:szCs w:val="20"/>
                <w:color w:val="auto"/>
              </w:rPr>
            </w:pPr>
            <w:r>
              <w:rPr>
                <w:rFonts w:ascii="Arial" w:cs="Arial" w:eastAsia="Arial" w:hAnsi="Arial"/>
                <w:sz w:val="17"/>
                <w:szCs w:val="17"/>
                <w:color w:val="0000FF"/>
                <w:w w:val="93"/>
              </w:rPr>
              <w:t>05/28/2021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4"/>
              </w:rPr>
              <w:t>120,000</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2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302"/>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 reclassification exempt under Rule 16b-7, each share of the Issuer's Class A Common Stock was automatically reclassified into one share of Voting Common Stock immediately prior to the closing of the Issuer's initial public offering.</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05/28/2021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2021-05-28T22:24:17Z</dcterms:created>
  <dcterms:modified xsi:type="dcterms:W3CDTF">2021-05-28T22:24:17Z</dcterms:modified>
</cp:coreProperties>
</file>