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0001678394</w:t>
            </w:r>
          </w:p>
        </w:tc>
        <w:tc>
          <w:tcPr>
            <w:tcW w:w="36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w w:val="88"/>
              </w:rPr>
              <w:t>Bain Capital Venture Fund 2016,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5"/>
              </w:rPr>
              <w:t>J.P. Morgan Securities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Voting 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383 Madison Avenue</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10179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54705</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1706248.00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60" w:val="left"/>
          <w:tab w:leader="none" w:pos="4420" w:val="left"/>
          <w:tab w:leader="none" w:pos="5820" w:val="left"/>
          <w:tab w:leader="none" w:pos="6420" w:val="left"/>
          <w:tab w:leader="none" w:pos="7380" w:val="left"/>
          <w:tab w:leader="none" w:pos="858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800" w:type="dxa"/>
            <w:vAlign w:val="bottom"/>
          </w:tcPr>
          <w:p>
            <w:pPr>
              <w:ind w:left="1400"/>
              <w:spacing w:after="0"/>
              <w:rPr>
                <w:sz w:val="20"/>
                <w:szCs w:val="20"/>
                <w:color w:val="auto"/>
              </w:rPr>
            </w:pPr>
            <w:r>
              <w:rPr>
                <w:rFonts w:ascii="Arial" w:cs="Arial" w:eastAsia="Arial" w:hAnsi="Arial"/>
                <w:sz w:val="22"/>
                <w:szCs w:val="22"/>
                <w:b w:val="1"/>
                <w:bCs w:val="1"/>
                <w:color w:val="auto"/>
              </w:rPr>
              <w:t>Transaction</w:t>
            </w: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Automatic</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conversion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4"/>
              </w:rPr>
              <w:t>purchased prior to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the Issuer's IPO</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into shares of the</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vMerge w:val="restart"/>
          </w:tcPr>
          <w:p>
            <w:pPr>
              <w:spacing w:after="0"/>
              <w:rPr>
                <w:sz w:val="20"/>
                <w:szCs w:val="20"/>
                <w:color w:val="auto"/>
              </w:rPr>
            </w:pPr>
            <w:r>
              <w:rPr>
                <w:rFonts w:ascii="Arial" w:cs="Arial" w:eastAsia="Arial" w:hAnsi="Arial"/>
                <w:sz w:val="22"/>
                <w:szCs w:val="22"/>
                <w:color w:val="auto"/>
              </w:rPr>
              <w:t>Voting</w:t>
            </w:r>
          </w:p>
        </w:tc>
        <w:tc>
          <w:tcPr>
            <w:tcW w:w="2800" w:type="dxa"/>
            <w:vAlign w:val="bottom"/>
          </w:tcPr>
          <w:p>
            <w:pPr>
              <w:ind w:left="1100"/>
              <w:spacing w:after="0"/>
              <w:rPr>
                <w:sz w:val="20"/>
                <w:szCs w:val="20"/>
                <w:color w:val="auto"/>
              </w:rPr>
            </w:pPr>
            <w:r>
              <w:rPr>
                <w:rFonts w:ascii="Arial" w:cs="Arial" w:eastAsia="Arial" w:hAnsi="Arial"/>
                <w:sz w:val="22"/>
                <w:szCs w:val="22"/>
                <w:color w:val="auto"/>
              </w:rPr>
              <w:t>Isser's Class A</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vMerge w:val="restart"/>
          </w:tcPr>
          <w:p>
            <w:pPr>
              <w:ind w:left="1160"/>
              <w:spacing w:after="0"/>
              <w:rPr>
                <w:sz w:val="20"/>
                <w:szCs w:val="20"/>
                <w:color w:val="auto"/>
              </w:rPr>
            </w:pPr>
            <w:r>
              <w:rPr>
                <w:rFonts w:ascii="Arial" w:cs="Arial" w:eastAsia="Arial" w:hAnsi="Arial"/>
                <w:sz w:val="22"/>
                <w:szCs w:val="22"/>
                <w:color w:val="auto"/>
                <w:w w:val="94"/>
              </w:rPr>
              <w:t>Conversion of</w:t>
            </w: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2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w w:val="93"/>
              </w:rPr>
              <w:t>Common Stock</w:t>
            </w:r>
          </w:p>
        </w:tc>
        <w:tc>
          <w:tcPr>
            <w:tcW w:w="2800" w:type="dxa"/>
            <w:vAlign w:val="bottom"/>
          </w:tcPr>
          <w:p>
            <w:pPr>
              <w:ind w:left="60"/>
              <w:spacing w:after="0" w:line="243" w:lineRule="exact"/>
              <w:rPr>
                <w:sz w:val="20"/>
                <w:szCs w:val="20"/>
                <w:color w:val="auto"/>
              </w:rPr>
            </w:pPr>
            <w:r>
              <w:rPr>
                <w:rFonts w:ascii="Arial" w:cs="Arial" w:eastAsia="Arial" w:hAnsi="Arial"/>
                <w:sz w:val="22"/>
                <w:szCs w:val="22"/>
                <w:color w:val="auto"/>
              </w:rPr>
              <w:t>05/28/2021 Common Stock</w:t>
            </w:r>
          </w:p>
        </w:tc>
        <w:tc>
          <w:tcPr>
            <w:tcW w:w="1340" w:type="dxa"/>
            <w:vAlign w:val="bottom"/>
          </w:tcPr>
          <w:p>
            <w:pPr>
              <w:ind w:left="40"/>
              <w:spacing w:after="0" w:line="243" w:lineRule="exact"/>
              <w:rPr>
                <w:sz w:val="20"/>
                <w:szCs w:val="20"/>
                <w:color w:val="auto"/>
              </w:rPr>
            </w:pPr>
            <w:r>
              <w:rPr>
                <w:rFonts w:ascii="Arial" w:cs="Arial" w:eastAsia="Arial" w:hAnsi="Arial"/>
                <w:sz w:val="22"/>
                <w:szCs w:val="22"/>
                <w:color w:val="auto"/>
              </w:rPr>
              <w:t>Issuer</w:t>
            </w:r>
          </w:p>
        </w:tc>
        <w:tc>
          <w:tcPr>
            <w:tcW w:w="28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54705</w:t>
            </w:r>
          </w:p>
        </w:tc>
        <w:tc>
          <w:tcPr>
            <w:tcW w:w="2460" w:type="dxa"/>
            <w:vAlign w:val="bottom"/>
          </w:tcPr>
          <w:p>
            <w:pPr>
              <w:ind w:left="120"/>
              <w:spacing w:after="0" w:line="243" w:lineRule="exact"/>
              <w:rPr>
                <w:sz w:val="20"/>
                <w:szCs w:val="20"/>
                <w:color w:val="auto"/>
              </w:rPr>
            </w:pPr>
            <w:r>
              <w:rPr>
                <w:rFonts w:ascii="Arial" w:cs="Arial" w:eastAsia="Arial" w:hAnsi="Arial"/>
                <w:sz w:val="28"/>
                <w:szCs w:val="28"/>
                <w:color w:val="auto"/>
                <w:vertAlign w:val="superscript"/>
              </w:rPr>
              <w:t>05/28/2021</w:t>
            </w:r>
            <w:r>
              <w:rPr>
                <w:rFonts w:ascii="Arial" w:cs="Arial" w:eastAsia="Arial" w:hAnsi="Arial"/>
                <w:sz w:val="16"/>
                <w:szCs w:val="16"/>
                <w:color w:val="auto"/>
              </w:rPr>
              <w:t xml:space="preserve"> preferred stock</w:t>
            </w: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2800" w:type="dxa"/>
            <w:vAlign w:val="bottom"/>
          </w:tcPr>
          <w:p>
            <w:pPr>
              <w:ind w:left="1100"/>
              <w:spacing w:after="0" w:line="154" w:lineRule="exact"/>
              <w:rPr>
                <w:sz w:val="20"/>
                <w:szCs w:val="20"/>
                <w:color w:val="auto"/>
              </w:rPr>
            </w:pPr>
            <w:r>
              <w:rPr>
                <w:rFonts w:ascii="Arial" w:cs="Arial" w:eastAsia="Arial" w:hAnsi="Arial"/>
                <w:sz w:val="17"/>
                <w:szCs w:val="17"/>
                <w:color w:val="auto"/>
              </w:rPr>
              <w:t>and subsequent</w:t>
            </w:r>
          </w:p>
        </w:tc>
        <w:tc>
          <w:tcPr>
            <w:tcW w:w="1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99"/>
              </w:rPr>
              <w:t>reclassification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w w:val="86"/>
              </w:rPr>
              <w:t>the Issuer's Class A</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Common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into the Issuer's</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800" w:type="dxa"/>
            <w:vAlign w:val="bottom"/>
          </w:tcPr>
          <w:p>
            <w:pPr>
              <w:ind w:left="1100"/>
              <w:spacing w:after="0" w:line="243" w:lineRule="exact"/>
              <w:rPr>
                <w:sz w:val="20"/>
                <w:szCs w:val="20"/>
                <w:color w:val="auto"/>
              </w:rPr>
            </w:pPr>
            <w:r>
              <w:rPr>
                <w:rFonts w:ascii="Arial" w:cs="Arial" w:eastAsia="Arial" w:hAnsi="Arial"/>
                <w:sz w:val="22"/>
                <w:szCs w:val="22"/>
                <w:color w:val="auto"/>
              </w:rPr>
              <w:t>Voting Common</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800" w:type="dxa"/>
            <w:vAlign w:val="bottom"/>
          </w:tcPr>
          <w:p>
            <w:pPr>
              <w:ind w:left="1100"/>
              <w:spacing w:after="0"/>
              <w:rPr>
                <w:sz w:val="20"/>
                <w:szCs w:val="20"/>
                <w:color w:val="auto"/>
              </w:rPr>
            </w:pPr>
            <w:r>
              <w:rPr>
                <w:rFonts w:ascii="Arial" w:cs="Arial" w:eastAsia="Arial" w:hAnsi="Arial"/>
                <w:sz w:val="22"/>
                <w:szCs w:val="22"/>
                <w:color w:val="auto"/>
              </w:rPr>
              <w:t>Stock</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-1223010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4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9"/>
              </w:rPr>
              <w:t>Name and Address of Seller</w:t>
            </w:r>
          </w:p>
        </w:tc>
        <w:tc>
          <w:tcPr>
            <w:tcW w:w="3420" w:type="dxa"/>
            <w:vAlign w:val="bottom"/>
            <w:vMerge w:val="restart"/>
          </w:tcPr>
          <w:p>
            <w:pPr>
              <w:ind w:left="9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1"/>
              </w:rPr>
              <w:t>Gross Proceeds</w:t>
            </w:r>
          </w:p>
        </w:tc>
        <w:tc>
          <w:tcPr>
            <w:tcW w:w="0" w:type="dxa"/>
            <w:vAlign w:val="bottom"/>
          </w:tcPr>
          <w:p>
            <w:pPr>
              <w:spacing w:after="0"/>
              <w:rPr>
                <w:sz w:val="1"/>
                <w:szCs w:val="1"/>
                <w:color w:val="auto"/>
              </w:rPr>
            </w:pPr>
          </w:p>
        </w:tc>
      </w:tr>
      <w:tr>
        <w:trPr>
          <w:trHeight w:val="121"/>
        </w:trPr>
        <w:tc>
          <w:tcPr>
            <w:tcW w:w="344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40" w:type="dxa"/>
            <w:vAlign w:val="bottom"/>
          </w:tcPr>
          <w:p>
            <w:pPr>
              <w:spacing w:after="0"/>
              <w:rPr>
                <w:sz w:val="20"/>
                <w:szCs w:val="20"/>
                <w:color w:val="auto"/>
              </w:rPr>
            </w:pPr>
            <w:r>
              <w:rPr>
                <w:rFonts w:ascii="Arial" w:cs="Arial" w:eastAsia="Arial" w:hAnsi="Arial"/>
                <w:sz w:val="22"/>
                <w:szCs w:val="22"/>
                <w:color w:val="auto"/>
                <w:w w:val="93"/>
              </w:rPr>
              <w:t>Bain Capital Venture Fund 2016, L.P.</w:t>
            </w:r>
          </w:p>
        </w:tc>
        <w:tc>
          <w:tcPr>
            <w:tcW w:w="3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22"/>
                <w:szCs w:val="22"/>
                <w:color w:val="auto"/>
              </w:rPr>
              <w:t>200 CLARENDON STREET</w:t>
            </w:r>
          </w:p>
        </w:tc>
        <w:tc>
          <w:tcPr>
            <w:tcW w:w="3420" w:type="dxa"/>
            <w:vAlign w:val="bottom"/>
          </w:tcPr>
          <w:p>
            <w:pPr>
              <w:ind w:left="200"/>
              <w:spacing w:after="0" w:line="243" w:lineRule="exact"/>
              <w:rPr>
                <w:sz w:val="20"/>
                <w:szCs w:val="20"/>
                <w:color w:val="auto"/>
              </w:rPr>
            </w:pPr>
            <w:r>
              <w:rPr>
                <w:rFonts w:ascii="Arial" w:cs="Arial" w:eastAsia="Arial" w:hAnsi="Arial"/>
                <w:sz w:val="22"/>
                <w:szCs w:val="22"/>
                <w:color w:val="auto"/>
              </w:rPr>
              <w:t>Voting Common Stock</w:t>
            </w:r>
          </w:p>
        </w:tc>
        <w:tc>
          <w:tcPr>
            <w:tcW w:w="2680" w:type="dxa"/>
            <w:vAlign w:val="bottom"/>
            <w:gridSpan w:val="2"/>
          </w:tcPr>
          <w:p>
            <w:pPr>
              <w:jc w:val="right"/>
              <w:ind w:right="492"/>
              <w:spacing w:after="0" w:line="243" w:lineRule="exact"/>
              <w:rPr>
                <w:sz w:val="20"/>
                <w:szCs w:val="20"/>
                <w:color w:val="auto"/>
              </w:rPr>
            </w:pPr>
            <w:r>
              <w:rPr>
                <w:rFonts w:ascii="Arial" w:cs="Arial" w:eastAsia="Arial" w:hAnsi="Arial"/>
                <w:sz w:val="22"/>
                <w:szCs w:val="22"/>
                <w:color w:val="auto"/>
              </w:rPr>
              <w:t>05/11/2023 155911</w:t>
            </w:r>
          </w:p>
        </w:tc>
        <w:tc>
          <w:tcPr>
            <w:tcW w:w="1560" w:type="dxa"/>
            <w:vAlign w:val="bottom"/>
          </w:tcPr>
          <w:p>
            <w:pPr>
              <w:jc w:val="right"/>
              <w:ind w:right="312"/>
              <w:spacing w:after="0" w:line="243" w:lineRule="exact"/>
              <w:rPr>
                <w:sz w:val="20"/>
                <w:szCs w:val="20"/>
                <w:color w:val="auto"/>
              </w:rPr>
            </w:pPr>
            <w:r>
              <w:rPr>
                <w:rFonts w:ascii="Arial" w:cs="Arial" w:eastAsia="Arial" w:hAnsi="Arial"/>
                <w:sz w:val="22"/>
                <w:szCs w:val="22"/>
                <w:color w:val="auto"/>
                <w:w w:val="96"/>
              </w:rPr>
              <w:t>4600933.00</w:t>
            </w:r>
          </w:p>
        </w:tc>
        <w:tc>
          <w:tcPr>
            <w:tcW w:w="0" w:type="dxa"/>
            <w:vAlign w:val="bottom"/>
          </w:tcPr>
          <w:p>
            <w:pPr>
              <w:spacing w:after="0"/>
              <w:rPr>
                <w:sz w:val="1"/>
                <w:szCs w:val="1"/>
                <w:color w:val="auto"/>
              </w:rPr>
            </w:pPr>
          </w:p>
        </w:tc>
      </w:tr>
      <w:tr>
        <w:trPr>
          <w:trHeight w:val="274"/>
        </w:trPr>
        <w:tc>
          <w:tcPr>
            <w:tcW w:w="3440" w:type="dxa"/>
            <w:vAlign w:val="bottom"/>
          </w:tcPr>
          <w:p>
            <w:pPr>
              <w:spacing w:after="0"/>
              <w:rPr>
                <w:sz w:val="20"/>
                <w:szCs w:val="20"/>
                <w:color w:val="auto"/>
              </w:rPr>
            </w:pPr>
            <w:r>
              <w:rPr>
                <w:rFonts w:ascii="Arial" w:cs="Arial" w:eastAsia="Arial" w:hAnsi="Arial"/>
                <w:sz w:val="22"/>
                <w:szCs w:val="22"/>
                <w:color w:val="auto"/>
              </w:rPr>
              <w:t>BOSTON  MA  02116</w:t>
            </w:r>
          </w:p>
        </w:tc>
        <w:tc>
          <w:tcPr>
            <w:tcW w:w="3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40" w:type="dxa"/>
            <w:vAlign w:val="bottom"/>
          </w:tcPr>
          <w:p>
            <w:pPr>
              <w:spacing w:after="0"/>
              <w:rPr>
                <w:sz w:val="20"/>
                <w:szCs w:val="20"/>
                <w:color w:val="auto"/>
              </w:rPr>
            </w:pPr>
            <w:r>
              <w:rPr>
                <w:rFonts w:ascii="Arial" w:cs="Arial" w:eastAsia="Arial" w:hAnsi="Arial"/>
                <w:sz w:val="22"/>
                <w:szCs w:val="22"/>
                <w:color w:val="auto"/>
              </w:rPr>
              <w:t>Remarks</w:t>
            </w:r>
          </w:p>
        </w:tc>
        <w:tc>
          <w:tcPr>
            <w:tcW w:w="1520" w:type="dxa"/>
            <w:vAlign w:val="bottom"/>
          </w:tcPr>
          <w:p>
            <w:pPr>
              <w:spacing w:after="0"/>
              <w:rPr>
                <w:sz w:val="23"/>
                <w:szCs w:val="23"/>
                <w:color w:val="auto"/>
              </w:rPr>
            </w:pPr>
          </w:p>
        </w:tc>
      </w:tr>
      <w:tr>
        <w:trPr>
          <w:trHeight w:val="297"/>
        </w:trPr>
        <w:tc>
          <w:tcPr>
            <w:tcW w:w="1840" w:type="dxa"/>
            <w:vAlign w:val="bottom"/>
          </w:tcPr>
          <w:p>
            <w:pPr>
              <w:spacing w:after="0"/>
              <w:rPr>
                <w:sz w:val="20"/>
                <w:szCs w:val="20"/>
                <w:color w:val="auto"/>
              </w:rPr>
            </w:pPr>
            <w:r>
              <w:rPr>
                <w:rFonts w:ascii="Arial" w:cs="Arial" w:eastAsia="Arial" w:hAnsi="Arial"/>
                <w:sz w:val="22"/>
                <w:szCs w:val="22"/>
                <w:color w:val="auto"/>
              </w:rPr>
              <w:t>Date of Notice</w:t>
            </w:r>
          </w:p>
        </w:tc>
        <w:tc>
          <w:tcPr>
            <w:tcW w:w="1520" w:type="dxa"/>
            <w:vAlign w:val="bottom"/>
          </w:tcPr>
          <w:p>
            <w:pPr>
              <w:jc w:val="right"/>
              <w:spacing w:after="0"/>
              <w:rPr>
                <w:sz w:val="20"/>
                <w:szCs w:val="20"/>
                <w:color w:val="auto"/>
              </w:rPr>
            </w:pPr>
            <w:r>
              <w:rPr>
                <w:rFonts w:ascii="Arial" w:cs="Arial" w:eastAsia="Arial" w:hAnsi="Arial"/>
                <w:sz w:val="22"/>
                <w:szCs w:val="22"/>
                <w:color w:val="auto"/>
              </w:rPr>
              <w:t>05/18/2023</w:t>
            </w:r>
          </w:p>
        </w:tc>
      </w:tr>
      <w:tr>
        <w:trPr>
          <w:trHeight w:val="297"/>
        </w:trPr>
        <w:tc>
          <w:tcPr>
            <w:tcW w:w="18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Matthew C. Harris, as Partner of Bain Capital Venture Investors, LLC</w:t>
      </w:r>
    </w:p>
    <w:p>
      <w:pPr>
        <w:sectPr>
          <w:pgSz w:w="11900" w:h="16838" w:orient="portrait"/>
          <w:cols w:equalWidth="0" w:num="1">
            <w:col w:w="11240"/>
          </w:cols>
          <w:pgMar w:left="320" w:top="102" w:right="3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2023-05-18T20:39:57Z</dcterms:created>
  <dcterms:modified xsi:type="dcterms:W3CDTF">2023-05-18T20:39:57Z</dcterms:modified>
</cp:coreProperties>
</file>