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Santos Edwin J</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3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05/31/2022</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05/31/2022</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9,062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23,645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May 31, 2023, and (b) the Issuer's next annual meeting of stockholders, provided that the Reporting Person has provided continuous service to the Issuer through such date. In addition, the restricted stock unit will accelerate and fully vest upon a change in control, or the Reporting Person's earlier death or disability.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Edwin Santos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06/02/2022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23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2022-06-02T18:03:00Z</dcterms:created>
  <dcterms:modified xsi:type="dcterms:W3CDTF">2022-06-02T18:03:00Z</dcterms:modified>
</cp:coreProperties>
</file>