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0001758683</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BCV 2019-MD Coinvestment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1024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31938.00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1024</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40" w:type="dxa"/>
            <w:vAlign w:val="bottom"/>
            <w:vMerge w:val="restart"/>
          </w:tcPr>
          <w:p>
            <w:pPr>
              <w:ind w:left="9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w w:val="97"/>
              </w:rPr>
              <w:t>BCV 2019-MD Coinvestment II, L.P.</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rPr>
              <w:t>200 CLARENDON STREET</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Voting Common Stock</w:t>
            </w:r>
          </w:p>
        </w:tc>
        <w:tc>
          <w:tcPr>
            <w:tcW w:w="266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05/11/2023 2920</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86169.00</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02116</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2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2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2023-05-18T20:20:23Z</dcterms:created>
  <dcterms:modified xsi:type="dcterms:W3CDTF">2023-05-18T20:20:23Z</dcterms:modified>
</cp:coreProperties>
</file>