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824"/>
        <w:gridCol w:w="437"/>
        <w:gridCol w:w="834"/>
        <w:gridCol w:w="1300"/>
        <w:gridCol w:w="975"/>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31.303</w:t>
            </w:r>
            <w:r>
              <w:rPr/>
              <w:t xml:space="preserve"> </w:t>
            </w:r>
          </w:p>
        </w:tc>
        <w:tc>
          <w:tcPr>
            <w:tcW w:w="13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1,086,287</w:t>
            </w:r>
            <w:r>
              <w:rPr>
                <w:rFonts w:ascii="Times;serif" w:hAnsi="Times;serif"/>
                <w:color w:val="008000"/>
                <w:position w:val="7"/>
                <w:sz w:val="16"/>
                <w:sz w:val="20"/>
                <w:shd w:fill="FFFFFF" w:val="clear"/>
              </w:rPr>
              <w:t>(2)</w:t>
            </w:r>
            <w:r>
              <w:rPr/>
              <w:t xml:space="preserve"> </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337,440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in a non-discretionary transaction by the Reporting Person in order to cover tax withholding obligations upon the settlement of certain time-based restricted stock unit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is being reported late due to inadvertent administrative error. The amount in Column 5 of this Form 4 reflects the number of shares beneficially owned by the Reporting Person as of the date of this report after giving effect to the reported transaction and previously reported transactions that occurred after June 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0"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3954</Characters>
  <CharactersWithSpaces>4617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