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160" w:type="dxa"/>
            <w:vAlign w:val="bottom"/>
          </w:tcPr>
          <w:p>
            <w:pPr>
              <w:ind w:left="40"/>
              <w:spacing w:after="0"/>
              <w:rPr>
                <w:sz w:val="20"/>
                <w:szCs w:val="20"/>
                <w:color w:val="auto"/>
              </w:rPr>
            </w:pPr>
            <w:r>
              <w:rPr>
                <w:rFonts w:ascii="Arial" w:cs="Arial" w:eastAsia="Arial" w:hAnsi="Arial"/>
                <w:sz w:val="22"/>
                <w:szCs w:val="22"/>
                <w:color w:val="auto"/>
              </w:rPr>
              <w:t>0001548238</w:t>
            </w:r>
          </w:p>
        </w:tc>
        <w:tc>
          <w:tcPr>
            <w:tcW w:w="3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1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1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1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001-40430</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w w:val="91"/>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160" w:type="dxa"/>
            <w:vAlign w:val="bottom"/>
          </w:tcPr>
          <w:p>
            <w:pPr>
              <w:spacing w:after="0"/>
              <w:rPr>
                <w:sz w:val="21"/>
                <w:szCs w:val="21"/>
                <w:color w:val="auto"/>
              </w:rPr>
            </w:pPr>
          </w:p>
        </w:tc>
        <w:tc>
          <w:tcPr>
            <w:tcW w:w="3660" w:type="dxa"/>
            <w:vAlign w:val="bottom"/>
          </w:tcPr>
          <w:p>
            <w:pPr>
              <w:ind w:left="420"/>
              <w:spacing w:after="0" w:line="243" w:lineRule="exact"/>
              <w:rPr>
                <w:sz w:val="20"/>
                <w:szCs w:val="20"/>
                <w:color w:val="auto"/>
              </w:rPr>
            </w:pPr>
            <w:r>
              <w:rPr>
                <w:rFonts w:ascii="Arial" w:cs="Arial" w:eastAsia="Arial" w:hAnsi="Arial"/>
                <w:sz w:val="22"/>
                <w:szCs w:val="22"/>
                <w:color w:val="auto"/>
              </w:rPr>
              <w:t>BOSTON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160" w:type="dxa"/>
            <w:vAlign w:val="bottom"/>
          </w:tcPr>
          <w:p>
            <w:pPr>
              <w:spacing w:after="0"/>
              <w:rPr>
                <w:sz w:val="13"/>
                <w:szCs w:val="13"/>
                <w:color w:val="auto"/>
              </w:rPr>
            </w:pPr>
          </w:p>
        </w:tc>
        <w:tc>
          <w:tcPr>
            <w:tcW w:w="3660" w:type="dxa"/>
            <w:vAlign w:val="bottom"/>
            <w:vMerge w:val="restart"/>
          </w:tcPr>
          <w:p>
            <w:pPr>
              <w:ind w:left="420"/>
              <w:spacing w:after="0" w:line="243" w:lineRule="exact"/>
              <w:rPr>
                <w:sz w:val="20"/>
                <w:szCs w:val="20"/>
                <w:color w:val="auto"/>
              </w:rPr>
            </w:pPr>
            <w:r>
              <w:rPr>
                <w:rFonts w:ascii="Arial" w:cs="Arial" w:eastAsia="Arial" w:hAnsi="Arial"/>
                <w:sz w:val="22"/>
                <w:szCs w:val="22"/>
                <w:color w:val="auto"/>
              </w:rPr>
              <w:t>MASSACHUSETTS</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1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617-329-4524</w:t>
            </w:r>
          </w:p>
        </w:tc>
        <w:tc>
          <w:tcPr>
            <w:tcW w:w="0" w:type="dxa"/>
            <w:vAlign w:val="bottom"/>
          </w:tcPr>
          <w:p>
            <w:pPr>
              <w:spacing w:after="0"/>
              <w:rPr>
                <w:sz w:val="1"/>
                <w:szCs w:val="1"/>
                <w:color w:val="auto"/>
              </w:rPr>
            </w:pPr>
          </w:p>
        </w:tc>
      </w:tr>
      <w:tr>
        <w:trPr>
          <w:trHeight w:val="297"/>
        </w:trPr>
        <w:tc>
          <w:tcPr>
            <w:tcW w:w="6160" w:type="dxa"/>
            <w:vAlign w:val="bottom"/>
            <w:gridSpan w:val="2"/>
          </w:tcPr>
          <w:p>
            <w:pPr>
              <w:ind w:left="40"/>
              <w:spacing w:after="0"/>
              <w:rPr>
                <w:sz w:val="20"/>
                <w:szCs w:val="20"/>
                <w:color w:val="auto"/>
              </w:rPr>
            </w:pPr>
            <w:r>
              <w:rPr>
                <w:rFonts w:ascii="Arial" w:cs="Arial" w:eastAsia="Arial" w:hAnsi="Arial"/>
                <w:sz w:val="22"/>
                <w:szCs w:val="22"/>
                <w:color w:val="auto"/>
                <w:w w:val="94"/>
              </w:rPr>
              <w:t>Name of Person for Whose Account the Securities are To Be Sold</w:t>
            </w:r>
          </w:p>
        </w:tc>
        <w:tc>
          <w:tcPr>
            <w:tcW w:w="3660" w:type="dxa"/>
            <w:vAlign w:val="bottom"/>
          </w:tcPr>
          <w:p>
            <w:pPr>
              <w:ind w:left="420"/>
              <w:spacing w:after="0"/>
              <w:rPr>
                <w:sz w:val="20"/>
                <w:szCs w:val="20"/>
                <w:color w:val="auto"/>
              </w:rPr>
            </w:pPr>
            <w:r>
              <w:rPr>
                <w:rFonts w:ascii="Arial" w:cs="Arial" w:eastAsia="Arial" w:hAnsi="Arial"/>
                <w:sz w:val="22"/>
                <w:szCs w:val="22"/>
                <w:color w:val="auto"/>
              </w:rPr>
              <w:t>Santos Edwin J</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-3220085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-3220085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5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9062</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276317.11</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06/01/2023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0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0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05/31/2023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60" w:type="dxa"/>
            <w:vAlign w:val="bottom"/>
            <w:vMerge w:val="restart"/>
          </w:tcPr>
          <w:p>
            <w:pPr>
              <w:jc w:val="right"/>
              <w:ind w:right="332"/>
              <w:spacing w:after="0"/>
              <w:rPr>
                <w:sz w:val="20"/>
                <w:szCs w:val="20"/>
                <w:color w:val="auto"/>
              </w:rPr>
            </w:pPr>
            <w:r>
              <w:rPr>
                <w:rFonts w:ascii="Arial" w:cs="Arial" w:eastAsia="Arial" w:hAnsi="Arial"/>
                <w:sz w:val="22"/>
                <w:szCs w:val="22"/>
                <w:color w:val="auto"/>
              </w:rPr>
              <w:t>9062</w:t>
            </w:r>
          </w:p>
        </w:tc>
        <w:tc>
          <w:tcPr>
            <w:tcW w:w="2720" w:type="dxa"/>
            <w:vAlign w:val="bottom"/>
            <w:vMerge w:val="restart"/>
          </w:tcPr>
          <w:p>
            <w:pPr>
              <w:ind w:left="440"/>
              <w:spacing w:after="0"/>
              <w:rPr>
                <w:sz w:val="20"/>
                <w:szCs w:val="20"/>
                <w:color w:val="auto"/>
              </w:rPr>
            </w:pPr>
            <w:r>
              <w:rPr>
                <w:rFonts w:ascii="Arial" w:cs="Arial" w:eastAsia="Arial" w:hAnsi="Arial"/>
                <w:sz w:val="22"/>
                <w:szCs w:val="22"/>
                <w:color w:val="auto"/>
                <w:w w:val="87"/>
              </w:rPr>
              <w:t>05/31/2023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6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20" w:type="dxa"/>
            <w:vAlign w:val="bottom"/>
          </w:tcPr>
          <w:p>
            <w:pPr>
              <w:spacing w:after="0"/>
              <w:rPr>
                <w:sz w:val="20"/>
                <w:szCs w:val="20"/>
                <w:color w:val="auto"/>
              </w:rPr>
            </w:pPr>
            <w:r>
              <w:rPr>
                <w:rFonts w:ascii="Arial" w:cs="Arial" w:eastAsia="Arial" w:hAnsi="Arial"/>
                <w:sz w:val="22"/>
                <w:szCs w:val="22"/>
                <w:color w:val="auto"/>
              </w:rPr>
              <w:t>Remarks</w:t>
            </w:r>
          </w:p>
        </w:tc>
        <w:tc>
          <w:tcPr>
            <w:tcW w:w="1200" w:type="dxa"/>
            <w:vAlign w:val="bottom"/>
          </w:tcPr>
          <w:p>
            <w:pPr>
              <w:spacing w:after="0"/>
              <w:rPr>
                <w:sz w:val="23"/>
                <w:szCs w:val="23"/>
                <w:color w:val="auto"/>
              </w:rPr>
            </w:pPr>
          </w:p>
        </w:tc>
      </w:tr>
      <w:tr>
        <w:trPr>
          <w:trHeight w:val="297"/>
        </w:trPr>
        <w:tc>
          <w:tcPr>
            <w:tcW w:w="1520" w:type="dxa"/>
            <w:vAlign w:val="bottom"/>
          </w:tcPr>
          <w:p>
            <w:pPr>
              <w:spacing w:after="0"/>
              <w:rPr>
                <w:sz w:val="20"/>
                <w:szCs w:val="20"/>
                <w:color w:val="auto"/>
              </w:rPr>
            </w:pPr>
            <w:r>
              <w:rPr>
                <w:rFonts w:ascii="Arial" w:cs="Arial" w:eastAsia="Arial" w:hAnsi="Arial"/>
                <w:sz w:val="22"/>
                <w:szCs w:val="22"/>
                <w:color w:val="auto"/>
              </w:rPr>
              <w:t>Date of Notice</w:t>
            </w:r>
          </w:p>
        </w:tc>
        <w:tc>
          <w:tcPr>
            <w:tcW w:w="1200" w:type="dxa"/>
            <w:vAlign w:val="bottom"/>
          </w:tcPr>
          <w:p>
            <w:pPr>
              <w:jc w:val="right"/>
              <w:spacing w:after="0"/>
              <w:rPr>
                <w:sz w:val="20"/>
                <w:szCs w:val="20"/>
                <w:color w:val="auto"/>
              </w:rPr>
            </w:pPr>
            <w:r>
              <w:rPr>
                <w:rFonts w:ascii="Arial" w:cs="Arial" w:eastAsia="Arial" w:hAnsi="Arial"/>
                <w:sz w:val="22"/>
                <w:szCs w:val="22"/>
                <w:color w:val="auto"/>
              </w:rPr>
              <w:t>06/01/2023</w:t>
            </w:r>
          </w:p>
        </w:tc>
      </w:tr>
      <w:tr>
        <w:trPr>
          <w:trHeight w:val="297"/>
        </w:trPr>
        <w:tc>
          <w:tcPr>
            <w:tcW w:w="15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20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28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640" w:type="dxa"/>
            <w:vAlign w:val="bottom"/>
          </w:tcPr>
          <w:p>
            <w:pPr>
              <w:ind w:left="460"/>
              <w:spacing w:after="0" w:line="246" w:lineRule="exact"/>
              <w:rPr>
                <w:sz w:val="20"/>
                <w:szCs w:val="20"/>
                <w:color w:val="auto"/>
              </w:rPr>
            </w:pPr>
            <w:r>
              <w:rPr>
                <w:rFonts w:ascii="Arial" w:cs="Arial" w:eastAsia="Arial" w:hAnsi="Arial"/>
                <w:sz w:val="22"/>
                <w:szCs w:val="22"/>
                <w:color w:val="auto"/>
                <w:w w:val="89"/>
              </w:rPr>
              <w:t>/s/Wade Moss, as a duly authorized representative of Fidelity Brokerage Services LLC, as attorney-in-fact</w:t>
            </w:r>
          </w:p>
        </w:tc>
        <w:tc>
          <w:tcPr>
            <w:tcW w:w="0" w:type="dxa"/>
            <w:vAlign w:val="bottom"/>
          </w:tcPr>
          <w:p>
            <w:pPr>
              <w:spacing w:after="0"/>
              <w:rPr>
                <w:sz w:val="1"/>
                <w:szCs w:val="1"/>
                <w:color w:val="auto"/>
              </w:rPr>
            </w:pPr>
          </w:p>
        </w:tc>
      </w:tr>
      <w:tr>
        <w:trPr>
          <w:trHeight w:val="153"/>
        </w:trPr>
        <w:tc>
          <w:tcPr>
            <w:tcW w:w="1280" w:type="dxa"/>
            <w:vAlign w:val="bottom"/>
            <w:vMerge w:val="continue"/>
          </w:tcPr>
          <w:p>
            <w:pPr>
              <w:spacing w:after="0"/>
              <w:rPr>
                <w:sz w:val="13"/>
                <w:szCs w:val="13"/>
                <w:color w:val="auto"/>
              </w:rPr>
            </w:pPr>
          </w:p>
        </w:tc>
        <w:tc>
          <w:tcPr>
            <w:tcW w:w="9640" w:type="dxa"/>
            <w:vAlign w:val="bottom"/>
            <w:vMerge w:val="restart"/>
          </w:tcPr>
          <w:p>
            <w:pPr>
              <w:ind w:left="460"/>
              <w:spacing w:after="0"/>
              <w:rPr>
                <w:sz w:val="20"/>
                <w:szCs w:val="20"/>
                <w:color w:val="auto"/>
              </w:rPr>
            </w:pPr>
            <w:r>
              <w:rPr>
                <w:rFonts w:ascii="Arial" w:cs="Arial" w:eastAsia="Arial" w:hAnsi="Arial"/>
                <w:sz w:val="22"/>
                <w:szCs w:val="22"/>
                <w:color w:val="auto"/>
              </w:rPr>
              <w:t>for Edwin J Santos</w:t>
            </w:r>
          </w:p>
        </w:tc>
        <w:tc>
          <w:tcPr>
            <w:tcW w:w="0" w:type="dxa"/>
            <w:vAlign w:val="bottom"/>
          </w:tcPr>
          <w:p>
            <w:pPr>
              <w:spacing w:after="0"/>
              <w:rPr>
                <w:sz w:val="1"/>
                <w:szCs w:val="1"/>
                <w:color w:val="auto"/>
              </w:rPr>
            </w:pPr>
          </w:p>
        </w:tc>
      </w:tr>
      <w:tr>
        <w:trPr>
          <w:trHeight w:val="121"/>
        </w:trPr>
        <w:tc>
          <w:tcPr>
            <w:tcW w:w="128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2023-06-01T10:40:31Z</dcterms:created>
  <dcterms:modified xsi:type="dcterms:W3CDTF">2023-06-01T10:40:31Z</dcterms:modified>
</cp:coreProperties>
</file>