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6555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55105"/>
                    </a:xfrm>
                    <a:prstGeom prst="rect">
                      <a:avLst/>
                    </a:prstGeom>
                    <a:noFill/>
                  </pic:spPr>
                </pic:pic>
              </a:graphicData>
            </a:graphic>
          </wp:anchor>
        </w:drawing>
      </w:r>
    </w:p>
    <w:p>
      <w:pPr>
        <w:spacing w:after="0" w:line="99" w:lineRule="exact"/>
        <w:rPr>
          <w:sz w:val="24"/>
          <w:szCs w:val="24"/>
          <w:color w:val="auto"/>
        </w:rPr>
      </w:pPr>
    </w:p>
    <w:p>
      <w:pPr>
        <w:sectPr>
          <w:pgSz w:w="11900" w:h="16855"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11/21/2022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55"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11/21/2022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81,229</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2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1,084,018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11/21/2022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81,229</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20.49</w:t>
            </w:r>
          </w:p>
        </w:tc>
        <w:tc>
          <w:tcPr>
            <w:tcW w:w="12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1,002,789</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11/22/2022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66,893</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2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1,197,034</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11/22/2022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66,893</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20.1</w:t>
            </w:r>
          </w:p>
        </w:tc>
        <w:tc>
          <w:tcPr>
            <w:tcW w:w="12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1,130,141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81,229</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11/21/2022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81,229</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1,677,693</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66,893</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11/22/2022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66,893</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1,610,800</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21, 2022, the reporting person consummated the sale of all 81,229 shares of Non-Voting Common Stock, resulting in the automatic conversion of such shares into Voting Common Stock upon the execution of the sale of such shares as reported in Table I.</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22, 2022, the reporting person consummated the sale of all 66,893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/s/ Jamison Yardley,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11/23/2022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2022-11-23T13:43:03Z</dcterms:created>
  <dcterms:modified xsi:type="dcterms:W3CDTF">2022-11-23T13:43:03Z</dcterms:modified>
</cp:coreProperties>
</file>