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June 1, 2021</w:t>
      </w:r>
    </w:p>
    <w:p>
      <w:pPr>
        <w:spacing w:after="0" w:line="27" w:lineRule="exact"/>
        <w:rPr>
          <w:sz w:val="24"/>
          <w:szCs w:val="24"/>
          <w:color w:val="auto"/>
        </w:rPr>
      </w:pPr>
    </w:p>
    <w:p>
      <w:pPr>
        <w:ind w:left="892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FLYWIRE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280" w:type="dxa"/>
        <w:tblCellMar>
          <w:top w:w="0" w:type="dxa"/>
          <w:left w:w="0" w:type="dxa"/>
          <w:bottom w:w="0" w:type="dxa"/>
          <w:right w:w="0" w:type="dxa"/>
        </w:tblCellMar>
      </w:tblPr>
      <w:tr>
        <w:trPr>
          <w:trHeight w:val="212"/>
        </w:trPr>
        <w:tc>
          <w:tcPr>
            <w:tcW w:w="6080" w:type="dxa"/>
            <w:vAlign w:val="bottom"/>
          </w:tcPr>
          <w:p>
            <w:pPr>
              <w:jc w:val="center"/>
              <w:ind w:right="2994"/>
              <w:spacing w:after="0"/>
              <w:rPr>
                <w:sz w:val="20"/>
                <w:szCs w:val="20"/>
                <w:color w:val="auto"/>
              </w:rPr>
            </w:pPr>
            <w:r>
              <w:rPr>
                <w:rFonts w:ascii="Arial" w:cs="Arial" w:eastAsia="Arial" w:hAnsi="Arial"/>
                <w:sz w:val="18"/>
                <w:szCs w:val="18"/>
                <w:b w:val="1"/>
                <w:bCs w:val="1"/>
                <w:color w:val="auto"/>
                <w:w w:val="91"/>
              </w:rPr>
              <w:t>Delaware</w:t>
            </w:r>
          </w:p>
        </w:tc>
        <w:tc>
          <w:tcPr>
            <w:tcW w:w="1960" w:type="dxa"/>
            <w:vAlign w:val="bottom"/>
          </w:tcPr>
          <w:p>
            <w:pPr>
              <w:jc w:val="right"/>
              <w:ind w:right="454"/>
              <w:spacing w:after="0"/>
              <w:rPr>
                <w:sz w:val="20"/>
                <w:szCs w:val="20"/>
                <w:color w:val="auto"/>
              </w:rPr>
            </w:pPr>
            <w:r>
              <w:rPr>
                <w:rFonts w:ascii="Arial" w:cs="Arial" w:eastAsia="Arial" w:hAnsi="Arial"/>
                <w:sz w:val="18"/>
                <w:szCs w:val="18"/>
                <w:b w:val="1"/>
                <w:bCs w:val="1"/>
                <w:color w:val="auto"/>
              </w:rPr>
              <w:t>27-0690799</w:t>
            </w:r>
          </w:p>
        </w:tc>
      </w:tr>
      <w:tr>
        <w:trPr>
          <w:trHeight w:val="148"/>
        </w:trPr>
        <w:tc>
          <w:tcPr>
            <w:tcW w:w="6080" w:type="dxa"/>
            <w:vAlign w:val="bottom"/>
          </w:tcPr>
          <w:p>
            <w:pPr>
              <w:jc w:val="center"/>
              <w:ind w:right="299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080" w:type="dxa"/>
            <w:vAlign w:val="bottom"/>
          </w:tcPr>
          <w:p>
            <w:pPr>
              <w:jc w:val="center"/>
              <w:ind w:right="2994"/>
              <w:spacing w:after="0"/>
              <w:rPr>
                <w:sz w:val="20"/>
                <w:szCs w:val="20"/>
                <w:color w:val="auto"/>
              </w:rPr>
            </w:pPr>
            <w:r>
              <w:rPr>
                <w:rFonts w:ascii="Arial" w:cs="Arial" w:eastAsia="Arial" w:hAnsi="Arial"/>
                <w:sz w:val="14"/>
                <w:szCs w:val="14"/>
                <w:b w:val="1"/>
                <w:bCs w:val="1"/>
                <w:color w:val="auto"/>
                <w:w w:val="94"/>
              </w:rPr>
              <w:t>incorporation or organization)</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080" w:type="dxa"/>
            <w:vAlign w:val="bottom"/>
          </w:tcPr>
          <w:p>
            <w:pPr>
              <w:jc w:val="center"/>
              <w:ind w:left="2294"/>
              <w:spacing w:after="0"/>
              <w:rPr>
                <w:sz w:val="20"/>
                <w:szCs w:val="20"/>
                <w:color w:val="auto"/>
              </w:rPr>
            </w:pPr>
            <w:r>
              <w:rPr>
                <w:rFonts w:ascii="Arial" w:cs="Arial" w:eastAsia="Arial" w:hAnsi="Arial"/>
                <w:sz w:val="18"/>
                <w:szCs w:val="18"/>
                <w:b w:val="1"/>
                <w:bCs w:val="1"/>
                <w:color w:val="auto"/>
                <w:w w:val="90"/>
              </w:rPr>
              <w:t>141 Tremont St #10</w:t>
            </w:r>
          </w:p>
        </w:tc>
        <w:tc>
          <w:tcPr>
            <w:tcW w:w="1960" w:type="dxa"/>
            <w:vAlign w:val="bottom"/>
          </w:tcPr>
          <w:p>
            <w:pPr>
              <w:spacing w:after="0"/>
              <w:rPr>
                <w:sz w:val="24"/>
                <w:szCs w:val="24"/>
                <w:color w:val="auto"/>
              </w:rPr>
            </w:pPr>
          </w:p>
        </w:tc>
      </w:tr>
      <w:tr>
        <w:trPr>
          <w:trHeight w:val="212"/>
        </w:trPr>
        <w:tc>
          <w:tcPr>
            <w:tcW w:w="6080" w:type="dxa"/>
            <w:vAlign w:val="bottom"/>
          </w:tcPr>
          <w:p>
            <w:pPr>
              <w:jc w:val="center"/>
              <w:ind w:left="2274"/>
              <w:spacing w:after="0"/>
              <w:rPr>
                <w:sz w:val="20"/>
                <w:szCs w:val="20"/>
                <w:color w:val="auto"/>
              </w:rPr>
            </w:pPr>
            <w:r>
              <w:rPr>
                <w:rFonts w:ascii="Arial" w:cs="Arial" w:eastAsia="Arial" w:hAnsi="Arial"/>
                <w:sz w:val="18"/>
                <w:szCs w:val="18"/>
                <w:b w:val="1"/>
                <w:bCs w:val="1"/>
                <w:color w:val="auto"/>
                <w:w w:val="90"/>
              </w:rPr>
              <w:t>Boston, MA 02111</w:t>
            </w:r>
          </w:p>
        </w:tc>
        <w:tc>
          <w:tcPr>
            <w:tcW w:w="1960" w:type="dxa"/>
            <w:vAlign w:val="bottom"/>
          </w:tcPr>
          <w:p>
            <w:pPr>
              <w:spacing w:after="0"/>
              <w:rPr>
                <w:sz w:val="18"/>
                <w:szCs w:val="18"/>
                <w:color w:val="auto"/>
              </w:rPr>
            </w:pPr>
          </w:p>
        </w:tc>
      </w:tr>
      <w:tr>
        <w:trPr>
          <w:trHeight w:val="186"/>
        </w:trPr>
        <w:tc>
          <w:tcPr>
            <w:tcW w:w="6080" w:type="dxa"/>
            <w:vAlign w:val="bottom"/>
          </w:tcPr>
          <w:p>
            <w:pPr>
              <w:jc w:val="center"/>
              <w:ind w:left="2294"/>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960" w:type="dxa"/>
            <w:vAlign w:val="bottom"/>
          </w:tcPr>
          <w:p>
            <w:pPr>
              <w:spacing w:after="0"/>
              <w:rPr>
                <w:sz w:val="16"/>
                <w:szCs w:val="16"/>
                <w:color w:val="auto"/>
              </w:rPr>
            </w:pPr>
          </w:p>
        </w:tc>
      </w:tr>
      <w:tr>
        <w:trPr>
          <w:trHeight w:val="399"/>
        </w:trPr>
        <w:tc>
          <w:tcPr>
            <w:tcW w:w="6080" w:type="dxa"/>
            <w:vAlign w:val="bottom"/>
          </w:tcPr>
          <w:p>
            <w:pPr>
              <w:jc w:val="center"/>
              <w:ind w:left="2274"/>
              <w:spacing w:after="0"/>
              <w:rPr>
                <w:sz w:val="20"/>
                <w:szCs w:val="20"/>
                <w:color w:val="auto"/>
              </w:rPr>
            </w:pPr>
            <w:r>
              <w:rPr>
                <w:rFonts w:ascii="Arial" w:cs="Arial" w:eastAsia="Arial" w:hAnsi="Arial"/>
                <w:sz w:val="18"/>
                <w:szCs w:val="18"/>
                <w:b w:val="1"/>
                <w:bCs w:val="1"/>
                <w:color w:val="auto"/>
                <w:w w:val="92"/>
              </w:rPr>
              <w:t>Flywire Corporation 2021 Equity Incentive Plan</w:t>
            </w:r>
          </w:p>
        </w:tc>
        <w:tc>
          <w:tcPr>
            <w:tcW w:w="1960" w:type="dxa"/>
            <w:vAlign w:val="bottom"/>
          </w:tcPr>
          <w:p>
            <w:pPr>
              <w:spacing w:after="0"/>
              <w:rPr>
                <w:sz w:val="24"/>
                <w:szCs w:val="24"/>
                <w:color w:val="auto"/>
              </w:rPr>
            </w:pPr>
          </w:p>
        </w:tc>
      </w:tr>
      <w:tr>
        <w:trPr>
          <w:trHeight w:val="216"/>
        </w:trPr>
        <w:tc>
          <w:tcPr>
            <w:tcW w:w="8040" w:type="dxa"/>
            <w:vAlign w:val="bottom"/>
            <w:gridSpan w:val="2"/>
          </w:tcPr>
          <w:p>
            <w:pPr>
              <w:jc w:val="center"/>
              <w:ind w:left="334"/>
              <w:spacing w:after="0"/>
              <w:rPr>
                <w:sz w:val="20"/>
                <w:szCs w:val="20"/>
                <w:color w:val="auto"/>
              </w:rPr>
            </w:pPr>
            <w:r>
              <w:rPr>
                <w:rFonts w:ascii="Arial" w:cs="Arial" w:eastAsia="Arial" w:hAnsi="Arial"/>
                <w:sz w:val="18"/>
                <w:szCs w:val="18"/>
                <w:b w:val="1"/>
                <w:bCs w:val="1"/>
                <w:color w:val="auto"/>
                <w:w w:val="90"/>
              </w:rPr>
              <w:t>Flywire Corporation 2021 Employee Stock Purchase Plan</w:t>
            </w:r>
          </w:p>
        </w:tc>
      </w:tr>
      <w:tr>
        <w:trPr>
          <w:trHeight w:val="216"/>
        </w:trPr>
        <w:tc>
          <w:tcPr>
            <w:tcW w:w="6080" w:type="dxa"/>
            <w:vAlign w:val="bottom"/>
          </w:tcPr>
          <w:p>
            <w:pPr>
              <w:jc w:val="center"/>
              <w:ind w:left="2274"/>
              <w:spacing w:after="0"/>
              <w:rPr>
                <w:sz w:val="20"/>
                <w:szCs w:val="20"/>
                <w:color w:val="auto"/>
              </w:rPr>
            </w:pPr>
            <w:r>
              <w:rPr>
                <w:rFonts w:ascii="Arial" w:cs="Arial" w:eastAsia="Arial" w:hAnsi="Arial"/>
                <w:sz w:val="18"/>
                <w:szCs w:val="18"/>
                <w:b w:val="1"/>
                <w:bCs w:val="1"/>
                <w:color w:val="auto"/>
                <w:w w:val="92"/>
              </w:rPr>
              <w:t>Flywire Corporation 2009 Equity Incentive Plan</w:t>
            </w:r>
          </w:p>
        </w:tc>
        <w:tc>
          <w:tcPr>
            <w:tcW w:w="1960" w:type="dxa"/>
            <w:vAlign w:val="bottom"/>
          </w:tcPr>
          <w:p>
            <w:pPr>
              <w:spacing w:after="0"/>
              <w:rPr>
                <w:sz w:val="18"/>
                <w:szCs w:val="18"/>
                <w:color w:val="auto"/>
              </w:rPr>
            </w:pPr>
          </w:p>
        </w:tc>
      </w:tr>
      <w:tr>
        <w:trPr>
          <w:trHeight w:val="212"/>
        </w:trPr>
        <w:tc>
          <w:tcPr>
            <w:tcW w:w="6080" w:type="dxa"/>
            <w:vAlign w:val="bottom"/>
          </w:tcPr>
          <w:p>
            <w:pPr>
              <w:jc w:val="center"/>
              <w:ind w:left="2294"/>
              <w:spacing w:after="0"/>
              <w:rPr>
                <w:sz w:val="20"/>
                <w:szCs w:val="20"/>
                <w:color w:val="auto"/>
              </w:rPr>
            </w:pPr>
            <w:r>
              <w:rPr>
                <w:rFonts w:ascii="Arial" w:cs="Arial" w:eastAsia="Arial" w:hAnsi="Arial"/>
                <w:sz w:val="18"/>
                <w:szCs w:val="18"/>
                <w:b w:val="1"/>
                <w:bCs w:val="1"/>
                <w:color w:val="auto"/>
                <w:w w:val="91"/>
              </w:rPr>
              <w:t>Flywire Corporation 2018 Stock Incentive Plan</w:t>
            </w:r>
          </w:p>
        </w:tc>
        <w:tc>
          <w:tcPr>
            <w:tcW w:w="1960" w:type="dxa"/>
            <w:vAlign w:val="bottom"/>
          </w:tcPr>
          <w:p>
            <w:pPr>
              <w:spacing w:after="0"/>
              <w:rPr>
                <w:sz w:val="18"/>
                <w:szCs w:val="18"/>
                <w:color w:val="auto"/>
              </w:rPr>
            </w:pPr>
          </w:p>
        </w:tc>
      </w:tr>
      <w:tr>
        <w:trPr>
          <w:trHeight w:val="186"/>
        </w:trPr>
        <w:tc>
          <w:tcPr>
            <w:tcW w:w="6080" w:type="dxa"/>
            <w:vAlign w:val="bottom"/>
          </w:tcPr>
          <w:p>
            <w:pPr>
              <w:jc w:val="center"/>
              <w:ind w:left="2274"/>
              <w:spacing w:after="0"/>
              <w:rPr>
                <w:sz w:val="20"/>
                <w:szCs w:val="20"/>
                <w:color w:val="auto"/>
              </w:rPr>
            </w:pPr>
            <w:r>
              <w:rPr>
                <w:rFonts w:ascii="Arial" w:cs="Arial" w:eastAsia="Arial" w:hAnsi="Arial"/>
                <w:sz w:val="14"/>
                <w:szCs w:val="14"/>
                <w:b w:val="1"/>
                <w:bCs w:val="1"/>
                <w:color w:val="auto"/>
                <w:w w:val="95"/>
              </w:rPr>
              <w:t>(Full title of Plan)</w:t>
            </w:r>
          </w:p>
        </w:tc>
        <w:tc>
          <w:tcPr>
            <w:tcW w:w="1960" w:type="dxa"/>
            <w:vAlign w:val="bottom"/>
          </w:tcPr>
          <w:p>
            <w:pPr>
              <w:spacing w:after="0"/>
              <w:rPr>
                <w:sz w:val="16"/>
                <w:szCs w:val="16"/>
                <w:color w:val="auto"/>
              </w:rPr>
            </w:pPr>
          </w:p>
        </w:tc>
      </w:tr>
      <w:tr>
        <w:trPr>
          <w:trHeight w:val="399"/>
        </w:trPr>
        <w:tc>
          <w:tcPr>
            <w:tcW w:w="6080" w:type="dxa"/>
            <w:vAlign w:val="bottom"/>
          </w:tcPr>
          <w:p>
            <w:pPr>
              <w:jc w:val="center"/>
              <w:ind w:left="2274"/>
              <w:spacing w:after="0"/>
              <w:rPr>
                <w:sz w:val="20"/>
                <w:szCs w:val="20"/>
                <w:color w:val="auto"/>
              </w:rPr>
            </w:pPr>
            <w:r>
              <w:rPr>
                <w:rFonts w:ascii="Arial" w:cs="Arial" w:eastAsia="Arial" w:hAnsi="Arial"/>
                <w:sz w:val="18"/>
                <w:szCs w:val="18"/>
                <w:b w:val="1"/>
                <w:bCs w:val="1"/>
                <w:color w:val="auto"/>
                <w:w w:val="91"/>
              </w:rPr>
              <w:t>Michael Massaro</w:t>
            </w:r>
          </w:p>
        </w:tc>
        <w:tc>
          <w:tcPr>
            <w:tcW w:w="1960" w:type="dxa"/>
            <w:vAlign w:val="bottom"/>
          </w:tcPr>
          <w:p>
            <w:pPr>
              <w:spacing w:after="0"/>
              <w:rPr>
                <w:sz w:val="24"/>
                <w:szCs w:val="24"/>
                <w:color w:val="auto"/>
              </w:rPr>
            </w:pPr>
          </w:p>
        </w:tc>
      </w:tr>
      <w:tr>
        <w:trPr>
          <w:trHeight w:val="216"/>
        </w:trPr>
        <w:tc>
          <w:tcPr>
            <w:tcW w:w="6080" w:type="dxa"/>
            <w:vAlign w:val="bottom"/>
          </w:tcPr>
          <w:p>
            <w:pPr>
              <w:jc w:val="center"/>
              <w:ind w:left="2274"/>
              <w:spacing w:after="0"/>
              <w:rPr>
                <w:sz w:val="20"/>
                <w:szCs w:val="20"/>
                <w:color w:val="auto"/>
              </w:rPr>
            </w:pPr>
            <w:r>
              <w:rPr>
                <w:rFonts w:ascii="Arial" w:cs="Arial" w:eastAsia="Arial" w:hAnsi="Arial"/>
                <w:sz w:val="18"/>
                <w:szCs w:val="18"/>
                <w:b w:val="1"/>
                <w:bCs w:val="1"/>
                <w:color w:val="auto"/>
                <w:w w:val="91"/>
              </w:rPr>
              <w:t>Chief Executive Officer</w:t>
            </w:r>
          </w:p>
        </w:tc>
        <w:tc>
          <w:tcPr>
            <w:tcW w:w="1960" w:type="dxa"/>
            <w:vAlign w:val="bottom"/>
          </w:tcPr>
          <w:p>
            <w:pPr>
              <w:spacing w:after="0"/>
              <w:rPr>
                <w:sz w:val="18"/>
                <w:szCs w:val="18"/>
                <w:color w:val="auto"/>
              </w:rPr>
            </w:pPr>
          </w:p>
        </w:tc>
      </w:tr>
      <w:tr>
        <w:trPr>
          <w:trHeight w:val="216"/>
        </w:trPr>
        <w:tc>
          <w:tcPr>
            <w:tcW w:w="6080" w:type="dxa"/>
            <w:vAlign w:val="bottom"/>
          </w:tcPr>
          <w:p>
            <w:pPr>
              <w:jc w:val="center"/>
              <w:ind w:left="2274"/>
              <w:spacing w:after="0"/>
              <w:rPr>
                <w:sz w:val="20"/>
                <w:szCs w:val="20"/>
                <w:color w:val="auto"/>
              </w:rPr>
            </w:pPr>
            <w:r>
              <w:rPr>
                <w:rFonts w:ascii="Arial" w:cs="Arial" w:eastAsia="Arial" w:hAnsi="Arial"/>
                <w:sz w:val="18"/>
                <w:szCs w:val="18"/>
                <w:b w:val="1"/>
                <w:bCs w:val="1"/>
                <w:color w:val="auto"/>
                <w:w w:val="94"/>
              </w:rPr>
              <w:t>Flywire Corporation</w:t>
            </w:r>
          </w:p>
        </w:tc>
        <w:tc>
          <w:tcPr>
            <w:tcW w:w="1960" w:type="dxa"/>
            <w:vAlign w:val="bottom"/>
          </w:tcPr>
          <w:p>
            <w:pPr>
              <w:spacing w:after="0"/>
              <w:rPr>
                <w:sz w:val="18"/>
                <w:szCs w:val="18"/>
                <w:color w:val="auto"/>
              </w:rPr>
            </w:pPr>
          </w:p>
        </w:tc>
      </w:tr>
      <w:tr>
        <w:trPr>
          <w:trHeight w:val="216"/>
        </w:trPr>
        <w:tc>
          <w:tcPr>
            <w:tcW w:w="6080" w:type="dxa"/>
            <w:vAlign w:val="bottom"/>
          </w:tcPr>
          <w:p>
            <w:pPr>
              <w:jc w:val="center"/>
              <w:ind w:left="2294"/>
              <w:spacing w:after="0"/>
              <w:rPr>
                <w:sz w:val="20"/>
                <w:szCs w:val="20"/>
                <w:color w:val="auto"/>
              </w:rPr>
            </w:pPr>
            <w:r>
              <w:rPr>
                <w:rFonts w:ascii="Arial" w:cs="Arial" w:eastAsia="Arial" w:hAnsi="Arial"/>
                <w:sz w:val="18"/>
                <w:szCs w:val="18"/>
                <w:b w:val="1"/>
                <w:bCs w:val="1"/>
                <w:color w:val="auto"/>
                <w:w w:val="90"/>
              </w:rPr>
              <w:t>141 Tremont St #10</w:t>
            </w:r>
          </w:p>
        </w:tc>
        <w:tc>
          <w:tcPr>
            <w:tcW w:w="1960" w:type="dxa"/>
            <w:vAlign w:val="bottom"/>
          </w:tcPr>
          <w:p>
            <w:pPr>
              <w:spacing w:after="0"/>
              <w:rPr>
                <w:sz w:val="18"/>
                <w:szCs w:val="18"/>
                <w:color w:val="auto"/>
              </w:rPr>
            </w:pPr>
          </w:p>
        </w:tc>
      </w:tr>
      <w:tr>
        <w:trPr>
          <w:trHeight w:val="212"/>
        </w:trPr>
        <w:tc>
          <w:tcPr>
            <w:tcW w:w="6080" w:type="dxa"/>
            <w:vAlign w:val="bottom"/>
          </w:tcPr>
          <w:p>
            <w:pPr>
              <w:jc w:val="center"/>
              <w:ind w:left="2274"/>
              <w:spacing w:after="0"/>
              <w:rPr>
                <w:sz w:val="20"/>
                <w:szCs w:val="20"/>
                <w:color w:val="auto"/>
              </w:rPr>
            </w:pPr>
            <w:r>
              <w:rPr>
                <w:rFonts w:ascii="Arial" w:cs="Arial" w:eastAsia="Arial" w:hAnsi="Arial"/>
                <w:sz w:val="18"/>
                <w:szCs w:val="18"/>
                <w:b w:val="1"/>
                <w:bCs w:val="1"/>
                <w:color w:val="auto"/>
                <w:w w:val="90"/>
              </w:rPr>
              <w:t>Boston, MA 02111</w:t>
            </w:r>
          </w:p>
        </w:tc>
        <w:tc>
          <w:tcPr>
            <w:tcW w:w="1960" w:type="dxa"/>
            <w:vAlign w:val="bottom"/>
          </w:tcPr>
          <w:p>
            <w:pPr>
              <w:spacing w:after="0"/>
              <w:rPr>
                <w:sz w:val="18"/>
                <w:szCs w:val="18"/>
                <w:color w:val="auto"/>
              </w:rPr>
            </w:pPr>
          </w:p>
        </w:tc>
      </w:tr>
      <w:tr>
        <w:trPr>
          <w:trHeight w:val="186"/>
        </w:trPr>
        <w:tc>
          <w:tcPr>
            <w:tcW w:w="6080" w:type="dxa"/>
            <w:vAlign w:val="bottom"/>
          </w:tcPr>
          <w:p>
            <w:pPr>
              <w:jc w:val="center"/>
              <w:ind w:left="2274"/>
              <w:spacing w:after="0"/>
              <w:rPr>
                <w:sz w:val="20"/>
                <w:szCs w:val="20"/>
                <w:color w:val="auto"/>
              </w:rPr>
            </w:pPr>
            <w:r>
              <w:rPr>
                <w:rFonts w:ascii="Arial" w:cs="Arial" w:eastAsia="Arial" w:hAnsi="Arial"/>
                <w:sz w:val="14"/>
                <w:szCs w:val="14"/>
                <w:b w:val="1"/>
                <w:bCs w:val="1"/>
                <w:color w:val="auto"/>
                <w:w w:val="91"/>
              </w:rPr>
              <w:t>(Name and address of agent for service)</w:t>
            </w:r>
          </w:p>
        </w:tc>
        <w:tc>
          <w:tcPr>
            <w:tcW w:w="1960" w:type="dxa"/>
            <w:vAlign w:val="bottom"/>
          </w:tcPr>
          <w:p>
            <w:pPr>
              <w:spacing w:after="0"/>
              <w:rPr>
                <w:sz w:val="16"/>
                <w:szCs w:val="16"/>
                <w:color w:val="auto"/>
              </w:rPr>
            </w:pPr>
          </w:p>
        </w:tc>
      </w:tr>
      <w:tr>
        <w:trPr>
          <w:trHeight w:val="394"/>
        </w:trPr>
        <w:tc>
          <w:tcPr>
            <w:tcW w:w="6080" w:type="dxa"/>
            <w:vAlign w:val="bottom"/>
          </w:tcPr>
          <w:p>
            <w:pPr>
              <w:jc w:val="center"/>
              <w:ind w:left="2274"/>
              <w:spacing w:after="0"/>
              <w:rPr>
                <w:sz w:val="20"/>
                <w:szCs w:val="20"/>
                <w:color w:val="auto"/>
              </w:rPr>
            </w:pPr>
            <w:r>
              <w:rPr>
                <w:rFonts w:ascii="Arial" w:cs="Arial" w:eastAsia="Arial" w:hAnsi="Arial"/>
                <w:sz w:val="18"/>
                <w:szCs w:val="18"/>
                <w:b w:val="1"/>
                <w:bCs w:val="1"/>
                <w:color w:val="auto"/>
                <w:w w:val="90"/>
              </w:rPr>
              <w:t>(617) 329-4524</w:t>
            </w:r>
          </w:p>
        </w:tc>
        <w:tc>
          <w:tcPr>
            <w:tcW w:w="1960" w:type="dxa"/>
            <w:vAlign w:val="bottom"/>
          </w:tcPr>
          <w:p>
            <w:pPr>
              <w:spacing w:after="0"/>
              <w:rPr>
                <w:sz w:val="24"/>
                <w:szCs w:val="24"/>
                <w:color w:val="auto"/>
              </w:rPr>
            </w:pPr>
          </w:p>
        </w:tc>
      </w:tr>
      <w:tr>
        <w:trPr>
          <w:trHeight w:val="186"/>
        </w:trPr>
        <w:tc>
          <w:tcPr>
            <w:tcW w:w="8040" w:type="dxa"/>
            <w:vAlign w:val="bottom"/>
            <w:gridSpan w:val="2"/>
          </w:tcPr>
          <w:p>
            <w:pPr>
              <w:jc w:val="center"/>
              <w:ind w:left="334"/>
              <w:spacing w:after="0"/>
              <w:rPr>
                <w:sz w:val="20"/>
                <w:szCs w:val="20"/>
                <w:color w:val="auto"/>
              </w:rPr>
            </w:pPr>
            <w:r>
              <w:rPr>
                <w:rFonts w:ascii="Arial" w:cs="Arial" w:eastAsia="Arial" w:hAnsi="Arial"/>
                <w:sz w:val="14"/>
                <w:szCs w:val="14"/>
                <w:b w:val="1"/>
                <w:bCs w:val="1"/>
                <w:color w:val="auto"/>
                <w:w w:val="91"/>
              </w:rPr>
              <w:t>(Telephone number, including area code, of agent for service)</w:t>
            </w:r>
          </w:p>
        </w:tc>
      </w:tr>
      <w:tr>
        <w:trPr>
          <w:trHeight w:val="417"/>
        </w:trPr>
        <w:tc>
          <w:tcPr>
            <w:tcW w:w="6080" w:type="dxa"/>
            <w:vAlign w:val="bottom"/>
          </w:tcPr>
          <w:p>
            <w:pPr>
              <w:jc w:val="center"/>
              <w:ind w:left="2294"/>
              <w:spacing w:after="0"/>
              <w:rPr>
                <w:sz w:val="20"/>
                <w:szCs w:val="20"/>
                <w:color w:val="auto"/>
              </w:rPr>
            </w:pPr>
            <w:r>
              <w:rPr>
                <w:rFonts w:ascii="Arial" w:cs="Arial" w:eastAsia="Arial" w:hAnsi="Arial"/>
                <w:sz w:val="18"/>
                <w:szCs w:val="18"/>
                <w:b w:val="1"/>
                <w:bCs w:val="1"/>
                <w:i w:val="1"/>
                <w:iCs w:val="1"/>
                <w:color w:val="auto"/>
                <w:w w:val="84"/>
              </w:rPr>
              <w:t>Copies to:</w:t>
            </w:r>
          </w:p>
        </w:tc>
        <w:tc>
          <w:tcPr>
            <w:tcW w:w="1960" w:type="dxa"/>
            <w:vAlign w:val="bottom"/>
          </w:tcPr>
          <w:p>
            <w:pPr>
              <w:spacing w:after="0"/>
              <w:rPr>
                <w:sz w:val="24"/>
                <w:szCs w:val="24"/>
                <w:color w:val="auto"/>
              </w:rPr>
            </w:pPr>
          </w:p>
        </w:tc>
      </w:tr>
      <w:tr>
        <w:trPr>
          <w:trHeight w:val="319"/>
        </w:trPr>
        <w:tc>
          <w:tcPr>
            <w:tcW w:w="6080" w:type="dxa"/>
            <w:vAlign w:val="bottom"/>
          </w:tcPr>
          <w:p>
            <w:pPr>
              <w:jc w:val="center"/>
              <w:ind w:right="2994"/>
              <w:spacing w:after="0"/>
              <w:rPr>
                <w:sz w:val="20"/>
                <w:szCs w:val="20"/>
                <w:color w:val="auto"/>
              </w:rPr>
            </w:pPr>
            <w:r>
              <w:rPr>
                <w:rFonts w:ascii="Arial" w:cs="Arial" w:eastAsia="Arial" w:hAnsi="Arial"/>
                <w:sz w:val="18"/>
                <w:szCs w:val="18"/>
                <w:b w:val="1"/>
                <w:bCs w:val="1"/>
                <w:color w:val="auto"/>
                <w:w w:val="94"/>
              </w:rPr>
              <w:t>David D. Gammell</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Peter Butterfield</w:t>
            </w:r>
          </w:p>
        </w:tc>
      </w:tr>
      <w:tr>
        <w:trPr>
          <w:trHeight w:val="216"/>
        </w:trPr>
        <w:tc>
          <w:tcPr>
            <w:tcW w:w="6080" w:type="dxa"/>
            <w:vAlign w:val="bottom"/>
          </w:tcPr>
          <w:p>
            <w:pPr>
              <w:jc w:val="center"/>
              <w:ind w:right="2994"/>
              <w:spacing w:after="0"/>
              <w:rPr>
                <w:sz w:val="20"/>
                <w:szCs w:val="20"/>
                <w:color w:val="auto"/>
              </w:rPr>
            </w:pPr>
            <w:r>
              <w:rPr>
                <w:rFonts w:ascii="Arial" w:cs="Arial" w:eastAsia="Arial" w:hAnsi="Arial"/>
                <w:sz w:val="18"/>
                <w:szCs w:val="18"/>
                <w:b w:val="1"/>
                <w:bCs w:val="1"/>
                <w:color w:val="auto"/>
                <w:w w:val="92"/>
              </w:rPr>
              <w:t>Jeffrey R. Vetter</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2"/>
              </w:rPr>
              <w:t>General Counsel &amp; Chief</w:t>
            </w:r>
          </w:p>
        </w:tc>
      </w:tr>
      <w:tr>
        <w:trPr>
          <w:trHeight w:val="216"/>
        </w:trPr>
        <w:tc>
          <w:tcPr>
            <w:tcW w:w="6080" w:type="dxa"/>
            <w:vAlign w:val="bottom"/>
          </w:tcPr>
          <w:p>
            <w:pPr>
              <w:jc w:val="center"/>
              <w:ind w:right="3014"/>
              <w:spacing w:after="0"/>
              <w:rPr>
                <w:sz w:val="20"/>
                <w:szCs w:val="20"/>
                <w:color w:val="auto"/>
              </w:rPr>
            </w:pPr>
            <w:r>
              <w:rPr>
                <w:rFonts w:ascii="Arial" w:cs="Arial" w:eastAsia="Arial" w:hAnsi="Arial"/>
                <w:sz w:val="18"/>
                <w:szCs w:val="18"/>
                <w:b w:val="1"/>
                <w:bCs w:val="1"/>
                <w:color w:val="auto"/>
                <w:w w:val="92"/>
              </w:rPr>
              <w:t>Jay K. Hachigian</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2"/>
              </w:rPr>
              <w:t>Compliance Officer</w:t>
            </w:r>
          </w:p>
        </w:tc>
      </w:tr>
      <w:tr>
        <w:trPr>
          <w:trHeight w:val="216"/>
        </w:trPr>
        <w:tc>
          <w:tcPr>
            <w:tcW w:w="6080" w:type="dxa"/>
            <w:vAlign w:val="bottom"/>
          </w:tcPr>
          <w:p>
            <w:pPr>
              <w:jc w:val="center"/>
              <w:ind w:right="2994"/>
              <w:spacing w:after="0"/>
              <w:rPr>
                <w:sz w:val="20"/>
                <w:szCs w:val="20"/>
                <w:color w:val="auto"/>
              </w:rPr>
            </w:pPr>
            <w:r>
              <w:rPr>
                <w:rFonts w:ascii="Arial" w:cs="Arial" w:eastAsia="Arial" w:hAnsi="Arial"/>
                <w:sz w:val="18"/>
                <w:szCs w:val="18"/>
                <w:b w:val="1"/>
                <w:bCs w:val="1"/>
                <w:color w:val="auto"/>
                <w:w w:val="90"/>
              </w:rPr>
              <w:t>Keith J. Scherer</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4"/>
              </w:rPr>
              <w:t>Flywire Corporation</w:t>
            </w:r>
          </w:p>
        </w:tc>
      </w:tr>
      <w:tr>
        <w:trPr>
          <w:trHeight w:val="216"/>
        </w:trPr>
        <w:tc>
          <w:tcPr>
            <w:tcW w:w="6080" w:type="dxa"/>
            <w:vAlign w:val="bottom"/>
          </w:tcPr>
          <w:p>
            <w:pPr>
              <w:jc w:val="center"/>
              <w:ind w:right="3014"/>
              <w:spacing w:after="0"/>
              <w:rPr>
                <w:sz w:val="20"/>
                <w:szCs w:val="20"/>
                <w:color w:val="auto"/>
              </w:rPr>
            </w:pPr>
            <w:r>
              <w:rPr>
                <w:rFonts w:ascii="Arial" w:cs="Arial" w:eastAsia="Arial" w:hAnsi="Arial"/>
                <w:sz w:val="18"/>
                <w:szCs w:val="18"/>
                <w:b w:val="1"/>
                <w:bCs w:val="1"/>
                <w:color w:val="auto"/>
                <w:w w:val="90"/>
              </w:rPr>
              <w:t>Gunderson Dettmer Stough Villeneuve</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141 Tremont St #10</w:t>
            </w:r>
          </w:p>
        </w:tc>
      </w:tr>
      <w:tr>
        <w:trPr>
          <w:trHeight w:val="216"/>
        </w:trPr>
        <w:tc>
          <w:tcPr>
            <w:tcW w:w="6080" w:type="dxa"/>
            <w:vAlign w:val="bottom"/>
          </w:tcPr>
          <w:p>
            <w:pPr>
              <w:jc w:val="center"/>
              <w:ind w:right="2994"/>
              <w:spacing w:after="0"/>
              <w:rPr>
                <w:sz w:val="20"/>
                <w:szCs w:val="20"/>
                <w:color w:val="auto"/>
              </w:rPr>
            </w:pPr>
            <w:r>
              <w:rPr>
                <w:rFonts w:ascii="Arial" w:cs="Arial" w:eastAsia="Arial" w:hAnsi="Arial"/>
                <w:sz w:val="18"/>
                <w:szCs w:val="18"/>
                <w:b w:val="1"/>
                <w:bCs w:val="1"/>
                <w:color w:val="auto"/>
                <w:w w:val="96"/>
              </w:rPr>
              <w:t>Franklin &amp; Hachigian, LLP</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0"/>
              </w:rPr>
              <w:t>Boston, MA 02111</w:t>
            </w:r>
          </w:p>
        </w:tc>
      </w:tr>
      <w:tr>
        <w:trPr>
          <w:trHeight w:val="216"/>
        </w:trPr>
        <w:tc>
          <w:tcPr>
            <w:tcW w:w="6080" w:type="dxa"/>
            <w:vAlign w:val="bottom"/>
          </w:tcPr>
          <w:p>
            <w:pPr>
              <w:jc w:val="center"/>
              <w:ind w:right="2994"/>
              <w:spacing w:after="0"/>
              <w:rPr>
                <w:sz w:val="20"/>
                <w:szCs w:val="20"/>
                <w:color w:val="auto"/>
              </w:rPr>
            </w:pPr>
            <w:r>
              <w:rPr>
                <w:rFonts w:ascii="Arial" w:cs="Arial" w:eastAsia="Arial" w:hAnsi="Arial"/>
                <w:sz w:val="18"/>
                <w:szCs w:val="18"/>
                <w:b w:val="1"/>
                <w:bCs w:val="1"/>
                <w:color w:val="auto"/>
                <w:w w:val="93"/>
              </w:rPr>
              <w:t>One Marina Park Drive, Suite 900</w:t>
            </w:r>
          </w:p>
        </w:tc>
        <w:tc>
          <w:tcPr>
            <w:tcW w:w="1960" w:type="dxa"/>
            <w:vAlign w:val="bottom"/>
          </w:tcPr>
          <w:p>
            <w:pPr>
              <w:jc w:val="right"/>
              <w:ind w:right="334"/>
              <w:spacing w:after="0"/>
              <w:rPr>
                <w:sz w:val="20"/>
                <w:szCs w:val="20"/>
                <w:color w:val="auto"/>
              </w:rPr>
            </w:pPr>
            <w:r>
              <w:rPr>
                <w:rFonts w:ascii="Arial" w:cs="Arial" w:eastAsia="Arial" w:hAnsi="Arial"/>
                <w:sz w:val="18"/>
                <w:szCs w:val="18"/>
                <w:b w:val="1"/>
                <w:bCs w:val="1"/>
                <w:color w:val="auto"/>
              </w:rPr>
              <w:t>(617) 329-4524</w:t>
            </w:r>
          </w:p>
        </w:tc>
      </w:tr>
      <w:tr>
        <w:trPr>
          <w:trHeight w:val="216"/>
        </w:trPr>
        <w:tc>
          <w:tcPr>
            <w:tcW w:w="6080" w:type="dxa"/>
            <w:vAlign w:val="bottom"/>
          </w:tcPr>
          <w:p>
            <w:pPr>
              <w:jc w:val="center"/>
              <w:ind w:right="3014"/>
              <w:spacing w:after="0"/>
              <w:rPr>
                <w:sz w:val="20"/>
                <w:szCs w:val="20"/>
                <w:color w:val="auto"/>
              </w:rPr>
            </w:pPr>
            <w:r>
              <w:rPr>
                <w:rFonts w:ascii="Arial" w:cs="Arial" w:eastAsia="Arial" w:hAnsi="Arial"/>
                <w:sz w:val="18"/>
                <w:szCs w:val="18"/>
                <w:b w:val="1"/>
                <w:bCs w:val="1"/>
                <w:color w:val="auto"/>
                <w:w w:val="91"/>
              </w:rPr>
              <w:t>Boston, MA 02210</w:t>
            </w:r>
          </w:p>
        </w:tc>
        <w:tc>
          <w:tcPr>
            <w:tcW w:w="1960" w:type="dxa"/>
            <w:vAlign w:val="bottom"/>
          </w:tcPr>
          <w:p>
            <w:pPr>
              <w:spacing w:after="0"/>
              <w:rPr>
                <w:sz w:val="18"/>
                <w:szCs w:val="18"/>
                <w:color w:val="auto"/>
              </w:rPr>
            </w:pPr>
          </w:p>
        </w:tc>
      </w:tr>
      <w:tr>
        <w:trPr>
          <w:trHeight w:val="234"/>
        </w:trPr>
        <w:tc>
          <w:tcPr>
            <w:tcW w:w="6080" w:type="dxa"/>
            <w:vAlign w:val="bottom"/>
          </w:tcPr>
          <w:p>
            <w:pPr>
              <w:jc w:val="center"/>
              <w:ind w:right="2994"/>
              <w:spacing w:after="0"/>
              <w:rPr>
                <w:sz w:val="20"/>
                <w:szCs w:val="20"/>
                <w:color w:val="auto"/>
              </w:rPr>
            </w:pPr>
            <w:r>
              <w:rPr>
                <w:rFonts w:ascii="Arial" w:cs="Arial" w:eastAsia="Arial" w:hAnsi="Arial"/>
                <w:sz w:val="18"/>
                <w:szCs w:val="18"/>
                <w:b w:val="1"/>
                <w:bCs w:val="1"/>
                <w:color w:val="auto"/>
                <w:w w:val="90"/>
              </w:rPr>
              <w:t>(617) 648-9100</w:t>
            </w:r>
          </w:p>
        </w:tc>
        <w:tc>
          <w:tcPr>
            <w:tcW w:w="19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9" w:right="499" w:bottom="177"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139"/>
        </w:trPr>
        <w:tc>
          <w:tcPr>
            <w:tcW w:w="4880" w:type="dxa"/>
            <w:vAlign w:val="bottom"/>
            <w:tcBorders>
              <w:top w:val="single" w:sz="8" w:color="auto"/>
              <w:right w:val="single" w:sz="8" w:color="auto"/>
            </w:tcBorders>
          </w:tcPr>
          <w:p>
            <w:pPr>
              <w:spacing w:after="0"/>
              <w:rPr>
                <w:sz w:val="12"/>
                <w:szCs w:val="12"/>
                <w:color w:val="auto"/>
              </w:rPr>
            </w:pPr>
          </w:p>
        </w:tc>
        <w:tc>
          <w:tcPr>
            <w:tcW w:w="15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6"/>
              </w:rPr>
              <w:t>Proposed</w:t>
            </w:r>
          </w:p>
        </w:tc>
        <w:tc>
          <w:tcPr>
            <w:tcW w:w="154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86"/>
              </w:rPr>
              <w:t>Proposed</w:t>
            </w:r>
          </w:p>
        </w:tc>
        <w:tc>
          <w:tcPr>
            <w:tcW w:w="15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ind w:left="1880"/>
              <w:spacing w:after="0"/>
              <w:rPr>
                <w:sz w:val="20"/>
                <w:szCs w:val="20"/>
                <w:color w:val="auto"/>
              </w:rPr>
            </w:pPr>
            <w:r>
              <w:rPr>
                <w:rFonts w:ascii="Arial" w:cs="Arial" w:eastAsia="Arial" w:hAnsi="Arial"/>
                <w:sz w:val="14"/>
                <w:szCs w:val="14"/>
                <w:b w:val="1"/>
                <w:bCs w:val="1"/>
                <w:color w:val="auto"/>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ind w:left="1940"/>
              <w:spacing w:after="0"/>
              <w:rPr>
                <w:sz w:val="20"/>
                <w:szCs w:val="20"/>
                <w:color w:val="auto"/>
              </w:rPr>
            </w:pPr>
            <w:r>
              <w:rPr>
                <w:rFonts w:ascii="Arial" w:cs="Arial" w:eastAsia="Arial" w:hAnsi="Arial"/>
                <w:sz w:val="14"/>
                <w:szCs w:val="14"/>
                <w:b w:val="1"/>
                <w:bCs w:val="1"/>
                <w:color w:val="auto"/>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Voting common stock, $0.0001 par value per share, reserved for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issuance pursuant to the 2021 Equity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9,858,699(2)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$33.71(3)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$332,336,743.29</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$36,257.94</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Voting common stock, $0.0001 par value per share, issued under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the 2009 Equity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413,239(4)</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$33.71 (5)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$13,930,286.69</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$1,519.79</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Voting common stock, $0.0001 par value per share, reserved for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issuance pursuant to stock option awards outstanding under the</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2009 Equity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5,737,029(6)</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$0.90(7)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$5,163,326.10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$563.32</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Voting common stock, $0.0001 par value per share, reserved for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1"/>
              </w:rPr>
              <w:t>issuance pursuant to stock option awards outstanding under the</w:t>
            </w: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2018 Stock Incentive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10,875,750(8)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$5.49(9)</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$59,707,867.50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$6,514.13</w:t>
            </w:r>
          </w:p>
        </w:tc>
        <w:tc>
          <w:tcPr>
            <w:tcW w:w="0" w:type="dxa"/>
            <w:vAlign w:val="bottom"/>
          </w:tcPr>
          <w:p>
            <w:pPr>
              <w:spacing w:after="0"/>
              <w:rPr>
                <w:sz w:val="1"/>
                <w:szCs w:val="1"/>
                <w:color w:val="auto"/>
              </w:rPr>
            </w:pPr>
          </w:p>
        </w:tc>
      </w:tr>
      <w:tr>
        <w:trPr>
          <w:trHeight w:val="195"/>
        </w:trPr>
        <w:tc>
          <w:tcPr>
            <w:tcW w:w="48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4"/>
              </w:rPr>
              <w:t>Voting common stock, $0.0001 par value per share, reserved for</w:t>
            </w: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8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93"/>
              </w:rPr>
              <w:t>issuance pursuant to the 2021 Employee Stock Purchase Plan</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1,639,810(10)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$28.66(11)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$46,996,954.60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$5,127.37</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$458,135,178.18</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$49,982.55</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24" w:right="120" w:hanging="424"/>
        <w:spacing w:after="0" w:line="26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under the Securities Act of 1933, as amended, or the Securities Act, this Registration Statement shall also cover any additional shares of Registrant’s common stock that become issuable under the 2021 Equity Incentive Plan, or the 2021 Plan, the 2021 Employee Stock Purchase Plan, or the 2021 ESPP, the 2009 Equity Incentive Plan, or the 2009 Plan, and the 2018 Stock Incentive Plan, or the 2018 Plan, as a result of any stock dividend, stock split, recapitalization, or other similar transaction effected without the receipt of consideration that results in an increase to the number of outstanding shares of Registrant’s common stock, as applicable.</w:t>
      </w:r>
    </w:p>
    <w:p>
      <w:pPr>
        <w:spacing w:after="0" w:line="2" w:lineRule="exact"/>
        <w:rPr>
          <w:rFonts w:ascii="Arial" w:cs="Arial" w:eastAsia="Arial" w:hAnsi="Arial"/>
          <w:sz w:val="17"/>
          <w:szCs w:val="17"/>
          <w:color w:val="auto"/>
        </w:rPr>
      </w:pPr>
    </w:p>
    <w:p>
      <w:pPr>
        <w:ind w:left="424" w:right="60" w:hanging="424"/>
        <w:spacing w:after="0" w:line="26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9,201,156 shares of voting common stock reserved for issuance under the 2021 Plan, plus 657,543 shares of voting common stock that were reserved but not issued under the 2018 Plan and are not subject to any awards granted thereunder.</w:t>
      </w:r>
    </w:p>
    <w:p>
      <w:pPr>
        <w:spacing w:after="0" w:line="77" w:lineRule="exact"/>
        <w:rPr>
          <w:rFonts w:ascii="Arial" w:cs="Arial" w:eastAsia="Arial" w:hAnsi="Arial"/>
          <w:sz w:val="18"/>
          <w:szCs w:val="18"/>
          <w:color w:val="auto"/>
        </w:rPr>
      </w:pPr>
    </w:p>
    <w:p>
      <w:pPr>
        <w:ind w:left="444" w:right="120"/>
        <w:spacing w:after="0" w:line="275" w:lineRule="auto"/>
        <w:rPr>
          <w:rFonts w:ascii="Arial" w:cs="Arial" w:eastAsia="Arial" w:hAnsi="Arial"/>
          <w:sz w:val="18"/>
          <w:szCs w:val="18"/>
          <w:color w:val="auto"/>
        </w:rPr>
      </w:pPr>
      <w:r>
        <w:rPr>
          <w:rFonts w:ascii="Arial" w:cs="Arial" w:eastAsia="Arial" w:hAnsi="Arial"/>
          <w:sz w:val="17"/>
          <w:szCs w:val="17"/>
          <w:color w:val="auto"/>
        </w:rPr>
        <w:t>To the extent that shares previously issued pursuant to awards granted under the 2009 Plan or 2018 Plan are reacquired by the Registrant after the date of this Registration Statement, or if outstanding awards granted under the 2009 Plan or 2018 Plan are forfeited, expire or lapse unexercised after the date of this Registration Statement, or if shares issued under the 2009 Plan or 2018 Plan are reacquired by the Registrant pursuant to a forfeiture provision, repurchase right or for any other reason, such shares will become available for issuance under the 2021 Plan, up to a maximum of 17,026,018 shares of voting common stock. See footnotes 4, 6 and 8 below.</w:t>
      </w:r>
    </w:p>
    <w:p>
      <w:pPr>
        <w:spacing w:after="0" w:line="68" w:lineRule="exact"/>
        <w:rPr>
          <w:rFonts w:ascii="Arial" w:cs="Arial" w:eastAsia="Arial" w:hAnsi="Arial"/>
          <w:sz w:val="18"/>
          <w:szCs w:val="18"/>
          <w:color w:val="auto"/>
        </w:rPr>
      </w:pPr>
    </w:p>
    <w:p>
      <w:pPr>
        <w:ind w:left="444" w:right="180"/>
        <w:spacing w:after="0" w:line="279" w:lineRule="auto"/>
        <w:rPr>
          <w:rFonts w:ascii="Arial" w:cs="Arial" w:eastAsia="Arial" w:hAnsi="Arial"/>
          <w:sz w:val="18"/>
          <w:szCs w:val="18"/>
          <w:color w:val="auto"/>
        </w:rPr>
      </w:pPr>
      <w:r>
        <w:rPr>
          <w:rFonts w:ascii="Arial" w:cs="Arial" w:eastAsia="Arial" w:hAnsi="Arial"/>
          <w:sz w:val="17"/>
          <w:szCs w:val="17"/>
          <w:color w:val="auto"/>
        </w:rPr>
        <w:t>In general, to the extent that any awards under the 2021 Plan are forfeited, cancelled or expire for any reason before being exercised or settled in full, if any awards are settled in cash or if shares issued under the 2021 Plan are reacquired by the Registrant pursuant to a forfeiture provision, repurchase right or for any other reason, those shares will again become available for issuance under the 2021 Plan, as will shares applied to pay the exercise or purchase price of an award or to satisfy tax withholding obligations related to any award.</w:t>
      </w:r>
    </w:p>
    <w:p>
      <w:pPr>
        <w:spacing w:after="0" w:line="76" w:lineRule="exact"/>
        <w:rPr>
          <w:rFonts w:ascii="Arial" w:cs="Arial" w:eastAsia="Arial" w:hAnsi="Arial"/>
          <w:sz w:val="18"/>
          <w:szCs w:val="18"/>
          <w:color w:val="auto"/>
        </w:rPr>
      </w:pPr>
    </w:p>
    <w:p>
      <w:pPr>
        <w:ind w:left="424" w:right="320" w:hanging="424"/>
        <w:spacing w:after="0" w:line="29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457(h) under the Securities Act and based upon the average of the high and low prices of the Registrant’s common stock as reported on the Nasdaq Global Select Market on May 26, 2021.</w:t>
      </w:r>
    </w:p>
    <w:p>
      <w:pPr>
        <w:ind w:left="424" w:right="32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shares of voting common stock issued pursuant to restricted stock awards outstanding under the 2009 Plan as of the date of this Registration Statement. To the extent any such awards are forfeited or repurchased by the Registrant subsequent to the date of this Registration Statement, such shares will become available for issuance under the 2021 Plan. See footnote 2 above.</w:t>
      </w:r>
    </w:p>
    <w:p>
      <w:pPr>
        <w:ind w:left="424" w:right="32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457(h) under the Securities Act and based upon the average of the high and low prices of the Registrant’s common stock as reported on the Nasdaq Global Select Market on May 26, 2021.</w:t>
      </w:r>
    </w:p>
    <w:p>
      <w:pPr>
        <w:spacing w:after="0" w:line="1" w:lineRule="exact"/>
        <w:rPr>
          <w:rFonts w:ascii="Arial" w:cs="Arial" w:eastAsia="Arial" w:hAnsi="Arial"/>
          <w:sz w:val="16"/>
          <w:szCs w:val="16"/>
          <w:color w:val="auto"/>
        </w:rPr>
      </w:pPr>
    </w:p>
    <w:p>
      <w:pPr>
        <w:ind w:left="424" w:right="4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voting common stock reserved for issuance pursuant to stock option awards outstanding under the 2009 Plan as of the date of this Registration Statement. To the extent any such awards are forfeited, expire or lapse unexercised subsequent to the date of this Registration Statement, the shares of common stock reserved for issuance pursuant to such awards will become available for issuance under the 2021 Plan. See footnote 2 above.</w:t>
      </w:r>
    </w:p>
    <w:p>
      <w:pPr>
        <w:spacing w:after="0" w:line="1" w:lineRule="exact"/>
        <w:rPr>
          <w:rFonts w:ascii="Arial" w:cs="Arial" w:eastAsia="Arial" w:hAnsi="Arial"/>
          <w:sz w:val="18"/>
          <w:szCs w:val="18"/>
          <w:color w:val="auto"/>
        </w:rPr>
      </w:pPr>
    </w:p>
    <w:p>
      <w:pPr>
        <w:ind w:left="424" w:right="40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in accordance with Rule 457(h) under the Securities Act on the basis of the weighted average exercise price of $0.90 per share of Registrant’s common stock (rounded up to the nearest hundredth).</w:t>
      </w:r>
    </w:p>
    <w:p>
      <w:pPr>
        <w:ind w:left="424" w:right="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pursuant to stock option awards outstanding under the 2018 Plan as of the date of this Registration Statement. To the extent any such awards are forfeited, expire or lapse unexercised subsequent to the date of this Registration Statement, the shares of common stock reserved for issuance pursuant to such awards will become available for issuance under the 2021 Plan. See footnote 2 above.</w:t>
      </w:r>
    </w:p>
    <w:p>
      <w:pPr>
        <w:spacing w:after="0" w:line="1" w:lineRule="exact"/>
        <w:rPr>
          <w:rFonts w:ascii="Arial" w:cs="Arial" w:eastAsia="Arial" w:hAnsi="Arial"/>
          <w:sz w:val="18"/>
          <w:szCs w:val="18"/>
          <w:color w:val="auto"/>
        </w:rPr>
      </w:pPr>
    </w:p>
    <w:p>
      <w:pPr>
        <w:ind w:left="424" w:right="40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in accordance with Rule 457(h) under the Securities Act on the basis of the weighted average exercise price of $5.49 per share of Registrant’s common stock (rounded up to the nearest hundredth).</w:t>
      </w: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under the 2021 ESPP.</w:t>
      </w:r>
    </w:p>
    <w:p>
      <w:pPr>
        <w:spacing w:after="0" w:line="9" w:lineRule="exact"/>
        <w:rPr>
          <w:rFonts w:ascii="Arial" w:cs="Arial" w:eastAsia="Arial" w:hAnsi="Arial"/>
          <w:sz w:val="18"/>
          <w:szCs w:val="18"/>
          <w:color w:val="auto"/>
        </w:rPr>
      </w:pPr>
    </w:p>
    <w:p>
      <w:pPr>
        <w:ind w:left="424" w:right="40" w:hanging="424"/>
        <w:spacing w:after="0" w:line="255"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457(h) under the Securities Act and based upon the average of the high and low prices of the Registrant’s common stock as reported on the Nasdaq Global Select Market on May 26, 2021, multiplied by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180975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specified in this Part I is omitted from this Registration Statement on Form S-8, or the Registration Statement, in accordance with the provisions of Rule 428 under the Securities Act of 1933, as amended, or the Securities Act. In accordance with the rules and regulations of the Securities and Exchange Commission, or the SEC, and the instructions to Form S-8, such documents are not being filed with the SEC either as part of this Registration Statement or as prospectuses or prospectus supplements pursuant to Rule 424 under the Securities Act.</w:t>
      </w:r>
    </w:p>
    <w:p>
      <w:pPr>
        <w:sectPr>
          <w:pgSz w:w="11900" w:h="16838" w:orient="portrait"/>
          <w:cols w:equalWidth="0" w:num="1">
            <w:col w:w="11000"/>
          </w:cols>
          <w:pgMar w:left="440" w:top="270"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Flywire Corporation, or the Registrant, hereby incorporates by reference into this Registration Statement the following documents previously filed with the SEC:</w:t>
      </w:r>
    </w:p>
    <w:p>
      <w:pPr>
        <w:spacing w:after="0" w:line="76" w:lineRule="exact"/>
        <w:rPr>
          <w:sz w:val="20"/>
          <w:szCs w:val="20"/>
          <w:color w:val="auto"/>
        </w:rPr>
      </w:pPr>
    </w:p>
    <w:p>
      <w:pPr>
        <w:ind w:left="960" w:hanging="532"/>
        <w:spacing w:after="0" w:line="263" w:lineRule="auto"/>
        <w:tabs>
          <w:tab w:leader="none" w:pos="96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the </w:t>
      </w:r>
      <w:hyperlink r:id="rId20">
        <w:r>
          <w:rPr>
            <w:rFonts w:ascii="Arial" w:cs="Arial" w:eastAsia="Arial" w:hAnsi="Arial"/>
            <w:sz w:val="18"/>
            <w:szCs w:val="18"/>
            <w:u w:val="single" w:color="auto"/>
            <w:color w:val="0000EE"/>
          </w:rPr>
          <w:t>Registrant’s prospectus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dated May 25, 2021 pursuant to </w:t>
      </w:r>
      <w:r>
        <w:rPr>
          <w:rFonts w:ascii="Arial" w:cs="Arial" w:eastAsia="Arial" w:hAnsi="Arial"/>
          <w:sz w:val="18"/>
          <w:szCs w:val="18"/>
          <w:u w:val="single" w:color="auto"/>
          <w:color w:val="auto"/>
        </w:rPr>
        <w:t>Rule 424(b)</w:t>
      </w:r>
      <w:r>
        <w:rPr>
          <w:rFonts w:ascii="Arial" w:cs="Arial" w:eastAsia="Arial" w:hAnsi="Arial"/>
          <w:sz w:val="18"/>
          <w:szCs w:val="18"/>
          <w:color w:val="auto"/>
        </w:rPr>
        <w:t xml:space="preserve"> under the Securities Act relating to the Registration Statement on </w:t>
      </w:r>
      <w:hyperlink r:id="rId21">
        <w:r>
          <w:rPr>
            <w:rFonts w:ascii="Arial" w:cs="Arial" w:eastAsia="Arial" w:hAnsi="Arial"/>
            <w:sz w:val="18"/>
            <w:szCs w:val="18"/>
            <w:u w:val="single" w:color="auto"/>
            <w:color w:val="0000EE"/>
          </w:rPr>
          <w:t>Form S-1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as amended (File No. 333-255706), or the</w:t>
      </w:r>
      <w:r>
        <w:rPr>
          <w:rFonts w:ascii="Arial" w:cs="Arial" w:eastAsia="Arial" w:hAnsi="Arial"/>
          <w:sz w:val="18"/>
          <w:szCs w:val="18"/>
          <w:color w:val="0000EE"/>
        </w:rPr>
        <w:t xml:space="preserve"> </w:t>
      </w:r>
      <w:hyperlink r:id="rId22">
        <w:r>
          <w:rPr>
            <w:rFonts w:ascii="Arial" w:cs="Arial" w:eastAsia="Arial" w:hAnsi="Arial"/>
            <w:sz w:val="18"/>
            <w:szCs w:val="18"/>
            <w:u w:val="single" w:color="auto"/>
            <w:color w:val="0000EE"/>
          </w:rPr>
          <w:t>Form S-1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which contains audited financial statements for the Registrant’s latest fiscal</w:t>
      </w:r>
      <w:r>
        <w:rPr>
          <w:rFonts w:ascii="Arial" w:cs="Arial" w:eastAsia="Arial" w:hAnsi="Arial"/>
          <w:sz w:val="18"/>
          <w:szCs w:val="18"/>
          <w:color w:val="0000EE"/>
        </w:rPr>
        <w:t xml:space="preserve"> </w:t>
      </w:r>
      <w:r>
        <w:rPr>
          <w:rFonts w:ascii="Arial" w:cs="Arial" w:eastAsia="Arial" w:hAnsi="Arial"/>
          <w:sz w:val="18"/>
          <w:szCs w:val="18"/>
          <w:color w:val="000000"/>
        </w:rPr>
        <w:t>year for which such statements have been filed;</w:t>
      </w:r>
    </w:p>
    <w:p>
      <w:pPr>
        <w:spacing w:after="0" w:line="89" w:lineRule="exact"/>
        <w:rPr>
          <w:rFonts w:ascii="Arial" w:cs="Arial" w:eastAsia="Arial" w:hAnsi="Arial"/>
          <w:sz w:val="18"/>
          <w:szCs w:val="18"/>
          <w:color w:val="0000EE"/>
        </w:rPr>
      </w:pPr>
    </w:p>
    <w:p>
      <w:pPr>
        <w:ind w:left="960" w:right="18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of 1934, as amended, or the Exchange Act, since the end of the fiscal year covered by the registrant document referred to in (a) above; and</w:t>
      </w:r>
    </w:p>
    <w:p>
      <w:pPr>
        <w:spacing w:after="0" w:line="75" w:lineRule="exact"/>
        <w:rPr>
          <w:rFonts w:ascii="Arial" w:cs="Arial" w:eastAsia="Arial" w:hAnsi="Arial"/>
          <w:sz w:val="18"/>
          <w:szCs w:val="18"/>
          <w:color w:val="auto"/>
        </w:rPr>
      </w:pPr>
    </w:p>
    <w:p>
      <w:pPr>
        <w:ind w:left="960" w:right="100" w:hanging="532"/>
        <w:spacing w:after="0" w:line="308"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common stock contained in the Registrant’s Registration Statement on </w:t>
      </w:r>
      <w:hyperlink r:id="rId23">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 No. 001-40430), filed with the SEC on May 21, 2021, including any amendments or reports filed for the purpose of updating such description.</w:t>
      </w:r>
    </w:p>
    <w:p>
      <w:pPr>
        <w:spacing w:after="0" w:line="146" w:lineRule="exact"/>
        <w:rPr>
          <w:rFonts w:ascii="Arial" w:cs="Arial" w:eastAsia="Arial" w:hAnsi="Arial"/>
          <w:sz w:val="18"/>
          <w:szCs w:val="18"/>
          <w:color w:val="0000EE"/>
        </w:rPr>
      </w:pPr>
    </w:p>
    <w:p>
      <w:pPr>
        <w:ind w:right="20"/>
        <w:spacing w:after="0" w:line="254" w:lineRule="auto"/>
        <w:rPr>
          <w:sz w:val="20"/>
          <w:szCs w:val="20"/>
          <w:color w:val="auto"/>
        </w:rPr>
      </w:pPr>
      <w:r>
        <w:rPr>
          <w:rFonts w:ascii="Arial" w:cs="Arial" w:eastAsia="Arial" w:hAnsi="Arial"/>
          <w:sz w:val="18"/>
          <w:szCs w:val="18"/>
          <w:color w:val="auto"/>
        </w:rPr>
        <w:t>All other reports and documents filed by the Registrant pursuant to Section 13(a), 13(c), 14 or 15(d) of the Securities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The Registrant is not, however, incorporating any documents or information that the Registrant is deemed to furnish and not file in accordance with SEC rules. Any statement contained in a document incorporated or deemed incorporated by reference in this Registration Statement will be deemed modified or superseded for purposes of this Registration Statement to the extent that a statement contained in any subsequently filed document that also is deemed incorporated by reference in this Registration Statement modifies or supersedes that statement.</w:t>
      </w:r>
    </w:p>
    <w:p>
      <w:pPr>
        <w:spacing w:after="0" w:line="336" w:lineRule="exact"/>
        <w:rPr>
          <w:rFonts w:ascii="Arial" w:cs="Arial" w:eastAsia="Arial" w:hAnsi="Arial"/>
          <w:sz w:val="18"/>
          <w:szCs w:val="18"/>
          <w:color w:val="0000EE"/>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0000EE"/>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0000EE"/>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rFonts w:ascii="Arial" w:cs="Arial" w:eastAsia="Arial" w:hAnsi="Arial"/>
          <w:sz w:val="18"/>
          <w:szCs w:val="18"/>
          <w:color w:val="0000EE"/>
        </w:rPr>
      </w:pPr>
    </w:p>
    <w:p>
      <w:pPr>
        <w:ind w:right="100"/>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7" w:lineRule="exact"/>
        <w:rPr>
          <w:rFonts w:ascii="Arial" w:cs="Arial" w:eastAsia="Arial" w:hAnsi="Arial"/>
          <w:sz w:val="18"/>
          <w:szCs w:val="18"/>
          <w:color w:val="0000EE"/>
        </w:rPr>
      </w:pPr>
    </w:p>
    <w:p>
      <w:pPr>
        <w:jc w:val="both"/>
        <w:ind w:right="260"/>
        <w:spacing w:after="0" w:line="259" w:lineRule="auto"/>
        <w:rPr>
          <w:sz w:val="20"/>
          <w:szCs w:val="20"/>
          <w:color w:val="auto"/>
        </w:rPr>
      </w:pPr>
      <w:r>
        <w:rPr>
          <w:rFonts w:ascii="Arial" w:cs="Arial" w:eastAsia="Arial" w:hAnsi="Arial"/>
          <w:sz w:val="18"/>
          <w:szCs w:val="18"/>
          <w:color w:val="auto"/>
        </w:rPr>
        <w:t>As permitted by the Delaware General Corporation Law, the Registrant’s amended and restated certificate of incorporation and amended and restated bylaws contain provisions relating to the limitation of liability and indemnification of directors and officers. The amended and restated certificate of incorporation provides that the Registrant’s directors will not be personally liable to the Registrant or its stockholders for monetary damages for any breach of fiduciary duty as a director, except for liability:</w:t>
      </w:r>
    </w:p>
    <w:p>
      <w:pPr>
        <w:spacing w:after="0" w:line="92" w:lineRule="exact"/>
        <w:rPr>
          <w:rFonts w:ascii="Arial" w:cs="Arial" w:eastAsia="Arial" w:hAnsi="Arial"/>
          <w:sz w:val="18"/>
          <w:szCs w:val="18"/>
          <w:color w:val="0000EE"/>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Registrant or its stockholders;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60" w:right="3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225" w:lineRule="exact"/>
        <w:rPr>
          <w:rFonts w:ascii="Arial" w:cs="Arial" w:eastAsia="Arial" w:hAnsi="Arial"/>
          <w:sz w:val="18"/>
          <w:szCs w:val="18"/>
          <w:color w:val="0000EE"/>
        </w:rPr>
      </w:pPr>
    </w:p>
    <w:p>
      <w:pPr>
        <w:jc w:val="both"/>
        <w:ind w:right="160"/>
        <w:spacing w:after="0" w:line="263" w:lineRule="auto"/>
        <w:rPr>
          <w:sz w:val="20"/>
          <w:szCs w:val="20"/>
          <w:color w:val="auto"/>
        </w:rPr>
      </w:pPr>
      <w:r>
        <w:rPr>
          <w:rFonts w:ascii="Arial" w:cs="Arial" w:eastAsia="Arial" w:hAnsi="Arial"/>
          <w:sz w:val="18"/>
          <w:szCs w:val="18"/>
          <w:color w:val="auto"/>
        </w:rPr>
        <w:t>The Registrant’s amended and restated certificate of incorporation also provides that if Delaware law is amended after the approval by its stockholders of the certificate of incorporation to authorize corporate action further eliminating or limiting the personal liability of directors, then the liability of the Registrant’s directors will be eliminated or limited to the fullest extent permitted by Delaware law.</w:t>
      </w:r>
    </w:p>
    <w:p>
      <w:pPr>
        <w:sectPr>
          <w:pgSz w:w="11900" w:h="16838" w:orient="portrait"/>
          <w:cols w:equalWidth="0" w:num="1">
            <w:col w:w="11000"/>
          </w:cols>
          <w:pgMar w:left="440" w:top="270" w:right="459" w:bottom="1440" w:gutter="0" w:footer="0" w:header="0"/>
        </w:sectPr>
      </w:pPr>
    </w:p>
    <w:bookmarkStart w:id="4" w:name="page5"/>
    <w:bookmarkEnd w:id="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Registrant’s amended and restated bylaws provide that the Registrant will indemnify its directors and officers to the fullest extent permitted by Delaware law, as it now exists or may in the future be amended, against all expenses and liabilities reasonably incurred in connection with their service for or on its behalf. The Registrant’s amended and restated bylaws provide that the Registrant shall advance the expenses incurred by a director or officer in advance of the final disposition of an action or proceeding, and permit the Registrant to secure insurance on behalf of any director, officer, employee, or other enterprise agent for any liability arising out of his or her action in that capacity, whether or not Delaware law would otherwise permit indemnification.</w:t>
      </w:r>
    </w:p>
    <w:p>
      <w:pPr>
        <w:spacing w:after="0" w:line="19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Registrant has entered into indemnification agreements with each of its directors and executive officers and certain other key employees. The form of agreement provides that the Registrant will indemnify each of its directors, executive officers and such other key employees against any and all expenses incurred by that director, executive officer, or other key employee because of his or her status as one of its directors, executive officers, or other key employees, to the fullest extent permitted by Delaware law, the Registrant’s amended and restated certificate of incorporation and the Registrant’s amended and restated bylaws. In addition, the form agreement provides that, to the fullest extent permitted by Delaware law, the Registrant will advance all expenses incurred by its directors, executive officers and other key employees in connection with a legal proceeding.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carries and intends to continue to carry liability insurance for its directors and officers.</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herein by reference.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Incorporated by Reference</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7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60" w:type="dxa"/>
            <w:vAlign w:val="bottom"/>
            <w:gridSpan w:val="9"/>
            <w:vMerge w:val="restart"/>
          </w:tcPr>
          <w:p>
            <w:pPr>
              <w:ind w:left="8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0"/>
                <w:szCs w:val="10"/>
                <w:color w:val="auto"/>
              </w:rPr>
            </w:pPr>
          </w:p>
        </w:tc>
        <w:tc>
          <w:tcPr>
            <w:tcW w:w="9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File No.</w:t>
            </w:r>
          </w:p>
        </w:tc>
        <w:tc>
          <w:tcPr>
            <w:tcW w:w="120" w:type="dxa"/>
            <w:vAlign w:val="bottom"/>
            <w:vMerge w:val="restart"/>
          </w:tcPr>
          <w:p>
            <w:pPr>
              <w:spacing w:after="0"/>
              <w:rPr>
                <w:sz w:val="10"/>
                <w:szCs w:val="10"/>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0"/>
                <w:szCs w:val="10"/>
                <w:color w:val="auto"/>
              </w:rPr>
            </w:pPr>
          </w:p>
        </w:tc>
        <w:tc>
          <w:tcPr>
            <w:tcW w:w="9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Filing</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Filed</w:t>
            </w:r>
          </w:p>
        </w:tc>
        <w:tc>
          <w:tcPr>
            <w:tcW w:w="0" w:type="dxa"/>
            <w:vAlign w:val="bottom"/>
          </w:tcPr>
          <w:p>
            <w:pPr>
              <w:spacing w:after="0"/>
              <w:rPr>
                <w:sz w:val="1"/>
                <w:szCs w:val="1"/>
                <w:color w:val="auto"/>
              </w:rPr>
            </w:pPr>
          </w:p>
        </w:tc>
      </w:tr>
      <w:tr>
        <w:trPr>
          <w:trHeight w:val="185"/>
        </w:trPr>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260" w:type="dxa"/>
            <w:vAlign w:val="bottom"/>
            <w:tcBorders>
              <w:bottom w:val="single" w:sz="8" w:color="auto"/>
            </w:tcBorders>
            <w:gridSpan w:val="9"/>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4720" w:type="dxa"/>
            <w:vAlign w:val="bottom"/>
            <w:tcBorders>
              <w:bottom w:val="single" w:sz="8" w:color="0000EE"/>
            </w:tcBorders>
            <w:gridSpan w:val="8"/>
          </w:tcPr>
          <w:p>
            <w:pPr>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Amended and Restated Certificate of Incorporation of Registrant.</w:t>
              </w:r>
            </w:hyperlink>
          </w:p>
        </w:tc>
        <w:tc>
          <w:tcPr>
            <w:tcW w:w="1560" w:type="dxa"/>
            <w:vAlign w:val="bottom"/>
            <w:gridSpan w:val="5"/>
          </w:tcPr>
          <w:p>
            <w:pPr>
              <w:spacing w:after="0"/>
              <w:rPr>
                <w:sz w:val="19"/>
                <w:szCs w:val="19"/>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001-40430</w:t>
            </w:r>
          </w:p>
        </w:tc>
        <w:tc>
          <w:tcPr>
            <w:tcW w:w="1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06/01/2021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2"/>
                <w:szCs w:val="22"/>
                <w:color w:val="auto"/>
              </w:rPr>
            </w:pPr>
          </w:p>
        </w:tc>
        <w:tc>
          <w:tcPr>
            <w:tcW w:w="3280" w:type="dxa"/>
            <w:vAlign w:val="bottom"/>
            <w:tcBorders>
              <w:bottom w:val="single" w:sz="8" w:color="0000EE"/>
            </w:tcBorders>
            <w:gridSpan w:val="4"/>
          </w:tcPr>
          <w:p>
            <w:pPr>
              <w:spacing w:after="0"/>
              <w:rPr>
                <w:rFonts w:ascii="Arial" w:cs="Arial" w:eastAsia="Arial" w:hAnsi="Arial"/>
                <w:sz w:val="18"/>
                <w:szCs w:val="18"/>
                <w:color w:val="0000EE"/>
                <w:w w:val="89"/>
              </w:rPr>
            </w:pPr>
            <w:hyperlink r:id="rId26">
              <w:r>
                <w:rPr>
                  <w:rFonts w:ascii="Arial" w:cs="Arial" w:eastAsia="Arial" w:hAnsi="Arial"/>
                  <w:sz w:val="18"/>
                  <w:szCs w:val="18"/>
                  <w:color w:val="0000EE"/>
                  <w:w w:val="89"/>
                </w:rPr>
                <w:t>Amended and Restated Bylaws of Registrant.</w:t>
              </w:r>
            </w:hyperlink>
          </w:p>
        </w:tc>
        <w:tc>
          <w:tcPr>
            <w:tcW w:w="3000" w:type="dxa"/>
            <w:vAlign w:val="bottom"/>
            <w:gridSpan w:val="9"/>
          </w:tcPr>
          <w:p>
            <w:pPr>
              <w:spacing w:after="0"/>
              <w:rPr>
                <w:sz w:val="22"/>
                <w:szCs w:val="22"/>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001-40430</w:t>
            </w:r>
          </w:p>
        </w:tc>
        <w:tc>
          <w:tcPr>
            <w:tcW w:w="12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06/01/2021</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2"/>
                <w:szCs w:val="22"/>
                <w:color w:val="auto"/>
              </w:rPr>
            </w:pPr>
          </w:p>
        </w:tc>
        <w:tc>
          <w:tcPr>
            <w:tcW w:w="54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Opinion and Consent of Gunderson Dettmer Stough Villeneuve Franklin &amp;</w:t>
              </w:r>
            </w:hyperlink>
          </w:p>
        </w:tc>
        <w:tc>
          <w:tcPr>
            <w:tcW w:w="860" w:type="dxa"/>
            <w:vAlign w:val="bottom"/>
            <w:gridSpan w:val="4"/>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Hachigian, LLP.</w:t>
              </w:r>
            </w:hyperlink>
          </w:p>
        </w:tc>
        <w:tc>
          <w:tcPr>
            <w:tcW w:w="5100" w:type="dxa"/>
            <w:vAlign w:val="bottom"/>
            <w:gridSpan w:val="11"/>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2"/>
                <w:szCs w:val="22"/>
                <w:color w:val="auto"/>
              </w:rPr>
            </w:pPr>
          </w:p>
        </w:tc>
        <w:tc>
          <w:tcPr>
            <w:tcW w:w="60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Consent of PricewaterhouseCoopers LLP, independent registered public accounting</w:t>
              </w:r>
            </w:hyperlink>
          </w:p>
        </w:tc>
        <w:tc>
          <w:tcPr>
            <w:tcW w:w="260" w:type="dxa"/>
            <w:vAlign w:val="bottom"/>
            <w:gridSpan w:val="2"/>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firm.</w:t>
              </w:r>
            </w:hyperlink>
          </w:p>
        </w:tc>
        <w:tc>
          <w:tcPr>
            <w:tcW w:w="5920" w:type="dxa"/>
            <w:vAlign w:val="bottom"/>
            <w:gridSpan w:val="12"/>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2"/>
                <w:szCs w:val="22"/>
                <w:color w:val="auto"/>
              </w:rPr>
            </w:pPr>
          </w:p>
        </w:tc>
        <w:tc>
          <w:tcPr>
            <w:tcW w:w="6280" w:type="dxa"/>
            <w:vAlign w:val="bottom"/>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Consent of Gunderson Dettmer Stough Villeneuve Franklin &amp; Hachigian, LLP</w:t>
              </w:r>
            </w:hyperlink>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(contained in Exhibit 5.1).</w:t>
              </w:r>
            </w:hyperlink>
          </w:p>
        </w:tc>
        <w:tc>
          <w:tcPr>
            <w:tcW w:w="3760" w:type="dxa"/>
            <w:vAlign w:val="bottom"/>
            <w:tcBorders>
              <w:top w:val="single" w:sz="8" w:color="0000EE"/>
            </w:tcBorders>
            <w:gridSpan w:val="7"/>
          </w:tcPr>
          <w:p>
            <w:pPr>
              <w:spacing w:after="0"/>
              <w:rPr>
                <w:sz w:val="17"/>
                <w:szCs w:val="17"/>
                <w:color w:val="auto"/>
              </w:rPr>
            </w:pPr>
          </w:p>
        </w:tc>
        <w:tc>
          <w:tcPr>
            <w:tcW w:w="62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2"/>
                <w:szCs w:val="22"/>
                <w:color w:val="auto"/>
              </w:rPr>
            </w:pPr>
          </w:p>
        </w:tc>
        <w:tc>
          <w:tcPr>
            <w:tcW w:w="46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Consent of Kost Forer Gabbay &amp; Kasierer, independent auditors.</w:t>
              </w:r>
            </w:hyperlink>
          </w:p>
        </w:tc>
        <w:tc>
          <w:tcPr>
            <w:tcW w:w="1600" w:type="dxa"/>
            <w:vAlign w:val="bottom"/>
            <w:gridSpan w:val="6"/>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2"/>
                <w:szCs w:val="22"/>
                <w:color w:val="auto"/>
              </w:rPr>
            </w:pPr>
          </w:p>
        </w:tc>
        <w:tc>
          <w:tcPr>
            <w:tcW w:w="6280" w:type="dxa"/>
            <w:vAlign w:val="bottom"/>
            <w:gridSpan w:val="13"/>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Power of Attorney (contained in the signature page hereto).</w:t>
              </w:r>
            </w:hyperlink>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8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2"/>
                <w:szCs w:val="22"/>
                <w:color w:val="auto"/>
              </w:rPr>
            </w:pPr>
          </w:p>
        </w:tc>
        <w:tc>
          <w:tcPr>
            <w:tcW w:w="6280" w:type="dxa"/>
            <w:vAlign w:val="bottom"/>
            <w:gridSpan w:val="13"/>
          </w:tcPr>
          <w:p>
            <w:pPr>
              <w:spacing w:after="0"/>
              <w:rPr>
                <w:rFonts w:ascii="Arial" w:cs="Arial" w:eastAsia="Arial" w:hAnsi="Arial"/>
                <w:sz w:val="18"/>
                <w:szCs w:val="18"/>
                <w:color w:val="0000EE"/>
              </w:rPr>
            </w:pPr>
            <w:hyperlink r:id="rId27">
              <w:r>
                <w:rPr>
                  <w:rFonts w:ascii="Arial" w:cs="Arial" w:eastAsia="Arial" w:hAnsi="Arial"/>
                  <w:sz w:val="18"/>
                  <w:szCs w:val="18"/>
                  <w:color w:val="0000EE"/>
                </w:rPr>
                <w:t>2009 Equity Incentive Plan and forms of agreements thereunder.</w:t>
              </w:r>
            </w:hyperlink>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333-255706</w:t>
            </w:r>
          </w:p>
        </w:tc>
        <w:tc>
          <w:tcPr>
            <w:tcW w:w="12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05/18/2021</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4" w:right="43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99.2</w:t>
            </w:r>
          </w:p>
        </w:tc>
        <w:tc>
          <w:tcPr>
            <w:tcW w:w="380" w:type="dxa"/>
            <w:vAlign w:val="bottom"/>
            <w:tcBorders>
              <w:bottom w:val="single" w:sz="8" w:color="0000EE"/>
            </w:tcBorders>
          </w:tcPr>
          <w:p>
            <w:pPr>
              <w:jc w:val="right"/>
              <w:spacing w:after="0"/>
              <w:rPr>
                <w:rFonts w:ascii="Arial" w:cs="Arial" w:eastAsia="Arial" w:hAnsi="Arial"/>
                <w:sz w:val="18"/>
                <w:szCs w:val="18"/>
                <w:color w:val="0000EE"/>
                <w:w w:val="84"/>
              </w:rPr>
            </w:pPr>
            <w:hyperlink r:id="rId29">
              <w:r>
                <w:rPr>
                  <w:rFonts w:ascii="Arial" w:cs="Arial" w:eastAsia="Arial" w:hAnsi="Arial"/>
                  <w:sz w:val="18"/>
                  <w:szCs w:val="18"/>
                  <w:color w:val="0000EE"/>
                  <w:w w:val="84"/>
                </w:rPr>
                <w:t>2018</w:t>
              </w:r>
            </w:hyperlink>
          </w:p>
        </w:tc>
        <w:tc>
          <w:tcPr>
            <w:tcW w:w="4200" w:type="dxa"/>
            <w:vAlign w:val="bottom"/>
            <w:tcBorders>
              <w:bottom w:val="single" w:sz="8" w:color="0000EE"/>
            </w:tcBorders>
            <w:gridSpan w:val="2"/>
          </w:tcPr>
          <w:p>
            <w:pPr>
              <w:ind w:left="20"/>
              <w:spacing w:after="0"/>
              <w:rPr>
                <w:rFonts w:ascii="Arial" w:cs="Arial" w:eastAsia="Arial" w:hAnsi="Arial"/>
                <w:sz w:val="18"/>
                <w:szCs w:val="18"/>
                <w:color w:val="0000EE"/>
                <w:w w:val="89"/>
              </w:rPr>
            </w:pPr>
            <w:hyperlink r:id="rId29">
              <w:r>
                <w:rPr>
                  <w:rFonts w:ascii="Arial" w:cs="Arial" w:eastAsia="Arial" w:hAnsi="Arial"/>
                  <w:sz w:val="18"/>
                  <w:szCs w:val="18"/>
                  <w:color w:val="0000EE"/>
                  <w:w w:val="89"/>
                </w:rPr>
                <w:t>Stock Incentive Plan and forms of agreements thereunder.</w:t>
              </w:r>
            </w:hyperlink>
          </w:p>
        </w:tc>
        <w:tc>
          <w:tcPr>
            <w:tcW w:w="880" w:type="dxa"/>
            <w:vAlign w:val="bottom"/>
            <w:gridSpan w:val="2"/>
          </w:tcPr>
          <w:p>
            <w:pPr>
              <w:spacing w:after="0"/>
              <w:rPr>
                <w:sz w:val="17"/>
                <w:szCs w:val="17"/>
                <w:color w:val="auto"/>
              </w:rPr>
            </w:pPr>
          </w:p>
        </w:tc>
        <w:tc>
          <w:tcPr>
            <w:tcW w:w="1360" w:type="dxa"/>
            <w:vAlign w:val="bottom"/>
          </w:tcPr>
          <w:p>
            <w:pPr>
              <w:jc w:val="center"/>
              <w:ind w:left="650"/>
              <w:spacing w:after="0"/>
              <w:rPr>
                <w:sz w:val="20"/>
                <w:szCs w:val="20"/>
                <w:color w:val="auto"/>
              </w:rPr>
            </w:pPr>
            <w:r>
              <w:rPr>
                <w:rFonts w:ascii="Arial" w:cs="Arial" w:eastAsia="Arial" w:hAnsi="Arial"/>
                <w:sz w:val="18"/>
                <w:szCs w:val="18"/>
                <w:color w:val="auto"/>
                <w:w w:val="93"/>
              </w:rPr>
              <w:t>S-1/A</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w w:val="97"/>
              </w:rPr>
              <w:t>333-255706</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05/18/2021</w:t>
            </w:r>
          </w:p>
        </w:tc>
      </w:tr>
      <w:tr>
        <w:trPr>
          <w:trHeight w:val="263"/>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99.3</w:t>
            </w:r>
          </w:p>
        </w:tc>
        <w:tc>
          <w:tcPr>
            <w:tcW w:w="380" w:type="dxa"/>
            <w:vAlign w:val="bottom"/>
          </w:tcPr>
          <w:p>
            <w:pPr>
              <w:jc w:val="right"/>
              <w:spacing w:after="0"/>
              <w:rPr>
                <w:rFonts w:ascii="Arial" w:cs="Arial" w:eastAsia="Arial" w:hAnsi="Arial"/>
                <w:sz w:val="18"/>
                <w:szCs w:val="18"/>
                <w:color w:val="0000EE"/>
                <w:w w:val="84"/>
              </w:rPr>
            </w:pPr>
            <w:hyperlink w:anchor="page11">
              <w:r>
                <w:rPr>
                  <w:rFonts w:ascii="Arial" w:cs="Arial" w:eastAsia="Arial" w:hAnsi="Arial"/>
                  <w:sz w:val="18"/>
                  <w:szCs w:val="18"/>
                  <w:color w:val="0000EE"/>
                  <w:w w:val="84"/>
                </w:rPr>
                <w:t>2021</w:t>
              </w:r>
            </w:hyperlink>
          </w:p>
        </w:tc>
        <w:tc>
          <w:tcPr>
            <w:tcW w:w="5080" w:type="dxa"/>
            <w:vAlign w:val="bottom"/>
            <w:gridSpan w:val="4"/>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Equity Incentive Plan and forms of agreements thereunder.</w:t>
              </w:r>
            </w:hyperlink>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64"/>
        </w:trPr>
        <w:tc>
          <w:tcPr>
            <w:tcW w:w="780" w:type="dxa"/>
            <w:vAlign w:val="bottom"/>
          </w:tcPr>
          <w:p>
            <w:pPr>
              <w:jc w:val="right"/>
              <w:ind w:right="370"/>
              <w:spacing w:after="0"/>
              <w:rPr>
                <w:sz w:val="20"/>
                <w:szCs w:val="20"/>
                <w:color w:val="auto"/>
              </w:rPr>
            </w:pPr>
            <w:r>
              <w:rPr>
                <w:rFonts w:ascii="Arial" w:cs="Arial" w:eastAsia="Arial" w:hAnsi="Arial"/>
                <w:sz w:val="18"/>
                <w:szCs w:val="18"/>
                <w:color w:val="auto"/>
                <w:w w:val="85"/>
              </w:rPr>
              <w:t>99.4</w:t>
            </w:r>
          </w:p>
        </w:tc>
        <w:tc>
          <w:tcPr>
            <w:tcW w:w="380" w:type="dxa"/>
            <w:vAlign w:val="bottom"/>
            <w:tcBorders>
              <w:top w:val="single" w:sz="8" w:color="0000EE"/>
              <w:bottom w:val="single" w:sz="8" w:color="0000EE"/>
            </w:tcBorders>
          </w:tcPr>
          <w:p>
            <w:pPr>
              <w:jc w:val="right"/>
              <w:spacing w:after="0"/>
              <w:rPr>
                <w:rFonts w:ascii="Arial" w:cs="Arial" w:eastAsia="Arial" w:hAnsi="Arial"/>
                <w:sz w:val="18"/>
                <w:szCs w:val="18"/>
                <w:color w:val="0000EE"/>
                <w:w w:val="84"/>
              </w:rPr>
            </w:pPr>
            <w:hyperlink r:id="rId30">
              <w:r>
                <w:rPr>
                  <w:rFonts w:ascii="Arial" w:cs="Arial" w:eastAsia="Arial" w:hAnsi="Arial"/>
                  <w:sz w:val="18"/>
                  <w:szCs w:val="18"/>
                  <w:color w:val="0000EE"/>
                  <w:w w:val="84"/>
                </w:rPr>
                <w:t>2021</w:t>
              </w:r>
            </w:hyperlink>
          </w:p>
        </w:tc>
        <w:tc>
          <w:tcPr>
            <w:tcW w:w="2320" w:type="dxa"/>
            <w:vAlign w:val="bottom"/>
            <w:tcBorders>
              <w:top w:val="single" w:sz="8" w:color="0000EE"/>
              <w:bottom w:val="single" w:sz="8" w:color="0000EE"/>
            </w:tcBorders>
          </w:tcPr>
          <w:p>
            <w:pPr>
              <w:ind w:left="20"/>
              <w:spacing w:after="0"/>
              <w:rPr>
                <w:rFonts w:ascii="Arial" w:cs="Arial" w:eastAsia="Arial" w:hAnsi="Arial"/>
                <w:sz w:val="18"/>
                <w:szCs w:val="18"/>
                <w:color w:val="0000EE"/>
                <w:w w:val="88"/>
              </w:rPr>
            </w:pPr>
            <w:hyperlink r:id="rId30">
              <w:r>
                <w:rPr>
                  <w:rFonts w:ascii="Arial" w:cs="Arial" w:eastAsia="Arial" w:hAnsi="Arial"/>
                  <w:sz w:val="18"/>
                  <w:szCs w:val="18"/>
                  <w:color w:val="0000EE"/>
                  <w:w w:val="88"/>
                </w:rPr>
                <w:t>Employee Stock Purchase Plan.</w:t>
              </w:r>
            </w:hyperlink>
          </w:p>
        </w:tc>
        <w:tc>
          <w:tcPr>
            <w:tcW w:w="1940" w:type="dxa"/>
            <w:vAlign w:val="bottom"/>
            <w:tcBorders>
              <w:top w:val="single" w:sz="8" w:color="0000EE"/>
            </w:tcBorders>
            <w:gridSpan w:val="2"/>
          </w:tcPr>
          <w:p>
            <w:pPr>
              <w:spacing w:after="0"/>
              <w:rPr>
                <w:sz w:val="22"/>
                <w:szCs w:val="22"/>
                <w:color w:val="auto"/>
              </w:rPr>
            </w:pPr>
          </w:p>
        </w:tc>
        <w:tc>
          <w:tcPr>
            <w:tcW w:w="820" w:type="dxa"/>
            <w:vAlign w:val="bottom"/>
          </w:tcPr>
          <w:p>
            <w:pPr>
              <w:spacing w:after="0"/>
              <w:rPr>
                <w:sz w:val="22"/>
                <w:szCs w:val="22"/>
                <w:color w:val="auto"/>
              </w:rPr>
            </w:pPr>
          </w:p>
        </w:tc>
        <w:tc>
          <w:tcPr>
            <w:tcW w:w="1360" w:type="dxa"/>
            <w:vAlign w:val="bottom"/>
          </w:tcPr>
          <w:p>
            <w:pPr>
              <w:jc w:val="center"/>
              <w:ind w:left="650"/>
              <w:spacing w:after="0"/>
              <w:rPr>
                <w:sz w:val="20"/>
                <w:szCs w:val="20"/>
                <w:color w:val="auto"/>
              </w:rPr>
            </w:pPr>
            <w:r>
              <w:rPr>
                <w:rFonts w:ascii="Arial" w:cs="Arial" w:eastAsia="Arial" w:hAnsi="Arial"/>
                <w:sz w:val="18"/>
                <w:szCs w:val="18"/>
                <w:color w:val="auto"/>
                <w:w w:val="92"/>
              </w:rPr>
              <w:t>S-1</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w w:val="97"/>
              </w:rPr>
              <w:t>333-255706</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10.5</w:t>
            </w:r>
          </w:p>
        </w:tc>
        <w:tc>
          <w:tcPr>
            <w:tcW w:w="1480" w:type="dxa"/>
            <w:vAlign w:val="bottom"/>
          </w:tcPr>
          <w:p>
            <w:pPr>
              <w:jc w:val="right"/>
              <w:ind w:right="450"/>
              <w:spacing w:after="0"/>
              <w:rPr>
                <w:sz w:val="20"/>
                <w:szCs w:val="20"/>
                <w:color w:val="auto"/>
              </w:rPr>
            </w:pPr>
            <w:r>
              <w:rPr>
                <w:rFonts w:ascii="Arial" w:cs="Arial" w:eastAsia="Arial" w:hAnsi="Arial"/>
                <w:sz w:val="18"/>
                <w:szCs w:val="18"/>
                <w:color w:val="auto"/>
              </w:rPr>
              <w:t>05/03/2021</w:t>
            </w:r>
          </w:p>
        </w:tc>
      </w:tr>
    </w:tbl>
    <w:p>
      <w:pPr>
        <w:spacing w:after="0" w:line="373"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 The undersigned Registrant hereby undertakes:</w:t>
      </w:r>
    </w:p>
    <w:p>
      <w:pPr>
        <w:spacing w:after="0" w:line="131" w:lineRule="exact"/>
        <w:rPr>
          <w:sz w:val="20"/>
          <w:szCs w:val="20"/>
          <w:color w:val="auto"/>
        </w:rPr>
      </w:pPr>
    </w:p>
    <w:p>
      <w:pPr>
        <w:ind w:left="964" w:hanging="532"/>
        <w:spacing w:after="0"/>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224" w:hanging="224"/>
        <w:spacing w:after="0"/>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4" w:right="120" w:hanging="4"/>
        <w:spacing w:after="0" w:line="293" w:lineRule="auto"/>
        <w:tabs>
          <w:tab w:leader="none" w:pos="269" w:val="left"/>
        </w:tabs>
        <w:numPr>
          <w:ilvl w:val="0"/>
          <w:numId w:val="5"/>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4" w:right="140" w:hanging="4"/>
        <w:spacing w:after="0" w:line="301" w:lineRule="auto"/>
        <w:tabs>
          <w:tab w:leader="none" w:pos="319"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this Registration Statement or any material change to such information in this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clauses A(1)(i) and A(1)(ii) above shall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w:t>
      </w:r>
    </w:p>
    <w:p>
      <w:pPr>
        <w:spacing w:after="0" w:line="62" w:lineRule="exact"/>
        <w:rPr>
          <w:rFonts w:ascii="Arial" w:cs="Arial" w:eastAsia="Arial" w:hAnsi="Arial"/>
          <w:sz w:val="16"/>
          <w:szCs w:val="16"/>
          <w:color w:val="auto"/>
        </w:rPr>
      </w:pPr>
    </w:p>
    <w:p>
      <w:pPr>
        <w:ind w:left="964" w:hanging="532"/>
        <w:spacing w:after="0" w:line="263"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89" w:lineRule="exact"/>
        <w:rPr>
          <w:rFonts w:ascii="Arial" w:cs="Arial" w:eastAsia="Arial" w:hAnsi="Arial"/>
          <w:sz w:val="18"/>
          <w:szCs w:val="18"/>
          <w:color w:val="auto"/>
        </w:rPr>
      </w:pPr>
    </w:p>
    <w:p>
      <w:pPr>
        <w:ind w:left="964" w:right="400" w:hanging="532"/>
        <w:spacing w:after="0" w:line="277" w:lineRule="auto"/>
        <w:tabs>
          <w:tab w:leader="none" w:pos="96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Registrant’s offering.</w:t>
      </w:r>
    </w:p>
    <w:p>
      <w:pPr>
        <w:spacing w:after="0" w:line="170" w:lineRule="exact"/>
        <w:rPr>
          <w:sz w:val="20"/>
          <w:szCs w:val="20"/>
          <w:color w:val="auto"/>
        </w:rPr>
      </w:pPr>
    </w:p>
    <w:p>
      <w:pPr>
        <w:ind w:left="4" w:right="140"/>
        <w:spacing w:after="0" w:line="257" w:lineRule="auto"/>
        <w:rPr>
          <w:sz w:val="20"/>
          <w:szCs w:val="20"/>
          <w:color w:val="auto"/>
        </w:rPr>
      </w:pPr>
      <w:r>
        <w:rPr>
          <w:rFonts w:ascii="Arial" w:cs="Arial" w:eastAsia="Arial" w:hAnsi="Arial"/>
          <w:sz w:val="18"/>
          <w:szCs w:val="18"/>
          <w:color w:val="auto"/>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left="4" w:right="120"/>
        <w:spacing w:after="0" w:line="254" w:lineRule="auto"/>
        <w:rPr>
          <w:sz w:val="20"/>
          <w:szCs w:val="20"/>
          <w:color w:val="auto"/>
        </w:rPr>
      </w:pPr>
      <w:r>
        <w:rPr>
          <w:rFonts w:ascii="Arial" w:cs="Arial" w:eastAsia="Arial" w:hAnsi="Arial"/>
          <w:sz w:val="18"/>
          <w:szCs w:val="18"/>
          <w:color w:val="auto"/>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324" w:right="4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Boston, Commonwealth of Massachusetts on this 1st day of June,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FLYWIRE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Michael Massaro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Michael Massaro and Michael Ellis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Signature</w:t>
            </w:r>
          </w:p>
        </w:tc>
        <w:tc>
          <w:tcPr>
            <w:tcW w:w="30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300" w:type="dxa"/>
            <w:vAlign w:val="bottom"/>
          </w:tcPr>
          <w:p>
            <w:pPr>
              <w:spacing w:after="0"/>
              <w:rPr>
                <w:sz w:val="14"/>
                <w:szCs w:val="14"/>
                <w:color w:val="auto"/>
              </w:rPr>
            </w:pPr>
          </w:p>
        </w:tc>
      </w:tr>
      <w:tr>
        <w:trPr>
          <w:trHeight w:val="318"/>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Massaro</w:t>
            </w:r>
          </w:p>
        </w:tc>
        <w:tc>
          <w:tcPr>
            <w:tcW w:w="5160" w:type="dxa"/>
            <w:vAlign w:val="bottom"/>
            <w:gridSpan w:val="3"/>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156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1,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Michael Massaro</w:t>
            </w:r>
          </w:p>
        </w:tc>
        <w:tc>
          <w:tcPr>
            <w:tcW w:w="516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23"/>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Ellis</w:t>
            </w:r>
          </w:p>
        </w:tc>
        <w:tc>
          <w:tcPr>
            <w:tcW w:w="5160" w:type="dxa"/>
            <w:vAlign w:val="bottom"/>
            <w:gridSpan w:val="3"/>
          </w:tcPr>
          <w:p>
            <w:pPr>
              <w:jc w:val="center"/>
              <w:spacing w:after="0"/>
              <w:rPr>
                <w:sz w:val="20"/>
                <w:szCs w:val="20"/>
                <w:color w:val="auto"/>
              </w:rPr>
            </w:pPr>
            <w:r>
              <w:rPr>
                <w:rFonts w:ascii="Arial" w:cs="Arial" w:eastAsia="Arial" w:hAnsi="Arial"/>
                <w:sz w:val="18"/>
                <w:szCs w:val="18"/>
                <w:color w:val="auto"/>
                <w:w w:val="94"/>
              </w:rPr>
              <w:t>Chief Financial Officer</w:t>
            </w:r>
          </w:p>
        </w:tc>
        <w:tc>
          <w:tcPr>
            <w:tcW w:w="156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1,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Michael Ellis</w:t>
            </w:r>
          </w:p>
        </w:tc>
        <w:tc>
          <w:tcPr>
            <w:tcW w:w="516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(Principal Financial Officer and Accounting Officer)</w:t>
            </w: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23"/>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Phillip Riese</w:t>
            </w:r>
          </w:p>
        </w:tc>
        <w:tc>
          <w:tcPr>
            <w:tcW w:w="5160" w:type="dxa"/>
            <w:vAlign w:val="bottom"/>
            <w:gridSpan w:val="3"/>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56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1,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Phillip Riese</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23"/>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 Natauri</w:t>
            </w:r>
          </w:p>
        </w:tc>
        <w:tc>
          <w:tcPr>
            <w:tcW w:w="51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1,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Jo Natauri</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23"/>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Alex Finkelstein</w:t>
            </w:r>
          </w:p>
        </w:tc>
        <w:tc>
          <w:tcPr>
            <w:tcW w:w="51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1,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Alex Finkelstein</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23"/>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 Harris</w:t>
            </w:r>
          </w:p>
        </w:tc>
        <w:tc>
          <w:tcPr>
            <w:tcW w:w="51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1,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Matt Harris</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23"/>
        </w:trPr>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Edwin Santos</w:t>
            </w:r>
          </w:p>
        </w:tc>
        <w:tc>
          <w:tcPr>
            <w:tcW w:w="5160" w:type="dxa"/>
            <w:vAlign w:val="bottom"/>
            <w:gridSpan w:val="3"/>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gridSpan w:val="3"/>
          </w:tcPr>
          <w:p>
            <w:pPr>
              <w:jc w:val="center"/>
              <w:ind w:left="570"/>
              <w:spacing w:after="0"/>
              <w:rPr>
                <w:sz w:val="20"/>
                <w:szCs w:val="20"/>
                <w:color w:val="auto"/>
              </w:rPr>
            </w:pPr>
            <w:r>
              <w:rPr>
                <w:rFonts w:ascii="Arial" w:cs="Arial" w:eastAsia="Arial" w:hAnsi="Arial"/>
                <w:sz w:val="18"/>
                <w:szCs w:val="18"/>
                <w:color w:val="auto"/>
                <w:w w:val="86"/>
              </w:rPr>
              <w:t>June 1, 2021</w:t>
            </w:r>
          </w:p>
        </w:tc>
      </w:tr>
      <w:tr>
        <w:trPr>
          <w:trHeight w:val="224"/>
        </w:trPr>
        <w:tc>
          <w:tcPr>
            <w:tcW w:w="3640" w:type="dxa"/>
            <w:vAlign w:val="bottom"/>
            <w:gridSpan w:val="2"/>
          </w:tcPr>
          <w:p>
            <w:pPr>
              <w:spacing w:after="0"/>
              <w:rPr>
                <w:sz w:val="20"/>
                <w:szCs w:val="20"/>
                <w:color w:val="auto"/>
              </w:rPr>
            </w:pPr>
            <w:r>
              <w:rPr>
                <w:rFonts w:ascii="Arial" w:cs="Arial" w:eastAsia="Arial" w:hAnsi="Arial"/>
                <w:sz w:val="18"/>
                <w:szCs w:val="18"/>
                <w:color w:val="auto"/>
              </w:rPr>
              <w:t>Edwin Santos</w:t>
            </w:r>
          </w:p>
        </w:tc>
        <w:tc>
          <w:tcPr>
            <w:tcW w:w="2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ectPr>
          <w:pgSz w:w="11900" w:h="16838" w:orient="portrait"/>
          <w:cols w:equalWidth="0" w:num="1">
            <w:col w:w="10980"/>
          </w:cols>
          <w:pgMar w:left="440" w:top="270" w:right="4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June 1,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Flywire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141 Tremont St #10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Boston, MA 02111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We refer to the registration statement on Form S-8 (the “Registration Statement”) to be filed by Flywire Corporation, a Delaware corporation (the “Company”), with the Securities and Exchange Commission (the “Commission”) in connection with the registration under the Securities Act of 1933, as amended (the “Act”), of an aggregate of 28,524,527 shares of the Company’s common stock, $0.0001 par value per share (the “Shares”), that are subject to issuance by the Company (i) upon the exercise or settlement of awards granted or to be granted under the Company’s 2021 Equity Incentive Plan,</w:t>
      </w:r>
    </w:p>
    <w:p>
      <w:pPr>
        <w:spacing w:after="0" w:line="1" w:lineRule="exact"/>
        <w:rPr>
          <w:sz w:val="20"/>
          <w:szCs w:val="20"/>
          <w:color w:val="auto"/>
        </w:rPr>
      </w:pPr>
    </w:p>
    <w:p>
      <w:pPr>
        <w:ind w:left="4" w:right="220" w:hanging="4"/>
        <w:spacing w:after="0" w:line="253" w:lineRule="auto"/>
        <w:tabs>
          <w:tab w:leader="none" w:pos="269"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the exercise of purchase rights to acquire shares of common stock granted or to be granted under the Company’s 2021 Employee Stock Purchase Plan, (iii) pursuant to awards granted under the Company’s 2009 Equity Incentive Plan and (iv) pursuant to awards granted under the Company’s 2018 Stock Incentive Plan. The Company’s 2021 Equity Incentive Plan, 2021 Employee Stock Purchase Plan, 2009 Equity Incentive Plan and 2018 Stock Incentive Plan are collectively referred to in this letter as the “Plans.”</w:t>
      </w:r>
    </w:p>
    <w:p>
      <w:pPr>
        <w:spacing w:after="0" w:line="193"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In connection with this opinion, we have reviewed the actions proposed to be taken by you in connection with the issuance and sale of the Shares to be issued under the Plans. We have also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spacing w:after="0" w:line="177"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“DGCL”).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spacing w:after="0" w:line="166" w:lineRule="exact"/>
        <w:rPr>
          <w:sz w:val="20"/>
          <w:szCs w:val="20"/>
          <w:color w:val="auto"/>
        </w:rPr>
      </w:pPr>
    </w:p>
    <w:p>
      <w:pPr>
        <w:jc w:val="both"/>
        <w:ind w:left="4" w:right="60"/>
        <w:spacing w:after="0" w:line="263" w:lineRule="auto"/>
        <w:rPr>
          <w:sz w:val="20"/>
          <w:szCs w:val="20"/>
          <w:color w:val="auto"/>
        </w:rPr>
      </w:pPr>
      <w:r>
        <w:rPr>
          <w:rFonts w:ascii="Arial" w:cs="Arial" w:eastAsia="Arial" w:hAnsi="Arial"/>
          <w:sz w:val="18"/>
          <w:szCs w:val="18"/>
          <w:color w:val="auto"/>
        </w:rPr>
        <w:t>Based upon and subject to the foregoing, we advise you that, in our opinion, when the Shares have been issued and sold by the Company pursuant to the applicable provisions of the Plans and pursuant to the agreements which accompany the Plans, and in accordance with the Registration Statement, such Shares will be validly issued, fully paid and nonassessable.</w:t>
      </w:r>
    </w:p>
    <w:p>
      <w:pPr>
        <w:spacing w:after="0" w:line="184" w:lineRule="exact"/>
        <w:rPr>
          <w:sz w:val="20"/>
          <w:szCs w:val="20"/>
          <w:color w:val="auto"/>
        </w:rPr>
      </w:pPr>
    </w:p>
    <w:p>
      <w:pPr>
        <w:ind w:left="4" w:right="20"/>
        <w:spacing w:after="0" w:line="308" w:lineRule="auto"/>
        <w:rPr>
          <w:sz w:val="20"/>
          <w:szCs w:val="20"/>
          <w:color w:val="auto"/>
        </w:rPr>
      </w:pPr>
      <w:r>
        <w:rPr>
          <w:rFonts w:ascii="Arial" w:cs="Arial" w:eastAsia="Arial" w:hAnsi="Arial"/>
          <w:sz w:val="17"/>
          <w:szCs w:val="17"/>
          <w:color w:val="auto"/>
        </w:rPr>
        <w:t>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17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Gunderson Dettmer Stough Villeneuve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Franklin &amp; Hachigian, LLP</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GUNDERSON DETTMER STOUGH</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VILLENEUVE FRANKLIN &amp; HACHIGIAN, LLP</w:t>
      </w:r>
    </w:p>
    <w:p>
      <w:pPr>
        <w:sectPr>
          <w:pgSz w:w="11900" w:h="16838" w:orient="portrait"/>
          <w:cols w:equalWidth="0" w:num="1">
            <w:col w:w="11024"/>
          </w:cols>
          <w:pgMar w:left="436"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hereby consent to the incorporation by reference in this Registration Statement on Form S-8 of Flywire Corporation of our report dated March 11, 2021, except for the effects of the stock split discussed in Note 20 to the consolidated financial statements, as to which the date is May 14, 2021, relating to the financial statements, which appears in Amendment No. 1 to the Registration Statement on Form S-1 (No. 333-255706) of Flywire Corporation.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 2021</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Flywire Corporation 2021 Equity Incentive Plan, Flywire Corporation 2021 Employee Stock Purchase Plan, Flywire Corporation 2009 Equity Incentive Plan and Flywire Corporation 2018 Stock Incentive Plan of Flywire Corporation, of our report dated March 10, 2021, with respect to the consolidated financial statements of Simplificare Inc. included in the Registration Statement (Form S-1 No. 333-255706) and related Prospectus of Flywire Corporation for the registration of its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Kost Forer Gabbay &amp; Kasierer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Member of Ernst &amp; Young Global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1, 2021</w:t>
      </w:r>
    </w:p>
    <w:p>
      <w:pPr>
        <w:sectPr>
          <w:pgSz w:w="11900" w:h="16838" w:orient="portrait"/>
          <w:cols w:equalWidth="0" w:num="1">
            <w:col w:w="11020"/>
          </w:cols>
          <w:pgMar w:left="440" w:top="121" w:right="4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LYWIRE CORPORATION</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 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PRIL</w:t>
      </w:r>
      <w:r>
        <w:rPr>
          <w:rFonts w:ascii="Arial" w:cs="Arial" w:eastAsia="Arial" w:hAnsi="Arial"/>
          <w:sz w:val="18"/>
          <w:szCs w:val="18"/>
          <w:b w:val="1"/>
          <w:bCs w:val="1"/>
          <w:color w:val="auto"/>
        </w:rPr>
        <w:t xml:space="preserve"> 28, 2021)</w:t>
      </w:r>
    </w:p>
    <w:p>
      <w:pPr>
        <w:sectPr>
          <w:pgSz w:w="11900" w:h="16838" w:orient="portrait"/>
          <w:cols w:equalWidth="0" w:num="1">
            <w:col w:w="10020"/>
          </w:cols>
          <w:pgMar w:left="1440" w:top="121" w:right="43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w:t>
      </w:r>
      <w:r>
        <w:rPr>
          <w:rFonts w:ascii="Arial" w:cs="Arial" w:eastAsia="Arial" w:hAnsi="Arial"/>
          <w:sz w:val="14"/>
          <w:szCs w:val="14"/>
          <w:b w:val="1"/>
          <w:bCs w:val="1"/>
          <w:color w:val="auto"/>
        </w:rPr>
        <w:t>LYWIRE CORPORATION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07" w:lineRule="exact"/>
        <w:rPr>
          <w:sz w:val="20"/>
          <w:szCs w:val="20"/>
          <w:color w:val="auto"/>
        </w:rPr>
      </w:pPr>
    </w:p>
    <w:p>
      <w:pPr>
        <w:ind w:left="4"/>
        <w:spacing w:after="0"/>
        <w:tabs>
          <w:tab w:leader="none" w:pos="1144" w:val="left"/>
        </w:tabs>
        <w:rPr>
          <w:sz w:val="20"/>
          <w:szCs w:val="20"/>
          <w:color w:val="auto"/>
        </w:rPr>
      </w:pPr>
      <w:r>
        <w:rPr>
          <w:rFonts w:ascii="Arial" w:cs="Arial" w:eastAsia="Arial" w:hAnsi="Arial"/>
          <w:sz w:val="18"/>
          <w:szCs w:val="18"/>
          <w:b w:val="1"/>
          <w:bCs w:val="1"/>
          <w:color w:val="auto"/>
        </w:rPr>
        <w:t>ARTICLE 1.</w:t>
        <w:tab/>
        <w:t>INTRODUCTION.</w:t>
      </w:r>
    </w:p>
    <w:p>
      <w:pPr>
        <w:spacing w:after="0" w:line="121"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The Board adopted the Plan to become effective immediately, although no Awards may be granted prior to the IPO Date. The purpose of the Plan is to promote the long-term success of the Company and the creation of stockholder value by (a) encouraging Service Providers to focus on critical long-range corporate objectives, (b) encouraging the attraction and retention of Service Providers with exceptional qualifications and (c) linking Service Providers directly to stockholder interests through increased stock ownership. The Plan seeks to achieve this purpose by providing for Awards in the form of Options (which may be ISOs or NSOs), SARs, Restricted Shares and Restricted Stock Units. Capitalized terms used in this Plan are defined in Article 14.</w:t>
      </w:r>
    </w:p>
    <w:p>
      <w:pPr>
        <w:spacing w:after="0" w:line="296" w:lineRule="exact"/>
        <w:rPr>
          <w:sz w:val="20"/>
          <w:szCs w:val="20"/>
          <w:color w:val="auto"/>
        </w:rPr>
      </w:pPr>
    </w:p>
    <w:p>
      <w:pPr>
        <w:ind w:left="4"/>
        <w:spacing w:after="0"/>
        <w:tabs>
          <w:tab w:leader="none" w:pos="1144" w:val="left"/>
        </w:tabs>
        <w:rPr>
          <w:sz w:val="20"/>
          <w:szCs w:val="20"/>
          <w:color w:val="auto"/>
        </w:rPr>
      </w:pPr>
      <w:r>
        <w:rPr>
          <w:rFonts w:ascii="Arial" w:cs="Arial" w:eastAsia="Arial" w:hAnsi="Arial"/>
          <w:sz w:val="18"/>
          <w:szCs w:val="18"/>
          <w:b w:val="1"/>
          <w:bCs w:val="1"/>
          <w:color w:val="auto"/>
        </w:rPr>
        <w:t>ARTICLE 2.</w:t>
        <w:tab/>
        <w:t>ADMINISTRATION.</w:t>
      </w:r>
    </w:p>
    <w:p>
      <w:pPr>
        <w:spacing w:after="0" w:line="117" w:lineRule="exact"/>
        <w:rPr>
          <w:sz w:val="20"/>
          <w:szCs w:val="20"/>
          <w:color w:val="auto"/>
        </w:rPr>
      </w:pPr>
    </w:p>
    <w:p>
      <w:pPr>
        <w:ind w:left="4" w:right="100" w:firstLine="440"/>
        <w:spacing w:after="0" w:line="292" w:lineRule="auto"/>
        <w:rPr>
          <w:sz w:val="20"/>
          <w:szCs w:val="20"/>
          <w:color w:val="auto"/>
        </w:rPr>
      </w:pPr>
      <w:r>
        <w:rPr>
          <w:rFonts w:ascii="Arial" w:cs="Arial" w:eastAsia="Arial" w:hAnsi="Arial"/>
          <w:sz w:val="16"/>
          <w:szCs w:val="16"/>
          <w:b w:val="1"/>
          <w:bCs w:val="1"/>
          <w:color w:val="auto"/>
        </w:rPr>
        <w:t xml:space="preserve">2.1 General. </w:t>
      </w:r>
      <w:r>
        <w:rPr>
          <w:rFonts w:ascii="Arial" w:cs="Arial" w:eastAsia="Arial" w:hAnsi="Arial"/>
          <w:sz w:val="16"/>
          <w:szCs w:val="16"/>
          <w:color w:val="auto"/>
        </w:rPr>
        <w:t>The Plan may be administered by the Board or one or more Committees to which the Board (or an authorized Board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has delegated authority. If administration is delegated to a Committee, the Committee shall have the powers theretofore possessed by the Board, including, to the extent permitted by applicable law, the power to delegate to a subcommittee any of the administrative powers the Committee is authorized to exercise (and references in this Plan to either the Board or the Administrator shall hereafter also encompass the Committee or subcommittee, as applicable). The Board may abolish the Committee’s delegation at any time and the Board shall at all times also retain the authority it has delegated to the Committee. The Administrator shall comply with rules and regulations applicable to it, including under the rules of any exchange on which the Common Shares are traded, and shall have the authority and be responsible for such functions as have been assigned to it.</w:t>
      </w:r>
    </w:p>
    <w:p>
      <w:pPr>
        <w:spacing w:after="0" w:line="161"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2.2 Section 16</w:t>
      </w:r>
      <w:r>
        <w:rPr>
          <w:rFonts w:ascii="Arial" w:cs="Arial" w:eastAsia="Arial" w:hAnsi="Arial"/>
          <w:sz w:val="18"/>
          <w:szCs w:val="18"/>
          <w:color w:val="auto"/>
        </w:rPr>
        <w:t>. To the extent desirable to qualify transactions hereunder as exempt under Exchange Act Rule 16b-3,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hereunder will be approved by the entire Board or a Committee of two or more “non-employee directors” within the meaning of Exchange Act Rule 16b-3.</w:t>
      </w:r>
    </w:p>
    <w:p>
      <w:pPr>
        <w:spacing w:after="0" w:line="176" w:lineRule="exact"/>
        <w:rPr>
          <w:sz w:val="20"/>
          <w:szCs w:val="20"/>
          <w:color w:val="auto"/>
        </w:rPr>
      </w:pPr>
    </w:p>
    <w:p>
      <w:pPr>
        <w:jc w:val="both"/>
        <w:ind w:left="4" w:right="280" w:firstLine="440"/>
        <w:spacing w:after="0" w:line="289" w:lineRule="auto"/>
        <w:rPr>
          <w:sz w:val="20"/>
          <w:szCs w:val="20"/>
          <w:color w:val="auto"/>
        </w:rPr>
      </w:pPr>
      <w:r>
        <w:rPr>
          <w:rFonts w:ascii="Arial" w:cs="Arial" w:eastAsia="Arial" w:hAnsi="Arial"/>
          <w:sz w:val="16"/>
          <w:szCs w:val="16"/>
          <w:b w:val="1"/>
          <w:bCs w:val="1"/>
          <w:color w:val="auto"/>
        </w:rPr>
        <w:t>2.3 Powers of Administrator</w:t>
      </w:r>
      <w:r>
        <w:rPr>
          <w:rFonts w:ascii="Arial" w:cs="Arial" w:eastAsia="Arial" w:hAnsi="Arial"/>
          <w:sz w:val="16"/>
          <w:szCs w:val="16"/>
          <w:color w:val="auto"/>
        </w:rPr>
        <w:t>. Subject to the terms of the Plan, and in the case of a Committee, subject to the specific duties delegated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the Administrator shall have the authority to (a) select the Service Providers who are to receive Awards under the Plan, (b) determine the type, number, vesting requirements and other features and conditions of such Awards, (c) interpret the Plan and Awards granted under the Plan,</w:t>
      </w:r>
    </w:p>
    <w:p>
      <w:pPr>
        <w:spacing w:after="0" w:line="2" w:lineRule="exact"/>
        <w:rPr>
          <w:sz w:val="20"/>
          <w:szCs w:val="20"/>
          <w:color w:val="auto"/>
        </w:rPr>
      </w:pPr>
    </w:p>
    <w:p>
      <w:pPr>
        <w:ind w:left="4" w:right="80" w:hanging="4"/>
        <w:spacing w:after="0" w:line="252" w:lineRule="auto"/>
        <w:tabs>
          <w:tab w:leader="none" w:pos="259"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determine whether, when and to what extent an Award has become vested and/or exercisable and whether any performance-based vesting conditions have been satisfied, (e) make, amend and rescind rules relating to the Plan and Awards granted under the Plan, including rules relating to sub-plans established for the purposes of satisfying applicable foreign laws or for qualifying for favorable tax treatment under applicable foreign laws, (f) impose such restrictions, conditions or limitations as it determines appropriate as to the timing and manner of any resales by a Participant of any Common Shares issued pursuant to an Award, including restrictions under an insider trading policy and restrictions as to the use of a specified brokerage firm for such resales,</w:t>
      </w:r>
    </w:p>
    <w:p>
      <w:pPr>
        <w:sectPr>
          <w:pgSz w:w="11900" w:h="16838" w:orient="portrait"/>
          <w:cols w:equalWidth="0" w:num="1">
            <w:col w:w="11004"/>
          </w:cols>
          <w:pgMar w:left="436" w:top="270" w:right="459" w:bottom="1440" w:gutter="0" w:footer="0" w:header="0"/>
        </w:sectPr>
      </w:pPr>
    </w:p>
    <w:bookmarkStart w:id="12" w:name="page13"/>
    <w:bookmarkEnd w:id="12"/>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(g) make all other decisions relating to the operation of the Plan and Awards granted under the Plan. In addition, with regard to the terms and conditions of Awards granted to Service Providers outside of the United States, the Administrator may vary from the provisions of the Plan (other than any requiring stockholder approval pursuant to Section 13.3) to the extent it determines it necessary and appropriate to do so.</w:t>
      </w:r>
    </w:p>
    <w:p>
      <w:pPr>
        <w:spacing w:after="0" w:line="161"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2.4 Effect of Administrator’s Decisions</w:t>
      </w:r>
      <w:r>
        <w:rPr>
          <w:rFonts w:ascii="Arial" w:cs="Arial" w:eastAsia="Arial" w:hAnsi="Arial"/>
          <w:sz w:val="18"/>
          <w:szCs w:val="18"/>
          <w:color w:val="auto"/>
        </w:rPr>
        <w:t>. The Administrator’s decisions, determinations and interpretations shall be final and binding on all</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interested parties.</w:t>
      </w:r>
    </w:p>
    <w:p>
      <w:pPr>
        <w:spacing w:after="0" w:line="162" w:lineRule="exact"/>
        <w:rPr>
          <w:sz w:val="20"/>
          <w:szCs w:val="20"/>
          <w:color w:val="auto"/>
        </w:rPr>
      </w:pPr>
    </w:p>
    <w:p>
      <w:pPr>
        <w:ind w:right="920" w:firstLine="440"/>
        <w:spacing w:after="0" w:line="282" w:lineRule="auto"/>
        <w:rPr>
          <w:sz w:val="20"/>
          <w:szCs w:val="20"/>
          <w:color w:val="auto"/>
        </w:rPr>
      </w:pPr>
      <w:r>
        <w:rPr>
          <w:rFonts w:ascii="Arial" w:cs="Arial" w:eastAsia="Arial" w:hAnsi="Arial"/>
          <w:sz w:val="18"/>
          <w:szCs w:val="18"/>
          <w:b w:val="1"/>
          <w:bCs w:val="1"/>
          <w:color w:val="auto"/>
        </w:rPr>
        <w:t>2.5 Governing Law</w:t>
      </w:r>
      <w:r>
        <w:rPr>
          <w:rFonts w:ascii="Arial" w:cs="Arial" w:eastAsia="Arial" w:hAnsi="Arial"/>
          <w:sz w:val="18"/>
          <w:szCs w:val="18"/>
          <w:color w:val="auto"/>
        </w:rPr>
        <w:t>. The Plan shall be governed by, and construed in accordance with, the laws of the State of Delaware (except its</w:t>
      </w:r>
      <w:r>
        <w:rPr>
          <w:rFonts w:ascii="Arial" w:cs="Arial" w:eastAsia="Arial" w:hAnsi="Arial"/>
          <w:sz w:val="18"/>
          <w:szCs w:val="18"/>
          <w:b w:val="1"/>
          <w:bCs w:val="1"/>
          <w:color w:val="auto"/>
        </w:rPr>
        <w:t xml:space="preserve"> </w:t>
      </w:r>
      <w:r>
        <w:rPr>
          <w:rFonts w:ascii="Arial" w:cs="Arial" w:eastAsia="Arial" w:hAnsi="Arial"/>
          <w:sz w:val="18"/>
          <w:szCs w:val="18"/>
          <w:color w:val="auto"/>
        </w:rPr>
        <w:t>choice-of-law provisions).</w:t>
      </w:r>
    </w:p>
    <w:p>
      <w:pPr>
        <w:spacing w:after="0" w:line="2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SHARES AVAILABLE FOR GRANTS.</w:t>
      </w:r>
    </w:p>
    <w:p>
      <w:pPr>
        <w:spacing w:after="0" w:line="117"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b w:val="1"/>
          <w:bCs w:val="1"/>
          <w:color w:val="auto"/>
        </w:rPr>
        <w:t>3.1 Basic Limitation</w:t>
      </w:r>
      <w:r>
        <w:rPr>
          <w:rFonts w:ascii="Arial" w:cs="Arial" w:eastAsia="Arial" w:hAnsi="Arial"/>
          <w:sz w:val="17"/>
          <w:szCs w:val="17"/>
          <w:color w:val="auto"/>
        </w:rPr>
        <w:t>. Common Shares issued pursuant to the Plan may be authorized but unissued shares or treasury shares. The aggregate</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Common Shares issued under the Plan shall not exceed the sum of (a) 9,201,156 Common Shares, (b) any Common Shares subject to awards granted under the Predecessor Plan that are outstanding on the IPO Date that subsequently are forfeited, expire or lapse unexercised or unsettled and Common Shares issued pursuant to awards granted under the Predecessor Plan that are outstanding on the IPO Date and that are subsequently forfeited to or reacquired by the Company, (c) the number of Common Shares reserved under the Predecessor Plan that are not issued or subject to outstanding awards under the Predecessor Plan on the IPO Date and (d) the additional Common Shares described in Articles 3.2 and 3.3; provided, however, that no more than 17,683,561 Common Shares, in the aggregate, shall be added to the Plan pursuant to clauses (b) and (c). The Company shall reserve and keep available such number of Common Shares as will be sufficient to satisfy the requirements of the Plan. The numerical limitations in this Article 3.1 shall be subject to adjustment pursuant to Article 9.</w:t>
      </w:r>
    </w:p>
    <w:p>
      <w:pPr>
        <w:spacing w:after="0" w:line="174"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3.2 Annual Increase in Shares</w:t>
      </w:r>
      <w:r>
        <w:rPr>
          <w:rFonts w:ascii="Arial" w:cs="Arial" w:eastAsia="Arial" w:hAnsi="Arial"/>
          <w:sz w:val="18"/>
          <w:szCs w:val="18"/>
          <w:color w:val="auto"/>
        </w:rPr>
        <w:t>. On the first day of each fiscal year of the Company during the term of the Plan, commencing in 2022 and</w:t>
      </w:r>
      <w:r>
        <w:rPr>
          <w:rFonts w:ascii="Arial" w:cs="Arial" w:eastAsia="Arial" w:hAnsi="Arial"/>
          <w:sz w:val="18"/>
          <w:szCs w:val="18"/>
          <w:b w:val="1"/>
          <w:bCs w:val="1"/>
          <w:color w:val="auto"/>
        </w:rPr>
        <w:t xml:space="preserve"> </w:t>
      </w:r>
      <w:r>
        <w:rPr>
          <w:rFonts w:ascii="Arial" w:cs="Arial" w:eastAsia="Arial" w:hAnsi="Arial"/>
          <w:sz w:val="18"/>
          <w:szCs w:val="18"/>
          <w:color w:val="auto"/>
        </w:rPr>
        <w:t>ending in (and including) 2031, the aggregate number of Common Shares that may be issued under the Plan shall automatically increase by a number equal to the lesser of (a) 5% of the total number of Common Shares actually issued and outstanding on the last day of the preceding fiscal year, or (b) a number of Common Shares determined by the Board.</w:t>
      </w:r>
    </w:p>
    <w:p>
      <w:pPr>
        <w:spacing w:after="0" w:line="18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3.3 Shares Returned to Reserve</w:t>
      </w:r>
      <w:r>
        <w:rPr>
          <w:rFonts w:ascii="Arial" w:cs="Arial" w:eastAsia="Arial" w:hAnsi="Arial"/>
          <w:sz w:val="16"/>
          <w:szCs w:val="16"/>
          <w:color w:val="auto"/>
        </w:rPr>
        <w:t>. To the extent that Options, SARs, Restricted Stock Units or other Awards are forfeited, cancelled or expire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reason before being exercised or settled in full, the Common Shares subject to such Awards shall again become available for issuance under the Plan. If SARs are exercised or Restricted Stock Units are settled, then only the number of Common Shares (if any) actually issued to the Participant upon exercise of such SARs or settlement of such Restricted Stock Units, as applicable, shall reduce the number of Common Shares available under Article 3.1 and the balance shall again become available for issuance under the Plan. If Restricted Shares or Common Shares issued upon the exercise of Options are reacquired by the Company pursuant to a forfeiture provision, repurchase right or for any other reason, then such Common Shares shall again become available for issuance under the Plan. Common Shares applied to pay the Exercise Price of Options or to satisfy tax withholding obligations related to any Award shall again become available for issuance under the Plan. To the extent that an Award is settled in cash rather than Common Shares, the cash settlement shall not reduce the number of Shares available for issuance under the Plan.</w:t>
      </w:r>
    </w:p>
    <w:p>
      <w:pPr>
        <w:sectPr>
          <w:pgSz w:w="11900" w:h="16838" w:orient="portrait"/>
          <w:cols w:equalWidth="0" w:num="1">
            <w:col w:w="11000"/>
          </w:cols>
          <w:pgMar w:left="440" w:top="274" w:right="459" w:bottom="1440" w:gutter="0" w:footer="0" w:header="0"/>
        </w:sectPr>
      </w:pPr>
    </w:p>
    <w:bookmarkStart w:id="13" w:name="page14"/>
    <w:bookmarkEnd w:id="13"/>
    <w:p>
      <w:pPr>
        <w:ind w:right="60"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3.4 Awards Not Reducing Share Reserve</w:t>
      </w:r>
      <w:r>
        <w:rPr>
          <w:rFonts w:ascii="Arial" w:cs="Arial" w:eastAsia="Arial" w:hAnsi="Arial"/>
          <w:sz w:val="16"/>
          <w:szCs w:val="16"/>
          <w:color w:val="auto"/>
        </w:rPr>
        <w:t>. To the extent permitted under applicable exchange listing standards, any dividend equivalents paid</w:t>
      </w:r>
      <w:r>
        <w:rPr>
          <w:rFonts w:ascii="Arial" w:cs="Arial" w:eastAsia="Arial" w:hAnsi="Arial"/>
          <w:sz w:val="16"/>
          <w:szCs w:val="16"/>
          <w:b w:val="1"/>
          <w:bCs w:val="1"/>
          <w:color w:val="auto"/>
        </w:rPr>
        <w:t xml:space="preserve"> </w:t>
      </w:r>
      <w:r>
        <w:rPr>
          <w:rFonts w:ascii="Arial" w:cs="Arial" w:eastAsia="Arial" w:hAnsi="Arial"/>
          <w:sz w:val="16"/>
          <w:szCs w:val="16"/>
          <w:color w:val="auto"/>
        </w:rPr>
        <w:t>or credited under the Plan with respect to Restricted Stock Units shall not be applied against the number of Common Shares that may be issued under the Plan, whether or not such dividend equivalents are converted into Restricted Stock Units. In addition, Common Shares subject to Substitute Awards granted by the Company shall not reduce the number of Common Shares that may be issued under Article 3.1, nor shall shares subject to Substitute Awards again be available for Awards under the Plan in the event of any forfeiture, expiration or cash settlement of such Substitute Awards.</w:t>
      </w:r>
    </w:p>
    <w:p>
      <w:pPr>
        <w:spacing w:after="0" w:line="15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 xml:space="preserve">Code Section 422 and Other Limits. </w:t>
      </w:r>
      <w:r>
        <w:rPr>
          <w:rFonts w:ascii="Arial" w:cs="Arial" w:eastAsia="Arial" w:hAnsi="Arial"/>
          <w:sz w:val="16"/>
          <w:szCs w:val="16"/>
          <w:color w:val="auto"/>
        </w:rPr>
        <w:t>Subject to adjustment in accordance with Article 9:</w:t>
      </w:r>
    </w:p>
    <w:p>
      <w:pPr>
        <w:spacing w:after="0" w:line="121" w:lineRule="exact"/>
        <w:rPr>
          <w:sz w:val="20"/>
          <w:szCs w:val="20"/>
          <w:color w:val="auto"/>
        </w:rPr>
      </w:pPr>
    </w:p>
    <w:p>
      <w:pPr>
        <w:ind w:left="1360" w:hanging="373"/>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more than 15,248,383 Common Shares may be issued under the Plan upon the exercise of ISOs.</w:t>
      </w:r>
    </w:p>
    <w:p>
      <w:pPr>
        <w:spacing w:after="0" w:line="225" w:lineRule="exact"/>
        <w:rPr>
          <w:rFonts w:ascii="Arial" w:cs="Arial" w:eastAsia="Arial" w:hAnsi="Arial"/>
          <w:sz w:val="18"/>
          <w:szCs w:val="18"/>
          <w:color w:val="auto"/>
        </w:rPr>
      </w:pPr>
    </w:p>
    <w:p>
      <w:pPr>
        <w:ind w:right="20" w:firstLine="987"/>
        <w:spacing w:after="0" w:line="254" w:lineRule="auto"/>
        <w:tabs>
          <w:tab w:leader="none" w:pos="137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grant date fair value of Awards granted to an Outside Director during any one fiscal year of the Company, together with the value of any cash compensation paid to the Outside Director during such fiscal year, may not exceed $750,000 (on a per-Director basis); provided however that the limitation that will apply in the fiscal year in which the Outside Director is initially appointed or elected to the Board shall instead be $1,000,000. For purposes of this limitation, the grant date fair value of an Award shall be determined in accordance with the assumptions that the Company uses to estimate the value of share-based payments for financial reporting purposes. For the sake of clarity, neither Awards granted, nor compensation paid, to an individual for his or her service as an Employee or Consultant, but not as an Outside Director, shall count towards this limitation.</w:t>
      </w:r>
    </w:p>
    <w:p>
      <w:pPr>
        <w:spacing w:after="0" w:line="29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ARTICLE 4.</w:t>
        <w:tab/>
        <w:t>ELIGIBILITY.</w:t>
      </w:r>
    </w:p>
    <w:p>
      <w:pPr>
        <w:spacing w:after="0" w:line="117"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4.1 Incentive Stock Options</w:t>
      </w:r>
      <w:r>
        <w:rPr>
          <w:rFonts w:ascii="Arial" w:cs="Arial" w:eastAsia="Arial" w:hAnsi="Arial"/>
          <w:sz w:val="18"/>
          <w:szCs w:val="18"/>
          <w:color w:val="auto"/>
        </w:rPr>
        <w:t>. Only Employees who are common-law employees of the Company, a Parent or a Subsidiary shall be eligible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of ISOs. In addition, an Employee who owns more than 10% of the total combined voting power of all classes of outstanding stock of the Company or any of its Parents or Subsidiaries shall not be eligible for the grant of an ISO unless the additional requirements set forth in Code Section 422(c)(5) are satisfied.</w:t>
      </w:r>
    </w:p>
    <w:p>
      <w:pPr>
        <w:spacing w:after="0" w:line="180"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Other Awards</w:t>
      </w:r>
      <w:r>
        <w:rPr>
          <w:rFonts w:ascii="Arial" w:cs="Arial" w:eastAsia="Arial" w:hAnsi="Arial"/>
          <w:sz w:val="16"/>
          <w:szCs w:val="16"/>
          <w:color w:val="auto"/>
        </w:rPr>
        <w:t>. Awards other than ISOs may be granted to both Employees and other Service Providers.</w:t>
      </w:r>
    </w:p>
    <w:p>
      <w:pPr>
        <w:spacing w:after="0" w:line="33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7"/>
          <w:szCs w:val="17"/>
          <w:b w:val="1"/>
          <w:bCs w:val="1"/>
          <w:color w:val="auto"/>
        </w:rPr>
        <w:t>OPTIONS.</w:t>
      </w:r>
    </w:p>
    <w:p>
      <w:pPr>
        <w:spacing w:after="0" w:line="11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5.1 Stock Option Agreement. </w:t>
      </w:r>
      <w:r>
        <w:rPr>
          <w:rFonts w:ascii="Arial" w:cs="Arial" w:eastAsia="Arial" w:hAnsi="Arial"/>
          <w:sz w:val="18"/>
          <w:szCs w:val="18"/>
          <w:color w:val="auto"/>
        </w:rPr>
        <w:t>Each grant of an Option under the Plan shall be evidenced by a Stock Option Agreement between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Company. Such Option shall be subject to all applicable terms of the Plan and may be subject to any other terms that are not inconsistent with the Plan. The Stock Option Agreement shall specify whether the Option is intended to be an ISO or an NSO. The provisions of the various Stock Option Agreements entered into under the Plan need not be identical.</w:t>
      </w:r>
    </w:p>
    <w:p>
      <w:pPr>
        <w:sectPr>
          <w:pgSz w:w="11900" w:h="16838" w:orient="portrait"/>
          <w:cols w:equalWidth="0" w:num="1">
            <w:col w:w="10960"/>
          </w:cols>
          <w:pgMar w:left="440" w:top="270" w:right="499" w:bottom="1440" w:gutter="0" w:footer="0" w:header="0"/>
        </w:sectPr>
      </w:pPr>
    </w:p>
    <w:bookmarkStart w:id="14" w:name="page15"/>
    <w:bookmarkEnd w:id="14"/>
    <w:p>
      <w:pPr>
        <w:ind w:right="1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5.2 Number of Shares</w:t>
      </w:r>
      <w:r>
        <w:rPr>
          <w:rFonts w:ascii="Arial" w:cs="Arial" w:eastAsia="Arial" w:hAnsi="Arial"/>
          <w:sz w:val="18"/>
          <w:szCs w:val="18"/>
          <w:color w:val="auto"/>
        </w:rPr>
        <w:t>. Each Stock Option Agreement shall specify the number of Common Shares subject to the Option, which number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adjust in accordance with Article 9.</w:t>
      </w:r>
    </w:p>
    <w:p>
      <w:pPr>
        <w:spacing w:after="0" w:line="162"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b w:val="1"/>
          <w:bCs w:val="1"/>
          <w:color w:val="auto"/>
        </w:rPr>
        <w:t>5.3 Exercise Price</w:t>
      </w:r>
      <w:r>
        <w:rPr>
          <w:rFonts w:ascii="Arial" w:cs="Arial" w:eastAsia="Arial" w:hAnsi="Arial"/>
          <w:sz w:val="18"/>
          <w:szCs w:val="18"/>
          <w:color w:val="auto"/>
        </w:rPr>
        <w:t>. Each Stock Option Agreement shall specify the Exercise Price, which shall not be less than 100% of the 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a Common Share on the date of grant. The preceding sentence shall not apply to an Option that is a Substitute Award granted in a manner that would satisfy the requirements of Code Section 409A and, if applicable, Code Section 424(a).</w:t>
      </w:r>
    </w:p>
    <w:p>
      <w:pPr>
        <w:spacing w:after="0" w:line="176" w:lineRule="exact"/>
        <w:rPr>
          <w:sz w:val="20"/>
          <w:szCs w:val="20"/>
          <w:color w:val="auto"/>
        </w:rPr>
      </w:pPr>
    </w:p>
    <w:p>
      <w:pPr>
        <w:ind w:right="60" w:firstLine="440"/>
        <w:spacing w:after="0" w:line="294" w:lineRule="auto"/>
        <w:rPr>
          <w:sz w:val="20"/>
          <w:szCs w:val="20"/>
          <w:color w:val="auto"/>
        </w:rPr>
      </w:pPr>
      <w:r>
        <w:rPr>
          <w:rFonts w:ascii="Arial" w:cs="Arial" w:eastAsia="Arial" w:hAnsi="Arial"/>
          <w:sz w:val="16"/>
          <w:szCs w:val="16"/>
          <w:b w:val="1"/>
          <w:bCs w:val="1"/>
          <w:color w:val="auto"/>
        </w:rPr>
        <w:t>5.4 Exercisability and Term</w:t>
      </w:r>
      <w:r>
        <w:rPr>
          <w:rFonts w:ascii="Arial" w:cs="Arial" w:eastAsia="Arial" w:hAnsi="Arial"/>
          <w:sz w:val="16"/>
          <w:szCs w:val="16"/>
          <w:color w:val="auto"/>
        </w:rPr>
        <w:t>. Each Stock Option Agreement shall specify the date or event when all or any installment of the Option is to</w:t>
      </w:r>
      <w:r>
        <w:rPr>
          <w:rFonts w:ascii="Arial" w:cs="Arial" w:eastAsia="Arial" w:hAnsi="Arial"/>
          <w:sz w:val="16"/>
          <w:szCs w:val="16"/>
          <w:b w:val="1"/>
          <w:bCs w:val="1"/>
          <w:color w:val="auto"/>
        </w:rPr>
        <w:t xml:space="preserve"> </w:t>
      </w:r>
      <w:r>
        <w:rPr>
          <w:rFonts w:ascii="Arial" w:cs="Arial" w:eastAsia="Arial" w:hAnsi="Arial"/>
          <w:sz w:val="16"/>
          <w:szCs w:val="16"/>
          <w:color w:val="auto"/>
        </w:rPr>
        <w:t>become vested and/or exercisable. The vesting and exercisability conditions applicable to the Option may include service-based conditions, performance-based conditions, such other conditions as the Administrator may determine, or any combination of such conditions. The Stock Option Agreement shall also specify the term of the Option; provided that, except to the extent necessary to comply with applicable foreign law, the term of an Option shall in no event exceed 10 years from the date of grant. A Stock Option Agreement may provide for accelerated vesting and/or exercisability upon certain specified events and may provide for expiration prior to the end of its term in the event of the termination of the Optionee’s service.</w:t>
      </w:r>
    </w:p>
    <w:p>
      <w:pPr>
        <w:spacing w:after="0" w:line="160"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5.5 Death of Optionee</w:t>
      </w:r>
      <w:r>
        <w:rPr>
          <w:rFonts w:ascii="Arial" w:cs="Arial" w:eastAsia="Arial" w:hAnsi="Arial"/>
          <w:sz w:val="18"/>
          <w:szCs w:val="18"/>
          <w:color w:val="auto"/>
        </w:rPr>
        <w:t>. After an Optionee’s death, any vested and exercisable Options held by such Optionee may be exercised by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beneficiary or 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Options held by the Optionee may be exercised by his or her estate.</w:t>
      </w:r>
    </w:p>
    <w:p>
      <w:pPr>
        <w:spacing w:after="0" w:line="183"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b w:val="1"/>
          <w:bCs w:val="1"/>
          <w:color w:val="auto"/>
        </w:rPr>
        <w:t>5.6 Modification or Assumption of Options</w:t>
      </w:r>
      <w:r>
        <w:rPr>
          <w:rFonts w:ascii="Arial" w:cs="Arial" w:eastAsia="Arial" w:hAnsi="Arial"/>
          <w:sz w:val="17"/>
          <w:szCs w:val="17"/>
          <w:color w:val="auto"/>
        </w:rPr>
        <w:t>. Within the limitations of the Plan, the Administrator may modify, extend or assume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The foregoing notwithstanding, no modification of an Option shall, without the consent of the Optionee, materially impair his or her rights or obligations under such Option. Notwithstanding anything in this Plan to the contrary, and except for the adjustments provided in Article 9, neither the Administrator nor any other person may (a) decrease the exercise price for any outstanding Option after the date of grant, (b) cancel or allow an Optionee to surrender an outstanding Option to the Company in exchange for cash or as consideration for the grant of a new Option with a lower exercise price or the grant of another type of Award the effect of which is to reduce the exercise price of any outstanding Option, or (c) take any other action with respect to an Option that would be treated as a repricing under the rules and regulations of the Nasdaq Stock Market (or such other principal U.S. national securities exchange on which the Common Shares are traded).</w:t>
      </w:r>
    </w:p>
    <w:p>
      <w:pPr>
        <w:spacing w:after="0" w:line="172"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b w:val="1"/>
          <w:bCs w:val="1"/>
          <w:color w:val="auto"/>
        </w:rPr>
        <w:t>5.7 Buyout Provisions</w:t>
      </w:r>
      <w:r>
        <w:rPr>
          <w:rFonts w:ascii="Arial" w:cs="Arial" w:eastAsia="Arial" w:hAnsi="Arial"/>
          <w:sz w:val="18"/>
          <w:szCs w:val="18"/>
          <w:color w:val="auto"/>
        </w:rPr>
        <w:t>. Except to the extent prohibited by Article 5.6, the Administrator may at any time (a) offer to buy out for a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cash or cash equivalents an Option previously granted or (b) authorize an Optionee to elect to cash out an Option previously granted, in either case at such time and based upon such terms and conditions as the Administrator shall establish.</w:t>
      </w:r>
    </w:p>
    <w:p>
      <w:pPr>
        <w:sectPr>
          <w:pgSz w:w="11900" w:h="16838" w:orient="portrait"/>
          <w:cols w:equalWidth="0" w:num="1">
            <w:col w:w="10940"/>
          </w:cols>
          <w:pgMar w:left="440" w:top="270" w:right="519" w:bottom="1440" w:gutter="0" w:footer="0" w:header="0"/>
        </w:sectPr>
      </w:pPr>
    </w:p>
    <w:bookmarkStart w:id="15" w:name="page16"/>
    <w:bookmarkEnd w:id="15"/>
    <w:p>
      <w:pPr>
        <w:ind w:right="40" w:firstLine="440"/>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5.8 Payment for Option Shares</w:t>
      </w:r>
      <w:r>
        <w:rPr>
          <w:rFonts w:ascii="Arial" w:cs="Arial" w:eastAsia="Arial" w:hAnsi="Arial"/>
          <w:sz w:val="16"/>
          <w:szCs w:val="16"/>
          <w:color w:val="auto"/>
        </w:rPr>
        <w:t>. The entire Exercise Price of Common Shares issued upon exercise of Options shall be payable in cash or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at the time when such Common Shares are purchased. In addition, the Administrator may, in its sole discretion and to the extent permitted by applicable law, accept payment of all or a portion of the Exercise Price through any one or a combination of the following forms or methods:</w:t>
      </w:r>
    </w:p>
    <w:p>
      <w:pPr>
        <w:spacing w:after="0" w:line="38" w:lineRule="exact"/>
        <w:rPr>
          <w:sz w:val="20"/>
          <w:szCs w:val="20"/>
          <w:color w:val="auto"/>
        </w:rPr>
      </w:pPr>
    </w:p>
    <w:p>
      <w:pPr>
        <w:ind w:right="80" w:firstLine="987"/>
        <w:spacing w:after="0" w:line="263" w:lineRule="auto"/>
        <w:tabs>
          <w:tab w:leader="none" w:pos="1371"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any conditions or limitations established by the Administrator, by surrendering, or attesting to the ownership of, Common Shares that are already owned by the Optionee with a value on the date of surrender equal to the aggregate exercise price of the Common Shares as to which such Option will be exercised;</w:t>
      </w:r>
    </w:p>
    <w:p>
      <w:pPr>
        <w:spacing w:after="0" w:line="183" w:lineRule="exact"/>
        <w:rPr>
          <w:rFonts w:ascii="Arial" w:cs="Arial" w:eastAsia="Arial" w:hAnsi="Arial"/>
          <w:sz w:val="18"/>
          <w:szCs w:val="18"/>
          <w:color w:val="auto"/>
        </w:rPr>
      </w:pPr>
    </w:p>
    <w:p>
      <w:pPr>
        <w:ind w:firstLine="987"/>
        <w:spacing w:after="0" w:line="308" w:lineRule="auto"/>
        <w:tabs>
          <w:tab w:leader="none" w:pos="1381" w:val="left"/>
        </w:tabs>
        <w:numPr>
          <w:ilvl w:val="0"/>
          <w:numId w:val="9"/>
        </w:numPr>
        <w:rPr>
          <w:rFonts w:ascii="Arial" w:cs="Arial" w:eastAsia="Arial" w:hAnsi="Arial"/>
          <w:sz w:val="17"/>
          <w:szCs w:val="17"/>
          <w:color w:val="auto"/>
        </w:rPr>
      </w:pPr>
      <w:r>
        <w:rPr>
          <w:rFonts w:ascii="Arial" w:cs="Arial" w:eastAsia="Arial" w:hAnsi="Arial"/>
          <w:sz w:val="17"/>
          <w:szCs w:val="17"/>
          <w:color w:val="auto"/>
        </w:rPr>
        <w:t>By delivering (on a form prescribed by the Company) an irrevocable direction to a securities broker approved by the Company to sell all or part of the Common Shares being purchased under the Plan and to deliver all or part of the sales proceeds to the Company;</w:t>
      </w:r>
    </w:p>
    <w:p>
      <w:pPr>
        <w:spacing w:after="0" w:line="146" w:lineRule="exact"/>
        <w:rPr>
          <w:rFonts w:ascii="Arial" w:cs="Arial" w:eastAsia="Arial" w:hAnsi="Arial"/>
          <w:sz w:val="17"/>
          <w:szCs w:val="17"/>
          <w:color w:val="auto"/>
        </w:rPr>
      </w:pPr>
    </w:p>
    <w:p>
      <w:pPr>
        <w:ind w:left="1360" w:hanging="373"/>
        <w:spacing w:after="0"/>
        <w:tabs>
          <w:tab w:leader="none" w:pos="1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Subject to such conditions and requirements as the Administrator may impose from time to time, through a net exercise procedure; or</w:t>
      </w:r>
    </w:p>
    <w:p>
      <w:pPr>
        <w:spacing w:after="0" w:line="248" w:lineRule="exact"/>
        <w:rPr>
          <w:rFonts w:ascii="Arial" w:cs="Arial" w:eastAsia="Arial" w:hAnsi="Arial"/>
          <w:sz w:val="16"/>
          <w:szCs w:val="16"/>
          <w:color w:val="auto"/>
        </w:rPr>
      </w:pPr>
    </w:p>
    <w:p>
      <w:pPr>
        <w:ind w:left="1380" w:hanging="393"/>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any other form or method consistent with applicable laws, regulations and rules.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ARTICLE 6.</w:t>
        <w:tab/>
        <w:t>STOCK APPRECIATION RIGHTS.</w:t>
      </w:r>
    </w:p>
    <w:p>
      <w:pPr>
        <w:spacing w:after="0" w:line="117"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b w:val="1"/>
          <w:bCs w:val="1"/>
          <w:color w:val="auto"/>
        </w:rPr>
        <w:t xml:space="preserve">6.1 SAR Agreement. </w:t>
      </w:r>
      <w:r>
        <w:rPr>
          <w:rFonts w:ascii="Arial" w:cs="Arial" w:eastAsia="Arial" w:hAnsi="Arial"/>
          <w:sz w:val="18"/>
          <w:szCs w:val="18"/>
          <w:color w:val="auto"/>
        </w:rPr>
        <w:t>Each grant of a SAR under the Plan shall be evidenced by a SAR Agreement between the Optionee and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Such SAR shall be subject to all applicable terms of the Plan and may be subject to any other terms that are not inconsistent with the Plan. The provisions of the various SAR Agreements entered into under the Plan need not be identical.</w:t>
      </w:r>
    </w:p>
    <w:p>
      <w:pPr>
        <w:spacing w:after="0" w:line="176"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6.2 Number of Shares</w:t>
      </w:r>
      <w:r>
        <w:rPr>
          <w:rFonts w:ascii="Arial" w:cs="Arial" w:eastAsia="Arial" w:hAnsi="Arial"/>
          <w:sz w:val="18"/>
          <w:szCs w:val="18"/>
          <w:color w:val="auto"/>
        </w:rPr>
        <w:t>. Each SAR Agreement shall specify the number of Common Shares to which the SAR pertains, which number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adjust in accordance with Article 9.</w:t>
      </w:r>
    </w:p>
    <w:p>
      <w:pPr>
        <w:spacing w:after="0" w:line="162"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6.3 Exercise Price</w:t>
      </w:r>
      <w:r>
        <w:rPr>
          <w:rFonts w:ascii="Arial" w:cs="Arial" w:eastAsia="Arial" w:hAnsi="Arial"/>
          <w:sz w:val="18"/>
          <w:szCs w:val="18"/>
          <w:color w:val="auto"/>
        </w:rPr>
        <w:t>. Each SAR Agreement shall specify the Exercise Price, which shall in no event be less than 100% of the Fair Market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a Common Share on the date of grant. The preceding sentence shall not apply to a SAR that is a Substitute Award granted in a manner that would satisfy the requirements of Code Section 409A.</w:t>
      </w:r>
    </w:p>
    <w:p>
      <w:pPr>
        <w:spacing w:after="0" w:line="176"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6.4 Exercisability and Term</w:t>
      </w:r>
      <w:r>
        <w:rPr>
          <w:rFonts w:ascii="Arial" w:cs="Arial" w:eastAsia="Arial" w:hAnsi="Arial"/>
          <w:sz w:val="17"/>
          <w:szCs w:val="17"/>
          <w:color w:val="auto"/>
        </w:rPr>
        <w:t>. Each SAR Agreement shall specify the date when all or any installment of the SAR is to become vested and</w:t>
      </w:r>
      <w:r>
        <w:rPr>
          <w:rFonts w:ascii="Arial" w:cs="Arial" w:eastAsia="Arial" w:hAnsi="Arial"/>
          <w:sz w:val="17"/>
          <w:szCs w:val="17"/>
          <w:b w:val="1"/>
          <w:bCs w:val="1"/>
          <w:color w:val="auto"/>
        </w:rPr>
        <w:t xml:space="preserve"> </w:t>
      </w:r>
      <w:r>
        <w:rPr>
          <w:rFonts w:ascii="Arial" w:cs="Arial" w:eastAsia="Arial" w:hAnsi="Arial"/>
          <w:sz w:val="17"/>
          <w:szCs w:val="17"/>
          <w:color w:val="auto"/>
        </w:rPr>
        <w:t>exercisable. The vesting and exercisability conditions applicable to the SAR may include service-based conditions, performance-based conditions, such other conditions as the Administrator may determine, or any combination thereof. The SAR Agreement shall also specify the term of the SAR; provided that except to the extent necessary to comply with applicable foreign law, the term of a SAR shall not exceed 10 years from the date of grant. A SAR Agreement may provide for accelerated vesting and exercisability upon certain specified events and may provide for expiration prior to the end of its term in the event of the termination of the Optionee’s service.</w:t>
      </w:r>
    </w:p>
    <w:p>
      <w:pPr>
        <w:spacing w:after="0" w:line="173"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6.5 Exercise of SARs</w:t>
      </w:r>
      <w:r>
        <w:rPr>
          <w:rFonts w:ascii="Arial" w:cs="Arial" w:eastAsia="Arial" w:hAnsi="Arial"/>
          <w:sz w:val="18"/>
          <w:szCs w:val="18"/>
          <w:color w:val="auto"/>
        </w:rPr>
        <w:t>. Upon exercise of a SAR, the Optionee (or any person having the right to exercise the SAR after his or her death)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from the Company (a) Common</w:t>
      </w:r>
    </w:p>
    <w:p>
      <w:pPr>
        <w:sectPr>
          <w:pgSz w:w="11900" w:h="16838" w:orient="portrait"/>
          <w:cols w:equalWidth="0" w:num="1">
            <w:col w:w="10980"/>
          </w:cols>
          <w:pgMar w:left="440" w:top="270" w:right="479" w:bottom="1440" w:gutter="0" w:footer="0" w:header="0"/>
        </w:sectPr>
      </w:pPr>
    </w:p>
    <w:bookmarkStart w:id="16" w:name="page17"/>
    <w:bookmarkEnd w:id="16"/>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Shares, (b) cash or (c) a combination of Common Shares and cash, as the Administrator shall determine. The amount of cash and/or the Fair Market Value of Common Shares received upon exercise of SARs shall, in the aggregate, not exceed the amount by which the Fair Market Value (on the date of surrender) of the Common Shares subject to the SARs exceeds the Exercise Price. If, on the date when a SAR expires, the Exercise Price is less than the Fair Market Value on such date but any portion of such SAR has not been exercised or surrendered, then such SAR shall automatically be deemed to be exercised as of such date with respect to such portion. A SAR Agreement may also provide for an automatic exercise of the SAR on an earlier date.</w:t>
      </w:r>
    </w:p>
    <w:p>
      <w:pPr>
        <w:spacing w:after="0" w:line="157"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6.6 Death of Optionee</w:t>
      </w:r>
      <w:r>
        <w:rPr>
          <w:rFonts w:ascii="Arial" w:cs="Arial" w:eastAsia="Arial" w:hAnsi="Arial"/>
          <w:sz w:val="18"/>
          <w:szCs w:val="18"/>
          <w:color w:val="auto"/>
        </w:rPr>
        <w:t>. After an Optionee’s death, any vested and exercisable SARs held by such Optionee may be exercised by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beneficiary or beneficiaries. Each Optionee may designate one or more beneficiaries for this purpose by filing the prescribed form with the Company. A beneficiary designation may be changed by filing the prescribed form with the Company at any time before the Optionee’s death. If no beneficiary was designated or if no designated beneficiary survives the Optionee, then any vested and exercisable SARs held by the Optionee at the time of his or her death may be exercised by his or her estate.</w:t>
      </w:r>
    </w:p>
    <w:p>
      <w:pPr>
        <w:spacing w:after="0" w:line="183"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b w:val="1"/>
          <w:bCs w:val="1"/>
          <w:color w:val="auto"/>
        </w:rPr>
        <w:t>6.7 Modification or Assumption of SARs</w:t>
      </w:r>
      <w:r>
        <w:rPr>
          <w:rFonts w:ascii="Arial" w:cs="Arial" w:eastAsia="Arial" w:hAnsi="Arial"/>
          <w:sz w:val="17"/>
          <w:szCs w:val="17"/>
          <w:color w:val="auto"/>
        </w:rPr>
        <w:t>. Within the limitations of the Plan, the Administrator may modify, extend or assume outstanding</w:t>
      </w:r>
      <w:r>
        <w:rPr>
          <w:rFonts w:ascii="Arial" w:cs="Arial" w:eastAsia="Arial" w:hAnsi="Arial"/>
          <w:sz w:val="17"/>
          <w:szCs w:val="17"/>
          <w:b w:val="1"/>
          <w:bCs w:val="1"/>
          <w:color w:val="auto"/>
        </w:rPr>
        <w:t xml:space="preserve"> </w:t>
      </w:r>
      <w:r>
        <w:rPr>
          <w:rFonts w:ascii="Arial" w:cs="Arial" w:eastAsia="Arial" w:hAnsi="Arial"/>
          <w:sz w:val="17"/>
          <w:szCs w:val="17"/>
          <w:color w:val="auto"/>
        </w:rPr>
        <w:t>SARs. The foregoing notwithstanding, no modification of a SAR shall, without the consent of the Optionee, materially impair his or her rights or obligations under such SAR. Notwithstanding anything in this Plan to the contrary, and except for the adjustments provided in Article 9, neither the Administrator nor any other person may (a) decrease the exercise price for any outstanding SAR after the date of grant, (b) cancel or allow an Optionee to surrender an outstanding SAR to the Company in exchange for cash or as consideration for the grant of a new SAR with a lower exercise price or the grant of another type of Award the effect of which is to reduce the exercise price of any outstanding SAR, or (c) take any other action with respect to a SAR that would be treated as a repricing under the rules and regulations of the Nasdaq Stock Market (or such other principal U.S. national securities exchange on which the Common Shares are traded).</w:t>
      </w:r>
    </w:p>
    <w:p>
      <w:pPr>
        <w:spacing w:after="0" w:line="2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RESTRICTED SHARES.</w:t>
      </w:r>
    </w:p>
    <w:p>
      <w:pPr>
        <w:spacing w:after="0" w:line="117" w:lineRule="exact"/>
        <w:rPr>
          <w:sz w:val="20"/>
          <w:szCs w:val="20"/>
          <w:color w:val="auto"/>
        </w:rPr>
      </w:pPr>
    </w:p>
    <w:p>
      <w:pPr>
        <w:jc w:val="both"/>
        <w:ind w:right="40" w:firstLine="440"/>
        <w:spacing w:after="0" w:line="314" w:lineRule="auto"/>
        <w:rPr>
          <w:sz w:val="20"/>
          <w:szCs w:val="20"/>
          <w:color w:val="auto"/>
        </w:rPr>
      </w:pPr>
      <w:r>
        <w:rPr>
          <w:rFonts w:ascii="Arial" w:cs="Arial" w:eastAsia="Arial" w:hAnsi="Arial"/>
          <w:sz w:val="16"/>
          <w:szCs w:val="16"/>
          <w:b w:val="1"/>
          <w:bCs w:val="1"/>
          <w:color w:val="auto"/>
        </w:rPr>
        <w:t xml:space="preserve">7.1 Restricted Stock Agreement. </w:t>
      </w:r>
      <w:r>
        <w:rPr>
          <w:rFonts w:ascii="Arial" w:cs="Arial" w:eastAsia="Arial" w:hAnsi="Arial"/>
          <w:sz w:val="16"/>
          <w:szCs w:val="16"/>
          <w:color w:val="auto"/>
        </w:rPr>
        <w:t>Each grant of Restricted Shares under the Plan shall be evidenced by a Restricted Stock Agreement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the recipient and the Company. Such Restricted Shares shall be subject to all applicable terms of the Plan and may be subject to any other terms that are not inconsistent with the Plan. The provisions of the various Restricted Stock Agreements entered into under the Plan need not be identical.</w:t>
      </w:r>
    </w:p>
    <w:p>
      <w:pPr>
        <w:spacing w:after="0" w:line="142" w:lineRule="exact"/>
        <w:rPr>
          <w:sz w:val="20"/>
          <w:szCs w:val="20"/>
          <w:color w:val="auto"/>
        </w:rPr>
      </w:pPr>
    </w:p>
    <w:p>
      <w:pPr>
        <w:jc w:val="both"/>
        <w:ind w:right="20" w:firstLine="440"/>
        <w:spacing w:after="0" w:line="266" w:lineRule="auto"/>
        <w:rPr>
          <w:sz w:val="20"/>
          <w:szCs w:val="20"/>
          <w:color w:val="auto"/>
        </w:rPr>
      </w:pPr>
      <w:r>
        <w:rPr>
          <w:rFonts w:ascii="Arial" w:cs="Arial" w:eastAsia="Arial" w:hAnsi="Arial"/>
          <w:sz w:val="18"/>
          <w:szCs w:val="18"/>
          <w:b w:val="1"/>
          <w:bCs w:val="1"/>
          <w:color w:val="auto"/>
        </w:rPr>
        <w:t>7.2 Payment for Awards</w:t>
      </w:r>
      <w:r>
        <w:rPr>
          <w:rFonts w:ascii="Arial" w:cs="Arial" w:eastAsia="Arial" w:hAnsi="Arial"/>
          <w:sz w:val="18"/>
          <w:szCs w:val="18"/>
          <w:color w:val="auto"/>
        </w:rPr>
        <w:t>. Restricted Shares may be sold or awarded under the Plan for such consideration as the Administrator may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cash, cash equivalents, property, cancellation of other equity awards, promissory notes, past services and future services, and such other methods of payment as are permitted by applicable law.</w:t>
      </w:r>
    </w:p>
    <w:p>
      <w:pPr>
        <w:spacing w:after="0" w:line="176"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7.3 Vesting Conditions</w:t>
      </w:r>
      <w:r>
        <w:rPr>
          <w:rFonts w:ascii="Arial" w:cs="Arial" w:eastAsia="Arial" w:hAnsi="Arial"/>
          <w:sz w:val="18"/>
          <w:szCs w:val="18"/>
          <w:color w:val="auto"/>
        </w:rPr>
        <w:t>. Each Award of Restricted Shares may or may not be subject to vesting and/or other conditions as the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may determine. Vesting shall occur, in full or in installments, upon satisfaction of the conditions specified in the Restricted Stock Agreement. A Restricted Stock Agreement may provide for accelerated vesting upon certain specified events.</w:t>
      </w:r>
    </w:p>
    <w:p>
      <w:pPr>
        <w:sectPr>
          <w:pgSz w:w="11900" w:h="16838" w:orient="portrait"/>
          <w:cols w:equalWidth="0" w:num="1">
            <w:col w:w="10960"/>
          </w:cols>
          <w:pgMar w:left="440" w:top="274" w:right="499" w:bottom="1440" w:gutter="0" w:footer="0" w:header="0"/>
        </w:sectPr>
      </w:pPr>
    </w:p>
    <w:bookmarkStart w:id="17" w:name="page18"/>
    <w:bookmarkEnd w:id="17"/>
    <w:p>
      <w:pPr>
        <w:ind w:firstLine="4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7.4 Voting and Dividend Rights</w:t>
      </w:r>
      <w:r>
        <w:rPr>
          <w:rFonts w:ascii="Arial" w:cs="Arial" w:eastAsia="Arial" w:hAnsi="Arial"/>
          <w:sz w:val="18"/>
          <w:szCs w:val="18"/>
          <w:color w:val="auto"/>
        </w:rPr>
        <w:t>. The holders of Restricted Shares awarded under the Plan shall have the same voting, dividend and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as the Company’s other stockholders, unless the Administrator otherwise provides. A Restricted Stock Agreement, however, may require that any cash dividends paid on Restricted Shares (a) be accumulated and paid when such Restricted Shares vest, or (b) be invested in additional Restricted Shares. Such additional Restricted Shares shall be subject to the same conditions and restrictions as the shares subject to the Award with respect to which the dividends were paid. In addition, unless the Administrator provides otherwise, if any dividends or other distributions are paid in Common Shares, such Common Shares shall be subject to the same restrictions on transferability and forfeitability as the Restricted Shares with respect to which they were paid.</w:t>
      </w:r>
    </w:p>
    <w:p>
      <w:pPr>
        <w:spacing w:after="0" w:line="189"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b w:val="1"/>
          <w:bCs w:val="1"/>
          <w:color w:val="auto"/>
        </w:rPr>
        <w:t>7.5 Modification or Assumption of Restricted Shares</w:t>
      </w:r>
      <w:r>
        <w:rPr>
          <w:rFonts w:ascii="Arial" w:cs="Arial" w:eastAsia="Arial" w:hAnsi="Arial"/>
          <w:sz w:val="18"/>
          <w:szCs w:val="18"/>
          <w:color w:val="auto"/>
        </w:rPr>
        <w:t>. Within the limitations of the Plan, the Administrator may modify or assume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Restricted Shares or may accept the cancellation of outstanding restricted shares (whether granted by the Company or by another issuer) in return for the grant of new Restricted Shares for the same or a different number of shares or in return for the grant of a different type of Award. The foregoing notwithstanding, no modification of Restricted Shares shall, without the consent of the Participant, materially impair his or her rights or obligations under such Restricted Shares.</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ARTICLE 8.</w:t>
        <w:tab/>
        <w:t>RESTRICTED STOCK UNITS.</w:t>
      </w:r>
    </w:p>
    <w:p>
      <w:pPr>
        <w:spacing w:after="0" w:line="117" w:lineRule="exact"/>
        <w:rPr>
          <w:sz w:val="20"/>
          <w:szCs w:val="20"/>
          <w:color w:val="auto"/>
        </w:rPr>
      </w:pPr>
    </w:p>
    <w:p>
      <w:pPr>
        <w:ind w:right="160" w:firstLine="440"/>
        <w:spacing w:after="0" w:line="261" w:lineRule="auto"/>
        <w:rPr>
          <w:sz w:val="20"/>
          <w:szCs w:val="20"/>
          <w:color w:val="auto"/>
        </w:rPr>
      </w:pPr>
      <w:r>
        <w:rPr>
          <w:rFonts w:ascii="Arial" w:cs="Arial" w:eastAsia="Arial" w:hAnsi="Arial"/>
          <w:sz w:val="18"/>
          <w:szCs w:val="18"/>
          <w:b w:val="1"/>
          <w:bCs w:val="1"/>
          <w:color w:val="auto"/>
        </w:rPr>
        <w:t xml:space="preserve">8.1 Restricted Stock Unit Agreement. </w:t>
      </w:r>
      <w:r>
        <w:rPr>
          <w:rFonts w:ascii="Arial" w:cs="Arial" w:eastAsia="Arial" w:hAnsi="Arial"/>
          <w:sz w:val="18"/>
          <w:szCs w:val="18"/>
          <w:color w:val="auto"/>
        </w:rPr>
        <w:t>Each grant of Restricted Stock Units under the Plan shall be evidenced by a Restricted Stock Unit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between the recipient and the Company. Such Restricted Stock Units shall be subject to all applicable terms of the Plan and may be subject to any other terms that are not inconsistent with the Plan. The provisions of the various Restricted Stock Unit Agreements entered into under the Plan need not be identical.</w:t>
      </w:r>
    </w:p>
    <w:p>
      <w:pPr>
        <w:spacing w:after="0" w:line="180"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8.2 Payment for Awards</w:t>
      </w:r>
      <w:r>
        <w:rPr>
          <w:rFonts w:ascii="Arial" w:cs="Arial" w:eastAsia="Arial" w:hAnsi="Arial"/>
          <w:sz w:val="18"/>
          <w:szCs w:val="18"/>
          <w:color w:val="auto"/>
        </w:rPr>
        <w:t>. To the extent that an Award is granted in the form of Restricted Stock Units, no cash consideration shall be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Award recipients.</w:t>
      </w:r>
    </w:p>
    <w:p>
      <w:pPr>
        <w:spacing w:after="0" w:line="162" w:lineRule="exact"/>
        <w:rPr>
          <w:sz w:val="20"/>
          <w:szCs w:val="20"/>
          <w:color w:val="auto"/>
        </w:rPr>
      </w:pPr>
    </w:p>
    <w:p>
      <w:pPr>
        <w:ind w:right="240" w:firstLine="440"/>
        <w:spacing w:after="0" w:line="281" w:lineRule="auto"/>
        <w:rPr>
          <w:sz w:val="20"/>
          <w:szCs w:val="20"/>
          <w:color w:val="auto"/>
        </w:rPr>
      </w:pPr>
      <w:r>
        <w:rPr>
          <w:rFonts w:ascii="Arial" w:cs="Arial" w:eastAsia="Arial" w:hAnsi="Arial"/>
          <w:sz w:val="17"/>
          <w:szCs w:val="17"/>
          <w:b w:val="1"/>
          <w:bCs w:val="1"/>
          <w:color w:val="auto"/>
        </w:rPr>
        <w:t>8.3 Vesting Conditions</w:t>
      </w:r>
      <w:r>
        <w:rPr>
          <w:rFonts w:ascii="Arial" w:cs="Arial" w:eastAsia="Arial" w:hAnsi="Arial"/>
          <w:sz w:val="17"/>
          <w:szCs w:val="17"/>
          <w:color w:val="auto"/>
        </w:rPr>
        <w:t>. Each Award of Restricted Stock Units may or may not be subject to vesting, as determined by the Administrator.</w:t>
      </w:r>
      <w:r>
        <w:rPr>
          <w:rFonts w:ascii="Arial" w:cs="Arial" w:eastAsia="Arial" w:hAnsi="Arial"/>
          <w:sz w:val="17"/>
          <w:szCs w:val="17"/>
          <w:b w:val="1"/>
          <w:bCs w:val="1"/>
          <w:color w:val="auto"/>
        </w:rPr>
        <w:t xml:space="preserve"> </w:t>
      </w:r>
      <w:r>
        <w:rPr>
          <w:rFonts w:ascii="Arial" w:cs="Arial" w:eastAsia="Arial" w:hAnsi="Arial"/>
          <w:sz w:val="17"/>
          <w:szCs w:val="17"/>
          <w:color w:val="auto"/>
        </w:rPr>
        <w:t>Vesting shall occur, in full or in installments, upon satisfaction of the conditions specified in the Restricted Stock Unit Agreement. Vesting conditions may include service-based conditions, performance-based conditions, such other conditions as the Administrator may determine, or any combination thereof. A Restricted Stock Unit Agreement may provide for accelerated vesting upon certain specified events.</w:t>
      </w:r>
    </w:p>
    <w:p>
      <w:pPr>
        <w:spacing w:after="0" w:line="165" w:lineRule="exact"/>
        <w:rPr>
          <w:sz w:val="20"/>
          <w:szCs w:val="20"/>
          <w:color w:val="auto"/>
        </w:rPr>
      </w:pPr>
    </w:p>
    <w:p>
      <w:pPr>
        <w:ind w:right="60" w:firstLine="440"/>
        <w:spacing w:after="0" w:line="256" w:lineRule="auto"/>
        <w:rPr>
          <w:sz w:val="20"/>
          <w:szCs w:val="20"/>
          <w:color w:val="auto"/>
        </w:rPr>
      </w:pPr>
      <w:r>
        <w:rPr>
          <w:rFonts w:ascii="Arial" w:cs="Arial" w:eastAsia="Arial" w:hAnsi="Arial"/>
          <w:sz w:val="18"/>
          <w:szCs w:val="18"/>
          <w:b w:val="1"/>
          <w:bCs w:val="1"/>
          <w:color w:val="auto"/>
        </w:rPr>
        <w:t>8.4 Voting and Dividend Rights</w:t>
      </w:r>
      <w:r>
        <w:rPr>
          <w:rFonts w:ascii="Arial" w:cs="Arial" w:eastAsia="Arial" w:hAnsi="Arial"/>
          <w:sz w:val="18"/>
          <w:szCs w:val="18"/>
          <w:color w:val="auto"/>
        </w:rPr>
        <w:t>. The holders of Restricted Stock Units shall have no voting rights. Prior to settlement or forfeiture,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awarded under the Plan may, at the Administrator’s discretion, provide for a right to dividend equivalents. Such right entitles the holder to be credited with an amount equal to all cash dividends paid on one Common Share while the Restricted Stock Unit is outstanding. Dividend equivalents may be converted into additional Restricted Stock Units. Settlement of dividend equivalents may be made in the form of cash, in the form of Common Shares, or in a combination of both. Prior to distribution, any dividend equivalents shall be subject to the same conditions and restrictions as the Restricted Stock Units to which they attach.</w:t>
      </w:r>
    </w:p>
    <w:p>
      <w:pPr>
        <w:sectPr>
          <w:pgSz w:w="11900" w:h="16838" w:orient="portrait"/>
          <w:cols w:equalWidth="0" w:num="1">
            <w:col w:w="11000"/>
          </w:cols>
          <w:pgMar w:left="440" w:top="270" w:right="459" w:bottom="1440" w:gutter="0" w:footer="0" w:header="0"/>
        </w:sectPr>
      </w:pPr>
    </w:p>
    <w:bookmarkStart w:id="18" w:name="page19"/>
    <w:bookmarkEnd w:id="18"/>
    <w:p>
      <w:pPr>
        <w:ind w:left="444"/>
        <w:spacing w:after="0"/>
        <w:tabs>
          <w:tab w:leader="none" w:pos="8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8.5</w:t>
      </w:r>
      <w:r>
        <w:rPr>
          <w:sz w:val="20"/>
          <w:szCs w:val="20"/>
          <w:color w:val="auto"/>
        </w:rPr>
        <w:tab/>
      </w:r>
      <w:r>
        <w:rPr>
          <w:rFonts w:ascii="Arial" w:cs="Arial" w:eastAsia="Arial" w:hAnsi="Arial"/>
          <w:sz w:val="16"/>
          <w:szCs w:val="16"/>
          <w:b w:val="1"/>
          <w:bCs w:val="1"/>
          <w:color w:val="auto"/>
        </w:rPr>
        <w:t>Form and Time of Settlement of Restricted Stock Units</w:t>
      </w:r>
      <w:r>
        <w:rPr>
          <w:rFonts w:ascii="Arial" w:cs="Arial" w:eastAsia="Arial" w:hAnsi="Arial"/>
          <w:sz w:val="16"/>
          <w:szCs w:val="16"/>
          <w:color w:val="auto"/>
        </w:rPr>
        <w:t>. Settlement of vested Restricted Stock Units may be made in the form of (a) cash,</w:t>
      </w:r>
    </w:p>
    <w:p>
      <w:pPr>
        <w:spacing w:after="0" w:line="27" w:lineRule="exact"/>
        <w:rPr>
          <w:sz w:val="20"/>
          <w:szCs w:val="20"/>
          <w:color w:val="auto"/>
        </w:rPr>
      </w:pPr>
    </w:p>
    <w:p>
      <w:pPr>
        <w:ind w:left="4" w:right="200" w:hanging="4"/>
        <w:spacing w:after="0" w:line="292" w:lineRule="auto"/>
        <w:tabs>
          <w:tab w:leader="none" w:pos="259"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Common Shares or (c) any combination of both, as determined by the Administrator. The actual number of Restricted Stock Units eligible for settlement may be larger or smaller than the number included in the original Award, based on predetermined performance factors. Methods of converting Restricted Stock Units into cash may include (without limitation) a method based on the average value of Common Shares over a series of trading days. Vested Restricted Stock Units shall be settled in such manner and at such time(s) as specified in the Restricted Stock Unit Agreement. Until an Award of Restricted Stock Units is settled, the number of such Restricted Stock Units shall be subject to adjustment pursuant to Article 9.</w:t>
      </w:r>
    </w:p>
    <w:p>
      <w:pPr>
        <w:spacing w:after="0" w:line="158"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7"/>
          <w:szCs w:val="17"/>
          <w:b w:val="1"/>
          <w:bCs w:val="1"/>
          <w:color w:val="auto"/>
        </w:rPr>
        <w:t>8.6 Death of Recipient</w:t>
      </w:r>
      <w:r>
        <w:rPr>
          <w:rFonts w:ascii="Arial" w:cs="Arial" w:eastAsia="Arial" w:hAnsi="Arial"/>
          <w:sz w:val="17"/>
          <w:szCs w:val="17"/>
          <w:color w:val="auto"/>
        </w:rPr>
        <w:t>. Any Restricted Stock Units that become payable after the recipient’s death shall be distributed to the recipient’s</w:t>
      </w:r>
      <w:r>
        <w:rPr>
          <w:rFonts w:ascii="Arial" w:cs="Arial" w:eastAsia="Arial" w:hAnsi="Arial"/>
          <w:sz w:val="17"/>
          <w:szCs w:val="17"/>
          <w:b w:val="1"/>
          <w:bCs w:val="1"/>
          <w:color w:val="auto"/>
        </w:rPr>
        <w:t xml:space="preserve"> </w:t>
      </w:r>
      <w:r>
        <w:rPr>
          <w:rFonts w:ascii="Arial" w:cs="Arial" w:eastAsia="Arial" w:hAnsi="Arial"/>
          <w:sz w:val="17"/>
          <w:szCs w:val="17"/>
          <w:color w:val="auto"/>
        </w:rPr>
        <w:t>beneficiary or beneficiaries. Each recipient of Restricted Stock Units under the Plan may designate one or more beneficiaries for this purpose by filing the prescribed form with the Company. A beneficiary designation may be changed by filing the prescribed form with the Company at any time before the Award recipient’s death. If no beneficiary was designated or if no designated beneficiary survives the Award recipient, then any Restricted Stock Units that become payable after the recipient’s death shall be distributed to the recipient’s estate.</w:t>
      </w:r>
    </w:p>
    <w:p>
      <w:pPr>
        <w:spacing w:after="0" w:line="168" w:lineRule="exact"/>
        <w:rPr>
          <w:sz w:val="20"/>
          <w:szCs w:val="20"/>
          <w:color w:val="auto"/>
        </w:rPr>
      </w:pPr>
    </w:p>
    <w:p>
      <w:pPr>
        <w:ind w:left="4" w:right="100" w:firstLine="440"/>
        <w:spacing w:after="0" w:line="258" w:lineRule="auto"/>
        <w:rPr>
          <w:sz w:val="20"/>
          <w:szCs w:val="20"/>
          <w:color w:val="auto"/>
        </w:rPr>
      </w:pPr>
      <w:r>
        <w:rPr>
          <w:rFonts w:ascii="Arial" w:cs="Arial" w:eastAsia="Arial" w:hAnsi="Arial"/>
          <w:sz w:val="18"/>
          <w:szCs w:val="18"/>
          <w:b w:val="1"/>
          <w:bCs w:val="1"/>
          <w:color w:val="auto"/>
        </w:rPr>
        <w:t>8.7 Modification or Assumption of Restricted Stock Units</w:t>
      </w:r>
      <w:r>
        <w:rPr>
          <w:rFonts w:ascii="Arial" w:cs="Arial" w:eastAsia="Arial" w:hAnsi="Arial"/>
          <w:sz w:val="18"/>
          <w:szCs w:val="18"/>
          <w:color w:val="auto"/>
        </w:rPr>
        <w:t>. Within the limitations of the Plan, the Administrator may modify or assume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restricted stock units or may accept the cancellation of outstanding restricted stock units (whether granted by the Company or by another issuer) in return for the grant of new Restricted Stock Units for the same or a different number of shares or in return for the grant of a different type of Award. The foregoing notwithstanding, no modification of a Restricted Stock Unit shall, without the consent of the Participant, materially impair his or her rights or obligations under such Restricted Stock Unit.</w:t>
      </w:r>
    </w:p>
    <w:p>
      <w:pPr>
        <w:spacing w:after="0" w:line="183" w:lineRule="exact"/>
        <w:rPr>
          <w:sz w:val="20"/>
          <w:szCs w:val="20"/>
          <w:color w:val="auto"/>
        </w:rPr>
      </w:pPr>
    </w:p>
    <w:p>
      <w:pPr>
        <w:jc w:val="both"/>
        <w:ind w:left="4" w:right="20" w:firstLine="440"/>
        <w:spacing w:after="0" w:line="266" w:lineRule="auto"/>
        <w:rPr>
          <w:sz w:val="20"/>
          <w:szCs w:val="20"/>
          <w:color w:val="auto"/>
        </w:rPr>
      </w:pPr>
      <w:r>
        <w:rPr>
          <w:rFonts w:ascii="Arial" w:cs="Arial" w:eastAsia="Arial" w:hAnsi="Arial"/>
          <w:sz w:val="18"/>
          <w:szCs w:val="18"/>
          <w:b w:val="1"/>
          <w:bCs w:val="1"/>
          <w:color w:val="auto"/>
        </w:rPr>
        <w:t>8.8 Creditors’ Rights</w:t>
      </w:r>
      <w:r>
        <w:rPr>
          <w:rFonts w:ascii="Arial" w:cs="Arial" w:eastAsia="Arial" w:hAnsi="Arial"/>
          <w:sz w:val="18"/>
          <w:szCs w:val="18"/>
          <w:color w:val="auto"/>
        </w:rPr>
        <w:t>. A holder of Restricted Stock Units shall have no rights other than those of a general creditor of the Company.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Units represent an unfunded and unsecured obligation of the Company, subject to the terms and conditions of the applicable Restricted Stock Unit Agreement.</w:t>
      </w:r>
    </w:p>
    <w:p>
      <w:pPr>
        <w:spacing w:after="0" w:line="284" w:lineRule="exact"/>
        <w:rPr>
          <w:sz w:val="20"/>
          <w:szCs w:val="20"/>
          <w:color w:val="auto"/>
        </w:rPr>
      </w:pPr>
    </w:p>
    <w:p>
      <w:pPr>
        <w:ind w:left="4"/>
        <w:spacing w:after="0"/>
        <w:tabs>
          <w:tab w:leader="none" w:pos="1144"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7"/>
          <w:szCs w:val="17"/>
          <w:b w:val="1"/>
          <w:bCs w:val="1"/>
          <w:color w:val="auto"/>
        </w:rPr>
        <w:t>ADJUSTMENTS; DISSOLUTIONS AND LIQUIDATIONS; CORPORATE TRANSACTIONS.</w:t>
      </w:r>
    </w:p>
    <w:p>
      <w:pPr>
        <w:spacing w:after="0" w:line="117"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b w:val="1"/>
          <w:bCs w:val="1"/>
          <w:color w:val="auto"/>
        </w:rPr>
        <w:t>9.1 Adjustments</w:t>
      </w:r>
      <w:r>
        <w:rPr>
          <w:rFonts w:ascii="Arial" w:cs="Arial" w:eastAsia="Arial" w:hAnsi="Arial"/>
          <w:sz w:val="18"/>
          <w:szCs w:val="18"/>
          <w:color w:val="auto"/>
        </w:rPr>
        <w:t>. In the event of a subdivision of the outstanding Common Shares, a declaration of a dividend payable in Common Shares,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or consolidation of the outstanding Common Shares (by reclassification or otherwise) into a lesser number of Common Shares or any other increase or decrease in the number of issued Common Shares effected without receipt of consideration by the Company, proportionate adjustments shall be made to the following:</w:t>
      </w:r>
    </w:p>
    <w:p>
      <w:pPr>
        <w:spacing w:after="0" w:line="76" w:lineRule="exact"/>
        <w:rPr>
          <w:sz w:val="20"/>
          <w:szCs w:val="20"/>
          <w:color w:val="auto"/>
        </w:rPr>
      </w:pPr>
    </w:p>
    <w:p>
      <w:pPr>
        <w:ind w:left="1364" w:hanging="373"/>
        <w:spacing w:after="0"/>
        <w:tabs>
          <w:tab w:leader="none" w:pos="13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number and kind of shares available for issuance under Article 3, including the numerical share limits in Articles 3.1 and 3.5;</w:t>
      </w:r>
    </w:p>
    <w:p>
      <w:pPr>
        <w:spacing w:after="0" w:line="248" w:lineRule="exact"/>
        <w:rPr>
          <w:rFonts w:ascii="Arial" w:cs="Arial" w:eastAsia="Arial" w:hAnsi="Arial"/>
          <w:sz w:val="16"/>
          <w:szCs w:val="16"/>
          <w:color w:val="auto"/>
        </w:rPr>
      </w:pPr>
    </w:p>
    <w:p>
      <w:pPr>
        <w:ind w:left="1384" w:hanging="393"/>
        <w:spacing w:after="0"/>
        <w:tabs>
          <w:tab w:leader="none" w:pos="138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and kind of shares covered by each outstanding Option, SAR, and Restricted Stock Unit; and/or</w:t>
      </w:r>
    </w:p>
    <w:p>
      <w:pPr>
        <w:sectPr>
          <w:pgSz w:w="11900" w:h="16838" w:orient="portrait"/>
          <w:cols w:equalWidth="0" w:num="1">
            <w:col w:w="10984"/>
          </w:cols>
          <w:pgMar w:left="436" w:top="270" w:right="479" w:bottom="1440" w:gutter="0" w:footer="0" w:header="0"/>
        </w:sectPr>
      </w:pPr>
    </w:p>
    <w:bookmarkStart w:id="19" w:name="page20"/>
    <w:bookmarkEnd w:id="19"/>
    <w:p>
      <w:pPr>
        <w:ind w:left="980"/>
        <w:spacing w:after="0"/>
        <w:tabs>
          <w:tab w:leader="none" w:pos="13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w:t>
      </w:r>
      <w:r>
        <w:rPr>
          <w:sz w:val="20"/>
          <w:szCs w:val="20"/>
          <w:color w:val="auto"/>
        </w:rPr>
        <w:tab/>
      </w:r>
      <w:r>
        <w:rPr>
          <w:rFonts w:ascii="Arial" w:cs="Arial" w:eastAsia="Arial" w:hAnsi="Arial"/>
          <w:sz w:val="16"/>
          <w:szCs w:val="16"/>
          <w:color w:val="auto"/>
        </w:rPr>
        <w:t>The Exercise Price applicable to each outstanding Option and SAR, and the repurchase price, if any, applicable to Restricted Shares.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event of a declaration of an extraordinary dividend payable in a form other than Common Shares in an amount that has a material effect on the price of Common Shares, a recapitalization, a spin-off or a similar occurrence, the Administrator may make such adjustments as it, in its sole discretion, deems appropriate to the foregoing. Any adjustment in the number of shares subject to an Award under this Article 9.1 shall be rounded down to the nearest whole share, although the Administrator in its sole discretion may make a cash payment in lieu of a fractional share. Except as provided in this Article 9, a Participant shall have no rights by reason of any issuance by the Company of stock of any class or securities convertible into stock of any class, any subdivision or consolidation of shares of stock of any class, the payment of any stock dividend or any other increase or decrease in the number of shares of stock of any class.</w:t>
      </w:r>
    </w:p>
    <w:p>
      <w:pPr>
        <w:spacing w:after="0" w:line="191"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b w:val="1"/>
          <w:bCs w:val="1"/>
          <w:color w:val="auto"/>
        </w:rPr>
        <w:t>9.2 Dissolution or Liquidation</w:t>
      </w:r>
      <w:r>
        <w:rPr>
          <w:rFonts w:ascii="Arial" w:cs="Arial" w:eastAsia="Arial" w:hAnsi="Arial"/>
          <w:sz w:val="18"/>
          <w:szCs w:val="18"/>
          <w:color w:val="auto"/>
        </w:rPr>
        <w:t>. To the extent not previously exercised or settled, Options, SARs and Restricted Stock Units shall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the dissolution or liquidation of the Company.</w:t>
      </w:r>
    </w:p>
    <w:p>
      <w:pPr>
        <w:spacing w:after="0" w:line="162"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b w:val="1"/>
          <w:bCs w:val="1"/>
          <w:color w:val="auto"/>
        </w:rPr>
        <w:t>9.3 Corporate Transactions</w:t>
      </w:r>
      <w:r>
        <w:rPr>
          <w:rFonts w:ascii="Arial" w:cs="Arial" w:eastAsia="Arial" w:hAnsi="Arial"/>
          <w:sz w:val="18"/>
          <w:szCs w:val="18"/>
          <w:color w:val="auto"/>
        </w:rPr>
        <w:t>. In the event that the Company is a party to a merger, consolidation, or a Change in Control (other than one</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Article 14.6(d)), all Common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Administrator, with such determination having final and binding effect on all parties), which agreement or determination need not treat all Awards (or portions thereof) in an identical manner. Unless an Award Agreement provides otherwise, the treatment specified in the transaction agreement or by the Administrator may include (without limitation) one or more of the following with respect to each outstanding Award:</w:t>
      </w:r>
    </w:p>
    <w:p>
      <w:pPr>
        <w:spacing w:after="0" w:line="85" w:lineRule="exact"/>
        <w:rPr>
          <w:sz w:val="20"/>
          <w:szCs w:val="20"/>
          <w:color w:val="auto"/>
        </w:rPr>
      </w:pPr>
    </w:p>
    <w:p>
      <w:pPr>
        <w:ind w:left="1240" w:hanging="381"/>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continuation of such outstanding Award by the Company (if the Company is the surviving entity);</w:t>
      </w:r>
    </w:p>
    <w:p>
      <w:pPr>
        <w:spacing w:after="0" w:line="117" w:lineRule="exact"/>
        <w:rPr>
          <w:rFonts w:ascii="Arial" w:cs="Arial" w:eastAsia="Arial" w:hAnsi="Arial"/>
          <w:sz w:val="18"/>
          <w:szCs w:val="18"/>
          <w:color w:val="auto"/>
        </w:rPr>
      </w:pPr>
    </w:p>
    <w:p>
      <w:pPr>
        <w:ind w:left="440" w:right="220" w:firstLine="419"/>
        <w:spacing w:after="0" w:line="277" w:lineRule="auto"/>
        <w:tabs>
          <w:tab w:leader="none" w:pos="1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 of such outstanding Award by the surviving entity or its parent, provided that the assumption of an Option or a SAR shall comply with applicable tax requirements;</w:t>
      </w:r>
    </w:p>
    <w:p>
      <w:pPr>
        <w:spacing w:after="0" w:line="62" w:lineRule="exact"/>
        <w:rPr>
          <w:rFonts w:ascii="Arial" w:cs="Arial" w:eastAsia="Arial" w:hAnsi="Arial"/>
          <w:sz w:val="18"/>
          <w:szCs w:val="18"/>
          <w:color w:val="auto"/>
        </w:rPr>
      </w:pPr>
    </w:p>
    <w:p>
      <w:pPr>
        <w:jc w:val="both"/>
        <w:ind w:left="440" w:right="160" w:firstLine="419"/>
        <w:spacing w:after="0" w:line="263" w:lineRule="auto"/>
        <w:tabs>
          <w:tab w:leader="none" w:pos="12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substitution by the surviving entity or its parent of an equivalent award for such outstanding Award (including, but not limited to, an award to acquire the same consideration paid to the holders of Common Shares in the transaction), provided that the substitution of an Option or a SAR shall comply with applicable tax requirements;</w:t>
      </w:r>
    </w:p>
    <w:p>
      <w:pPr>
        <w:spacing w:after="0" w:line="75" w:lineRule="exact"/>
        <w:rPr>
          <w:rFonts w:ascii="Arial" w:cs="Arial" w:eastAsia="Arial" w:hAnsi="Arial"/>
          <w:sz w:val="18"/>
          <w:szCs w:val="18"/>
          <w:color w:val="auto"/>
        </w:rPr>
      </w:pPr>
    </w:p>
    <w:p>
      <w:pPr>
        <w:ind w:left="440" w:right="200" w:firstLine="419"/>
        <w:spacing w:after="0" w:line="296" w:lineRule="auto"/>
        <w:tabs>
          <w:tab w:leader="none" w:pos="1253"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case of an Option or SAR, the cancellation of such Award without payment of any consideration. An Optionee shall be able to exercise his or her outstanding Option or SAR, to the extent such Option or SAR is then vested or become vested as of the effective time of the transaction, during a period of not less than five full business days preceding the closing date of the transaction, unless (i) a shorter period is required to permit a timely closing of the transaction and (ii) such shorter period still offers the Optionees a reasonable opportunity to exercise such Option or SAR. Any exercise of such Option or SAR during such period may be contingent on the closing of the transaction;</w:t>
      </w:r>
    </w:p>
    <w:p>
      <w:pPr>
        <w:sectPr>
          <w:pgSz w:w="11900" w:h="16838" w:orient="portrait"/>
          <w:cols w:equalWidth="0" w:num="1">
            <w:col w:w="11000"/>
          </w:cols>
          <w:pgMar w:left="440" w:top="274" w:right="459" w:bottom="1440" w:gutter="0" w:footer="0" w:header="0"/>
        </w:sectPr>
      </w:pPr>
    </w:p>
    <w:bookmarkStart w:id="20" w:name="page21"/>
    <w:bookmarkEnd w:id="20"/>
    <w:p>
      <w:pPr>
        <w:ind w:left="440" w:right="80" w:firstLine="419"/>
        <w:spacing w:after="0" w:line="269" w:lineRule="auto"/>
        <w:tabs>
          <w:tab w:leader="none" w:pos="1239"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cancellation of such Award and a payment to the Participant with respect to each share subject to the portion of the Award that is vested or becomes vested as of the effective time of the transaction equal to the excess of (A) the value, as determined by the Administrator in its absolute discretion, of the property (including cash) received by the holder of a Common Share as a result of the transaction, over (if applicable) (B) the per-share Exercise Price of such Award (such excess, if any, the “</w:t>
      </w:r>
      <w:r>
        <w:rPr>
          <w:rFonts w:ascii="Arial" w:cs="Arial" w:eastAsia="Arial" w:hAnsi="Arial"/>
          <w:sz w:val="17"/>
          <w:szCs w:val="17"/>
          <w:b w:val="1"/>
          <w:bCs w:val="1"/>
          <w:color w:val="auto"/>
        </w:rPr>
        <w:t>Spread</w:t>
      </w:r>
      <w:r>
        <w:rPr>
          <w:rFonts w:ascii="Arial" w:cs="Arial" w:eastAsia="Arial" w:hAnsi="Arial"/>
          <w:sz w:val="17"/>
          <w:szCs w:val="17"/>
          <w:color w:val="auto"/>
        </w:rPr>
        <w:t>”). Such payment shall be made in the form of cash, cash equivalents, or securities of the surviving entity or its parent having a value equal to the Spread. In addition, any escrow, holdback, earn-out or similar provisions in the transaction agreement may apply to such payment to the same extent and in the same manner as such provisions apply to the holders of Common Shares. If the Spread applicable to an Award (whether or not vested) is zero or a negative number, then the Award may be cancelled without making a payment to the Participant. In the event that an Award is subject to Code Section 409A, the payment described in this clause (e) shall be made on the settlement date specified in the applicable Award Agreement, provided that settlement may be accelerated in accordance with Treasury Regulation Section 1.409A-3(j)(4); or</w:t>
      </w:r>
    </w:p>
    <w:p>
      <w:pPr>
        <w:spacing w:after="0" w:line="77" w:lineRule="exact"/>
        <w:rPr>
          <w:rFonts w:ascii="Arial" w:cs="Arial" w:eastAsia="Arial" w:hAnsi="Arial"/>
          <w:sz w:val="17"/>
          <w:szCs w:val="17"/>
          <w:color w:val="auto"/>
        </w:rPr>
      </w:pPr>
    </w:p>
    <w:p>
      <w:pPr>
        <w:jc w:val="both"/>
        <w:ind w:left="440" w:right="480" w:firstLine="419"/>
        <w:spacing w:after="0" w:line="263" w:lineRule="auto"/>
        <w:tabs>
          <w:tab w:leader="none" w:pos="12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assignment of any reacquisition or repurchase rights held by the Company in respect of an Award of Restricted Shares to the surviving entity or its parent, with corresponding proportionate adjustments made to the price per share to be paid upon exercise of any such reacquisition or repurchase rights.</w:t>
      </w:r>
    </w:p>
    <w:p>
      <w:pPr>
        <w:spacing w:after="0" w:line="18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Unless an Award Agreement provides otherwise, each outstanding Award held by a Participant who remains a Service Provider as of the effective time of a merger, consolidation or Change in Control (other than one described in Article 14.6(d)) (a “</w:t>
      </w:r>
      <w:r>
        <w:rPr>
          <w:rFonts w:ascii="Arial" w:cs="Arial" w:eastAsia="Arial" w:hAnsi="Arial"/>
          <w:sz w:val="16"/>
          <w:szCs w:val="16"/>
          <w:b w:val="1"/>
          <w:bCs w:val="1"/>
          <w:color w:val="auto"/>
        </w:rPr>
        <w:t>Current Participant</w:t>
      </w:r>
      <w:r>
        <w:rPr>
          <w:rFonts w:ascii="Arial" w:cs="Arial" w:eastAsia="Arial" w:hAnsi="Arial"/>
          <w:sz w:val="16"/>
          <w:szCs w:val="16"/>
          <w:color w:val="auto"/>
        </w:rPr>
        <w:t xml:space="preserve">”) shall become fully vested and, if applicable, exercisable immediately prior to the effective time of the transaction and, in the case of an Award subject to performance-based vesting conditions, such performance-based vesting conditions shall be deemed achieved at 100% of target levels. However, the prior sentence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apply, and an outstanding Award shall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become vested and, if applicable, exercisable, if and to the extent the Award is continued, assumed or substituted as provided for in clauses (a), (b) or (c) above. In addition, the prior two sentences shall not apply to an Award held by a Participant who is not a Current Participant unless an Award Agreement provides otherwise or unless the Company and the acquirer agree otherwise.</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 avoidance of doubt, the Administrator shall have the discretion, exercisable either at the time an Award is granted or at any time while the Award remains outstanding, to provide for the acceleration of vesting upon the occurrence of a Change in Control, whether or not the Award is to be assumed or replaced in the transaction, or in connection with a termination of the Participant’s service following a transaction.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Any action taken under this Article 9.3 shall either preserve an Award’s status as exempt from Code Section 409A or comply with Code Section 409A.</w:t>
      </w:r>
    </w:p>
    <w:p>
      <w:pPr>
        <w:sectPr>
          <w:pgSz w:w="11900" w:h="16838" w:orient="portrait"/>
          <w:cols w:equalWidth="0" w:num="1">
            <w:col w:w="11020"/>
          </w:cols>
          <w:pgMar w:left="440" w:top="274" w:right="439" w:bottom="1440" w:gutter="0" w:footer="0" w:header="0"/>
        </w:sectPr>
      </w:pPr>
    </w:p>
    <w:bookmarkStart w:id="21" w:name="page22"/>
    <w:bookmarkEnd w:id="21"/>
    <w:p>
      <w:pPr>
        <w:ind w:left="4"/>
        <w:spacing w:after="0"/>
        <w:tabs>
          <w:tab w:leader="none" w:pos="124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w:t>
      </w:r>
      <w:r>
        <w:rPr>
          <w:sz w:val="20"/>
          <w:szCs w:val="20"/>
          <w:color w:val="auto"/>
        </w:rPr>
        <w:tab/>
      </w:r>
      <w:r>
        <w:rPr>
          <w:rFonts w:ascii="Arial" w:cs="Arial" w:eastAsia="Arial" w:hAnsi="Arial"/>
          <w:sz w:val="17"/>
          <w:szCs w:val="17"/>
          <w:b w:val="1"/>
          <w:bCs w:val="1"/>
          <w:color w:val="auto"/>
        </w:rPr>
        <w:t>OTHER AWARDS.</w:t>
      </w:r>
    </w:p>
    <w:p>
      <w:pPr>
        <w:spacing w:after="0" w:line="121" w:lineRule="exact"/>
        <w:rPr>
          <w:sz w:val="20"/>
          <w:szCs w:val="20"/>
          <w:color w:val="auto"/>
        </w:rPr>
      </w:pPr>
    </w:p>
    <w:p>
      <w:pPr>
        <w:ind w:left="4" w:right="200" w:firstLine="440"/>
        <w:spacing w:after="0" w:line="301" w:lineRule="auto"/>
        <w:rPr>
          <w:sz w:val="20"/>
          <w:szCs w:val="20"/>
          <w:color w:val="auto"/>
        </w:rPr>
      </w:pPr>
      <w:r>
        <w:rPr>
          <w:rFonts w:ascii="Arial" w:cs="Arial" w:eastAsia="Arial" w:hAnsi="Arial"/>
          <w:sz w:val="16"/>
          <w:szCs w:val="16"/>
          <w:color w:val="auto"/>
        </w:rPr>
        <w:t>Subject in all events to the limitations under Article 3 above as to the number of Common Shares available for issuance under this Plan, the Company may grant other forms of Awards not specifically described herein and may grant awards under other plans or programs, where such awards are settled in the form of Common Shares issued under this Plan. Such Common Shares shall be treated for all purposes under the Plan like Common Shares issued in settlement of Restricted Stock Units and shall, when issued, reduce the number of Common Shares available under Article 3.</w:t>
      </w:r>
    </w:p>
    <w:p>
      <w:pPr>
        <w:spacing w:after="0" w:line="261" w:lineRule="exact"/>
        <w:rPr>
          <w:sz w:val="20"/>
          <w:szCs w:val="20"/>
          <w:color w:val="auto"/>
        </w:rPr>
      </w:pPr>
    </w:p>
    <w:p>
      <w:pPr>
        <w:ind w:left="4"/>
        <w:spacing w:after="0"/>
        <w:tabs>
          <w:tab w:leader="none" w:pos="1224" w:val="left"/>
        </w:tabs>
        <w:rPr>
          <w:sz w:val="20"/>
          <w:szCs w:val="20"/>
          <w:color w:val="auto"/>
        </w:rPr>
      </w:pPr>
      <w:r>
        <w:rPr>
          <w:rFonts w:ascii="Arial" w:cs="Arial" w:eastAsia="Arial" w:hAnsi="Arial"/>
          <w:sz w:val="18"/>
          <w:szCs w:val="18"/>
          <w:b w:val="1"/>
          <w:bCs w:val="1"/>
          <w:color w:val="auto"/>
        </w:rPr>
        <w:t>ARTICLE 11.</w:t>
        <w:tab/>
        <w:t>LIMITATION ON RIGHTS.</w:t>
      </w:r>
    </w:p>
    <w:p>
      <w:pPr>
        <w:spacing w:after="0" w:line="117" w:lineRule="exact"/>
        <w:rPr>
          <w:sz w:val="20"/>
          <w:szCs w:val="20"/>
          <w:color w:val="auto"/>
        </w:rPr>
      </w:pPr>
    </w:p>
    <w:p>
      <w:pPr>
        <w:ind w:left="4" w:firstLine="440"/>
        <w:spacing w:after="0" w:line="314" w:lineRule="auto"/>
        <w:rPr>
          <w:sz w:val="20"/>
          <w:szCs w:val="20"/>
          <w:color w:val="auto"/>
        </w:rPr>
      </w:pPr>
      <w:r>
        <w:rPr>
          <w:rFonts w:ascii="Arial" w:cs="Arial" w:eastAsia="Arial" w:hAnsi="Arial"/>
          <w:sz w:val="16"/>
          <w:szCs w:val="16"/>
          <w:b w:val="1"/>
          <w:bCs w:val="1"/>
          <w:color w:val="auto"/>
        </w:rPr>
        <w:t>11.1 Retention Rights</w:t>
      </w:r>
      <w:r>
        <w:rPr>
          <w:rFonts w:ascii="Arial" w:cs="Arial" w:eastAsia="Arial" w:hAnsi="Arial"/>
          <w:sz w:val="16"/>
          <w:szCs w:val="16"/>
          <w:color w:val="auto"/>
        </w:rPr>
        <w:t>. Neither the Plan nor any Award granted under the Plan shall be deemed to give any individual a right to remain a</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Provider. The Company and its Parents, Subsidiaries and Affiliates reserve the right to terminate the Service of any Service Provider at any time, with or without cause, subject to applicable laws, the Company’s certificate of incorporation and by-laws and a written employment agreement (if any).</w:t>
      </w:r>
    </w:p>
    <w:p>
      <w:pPr>
        <w:spacing w:after="0" w:line="142" w:lineRule="exact"/>
        <w:rPr>
          <w:sz w:val="20"/>
          <w:szCs w:val="20"/>
          <w:color w:val="auto"/>
        </w:rPr>
      </w:pPr>
    </w:p>
    <w:p>
      <w:pPr>
        <w:ind w:left="4" w:right="40" w:firstLine="440"/>
        <w:spacing w:after="0" w:line="258" w:lineRule="auto"/>
        <w:rPr>
          <w:sz w:val="20"/>
          <w:szCs w:val="20"/>
          <w:color w:val="auto"/>
        </w:rPr>
      </w:pPr>
      <w:r>
        <w:rPr>
          <w:rFonts w:ascii="Arial" w:cs="Arial" w:eastAsia="Arial" w:hAnsi="Arial"/>
          <w:sz w:val="18"/>
          <w:szCs w:val="18"/>
          <w:b w:val="1"/>
          <w:bCs w:val="1"/>
          <w:color w:val="auto"/>
        </w:rPr>
        <w:t>11.2 Stockholders’ Rights</w:t>
      </w:r>
      <w:r>
        <w:rPr>
          <w:rFonts w:ascii="Arial" w:cs="Arial" w:eastAsia="Arial" w:hAnsi="Arial"/>
          <w:sz w:val="18"/>
          <w:szCs w:val="18"/>
          <w:color w:val="auto"/>
        </w:rPr>
        <w:t>. Except as set forth in Article 7.4 or 8.4 above, a Participant shall have no dividend rights, voting rights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as a stockholder with respect to any Common Shares covered by his or her Award prior to the time when a stock certificate for such Common Shares is issued or, if applicable, the time when he or she becomes entitled to receive such Common Shares by filing any required notice of exercise and paying any required Exercise Price. No adjustment shall be made for cash dividends or other rights for which the record date is prior to such time, except as expressly provided in the Plan.</w:t>
      </w:r>
    </w:p>
    <w:p>
      <w:pPr>
        <w:spacing w:after="0" w:line="183" w:lineRule="exact"/>
        <w:rPr>
          <w:sz w:val="20"/>
          <w:szCs w:val="20"/>
          <w:color w:val="auto"/>
        </w:rPr>
      </w:pPr>
    </w:p>
    <w:p>
      <w:pPr>
        <w:ind w:left="4" w:firstLine="440"/>
        <w:spacing w:after="0" w:line="292" w:lineRule="auto"/>
        <w:rPr>
          <w:sz w:val="20"/>
          <w:szCs w:val="20"/>
          <w:color w:val="auto"/>
        </w:rPr>
      </w:pPr>
      <w:r>
        <w:rPr>
          <w:rFonts w:ascii="Arial" w:cs="Arial" w:eastAsia="Arial" w:hAnsi="Arial"/>
          <w:sz w:val="16"/>
          <w:szCs w:val="16"/>
          <w:b w:val="1"/>
          <w:bCs w:val="1"/>
          <w:color w:val="auto"/>
        </w:rPr>
        <w:t>11.3 Regulatory Requirements</w:t>
      </w:r>
      <w:r>
        <w:rPr>
          <w:rFonts w:ascii="Arial" w:cs="Arial" w:eastAsia="Arial" w:hAnsi="Arial"/>
          <w:sz w:val="16"/>
          <w:szCs w:val="16"/>
          <w:color w:val="auto"/>
        </w:rPr>
        <w:t>. Any other provision of the Plan notwithstanding, the obligation of the Company to issue Common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shall be subject to all applicable laws, rules and regulations and such approval by any regulatory body as may be required. The Company reserves the right to restrict, in whole or in part, the delivery of Common Shares pursuant to any Award prior to the satisfaction of all legal requirements relating to the issuance of such Common Shares, to their registration, qualification or listing or to an exemption from registration, qualification or listing. The inability of the Company to obtain authority from any regulatory body having jurisdiction, which authority is deemed necessary by the Company’s counsel to be necessary to the lawful issuance and sale of any Common Shares hereunder, will relieve the Company of any liability in respect of the failure to issue or sell such Common Shares as to which such requisite authority will not have been obtained.</w:t>
      </w:r>
    </w:p>
    <w:p>
      <w:pPr>
        <w:spacing w:after="0" w:line="161" w:lineRule="exact"/>
        <w:rPr>
          <w:sz w:val="20"/>
          <w:szCs w:val="20"/>
          <w:color w:val="auto"/>
        </w:rPr>
      </w:pPr>
    </w:p>
    <w:p>
      <w:pPr>
        <w:ind w:left="4" w:right="340" w:firstLine="440"/>
        <w:spacing w:after="0" w:line="293" w:lineRule="auto"/>
        <w:rPr>
          <w:sz w:val="20"/>
          <w:szCs w:val="20"/>
          <w:color w:val="auto"/>
        </w:rPr>
      </w:pPr>
      <w:r>
        <w:rPr>
          <w:rFonts w:ascii="Arial" w:cs="Arial" w:eastAsia="Arial" w:hAnsi="Arial"/>
          <w:sz w:val="16"/>
          <w:szCs w:val="16"/>
          <w:b w:val="1"/>
          <w:bCs w:val="1"/>
          <w:color w:val="auto"/>
        </w:rPr>
        <w:t xml:space="preserve">11.4 Transferability of Awards. </w:t>
      </w:r>
      <w:r>
        <w:rPr>
          <w:rFonts w:ascii="Arial" w:cs="Arial" w:eastAsia="Arial" w:hAnsi="Arial"/>
          <w:sz w:val="16"/>
          <w:szCs w:val="16"/>
          <w:color w:val="auto"/>
        </w:rPr>
        <w:t>The Administrator may, in its sole discretion, permit transfer of an Award in a manner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Unless otherwise determined by the Administrator, Awards shall be transferable by a Participant only by (a) beneficiary designation,</w:t>
      </w:r>
    </w:p>
    <w:p>
      <w:pPr>
        <w:spacing w:after="0" w:line="1" w:lineRule="exact"/>
        <w:rPr>
          <w:sz w:val="20"/>
          <w:szCs w:val="20"/>
          <w:color w:val="auto"/>
        </w:rPr>
      </w:pPr>
    </w:p>
    <w:p>
      <w:pPr>
        <w:ind w:left="4" w:right="240" w:hanging="4"/>
        <w:spacing w:after="0" w:line="323" w:lineRule="auto"/>
        <w:tabs>
          <w:tab w:leader="none" w:pos="259"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a will or (c) the laws of descent and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event, an ISO may only be transferred by will or by the laws of descent and distribution and may be exercised during the lifetime of the Optionee only by the Optionee or by the Optionee’s guardian or legal representative.</w:t>
      </w:r>
    </w:p>
    <w:p>
      <w:pPr>
        <w:spacing w:after="0" w:line="134" w:lineRule="exact"/>
        <w:rPr>
          <w:sz w:val="20"/>
          <w:szCs w:val="20"/>
          <w:color w:val="auto"/>
        </w:rPr>
      </w:pPr>
    </w:p>
    <w:p>
      <w:pPr>
        <w:ind w:left="4" w:right="60" w:firstLine="440"/>
        <w:spacing w:after="0" w:line="303" w:lineRule="auto"/>
        <w:rPr>
          <w:sz w:val="20"/>
          <w:szCs w:val="20"/>
          <w:color w:val="auto"/>
        </w:rPr>
      </w:pPr>
      <w:r>
        <w:rPr>
          <w:rFonts w:ascii="Arial" w:cs="Arial" w:eastAsia="Arial" w:hAnsi="Arial"/>
          <w:sz w:val="16"/>
          <w:szCs w:val="16"/>
          <w:b w:val="1"/>
          <w:bCs w:val="1"/>
          <w:color w:val="auto"/>
        </w:rPr>
        <w:t xml:space="preserve">11.5 Recoupment Policy. </w:t>
      </w:r>
      <w:r>
        <w:rPr>
          <w:rFonts w:ascii="Arial" w:cs="Arial" w:eastAsia="Arial" w:hAnsi="Arial"/>
          <w:sz w:val="16"/>
          <w:szCs w:val="16"/>
          <w:color w:val="auto"/>
        </w:rPr>
        <w:t>All Awards granted under the Plan, all amounts paid under the Plan and all Common Shares issued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recoupment, clawback or recovery by the Company in accordance with applicable law and with Company policy (whenever adopted) regarding same, whether or not such policy is intended to satisfy the requirements of the Dodd-Frank Wall Street Reform and Consumer Protection Act, the Sarbanes-Oxley Act, or other applicable law, as well as any implementing regulations and/or listing standards thereunder.</w:t>
      </w:r>
    </w:p>
    <w:p>
      <w:pPr>
        <w:sectPr>
          <w:pgSz w:w="11900" w:h="16838" w:orient="portrait"/>
          <w:cols w:equalWidth="0" w:num="1">
            <w:col w:w="11004"/>
          </w:cols>
          <w:pgMar w:left="436" w:top="270" w:right="459" w:bottom="1440" w:gutter="0" w:footer="0" w:header="0"/>
        </w:sectPr>
      </w:pPr>
    </w:p>
    <w:bookmarkStart w:id="22" w:name="page23"/>
    <w:bookmarkEnd w:id="22"/>
    <w:p>
      <w:pPr>
        <w:ind w:right="100" w:firstLine="440"/>
        <w:spacing w:after="0" w:line="29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11.6 Other Conditions and Restrictions on Common Shares</w:t>
      </w:r>
      <w:r>
        <w:rPr>
          <w:rFonts w:ascii="Arial" w:cs="Arial" w:eastAsia="Arial" w:hAnsi="Arial"/>
          <w:sz w:val="16"/>
          <w:szCs w:val="16"/>
          <w:color w:val="auto"/>
        </w:rPr>
        <w:t>. Any Common Shares issued under the Plan shall be subject to such forfeiture</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rights of repurchase, rights of first refusal, other transfer restrictions and such other terms and conditions as the Administrator may determine. Such conditions and restrictions shall be set forth in the applicable Award Agreement and shall apply in addition to any restrictions that may apply to holders of Common Shares generally. In addition, Common Shares issued under the Plan shall be subject to such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w:t>
      </w:r>
    </w:p>
    <w:p>
      <w:pPr>
        <w:spacing w:after="0" w:line="26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7"/>
          <w:szCs w:val="17"/>
          <w:b w:val="1"/>
          <w:bCs w:val="1"/>
          <w:color w:val="auto"/>
        </w:rPr>
        <w:t>TAXES.</w:t>
      </w:r>
    </w:p>
    <w:p>
      <w:pPr>
        <w:spacing w:after="0" w:line="117" w:lineRule="exact"/>
        <w:rPr>
          <w:sz w:val="20"/>
          <w:szCs w:val="20"/>
          <w:color w:val="auto"/>
        </w:rPr>
      </w:pPr>
    </w:p>
    <w:p>
      <w:pPr>
        <w:jc w:val="both"/>
        <w:ind w:firstLine="440"/>
        <w:spacing w:after="0" w:line="314" w:lineRule="auto"/>
        <w:rPr>
          <w:sz w:val="20"/>
          <w:szCs w:val="20"/>
          <w:color w:val="auto"/>
        </w:rPr>
      </w:pPr>
      <w:r>
        <w:rPr>
          <w:rFonts w:ascii="Arial" w:cs="Arial" w:eastAsia="Arial" w:hAnsi="Arial"/>
          <w:sz w:val="16"/>
          <w:szCs w:val="16"/>
          <w:b w:val="1"/>
          <w:bCs w:val="1"/>
          <w:color w:val="auto"/>
        </w:rPr>
        <w:t>12.1 General</w:t>
      </w:r>
      <w:r>
        <w:rPr>
          <w:rFonts w:ascii="Arial" w:cs="Arial" w:eastAsia="Arial" w:hAnsi="Arial"/>
          <w:sz w:val="16"/>
          <w:szCs w:val="16"/>
          <w:color w:val="auto"/>
        </w:rPr>
        <w:t>. It is a condition to each Award under the Plan that a Participant or his or her successor shall make arrangements satisfactory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for the satisfaction of any federal, state, local or foreign withholding tax obligations that arise in connection with any Award granted under the Plan. The Company shall not be required to issue any Common Shares or make any cash payment under the Plan unless such obligations are satisfied.</w:t>
      </w:r>
    </w:p>
    <w:p>
      <w:pPr>
        <w:spacing w:after="0" w:line="142"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b w:val="1"/>
          <w:bCs w:val="1"/>
          <w:color w:val="auto"/>
        </w:rPr>
        <w:t>12.2 Share Withholding</w:t>
      </w:r>
      <w:r>
        <w:rPr>
          <w:rFonts w:ascii="Arial" w:cs="Arial" w:eastAsia="Arial" w:hAnsi="Arial"/>
          <w:sz w:val="18"/>
          <w:szCs w:val="18"/>
          <w:color w:val="auto"/>
        </w:rPr>
        <w:t>. To the extent that applicable law subjects a Participant to tax withholding obligations, the Administrator may permit</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Participant to satisfy all or part of such obligations by having the Company withhold all or a portion of any Common Shares that otherwise would be issued to him or her or by surrendering all or a portion of any Common Shares that he or she previously acquired. Such Common Shares shall be valued on the date when they are withheld or surrendered. Any payment of taxes by assigning Common Shares to the Company may be subject to restrictions including any restrictions required by SEC, accounting or other rules.</w:t>
      </w:r>
    </w:p>
    <w:p>
      <w:pPr>
        <w:spacing w:after="0" w:line="183"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12.3 Section 409A Matters. </w:t>
      </w:r>
      <w:r>
        <w:rPr>
          <w:rFonts w:ascii="Arial" w:cs="Arial" w:eastAsia="Arial" w:hAnsi="Arial"/>
          <w:sz w:val="16"/>
          <w:szCs w:val="16"/>
          <w:color w:val="auto"/>
        </w:rPr>
        <w:t>Except as otherwise expressly set forth in an Award Agreement, it is intended that Awards granted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either be exempt from, or comply with, the requirements of Code Section 409A. To the extent an Award is subject to Code Section 409A (a “</w:t>
      </w:r>
      <w:r>
        <w:rPr>
          <w:rFonts w:ascii="Arial" w:cs="Arial" w:eastAsia="Arial" w:hAnsi="Arial"/>
          <w:sz w:val="16"/>
          <w:szCs w:val="16"/>
          <w:b w:val="1"/>
          <w:bCs w:val="1"/>
          <w:color w:val="auto"/>
        </w:rPr>
        <w:t>409A</w:t>
      </w:r>
      <w:r>
        <w:rPr>
          <w:rFonts w:ascii="Arial" w:cs="Arial" w:eastAsia="Arial" w:hAnsi="Arial"/>
          <w:sz w:val="16"/>
          <w:szCs w:val="16"/>
          <w:color w:val="auto"/>
        </w:rPr>
        <w:t xml:space="preserve"> </w:t>
      </w:r>
      <w:r>
        <w:rPr>
          <w:rFonts w:ascii="Arial" w:cs="Arial" w:eastAsia="Arial" w:hAnsi="Arial"/>
          <w:sz w:val="16"/>
          <w:szCs w:val="16"/>
          <w:b w:val="1"/>
          <w:bCs w:val="1"/>
          <w:color w:val="auto"/>
        </w:rPr>
        <w:t>Award</w:t>
      </w:r>
      <w:r>
        <w:rPr>
          <w:rFonts w:ascii="Arial" w:cs="Arial" w:eastAsia="Arial" w:hAnsi="Arial"/>
          <w:sz w:val="16"/>
          <w:szCs w:val="16"/>
          <w:color w:val="auto"/>
        </w:rPr>
        <w:t>”), the terms of the Plan, the Award and any written agreement governing the Award shall be interpreted to comply with the requirements of Code</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so that the Award is not subject to additional tax or interest under Code Section 409A, unless the Administrator expressly provides otherwise. A 409A Award shall be subject to such additional rules and requirements as specified by the Administrator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Code Section 409A(a)(1).</w:t>
      </w:r>
    </w:p>
    <w:p>
      <w:pPr>
        <w:sectPr>
          <w:pgSz w:w="11900" w:h="16838" w:orient="portrait"/>
          <w:cols w:equalWidth="0" w:num="1">
            <w:col w:w="11000"/>
          </w:cols>
          <w:pgMar w:left="440" w:top="270" w:right="459" w:bottom="1440" w:gutter="0" w:footer="0" w:header="0"/>
        </w:sectPr>
      </w:pPr>
    </w:p>
    <w:bookmarkStart w:id="23" w:name="page24"/>
    <w:bookmarkEnd w:id="23"/>
    <w:p>
      <w:pPr>
        <w:ind w:right="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12.4 Limitation on Liability</w:t>
      </w:r>
      <w:r>
        <w:rPr>
          <w:rFonts w:ascii="Arial" w:cs="Arial" w:eastAsia="Arial" w:hAnsi="Arial"/>
          <w:sz w:val="18"/>
          <w:szCs w:val="18"/>
          <w:color w:val="auto"/>
        </w:rPr>
        <w:t>. Neither the Company nor any person serving as Administrator shall have any liability to a Participant in the event</w:t>
      </w:r>
      <w:r>
        <w:rPr>
          <w:rFonts w:ascii="Arial" w:cs="Arial" w:eastAsia="Arial" w:hAnsi="Arial"/>
          <w:sz w:val="18"/>
          <w:szCs w:val="18"/>
          <w:b w:val="1"/>
          <w:bCs w:val="1"/>
          <w:color w:val="auto"/>
        </w:rPr>
        <w:t xml:space="preserve"> </w:t>
      </w:r>
      <w:r>
        <w:rPr>
          <w:rFonts w:ascii="Arial" w:cs="Arial" w:eastAsia="Arial" w:hAnsi="Arial"/>
          <w:sz w:val="18"/>
          <w:szCs w:val="18"/>
          <w:color w:val="auto"/>
        </w:rPr>
        <w:t>an Award held by the Participant fails to achieve its intended characterization under applicable tax law.</w:t>
      </w:r>
    </w:p>
    <w:p>
      <w:pPr>
        <w:spacing w:after="0" w:line="2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ARTICLE 13.</w:t>
        <w:tab/>
        <w:t>FUTURE OF THE PLAN.</w:t>
      </w:r>
    </w:p>
    <w:p>
      <w:pPr>
        <w:spacing w:after="0" w:line="117" w:lineRule="exact"/>
        <w:rPr>
          <w:sz w:val="20"/>
          <w:szCs w:val="20"/>
          <w:color w:val="auto"/>
        </w:rPr>
      </w:pPr>
    </w:p>
    <w:p>
      <w:pPr>
        <w:ind w:right="160" w:firstLine="440"/>
        <w:spacing w:after="0" w:line="347" w:lineRule="auto"/>
        <w:rPr>
          <w:sz w:val="20"/>
          <w:szCs w:val="20"/>
          <w:color w:val="auto"/>
        </w:rPr>
      </w:pPr>
      <w:r>
        <w:rPr>
          <w:rFonts w:ascii="Arial" w:cs="Arial" w:eastAsia="Arial" w:hAnsi="Arial"/>
          <w:sz w:val="16"/>
          <w:szCs w:val="16"/>
          <w:b w:val="1"/>
          <w:bCs w:val="1"/>
          <w:color w:val="auto"/>
        </w:rPr>
        <w:t>13.1 Term of the Plan</w:t>
      </w:r>
      <w:r>
        <w:rPr>
          <w:rFonts w:ascii="Arial" w:cs="Arial" w:eastAsia="Arial" w:hAnsi="Arial"/>
          <w:sz w:val="16"/>
          <w:szCs w:val="16"/>
          <w:color w:val="auto"/>
        </w:rPr>
        <w:t>. The Plan, as set forth herein, shall become effective on the date of its adoption by the Board, subject to approval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stockholders under Article 13.3 below. The Plan shall terminate automatically 10 years after the date when the Board adopted the Plan.</w:t>
      </w:r>
    </w:p>
    <w:p>
      <w:pPr>
        <w:spacing w:after="0" w:line="11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13.2 Amendment or Termination</w:t>
      </w:r>
      <w:r>
        <w:rPr>
          <w:rFonts w:ascii="Arial" w:cs="Arial" w:eastAsia="Arial" w:hAnsi="Arial"/>
          <w:sz w:val="18"/>
          <w:szCs w:val="18"/>
          <w:color w:val="auto"/>
        </w:rPr>
        <w:t>. The Board may, at any time and for any reason, amend or terminate the Plan. No Awards shall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after the termination thereof. The termination of the Plan, or any amendment thereof, shall not affect any Award previously granted under the Plan.</w:t>
      </w:r>
    </w:p>
    <w:p>
      <w:pPr>
        <w:spacing w:after="0" w:line="176" w:lineRule="exact"/>
        <w:rPr>
          <w:sz w:val="20"/>
          <w:szCs w:val="20"/>
          <w:color w:val="auto"/>
        </w:rPr>
      </w:pPr>
    </w:p>
    <w:p>
      <w:pPr>
        <w:ind w:right="220" w:firstLine="440"/>
        <w:spacing w:after="0" w:line="266" w:lineRule="auto"/>
        <w:rPr>
          <w:sz w:val="20"/>
          <w:szCs w:val="20"/>
          <w:color w:val="auto"/>
        </w:rPr>
      </w:pPr>
      <w:r>
        <w:rPr>
          <w:rFonts w:ascii="Arial" w:cs="Arial" w:eastAsia="Arial" w:hAnsi="Arial"/>
          <w:sz w:val="18"/>
          <w:szCs w:val="18"/>
          <w:b w:val="1"/>
          <w:bCs w:val="1"/>
          <w:color w:val="auto"/>
        </w:rPr>
        <w:t>13.3 Stockholder Approval</w:t>
      </w:r>
      <w:r>
        <w:rPr>
          <w:rFonts w:ascii="Arial" w:cs="Arial" w:eastAsia="Arial" w:hAnsi="Arial"/>
          <w:sz w:val="18"/>
          <w:szCs w:val="18"/>
          <w:color w:val="auto"/>
        </w:rPr>
        <w:t>. To the extent required by applicable law, the Plan will be subject to the approval of the Company’s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within 12 months of its adoption date. An amendment of the Plan shall be subject to the approval of the Company’s stockholders only to the extent required by applicable laws, regulations or rules.</w:t>
      </w:r>
    </w:p>
    <w:p>
      <w:pPr>
        <w:spacing w:after="0" w:line="28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ARTICLE 14.</w:t>
        <w:tab/>
        <w:t>DEFINITIONS.</w:t>
      </w:r>
    </w:p>
    <w:p>
      <w:pPr>
        <w:spacing w:after="0" w:line="117"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any Committee administering the Plan in accordance with Article 2.</w:t>
      </w:r>
    </w:p>
    <w:p>
      <w:pPr>
        <w:spacing w:after="0" w:line="225"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any entity other than a Subsidiary, if the Company and/or one or more Subsidiaries own not less than 50% of such entity.</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Award</w:t>
      </w:r>
      <w:r>
        <w:rPr>
          <w:rFonts w:ascii="Arial" w:cs="Arial" w:eastAsia="Arial" w:hAnsi="Arial"/>
          <w:sz w:val="18"/>
          <w:szCs w:val="18"/>
          <w:color w:val="auto"/>
        </w:rPr>
        <w:t>” means any award granted under the Plan, including as an Option, a SAR, a Restricted Share award, a Restricted Stock Unit award or another form of equity-based compensation award.</w:t>
      </w:r>
    </w:p>
    <w:p>
      <w:pPr>
        <w:spacing w:after="0" w:line="162" w:lineRule="exact"/>
        <w:rPr>
          <w:sz w:val="20"/>
          <w:szCs w:val="20"/>
          <w:color w:val="auto"/>
        </w:rPr>
      </w:pPr>
    </w:p>
    <w:p>
      <w:pPr>
        <w:ind w:right="620" w:firstLine="440"/>
        <w:spacing w:after="0" w:line="282" w:lineRule="auto"/>
        <w:rPr>
          <w:sz w:val="20"/>
          <w:szCs w:val="20"/>
          <w:color w:val="auto"/>
        </w:rPr>
      </w:pPr>
      <w:r>
        <w:rPr>
          <w:rFonts w:ascii="Arial" w:cs="Arial" w:eastAsia="Arial" w:hAnsi="Arial"/>
          <w:sz w:val="18"/>
          <w:szCs w:val="18"/>
          <w:color w:val="auto"/>
        </w:rPr>
        <w:t>14.4 “</w:t>
      </w:r>
      <w:r>
        <w:rPr>
          <w:rFonts w:ascii="Arial" w:cs="Arial" w:eastAsia="Arial" w:hAnsi="Arial"/>
          <w:sz w:val="18"/>
          <w:szCs w:val="18"/>
          <w:b w:val="1"/>
          <w:bCs w:val="1"/>
          <w:color w:val="auto"/>
        </w:rPr>
        <w:t>Award Agreement</w:t>
      </w:r>
      <w:r>
        <w:rPr>
          <w:rFonts w:ascii="Arial" w:cs="Arial" w:eastAsia="Arial" w:hAnsi="Arial"/>
          <w:sz w:val="18"/>
          <w:szCs w:val="18"/>
          <w:color w:val="auto"/>
        </w:rPr>
        <w:t>” means a Stock Option Agreement, a SAR Agreement, a Restricted Stock Agreement, a Restricted Stock Unit Agreement or such other agreement evidencing an Award granted under the Plan.</w:t>
      </w:r>
    </w:p>
    <w:p>
      <w:pPr>
        <w:spacing w:after="0" w:line="162"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color w:val="auto"/>
        </w:rPr>
        <w:t>14.5 “</w:t>
      </w:r>
      <w:r>
        <w:rPr>
          <w:rFonts w:ascii="Arial" w:cs="Arial" w:eastAsia="Arial" w:hAnsi="Arial"/>
          <w:sz w:val="18"/>
          <w:szCs w:val="18"/>
          <w:b w:val="1"/>
          <w:bCs w:val="1"/>
          <w:color w:val="auto"/>
        </w:rPr>
        <w:t>Board</w:t>
      </w:r>
      <w:r>
        <w:rPr>
          <w:rFonts w:ascii="Arial" w:cs="Arial" w:eastAsia="Arial" w:hAnsi="Arial"/>
          <w:sz w:val="18"/>
          <w:szCs w:val="18"/>
          <w:color w:val="auto"/>
        </w:rPr>
        <w:t>” means the Company’s Board of Directors, as constituted from time to time and, where the context so requires, reference to the “Board” may refer to a Committee to whom the Board has delegated authority to administer any aspect of this Plan.</w:t>
      </w:r>
    </w:p>
    <w:p>
      <w:pPr>
        <w:spacing w:after="0" w:line="162" w:lineRule="exact"/>
        <w:rPr>
          <w:sz w:val="20"/>
          <w:szCs w:val="20"/>
          <w:color w:val="auto"/>
        </w:rPr>
      </w:pPr>
    </w:p>
    <w:p>
      <w:pPr>
        <w:ind w:left="440"/>
        <w:spacing w:after="0"/>
        <w:tabs>
          <w:tab w:leader="none" w:pos="9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w:t>
      </w:r>
    </w:p>
    <w:p>
      <w:pPr>
        <w:spacing w:after="0" w:line="121" w:lineRule="exact"/>
        <w:rPr>
          <w:sz w:val="20"/>
          <w:szCs w:val="20"/>
          <w:color w:val="auto"/>
        </w:rPr>
      </w:pPr>
    </w:p>
    <w:p>
      <w:pPr>
        <w:ind w:right="140" w:firstLine="987"/>
        <w:spacing w:after="0" w:line="263" w:lineRule="auto"/>
        <w:tabs>
          <w:tab w:leader="none" w:pos="13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consummation of the sale or disposition by the Company of all or substantially all of the Company’s assets;</w:t>
      </w:r>
    </w:p>
    <w:p>
      <w:pPr>
        <w:sectPr>
          <w:pgSz w:w="11900" w:h="16838" w:orient="portrait"/>
          <w:cols w:equalWidth="0" w:num="1">
            <w:col w:w="11000"/>
          </w:cols>
          <w:pgMar w:left="440" w:top="270" w:right="459" w:bottom="1440" w:gutter="0" w:footer="0" w:header="0"/>
        </w:sectPr>
      </w:pPr>
    </w:p>
    <w:bookmarkStart w:id="24" w:name="page25"/>
    <w:bookmarkEnd w:id="24"/>
    <w:p>
      <w:pPr>
        <w:ind w:right="20" w:firstLine="987"/>
        <w:spacing w:after="0" w:line="301" w:lineRule="auto"/>
        <w:tabs>
          <w:tab w:leader="none" w:pos="1368"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consummation of a merger or consolidation of the Company with or into any other entity, other than a merger or consolidation which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or such surviving entity or its parent outstanding immediately after such merger or consolidation; or</w:t>
      </w:r>
    </w:p>
    <w:p>
      <w:pPr>
        <w:spacing w:after="0" w:line="153" w:lineRule="exact"/>
        <w:rPr>
          <w:rFonts w:ascii="Arial" w:cs="Arial" w:eastAsia="Arial" w:hAnsi="Arial"/>
          <w:sz w:val="16"/>
          <w:szCs w:val="16"/>
          <w:color w:val="auto"/>
        </w:rPr>
      </w:pPr>
    </w:p>
    <w:p>
      <w:pPr>
        <w:ind w:right="60" w:firstLine="987"/>
        <w:spacing w:after="0" w:line="261" w:lineRule="auto"/>
        <w:tabs>
          <w:tab w:leader="none" w:pos="1381"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Individuals who are members of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cease for any reason to constitute at least a majority of the members of the Board over a period of 12 months;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In addition, if a Change in Control constitutes a payment event with respect to any Award which provides for a deferral of compensation and is subject to Code Section 409A, then notwithstanding anything to the contrary in the Plan or applicable Award Agreement the transaction with respect to such Award must also constitute a “change in control event” as defined in Treasury Regulation Section 1.409A-3(i)(5) to the extent required by Code Section 409A.</w:t>
      </w:r>
    </w:p>
    <w:p>
      <w:pPr>
        <w:spacing w:after="0" w:line="188"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w:t>
      </w:r>
    </w:p>
    <w:p>
      <w:pPr>
        <w:spacing w:after="0" w:line="225" w:lineRule="exact"/>
        <w:rPr>
          <w:sz w:val="20"/>
          <w:szCs w:val="20"/>
          <w:color w:val="auto"/>
        </w:rPr>
      </w:pPr>
    </w:p>
    <w:p>
      <w:pPr>
        <w:ind w:right="680" w:firstLine="991"/>
        <w:spacing w:after="0" w:line="282"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of one or more members of the Board, or of other individuals satisfying applicable laws, appointed by the Board to administer the Plan.</w:t>
      </w:r>
    </w:p>
    <w:p>
      <w:pPr>
        <w:spacing w:after="0" w:line="162"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Share</w:t>
      </w:r>
      <w:r>
        <w:rPr>
          <w:rFonts w:ascii="Arial" w:cs="Arial" w:eastAsia="Arial" w:hAnsi="Arial"/>
          <w:sz w:val="16"/>
          <w:szCs w:val="16"/>
          <w:color w:val="auto"/>
        </w:rPr>
        <w:t>” means one share of the Company’s common stock.</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means Flywire Corporation, a Delaware corporation.</w:t>
      </w:r>
    </w:p>
    <w:p>
      <w:pPr>
        <w:spacing w:after="0" w:line="225" w:lineRule="exact"/>
        <w:rPr>
          <w:sz w:val="20"/>
          <w:szCs w:val="20"/>
          <w:color w:val="auto"/>
        </w:rPr>
      </w:pPr>
    </w:p>
    <w:p>
      <w:pPr>
        <w:ind w:right="300" w:firstLine="991"/>
        <w:spacing w:after="0" w:line="347" w:lineRule="auto"/>
        <w:rPr>
          <w:sz w:val="20"/>
          <w:szCs w:val="20"/>
          <w:color w:val="auto"/>
        </w:rPr>
      </w:pPr>
      <w:r>
        <w:rPr>
          <w:rFonts w:ascii="Arial" w:cs="Arial" w:eastAsia="Arial" w:hAnsi="Arial"/>
          <w:sz w:val="16"/>
          <w:szCs w:val="16"/>
          <w:color w:val="auto"/>
        </w:rPr>
        <w:t>14.11 “</w:t>
      </w:r>
      <w:r>
        <w:rPr>
          <w:rFonts w:ascii="Arial" w:cs="Arial" w:eastAsia="Arial" w:hAnsi="Arial"/>
          <w:sz w:val="16"/>
          <w:szCs w:val="16"/>
          <w:b w:val="1"/>
          <w:bCs w:val="1"/>
          <w:color w:val="auto"/>
        </w:rPr>
        <w:t>Consultant</w:t>
      </w:r>
      <w:r>
        <w:rPr>
          <w:rFonts w:ascii="Arial" w:cs="Arial" w:eastAsia="Arial" w:hAnsi="Arial"/>
          <w:sz w:val="16"/>
          <w:szCs w:val="16"/>
          <w:color w:val="auto"/>
        </w:rPr>
        <w:t xml:space="preserve">” means a consultant or adviser who provides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services to the Company, a Parent, a Subsidiary or an Affiliate as an independent contractor and who qualifies as a consultant or advisor under Instruction A.1.(a)(1) of Form S-8 under the Securities Act.</w:t>
      </w:r>
    </w:p>
    <w:p>
      <w:pPr>
        <w:spacing w:after="0" w:line="116"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Employee</w:t>
      </w:r>
      <w:r>
        <w:rPr>
          <w:rFonts w:ascii="Arial" w:cs="Arial" w:eastAsia="Arial" w:hAnsi="Arial"/>
          <w:sz w:val="16"/>
          <w:szCs w:val="16"/>
          <w:color w:val="auto"/>
        </w:rPr>
        <w:t>” means a common-law employee of the Company, a Parent, a Subsidiary or an Affiliate.</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w:t>
      </w:r>
    </w:p>
    <w:p>
      <w:pPr>
        <w:spacing w:after="0" w:line="225"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color w:val="auto"/>
        </w:rPr>
        <w:t>14.14 “</w:t>
      </w:r>
      <w:r>
        <w:rPr>
          <w:rFonts w:ascii="Arial" w:cs="Arial" w:eastAsia="Arial" w:hAnsi="Arial"/>
          <w:sz w:val="18"/>
          <w:szCs w:val="18"/>
          <w:b w:val="1"/>
          <w:bCs w:val="1"/>
          <w:color w:val="auto"/>
        </w:rPr>
        <w:t>Exercise Price</w:t>
      </w:r>
      <w:r>
        <w:rPr>
          <w:rFonts w:ascii="Arial" w:cs="Arial" w:eastAsia="Arial" w:hAnsi="Arial"/>
          <w:sz w:val="18"/>
          <w:szCs w:val="18"/>
          <w:color w:val="auto"/>
        </w:rPr>
        <w:t>,” in the case of an Option, means the amount for which one Common Share may be purchased upon exercise of such Option, as specified in the applicable Stock Option Agreement. “Exercise Price,” in the case of a SAR, means an amount, as specified in the applicable SAR Agreement, which is subtracted from the Fair Market Value of one Common Share in determining the amount payable upon exercise of such SAR.</w:t>
      </w:r>
    </w:p>
    <w:p>
      <w:pPr>
        <w:sectPr>
          <w:pgSz w:w="11900" w:h="16838" w:orient="portrait"/>
          <w:cols w:equalWidth="0" w:num="1">
            <w:col w:w="11000"/>
          </w:cols>
          <w:pgMar w:left="440" w:top="274" w:right="459" w:bottom="1440" w:gutter="0" w:footer="0" w:header="0"/>
        </w:sectPr>
      </w:pPr>
    </w:p>
    <w:bookmarkStart w:id="25" w:name="page26"/>
    <w:bookmarkEnd w:id="25"/>
    <w:p>
      <w:pPr>
        <w:ind w:right="8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14.15 “</w:t>
      </w:r>
      <w:r>
        <w:rPr>
          <w:rFonts w:ascii="Arial" w:cs="Arial" w:eastAsia="Arial" w:hAnsi="Arial"/>
          <w:sz w:val="18"/>
          <w:szCs w:val="18"/>
          <w:b w:val="1"/>
          <w:bCs w:val="1"/>
          <w:color w:val="auto"/>
        </w:rPr>
        <w:t>Fair Market Value</w:t>
      </w:r>
      <w:r>
        <w:rPr>
          <w:rFonts w:ascii="Arial" w:cs="Arial" w:eastAsia="Arial" w:hAnsi="Arial"/>
          <w:sz w:val="18"/>
          <w:szCs w:val="18"/>
          <w:color w:val="auto"/>
        </w:rPr>
        <w:t>” means the closing price of a Common Share on any established stock exchange or a national market system on the applicable date or, if the applicable date is not a trading day, on the last trading day prior to the applicable date, as reported in a source that the Administrator deems reliable. If Common Shares are not traded on an established stock exchange or a national market system, the Fair Market Value shall be determined by the Administrator in good faith on such basis as it deems appropriate. The Administrator’s determination shall be conclusive and binding on all persons. Notwithstanding the foregoing, the determination of the Fair Market Value in all cases shall be in accordance with the requirements set forth under Section 409A of the Code to the extent necessary for an Award to comply with, or be exempt from, Section 409A of the Code.</w:t>
      </w:r>
    </w:p>
    <w:p>
      <w:pPr>
        <w:spacing w:after="0" w:line="189" w:lineRule="exact"/>
        <w:rPr>
          <w:sz w:val="20"/>
          <w:szCs w:val="20"/>
          <w:color w:val="auto"/>
        </w:rPr>
      </w:pPr>
    </w:p>
    <w:p>
      <w:pPr>
        <w:ind w:right="660" w:firstLine="991"/>
        <w:spacing w:after="0" w:line="282" w:lineRule="auto"/>
        <w:rPr>
          <w:sz w:val="20"/>
          <w:szCs w:val="20"/>
          <w:color w:val="auto"/>
        </w:rPr>
      </w:pPr>
      <w:r>
        <w:rPr>
          <w:rFonts w:ascii="Arial" w:cs="Arial" w:eastAsia="Arial" w:hAnsi="Arial"/>
          <w:sz w:val="18"/>
          <w:szCs w:val="18"/>
          <w:color w:val="auto"/>
        </w:rPr>
        <w:t>14.16 “</w:t>
      </w:r>
      <w:r>
        <w:rPr>
          <w:rFonts w:ascii="Arial" w:cs="Arial" w:eastAsia="Arial" w:hAnsi="Arial"/>
          <w:sz w:val="18"/>
          <w:szCs w:val="18"/>
          <w:b w:val="1"/>
          <w:bCs w:val="1"/>
          <w:color w:val="auto"/>
        </w:rPr>
        <w:t>IPO Date</w:t>
      </w:r>
      <w:r>
        <w:rPr>
          <w:rFonts w:ascii="Arial" w:cs="Arial" w:eastAsia="Arial" w:hAnsi="Arial"/>
          <w:sz w:val="18"/>
          <w:szCs w:val="18"/>
          <w:color w:val="auto"/>
        </w:rPr>
        <w:t>” means the effective date of the registration statement filed by the Company with the Securities and Exchange Commission for its initial offering of the Common Shares to the public.</w:t>
      </w:r>
    </w:p>
    <w:p>
      <w:pPr>
        <w:spacing w:after="0" w:line="162"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ISO</w:t>
      </w:r>
      <w:r>
        <w:rPr>
          <w:rFonts w:ascii="Arial" w:cs="Arial" w:eastAsia="Arial" w:hAnsi="Arial"/>
          <w:sz w:val="16"/>
          <w:szCs w:val="16"/>
          <w:color w:val="auto"/>
        </w:rPr>
        <w:t>” means an incentive stock option described in Code Section 422(b).</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NSO</w:t>
      </w:r>
      <w:r>
        <w:rPr>
          <w:rFonts w:ascii="Arial" w:cs="Arial" w:eastAsia="Arial" w:hAnsi="Arial"/>
          <w:sz w:val="16"/>
          <w:szCs w:val="16"/>
          <w:color w:val="auto"/>
        </w:rPr>
        <w:t>” means a stock option not described in Code Sections 422 or 423.</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an ISO or NSO granted under the Plan and entitling the holder to purchase Common Shares.</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Optionee</w:t>
      </w:r>
      <w:r>
        <w:rPr>
          <w:rFonts w:ascii="Arial" w:cs="Arial" w:eastAsia="Arial" w:hAnsi="Arial"/>
          <w:sz w:val="16"/>
          <w:szCs w:val="16"/>
          <w:color w:val="auto"/>
        </w:rPr>
        <w:t>” means an individual or estate holding an Option or SAR.</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Outside Director</w:t>
      </w:r>
      <w:r>
        <w:rPr>
          <w:rFonts w:ascii="Arial" w:cs="Arial" w:eastAsia="Arial" w:hAnsi="Arial"/>
          <w:sz w:val="16"/>
          <w:szCs w:val="16"/>
          <w:color w:val="auto"/>
        </w:rPr>
        <w:t>” means a member of the Board who is not an Employee.</w:t>
      </w:r>
    </w:p>
    <w:p>
      <w:pPr>
        <w:spacing w:after="0" w:line="225"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color w:val="auto"/>
        </w:rPr>
        <w:t>14.22 “</w:t>
      </w:r>
      <w:r>
        <w:rPr>
          <w:rFonts w:ascii="Arial" w:cs="Arial" w:eastAsia="Arial" w:hAnsi="Arial"/>
          <w:sz w:val="18"/>
          <w:szCs w:val="18"/>
          <w:b w:val="1"/>
          <w:bCs w:val="1"/>
          <w:color w:val="auto"/>
        </w:rPr>
        <w:t>Parent</w:t>
      </w:r>
      <w:r>
        <w:rPr>
          <w:rFonts w:ascii="Arial" w:cs="Arial" w:eastAsia="Arial" w:hAnsi="Arial"/>
          <w:sz w:val="18"/>
          <w:szCs w:val="18"/>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80"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 individual or estate holding an Award.</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Flywire 2021 Equity Incentive Plan, as amended from time to time.</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Predecessor Plan</w:t>
      </w:r>
      <w:r>
        <w:rPr>
          <w:rFonts w:ascii="Arial" w:cs="Arial" w:eastAsia="Arial" w:hAnsi="Arial"/>
          <w:sz w:val="16"/>
          <w:szCs w:val="16"/>
          <w:color w:val="auto"/>
        </w:rPr>
        <w:t>” means the Company’s 2018 Stock Incentive Plan, as amended.</w:t>
      </w:r>
    </w:p>
    <w:p>
      <w:pPr>
        <w:spacing w:after="0" w:line="225"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Share</w:t>
      </w:r>
      <w:r>
        <w:rPr>
          <w:rFonts w:ascii="Arial" w:cs="Arial" w:eastAsia="Arial" w:hAnsi="Arial"/>
          <w:sz w:val="16"/>
          <w:szCs w:val="16"/>
          <w:color w:val="auto"/>
        </w:rPr>
        <w:t>” means a Common Share awarded under the Plan.</w:t>
      </w:r>
    </w:p>
    <w:p>
      <w:pPr>
        <w:spacing w:after="0" w:line="225"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14.27 “</w:t>
      </w:r>
      <w:r>
        <w:rPr>
          <w:rFonts w:ascii="Arial" w:cs="Arial" w:eastAsia="Arial" w:hAnsi="Arial"/>
          <w:sz w:val="18"/>
          <w:szCs w:val="18"/>
          <w:b w:val="1"/>
          <w:bCs w:val="1"/>
          <w:color w:val="auto"/>
        </w:rPr>
        <w:t>Restricted Stock Agreement</w:t>
      </w:r>
      <w:r>
        <w:rPr>
          <w:rFonts w:ascii="Arial" w:cs="Arial" w:eastAsia="Arial" w:hAnsi="Arial"/>
          <w:sz w:val="18"/>
          <w:szCs w:val="18"/>
          <w:color w:val="auto"/>
        </w:rPr>
        <w:t>” means the agreement consistent with the terms of the Plan between the Company and the recipient of a Restricted Share that contains the terms, conditions and restrictions pertaining to such Restricted Share.</w:t>
      </w:r>
    </w:p>
    <w:p>
      <w:pPr>
        <w:spacing w:after="0" w:line="162"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Stock Unit</w:t>
      </w:r>
      <w:r>
        <w:rPr>
          <w:rFonts w:ascii="Arial" w:cs="Arial" w:eastAsia="Arial" w:hAnsi="Arial"/>
          <w:sz w:val="16"/>
          <w:szCs w:val="16"/>
          <w:color w:val="auto"/>
        </w:rPr>
        <w:t>” means a bookkeeping entry representing the equivalent of one Common Share, as awarded under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ectPr>
          <w:pgSz w:w="11900" w:h="16838" w:orient="portrait"/>
          <w:cols w:equalWidth="0" w:num="1">
            <w:col w:w="11020"/>
          </w:cols>
          <w:pgMar w:left="440" w:top="270" w:right="439" w:bottom="1440" w:gutter="0" w:footer="0" w:header="0"/>
        </w:sectPr>
      </w:pPr>
    </w:p>
    <w:bookmarkStart w:id="26" w:name="page27"/>
    <w:bookmarkEnd w:id="26"/>
    <w:p>
      <w:pPr>
        <w:ind w:right="280" w:firstLine="991"/>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14.29 “</w:t>
      </w:r>
      <w:r>
        <w:rPr>
          <w:rFonts w:ascii="Arial" w:cs="Arial" w:eastAsia="Arial" w:hAnsi="Arial"/>
          <w:sz w:val="17"/>
          <w:szCs w:val="17"/>
          <w:b w:val="1"/>
          <w:bCs w:val="1"/>
          <w:color w:val="auto"/>
        </w:rPr>
        <w:t>Restricted Stock Unit Agreement</w:t>
      </w:r>
      <w:r>
        <w:rPr>
          <w:rFonts w:ascii="Arial" w:cs="Arial" w:eastAsia="Arial" w:hAnsi="Arial"/>
          <w:sz w:val="17"/>
          <w:szCs w:val="17"/>
          <w:color w:val="auto"/>
        </w:rPr>
        <w:t>” means the agreement consistent with the terms of the Plan between the Company and the recipient of a Restricted Stock Unit that contains the terms, conditions and restrictions pertaining to such Restricted Stock Unit.</w:t>
      </w:r>
    </w:p>
    <w:p>
      <w:pPr>
        <w:spacing w:after="0" w:line="140"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SAR</w:t>
      </w:r>
      <w:r>
        <w:rPr>
          <w:rFonts w:ascii="Arial" w:cs="Arial" w:eastAsia="Arial" w:hAnsi="Arial"/>
          <w:sz w:val="16"/>
          <w:szCs w:val="16"/>
          <w:color w:val="auto"/>
        </w:rPr>
        <w:t>” means a stock appreciation right granted under the Plan.</w:t>
      </w:r>
    </w:p>
    <w:p>
      <w:pPr>
        <w:spacing w:after="0" w:line="225" w:lineRule="exact"/>
        <w:rPr>
          <w:sz w:val="20"/>
          <w:szCs w:val="20"/>
          <w:color w:val="auto"/>
        </w:rPr>
      </w:pPr>
    </w:p>
    <w:p>
      <w:pPr>
        <w:ind w:right="600" w:firstLine="991"/>
        <w:spacing w:after="0" w:line="282" w:lineRule="auto"/>
        <w:rPr>
          <w:sz w:val="20"/>
          <w:szCs w:val="20"/>
          <w:color w:val="auto"/>
        </w:rPr>
      </w:pPr>
      <w:r>
        <w:rPr>
          <w:rFonts w:ascii="Arial" w:cs="Arial" w:eastAsia="Arial" w:hAnsi="Arial"/>
          <w:sz w:val="18"/>
          <w:szCs w:val="18"/>
          <w:color w:val="auto"/>
        </w:rPr>
        <w:t>14.31 “</w:t>
      </w:r>
      <w:r>
        <w:rPr>
          <w:rFonts w:ascii="Arial" w:cs="Arial" w:eastAsia="Arial" w:hAnsi="Arial"/>
          <w:sz w:val="18"/>
          <w:szCs w:val="18"/>
          <w:b w:val="1"/>
          <w:bCs w:val="1"/>
          <w:color w:val="auto"/>
        </w:rPr>
        <w:t>SAR Agreement</w:t>
      </w:r>
      <w:r>
        <w:rPr>
          <w:rFonts w:ascii="Arial" w:cs="Arial" w:eastAsia="Arial" w:hAnsi="Arial"/>
          <w:sz w:val="18"/>
          <w:szCs w:val="18"/>
          <w:color w:val="auto"/>
        </w:rPr>
        <w:t>” means the agreement consistent with the terms of the Plan between the Company and an Optionee that contains the terms, conditions and restrictions pertaining to his or her SAR.</w:t>
      </w:r>
    </w:p>
    <w:p>
      <w:pPr>
        <w:spacing w:after="0" w:line="162"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14.32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w:t>
      </w:r>
    </w:p>
    <w:p>
      <w:pPr>
        <w:spacing w:after="0" w:line="225"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14.33 “</w:t>
      </w:r>
      <w:r>
        <w:rPr>
          <w:rFonts w:ascii="Arial" w:cs="Arial" w:eastAsia="Arial" w:hAnsi="Arial"/>
          <w:sz w:val="18"/>
          <w:szCs w:val="18"/>
          <w:b w:val="1"/>
          <w:bCs w:val="1"/>
          <w:color w:val="auto"/>
        </w:rPr>
        <w:t>Service Provider</w:t>
      </w:r>
      <w:r>
        <w:rPr>
          <w:rFonts w:ascii="Arial" w:cs="Arial" w:eastAsia="Arial" w:hAnsi="Arial"/>
          <w:sz w:val="18"/>
          <w:szCs w:val="18"/>
          <w:color w:val="auto"/>
        </w:rPr>
        <w:t>” means any individual who is an Employee, Outside Director or Consultant, including any prospective Employee, Outside Director or Consultant who has accepted an offer of employment or service and will be an Employee, Outside Director or Consultant after the commencement of their service.</w:t>
      </w:r>
    </w:p>
    <w:p>
      <w:pPr>
        <w:spacing w:after="0" w:line="176"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color w:val="auto"/>
        </w:rPr>
        <w:t>14.34 “</w:t>
      </w:r>
      <w:r>
        <w:rPr>
          <w:rFonts w:ascii="Arial" w:cs="Arial" w:eastAsia="Arial" w:hAnsi="Arial"/>
          <w:sz w:val="18"/>
          <w:szCs w:val="18"/>
          <w:b w:val="1"/>
          <w:bCs w:val="1"/>
          <w:color w:val="auto"/>
        </w:rPr>
        <w:t>Stock Option Agreement</w:t>
      </w:r>
      <w:r>
        <w:rPr>
          <w:rFonts w:ascii="Arial" w:cs="Arial" w:eastAsia="Arial" w:hAnsi="Arial"/>
          <w:sz w:val="18"/>
          <w:szCs w:val="18"/>
          <w:color w:val="auto"/>
        </w:rPr>
        <w:t>” means the agreement consistent with the terms of the Plan between the Company and an Optionee that contains the terms, conditions and restrictions pertaining to his or her Option.</w:t>
      </w:r>
    </w:p>
    <w:p>
      <w:pPr>
        <w:spacing w:after="0" w:line="162"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color w:val="auto"/>
        </w:rPr>
        <w:t>14.35 “</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80" w:lineRule="exact"/>
        <w:rPr>
          <w:sz w:val="20"/>
          <w:szCs w:val="20"/>
          <w:color w:val="auto"/>
        </w:rPr>
      </w:pPr>
    </w:p>
    <w:p>
      <w:pPr>
        <w:ind w:right="20" w:firstLine="991"/>
        <w:spacing w:after="0" w:line="289" w:lineRule="auto"/>
        <w:rPr>
          <w:sz w:val="20"/>
          <w:szCs w:val="20"/>
          <w:color w:val="auto"/>
        </w:rPr>
      </w:pPr>
      <w:r>
        <w:rPr>
          <w:rFonts w:ascii="Arial" w:cs="Arial" w:eastAsia="Arial" w:hAnsi="Arial"/>
          <w:sz w:val="17"/>
          <w:szCs w:val="17"/>
          <w:color w:val="auto"/>
        </w:rPr>
        <w:t>14.36 “</w:t>
      </w:r>
      <w:r>
        <w:rPr>
          <w:rFonts w:ascii="Arial" w:cs="Arial" w:eastAsia="Arial" w:hAnsi="Arial"/>
          <w:sz w:val="17"/>
          <w:szCs w:val="17"/>
          <w:b w:val="1"/>
          <w:bCs w:val="1"/>
          <w:color w:val="auto"/>
        </w:rPr>
        <w:t>Substitute Awards</w:t>
      </w:r>
      <w:r>
        <w:rPr>
          <w:rFonts w:ascii="Arial" w:cs="Arial" w:eastAsia="Arial" w:hAnsi="Arial"/>
          <w:sz w:val="17"/>
          <w:szCs w:val="17"/>
          <w:color w:val="auto"/>
        </w:rPr>
        <w:t>” means Awards or Common Shares issued by the Company in assumption of, or substitution or exchange for, awards previously granted, or the right or obligation to make future awards, in each case by a corporation acquired by the Company or any Affiliate or with which the Company or any Affiliate combines to the extent permitted by the applicable exchange listing standards.</w:t>
      </w:r>
    </w:p>
    <w:p>
      <w:pPr>
        <w:sectPr>
          <w:pgSz w:w="11900" w:h="16838" w:orient="portrait"/>
          <w:cols w:equalWidth="0" w:num="1">
            <w:col w:w="11000"/>
          </w:cols>
          <w:pgMar w:left="440" w:top="270" w:right="45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rFonts w:ascii="Arial" w:cs="Arial" w:eastAsia="Arial" w:hAnsi="Arial"/>
          <w:sz w:val="14"/>
          <w:szCs w:val="14"/>
          <w:b w:val="1"/>
          <w:bCs w:val="1"/>
          <w:color w:val="auto"/>
        </w:rPr>
        <w:t>LYWIRE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You have been granted Restricted Stock Units (“RSUs”), each representing the right to receive one share of common stock of Flywire Corporation (the “Company”) on the following terms:</w:t>
      </w:r>
    </w:p>
    <w:p>
      <w:pPr>
        <w:sectPr>
          <w:pgSz w:w="11900" w:h="16838" w:orient="portrait"/>
          <w:cols w:equalWidth="0" w:num="1">
            <w:col w:w="10980"/>
          </w:cols>
          <w:pgMar w:left="440" w:top="270" w:right="47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Name of Recipient: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ind w:right="4640"/>
        <w:spacing w:after="0"/>
        <w:rPr>
          <w:sz w:val="20"/>
          <w:szCs w:val="20"/>
          <w:color w:val="auto"/>
        </w:rPr>
      </w:pPr>
      <w:r>
        <w:rPr>
          <w:rFonts w:ascii="Arial" w:cs="Arial" w:eastAsia="Arial" w:hAnsi="Arial"/>
          <w:sz w:val="15"/>
          <w:szCs w:val="15"/>
          <w:color w:val="auto"/>
        </w:rPr>
        <w:t>«Name»</w:t>
      </w:r>
    </w:p>
    <w:p>
      <w:pPr>
        <w:spacing w:after="0" w:line="211"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Total Number of RSUs Granted: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«TotalRSUs»</w:t>
      </w:r>
    </w:p>
    <w:p>
      <w:pPr>
        <w:spacing w:after="0" w:line="200"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320"/>
        <w:spacing w:after="0"/>
        <w:rPr>
          <w:sz w:val="20"/>
          <w:szCs w:val="20"/>
          <w:color w:val="auto"/>
        </w:rPr>
      </w:pPr>
      <w:r>
        <w:rPr>
          <w:rFonts w:ascii="Arial" w:cs="Arial" w:eastAsia="Arial" w:hAnsi="Arial"/>
          <w:sz w:val="16"/>
          <w:szCs w:val="16"/>
          <w:color w:val="auto"/>
        </w:rPr>
        <w:t>«DateGrant»</w:t>
      </w:r>
    </w:p>
    <w:p>
      <w:pPr>
        <w:spacing w:after="0" w:line="200"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first «CliffPercent»% of the RSUs subject to this award will vest on «InitialVestDate», an additional «IncrementPercent»% of the RSUs subject to this award will vest on «SecondVestDate», and an additional «IncrementPercent»% of the RSUs subject to this award will vest on the final day of each «IncrementPeriod»-month period thereafter, provided that you remain in continuous service as an Employee or Consultant (“Service”) through each such date.</w:t>
      </w:r>
    </w:p>
    <w:p>
      <w:pPr>
        <w:spacing w:after="0" w:line="177"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ind w:right="60"/>
        <w:spacing w:after="0" w:line="263" w:lineRule="auto"/>
        <w:rPr>
          <w:sz w:val="20"/>
          <w:szCs w:val="20"/>
          <w:color w:val="auto"/>
        </w:rPr>
      </w:pPr>
      <w:r>
        <w:rPr>
          <w:rFonts w:ascii="Arial" w:cs="Arial" w:eastAsia="Arial" w:hAnsi="Arial"/>
          <w:sz w:val="18"/>
          <w:szCs w:val="18"/>
          <w:color w:val="auto"/>
        </w:rPr>
        <w:t>You and the Company agree that these RSUs are granted under and governed by the terms and conditions of the Company’s 2021 Equity Incentive Plan (the “Plan”) and the Restricted Stock Unit Award Agreement, both of which are attached to, and made a part of, this document. Capitalized terms not otherwise defined herein shall have the meanings assigned to such terms in the Plan.</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may, in its sole discretion, decide to deliver any documents related to RSUs awarded under the Plan, future RSUs that may be awarded under the Plan and all documents that the Company is required to deliver to security holders (including annual reports and proxy statements) by email or other electronic means (including posting them on a website maintained by the Company or a third party under contract with the Company). You hereby consent to receive such documents by electronic delivery and agree to participate in the Plan through any on-line or electronic system established and maintained by the Company or another third party designated by the Company. You acknowledge that you may incur costs in connection with any such delivery by means of electronic transmission, including the cost of accessing the Internet and printing fees, and that an interruption of Internet access may interfere with your ability to access the documents.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further agree to comply with the Company’s </w:t>
      </w:r>
      <w:r>
        <w:rPr>
          <w:rFonts w:ascii="Arial" w:cs="Arial" w:eastAsia="Arial" w:hAnsi="Arial"/>
          <w:sz w:val="18"/>
          <w:szCs w:val="18"/>
          <w:i w:val="1"/>
          <w:iCs w:val="1"/>
          <w:color w:val="auto"/>
        </w:rPr>
        <w:t>Insider Trading Policy</w:t>
      </w:r>
      <w:r>
        <w:rPr>
          <w:rFonts w:ascii="Arial" w:cs="Arial" w:eastAsia="Arial" w:hAnsi="Arial"/>
          <w:sz w:val="18"/>
          <w:szCs w:val="18"/>
          <w:color w:val="auto"/>
        </w:rPr>
        <w:t xml:space="preserve"> when selling shares of the Company’s common stock.</w:t>
      </w:r>
    </w:p>
    <w:p>
      <w:pPr>
        <w:sectPr>
          <w:pgSz w:w="11900" w:h="16838" w:orient="portrait"/>
          <w:cols w:equalWidth="0" w:num="1">
            <w:col w:w="10980"/>
          </w:cols>
          <w:pgMar w:left="440" w:top="270" w:right="47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rFonts w:ascii="Arial" w:cs="Arial" w:eastAsia="Arial" w:hAnsi="Arial"/>
          <w:sz w:val="14"/>
          <w:szCs w:val="14"/>
          <w:b w:val="1"/>
          <w:bCs w:val="1"/>
          <w:color w:val="auto"/>
        </w:rPr>
        <w:t>LYWIRE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00"/>
          </w:cols>
          <w:pgMar w:left="440" w:top="270" w:right="4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 of RSUs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Subject to all of the terms and conditions set forth in the Notice of Restricted Stock Unit Award (the “Grant Notice”), this Restricted Stock Unit Award Agreement (the “Agreement”) and the Plan, the Company has granted to you the number of RSUs set forth in the Grant Notice.</w:t>
      </w:r>
    </w:p>
    <w:p>
      <w:pPr>
        <w:spacing w:after="0" w:line="184"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ind w:left="5740"/>
        <w:spacing w:after="0"/>
        <w:rPr>
          <w:sz w:val="20"/>
          <w:szCs w:val="20"/>
          <w:color w:val="auto"/>
        </w:rPr>
      </w:pPr>
      <w:r>
        <w:rPr>
          <w:rFonts w:ascii="Arial" w:cs="Arial" w:eastAsia="Arial" w:hAnsi="Arial"/>
          <w:sz w:val="16"/>
          <w:szCs w:val="16"/>
          <w:color w:val="auto"/>
        </w:rPr>
        <w:t>All capitalized terms used in this Agreement shall have the meanings</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assigned to them in this Agreement, the Grant Notice or the Plan.</w:t>
      </w:r>
    </w:p>
    <w:p>
      <w:pPr>
        <w:sectPr>
          <w:pgSz w:w="11900" w:h="16838" w:orient="portrait"/>
          <w:cols w:equalWidth="0" w:num="1">
            <w:col w:w="11000"/>
          </w:cols>
          <w:pgMar w:left="440" w:top="270" w:right="459"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RSUs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Your RSUs are bookkeeping entries. They represent only the Company’s unfunded and unsecured promise to issue shares of common stock on a future date. As a holder of RSUs, you have no rights other than the rights of a general creditor of the Company.</w:t>
      </w:r>
    </w:p>
    <w:p>
      <w:pPr>
        <w:spacing w:after="0" w:line="167"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Payment for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payment is required for the RSUs that you are receiving.</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RSUs vest in accordance with the vesting schedule set forth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 Notice.</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 no event will any additional RSUs vest after your Service has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terminated for any reason unless expressly provided in a written</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agreement between you and the Company.</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Note that you will not receive any consideration in respect of your vested</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 xml:space="preserve">RSUs until they are settled in accordance with the </w:t>
      </w:r>
      <w:r>
        <w:rPr>
          <w:rFonts w:ascii="Arial" w:cs="Arial" w:eastAsia="Arial" w:hAnsi="Arial"/>
          <w:sz w:val="16"/>
          <w:szCs w:val="16"/>
          <w:i w:val="1"/>
          <w:iCs w:val="1"/>
          <w:color w:val="auto"/>
        </w:rPr>
        <w:t>Settlement of RSUs</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section below.</w:t>
      </w:r>
    </w:p>
    <w:p>
      <w:pPr>
        <w:sectPr>
          <w:pgSz w:w="11900" w:h="16838" w:orient="portrait"/>
          <w:cols w:equalWidth="0" w:num="1">
            <w:col w:w="11000"/>
          </w:cols>
          <w:pgMar w:left="440" w:top="270" w:right="45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of Service/Forfeiture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If your Service terminates for any reason, then your RSUs will be forfeited to the extent that they have not vested before the termination date and do not vest as a result of the termination of your Service. This means that any RSUs that have not vested under this Agreement will be cancelled immediately. You will receive no payment for RSUs that are forfeited. The Company determines when your Service terminates for all purposes of your RSUs.</w:t>
      </w:r>
    </w:p>
    <w:p>
      <w:pPr>
        <w:spacing w:after="0" w:line="173"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Leaves of Absence and Part-Time Work</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8"/>
          <w:szCs w:val="18"/>
          <w:color w:val="auto"/>
        </w:rPr>
        <w:t xml:space="preserve">For purposes of this award, your Service does not terminate when you go on a military leave, a sick leave or another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leave of absence, if the leave was approved by the Company in writing and if continued crediting of Service is required by applicable law, the Company’s leave of absence policy or the terms of your leave. However, your Service terminates when the approved leave ends, unless you immediately return to active work.</w:t>
      </w:r>
    </w:p>
    <w:p>
      <w:pPr>
        <w:sectPr>
          <w:pgSz w:w="11900" w:h="16838" w:orient="portrait"/>
          <w:cols w:equalWidth="0" w:num="2">
            <w:col w:w="5020" w:space="720"/>
            <w:col w:w="5260"/>
          </w:cols>
          <w:pgMar w:left="440" w:top="270" w:right="459" w:bottom="1440" w:gutter="0" w:footer="0" w:header="0"/>
          <w:type w:val="continuous"/>
        </w:sectPr>
      </w:pPr>
    </w:p>
    <w:bookmarkStart w:id="29" w:name="page30"/>
    <w:bookmarkEnd w:id="29"/>
    <w:p>
      <w:pPr>
        <w:ind w:left="5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go on a leave of absence, or if you commence working on a part-</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time basis, the Company may adjust the vesting schedule in accordance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with the Company’s leave of absence policy or the terms of your leave or</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so that the rate of vesting is commensurate with your reduced work</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schedule, as applicable.</w:t>
      </w:r>
    </w:p>
    <w:p>
      <w:pPr>
        <w:sectPr>
          <w:pgSz w:w="11900" w:h="16838" w:orient="portrait"/>
          <w:cols w:equalWidth="0" w:num="1">
            <w:col w:w="11000"/>
          </w:cols>
          <w:pgMar w:left="440" w:top="517" w:right="45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Settlement of RSUs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Each RSU will be settled as soon as practicable on or following the date when it vests, but in any event within 60 days following the vesting date (unless you and the Company have agreed in writing to a later settlement date pursuant to procedures the Company may prescribe at its discretion). In no event will you be permitted, directly or indirectly, to specify the taxable year of settlement of any RSUs subject to this award.</w:t>
      </w:r>
    </w:p>
    <w:p>
      <w:pPr>
        <w:spacing w:after="0" w:line="191" w:lineRule="exact"/>
        <w:rPr>
          <w:sz w:val="20"/>
          <w:szCs w:val="20"/>
          <w:color w:val="auto"/>
        </w:rPr>
      </w:pPr>
    </w:p>
    <w:p>
      <w:pPr>
        <w:sectPr>
          <w:pgSz w:w="11900" w:h="16838" w:orient="portrait"/>
          <w:cols w:equalWidth="0" w:num="2">
            <w:col w:w="5020" w:space="720"/>
            <w:col w:w="5260"/>
          </w:cols>
          <w:pgMar w:left="440" w:top="517" w:right="459" w:bottom="1440" w:gutter="0" w:footer="0" w:header="0"/>
          <w:type w:val="continuous"/>
        </w:sectPr>
      </w:pPr>
    </w:p>
    <w:p>
      <w:pPr>
        <w:ind w:left="5740"/>
        <w:spacing w:after="0"/>
        <w:rPr>
          <w:sz w:val="20"/>
          <w:szCs w:val="20"/>
          <w:color w:val="auto"/>
        </w:rPr>
      </w:pPr>
      <w:r>
        <w:rPr>
          <w:rFonts w:ascii="Arial" w:cs="Arial" w:eastAsia="Arial" w:hAnsi="Arial"/>
          <w:sz w:val="16"/>
          <w:szCs w:val="16"/>
          <w:color w:val="auto"/>
        </w:rPr>
        <w:t>At the time of settlement, you will receive one Common Share for each</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vested RSU. However, the Company retains the discretion to substitute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an equivalent amount of cash for each underlying Common Share</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determined on the basis of the Fair Market Value of the Common Shares</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at the time the RSU vests.</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No fractional shares will be issued upon settlement.</w:t>
      </w:r>
    </w:p>
    <w:p>
      <w:pPr>
        <w:sectPr>
          <w:pgSz w:w="11900" w:h="16838" w:orient="portrait"/>
          <w:cols w:equalWidth="0" w:num="1">
            <w:col w:w="11000"/>
          </w:cols>
          <w:pgMar w:left="440" w:top="517" w:right="459" w:bottom="1440" w:gutter="0" w:footer="0" w:header="0"/>
          <w:type w:val="continuous"/>
        </w:sect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409A</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Unless you and the Company have agreed to a deferred settlement date (pursuant to procedures that the Company may prescribe at its discretion), settlement of these restricted stock units is intended to be exempt from the application of Code Section 409A pursuant to Treasury Regulation 1.409A-1(b)(4) and shall be administered and interpreted in a manner that complies with such exception.</w:t>
      </w:r>
    </w:p>
    <w:p>
      <w:pPr>
        <w:spacing w:after="0" w:line="200" w:lineRule="exact"/>
        <w:rPr>
          <w:sz w:val="20"/>
          <w:szCs w:val="20"/>
          <w:color w:val="auto"/>
        </w:rPr>
      </w:pPr>
    </w:p>
    <w:p>
      <w:pPr>
        <w:sectPr>
          <w:pgSz w:w="11900" w:h="16838" w:orient="portrait"/>
          <w:cols w:equalWidth="0" w:num="2">
            <w:col w:w="5020" w:space="720"/>
            <w:col w:w="5260"/>
          </w:cols>
          <w:pgMar w:left="440" w:top="517" w:right="459" w:bottom="1440" w:gutter="0" w:footer="0" w:header="0"/>
          <w:type w:val="continuous"/>
        </w:sectPr>
      </w:pPr>
    </w:p>
    <w:p>
      <w:pPr>
        <w:spacing w:after="0" w:line="5"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Notwithstanding the foregoing, if it is determined that settlement of</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these RSUs is not exempt from Code Section 409A and the Company</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determines that you are a “specified employee,” as defined in the</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regulations under Code Section 409A at the time of your “separation</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from service,” as defined in Treasury Regulation Section 1.409A-1(h),</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then this paragraph will apply. If this paragraph applies, and the event</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triggering settlement is your “separation from service,” then any RSUs</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that otherwise would have been settled during the first six months</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following your “separation from service” will instead be settled on the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first business day following the earlier of (i) the six-month anniversary</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of your separation from service or (ii) your death.</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Each installment of RSUs that vests is hereby designated as a separate</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payment for purposes of Code Section 409A.</w:t>
      </w:r>
    </w:p>
    <w:p>
      <w:pPr>
        <w:sectPr>
          <w:pgSz w:w="11900" w:h="16838" w:orient="portrait"/>
          <w:cols w:equalWidth="0" w:num="1">
            <w:col w:w="11000"/>
          </w:cols>
          <w:pgMar w:left="440" w:top="517" w:right="4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No Voting Rights or Dividends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RSUs Nontransferable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Beneficiary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Taxes</w:t>
      </w:r>
    </w:p>
    <w:p>
      <w:pPr>
        <w:spacing w:after="0" w:line="20" w:lineRule="exact"/>
        <w:rPr>
          <w:sz w:val="20"/>
          <w:szCs w:val="20"/>
          <w:color w:val="auto"/>
        </w:rPr>
      </w:pPr>
      <w:r>
        <w:rPr>
          <w:sz w:val="20"/>
          <w:szCs w:val="20"/>
          <w:color w:val="auto"/>
        </w:rPr>
        <w:br w:type="column"/>
      </w:r>
    </w:p>
    <w:p>
      <w:pPr>
        <w:ind w:right="120"/>
        <w:spacing w:after="0" w:line="311" w:lineRule="auto"/>
        <w:rPr>
          <w:sz w:val="20"/>
          <w:szCs w:val="20"/>
          <w:color w:val="auto"/>
        </w:rPr>
      </w:pPr>
      <w:r>
        <w:rPr>
          <w:rFonts w:ascii="Arial" w:cs="Arial" w:eastAsia="Arial" w:hAnsi="Arial"/>
          <w:sz w:val="16"/>
          <w:szCs w:val="16"/>
          <w:color w:val="auto"/>
        </w:rPr>
        <w:t>Your RSUs carry neither voting rights nor rights to cash dividends. You have no rights as a stockholder of the Company unless and until your RSUs are settled by issuing shares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-538480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You may not sell, transfer, assign, pledge or otherwise dispose of any RSUs. For instance, you may not use your RSUs as security for a loan. In addition, regardless of any marital property settlement agreement, the Company is not obligated to recognize your former spouse’s interest in your RSUs in any way.</w:t>
      </w:r>
    </w:p>
    <w:p>
      <w:pPr>
        <w:spacing w:after="0" w:line="17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You may dispose of your RSUs in a written beneficiary designation if authorized by the Company and to the extent such beneficiary designation is valid under applicable law. Any beneficiary designation must be filed with the Company on the proper form. It will be recognized only if it has been received at the Company’s headquarters before your death. If you file no beneficiary designation or if none of your designated beneficiaries survives you, then your estate will receive any vested RSUs that you hold at the time of your death.</w:t>
      </w:r>
    </w:p>
    <w:p>
      <w:pPr>
        <w:spacing w:after="0" w:line="16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Regardless of any action the Company (or, if applicable, the Parent, Subsidiary or Affiliate employing or retaining you (the “Employer”)) takes with respect to any or all income tax, social insurance, payroll tax, payment on account or other tax-related items related to the participation in the Plan and legally applicable to you (“Tax-Related Items”), you acknowledge that the ultimate liability for all Tax-Related Items is and remains your responsibility and may exceed the amount actually withheld by the Company and/or the Employer. You further acknowledge that the Company and the Employer (1) make no representations or undertakings regarding the treatment of any Tax-Related Items in connection with any aspect of the RSUs, including, but not limited to, the grant or vesting of the RSUs, the issuance of shares upon vesting of the RSUs, the subsequent sale of shares acquired pursuant to such vesting and the receipt of any dividends and/or any dividend equivalents; and (2) do not commit to and are under no obligation to structure the terms of the RSUs or any aspect of the RSUs to reduce or eliminate your liability for Tax-Related Items or achieve any particular tax result. Further, if you are subject to tax in more than one jurisdiction, you acknowledge that the Company and/or the Employer may be required to withhold or account for Tax-Related Items in more than one jurisdiction.</w:t>
      </w:r>
    </w:p>
    <w:p>
      <w:pPr>
        <w:spacing w:after="0" w:line="21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 shares will be distributed to you unless you have made arrangements satisfactory to the Company and/or the Employer for the payment of any Tax-Related Items that the Company and/or the Employer determine must be withheld. In this regard, you authorize the Company, at its sole discretion, to satisfy your Tax-Related Items by one or a combination of the following:</w:t>
      </w:r>
    </w:p>
    <w:p>
      <w:pPr>
        <w:spacing w:after="0" w:line="98" w:lineRule="exact"/>
        <w:rPr>
          <w:sz w:val="20"/>
          <w:szCs w:val="20"/>
          <w:color w:val="auto"/>
        </w:rPr>
      </w:pPr>
    </w:p>
    <w:p>
      <w:pPr>
        <w:jc w:val="both"/>
        <w:ind w:left="360" w:right="40" w:hanging="277"/>
        <w:spacing w:after="0" w:line="263" w:lineRule="auto"/>
        <w:tabs>
          <w:tab w:leader="none" w:pos="341"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Withholding the amount of any Tax-Related Items from your wages or other cash compensation paid to you by the Company and/or the Employer.</w:t>
      </w:r>
    </w:p>
    <w:p>
      <w:pPr>
        <w:sectPr>
          <w:pgSz w:w="11900" w:h="16838" w:orient="portrait"/>
          <w:cols w:equalWidth="0" w:num="2">
            <w:col w:w="5020" w:space="720"/>
            <w:col w:w="5260"/>
          </w:cols>
          <w:pgMar w:left="440" w:top="270" w:right="459" w:bottom="1440" w:gutter="0" w:footer="0" w:header="0"/>
        </w:sectPr>
      </w:pPr>
    </w:p>
    <w:bookmarkStart w:id="31" w:name="page32"/>
    <w:bookmarkEnd w:id="31"/>
    <w:p>
      <w:pPr>
        <w:ind w:left="5820"/>
        <w:spacing w:after="0"/>
        <w:tabs>
          <w:tab w:leader="none" w:pos="6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tab/>
        <w:t>Instructing a brokerage firm selected by the Company for this</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purpose to sell on your behalf a number of whole shares of</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Company stock to be issued to you when the RSUs are settled that</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the Company determines are appropriate to generate cash proceeds</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sufficient to satisfy the Tax-Related Items. You acknowledge that</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the Company or its designee is under no obligation to arrange for</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such sale at any particular price. Regardless of whether the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Company arranges for such sale, you will be responsible for all fees</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and other costs of sale, and you agree to indemnify and hold the</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Company harmless from any losses, costs, damages or expenses</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relating to any such sale.</w:t>
      </w:r>
    </w:p>
    <w:p>
      <w:pPr>
        <w:spacing w:after="0" w:line="116" w:lineRule="exact"/>
        <w:rPr>
          <w:sz w:val="20"/>
          <w:szCs w:val="20"/>
          <w:color w:val="auto"/>
        </w:rPr>
      </w:pPr>
    </w:p>
    <w:p>
      <w:pPr>
        <w:ind w:left="5820"/>
        <w:spacing w:after="0"/>
        <w:tabs>
          <w:tab w:leader="none" w:pos="6060" w:val="left"/>
        </w:tabs>
        <w:rPr>
          <w:sz w:val="20"/>
          <w:szCs w:val="20"/>
          <w:color w:val="auto"/>
        </w:rPr>
      </w:pPr>
      <w:r>
        <w:rPr>
          <w:rFonts w:ascii="Arial" w:cs="Arial" w:eastAsia="Arial" w:hAnsi="Arial"/>
          <w:sz w:val="17"/>
          <w:szCs w:val="17"/>
          <w:color w:val="auto"/>
        </w:rPr>
        <w:t>•</w:t>
        <w:tab/>
        <w:t>Withholding shares of Company stock that would otherwise be</w:t>
      </w:r>
    </w:p>
    <w:p>
      <w:pPr>
        <w:spacing w:after="0" w:line="3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issued to you when the RSUs are settled equal in value to the</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Tax-Related Items. The fair market value of the withheld shares,</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6"/>
          <w:szCs w:val="16"/>
          <w:color w:val="auto"/>
        </w:rPr>
        <w:t>determined as of the date when taxes otherwise would have been</w:t>
      </w:r>
    </w:p>
    <w:p>
      <w:pPr>
        <w:spacing w:after="0" w:line="3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withheld in cash, will be applied to the Tax-Related Items.</w:t>
      </w:r>
    </w:p>
    <w:p>
      <w:pPr>
        <w:spacing w:after="0" w:line="116" w:lineRule="exact"/>
        <w:rPr>
          <w:sz w:val="20"/>
          <w:szCs w:val="20"/>
          <w:color w:val="auto"/>
        </w:rPr>
      </w:pPr>
    </w:p>
    <w:p>
      <w:pPr>
        <w:ind w:left="5820"/>
        <w:spacing w:after="0"/>
        <w:tabs>
          <w:tab w:leader="none" w:pos="6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Any other means approved by the Company.</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You agree to pay to the Company in cash any amount of Tax-Related</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Items that the Company does not elect to satisfy by the means described</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above. To the extent you fail to make satisfactory arrangements for the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payment of any required withholding taxes, you will permanently forfeit</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applicable RSUs.</w:t>
      </w:r>
    </w:p>
    <w:p>
      <w:pPr>
        <w:sectPr>
          <w:pgSz w:w="11900" w:h="16838" w:orient="portrait"/>
          <w:cols w:equalWidth="0" w:num="1">
            <w:col w:w="11000"/>
          </w:cols>
          <w:pgMar w:left="440" w:top="395" w:right="45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Restrictions on Issuance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will not issue any shares to you if the issuance of shares at that time would violate any law or regulation.</w:t>
      </w:r>
    </w:p>
    <w:p>
      <w:pPr>
        <w:spacing w:after="0" w:line="166" w:lineRule="exact"/>
        <w:rPr>
          <w:sz w:val="20"/>
          <w:szCs w:val="20"/>
          <w:color w:val="auto"/>
        </w:rPr>
      </w:pPr>
    </w:p>
    <w:p>
      <w:pPr>
        <w:sectPr>
          <w:pgSz w:w="11900" w:h="16838" w:orient="portrait"/>
          <w:cols w:equalWidth="0" w:num="2">
            <w:col w:w="5020" w:space="720"/>
            <w:col w:w="5260"/>
          </w:cols>
          <w:pgMar w:left="440" w:top="395"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Restrictions on Resale</w:t>
      </w:r>
    </w:p>
    <w:p>
      <w:pPr>
        <w:spacing w:after="0" w:line="20" w:lineRule="exact"/>
        <w:rPr>
          <w:sz w:val="20"/>
          <w:szCs w:val="20"/>
          <w:color w:val="auto"/>
        </w:rPr>
      </w:pPr>
      <w:r>
        <w:rPr>
          <w:sz w:val="20"/>
          <w:szCs w:val="20"/>
          <w:color w:val="auto"/>
        </w:rPr>
        <w:br w:type="column"/>
      </w:r>
    </w:p>
    <w:p>
      <w:pPr>
        <w:ind w:right="200"/>
        <w:spacing w:after="0" w:line="275" w:lineRule="auto"/>
        <w:rPr>
          <w:sz w:val="20"/>
          <w:szCs w:val="20"/>
          <w:color w:val="auto"/>
        </w:rPr>
      </w:pPr>
      <w:r>
        <w:rPr>
          <w:rFonts w:ascii="Arial" w:cs="Arial" w:eastAsia="Arial" w:hAnsi="Arial"/>
          <w:sz w:val="17"/>
          <w:szCs w:val="17"/>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ectPr>
          <w:pgSz w:w="11900" w:h="16838" w:orient="portrait"/>
          <w:cols w:equalWidth="0" w:num="2">
            <w:col w:w="5020" w:space="720"/>
            <w:col w:w="5260"/>
          </w:cols>
          <w:pgMar w:left="440" w:top="395" w:right="4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No Retention Rights</w:t>
      </w:r>
    </w:p>
    <w:p>
      <w:pPr>
        <w:spacing w:after="0" w:line="20" w:lineRule="exact"/>
        <w:rPr>
          <w:sz w:val="20"/>
          <w:szCs w:val="20"/>
          <w:color w:val="auto"/>
        </w:rPr>
      </w:pPr>
      <w:r>
        <w:rPr>
          <w:sz w:val="20"/>
          <w:szCs w:val="20"/>
          <w:color w:val="auto"/>
        </w:rPr>
        <w:br w:type="column"/>
      </w:r>
    </w:p>
    <w:p>
      <w:pPr>
        <w:ind w:right="40"/>
        <w:spacing w:after="0" w:line="273" w:lineRule="auto"/>
        <w:rPr>
          <w:sz w:val="20"/>
          <w:szCs w:val="20"/>
          <w:color w:val="auto"/>
        </w:rPr>
      </w:pPr>
      <w:r>
        <w:rPr>
          <w:rFonts w:ascii="Arial" w:cs="Arial" w:eastAsia="Arial" w:hAnsi="Arial"/>
          <w:sz w:val="17"/>
          <w:szCs w:val="17"/>
          <w:color w:val="auto"/>
        </w:rPr>
        <w:t>You understand that neither this award nor this Agreement alters the at-will nature of your relationship with the Company. Your award or this Agreement does not give you the right to be retained by the Company, a Parent, Subsidiary, or an Affiliate in any capacity. The Company and its Parents, Subsidiaries, and Affiliates reserve the right to terminate your Service at any time, with or without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-931545</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74" w:lineRule="exact"/>
        <w:rPr>
          <w:sz w:val="20"/>
          <w:szCs w:val="20"/>
          <w:color w:val="auto"/>
        </w:rPr>
      </w:pPr>
    </w:p>
    <w:p>
      <w:pPr>
        <w:sectPr>
          <w:pgSz w:w="11900" w:h="16838" w:orient="portrait"/>
          <w:cols w:equalWidth="0" w:num="2">
            <w:col w:w="5020" w:space="720"/>
            <w:col w:w="5260"/>
          </w:cols>
          <w:pgMar w:left="44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br w:type="column"/>
      </w:r>
    </w:p>
    <w:p>
      <w:pPr>
        <w:ind w:right="160"/>
        <w:spacing w:after="0" w:line="263" w:lineRule="auto"/>
        <w:rPr>
          <w:sz w:val="20"/>
          <w:szCs w:val="20"/>
          <w:color w:val="auto"/>
        </w:rPr>
      </w:pPr>
      <w:r>
        <w:rPr>
          <w:rFonts w:ascii="Arial" w:cs="Arial" w:eastAsia="Arial" w:hAnsi="Arial"/>
          <w:sz w:val="18"/>
          <w:szCs w:val="18"/>
          <w:color w:val="auto"/>
        </w:rPr>
        <w:t>In the event of a stock split, a stock dividend or a similar change in Company stock, the number of your RSUs will be adjusted pursuant to the Plan.</w:t>
      </w:r>
    </w:p>
    <w:p>
      <w:pPr>
        <w:spacing w:after="0" w:line="18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Effect of Significant Corporate Transactions</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7"/>
          <w:szCs w:val="17"/>
          <w:color w:val="auto"/>
        </w:rPr>
        <w:t>If the Company is a party to a merger, consolidation, or certain change in control transactions, then your RSUs will be subject to the applicable provisions of Article 9 of the Plan, provided that any action taken must either (a) preserve the exemption of your RSUs from Code Section 409A or (b) comply with Code Section 409A.</w:t>
      </w:r>
    </w:p>
    <w:p>
      <w:pPr>
        <w:spacing w:after="0" w:line="172"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Recoupment Policy</w:t>
      </w:r>
    </w:p>
    <w:p>
      <w:pPr>
        <w:spacing w:after="0" w:line="20" w:lineRule="exact"/>
        <w:rPr>
          <w:sz w:val="20"/>
          <w:szCs w:val="20"/>
          <w:color w:val="auto"/>
        </w:rPr>
      </w:pPr>
      <w:r>
        <w:rPr>
          <w:sz w:val="20"/>
          <w:szCs w:val="20"/>
          <w:color w:val="auto"/>
        </w:rPr>
        <w:br w:type="column"/>
      </w:r>
    </w:p>
    <w:p>
      <w:pPr>
        <w:ind w:right="80"/>
        <w:spacing w:after="0" w:line="263" w:lineRule="auto"/>
        <w:rPr>
          <w:sz w:val="20"/>
          <w:szCs w:val="20"/>
          <w:color w:val="auto"/>
        </w:rPr>
      </w:pPr>
      <w:r>
        <w:rPr>
          <w:rFonts w:ascii="Arial" w:cs="Arial" w:eastAsia="Arial" w:hAnsi="Arial"/>
          <w:sz w:val="18"/>
          <w:szCs w:val="18"/>
          <w:color w:val="auto"/>
        </w:rPr>
        <w:t>This award, and the shares acquired upon settlement of this award, shall be subject to any Company recoupment or clawback policy in effect from time to time.</w:t>
      </w:r>
    </w:p>
    <w:p>
      <w:pPr>
        <w:spacing w:after="0" w:line="18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Applicable Law</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This Agreement will be interpreted and enforced under the laws of the State of Delaware (without regard to its choice-of-law provisions).</w:t>
      </w:r>
    </w:p>
    <w:p>
      <w:pPr>
        <w:spacing w:after="0" w:line="12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text of the Plan is incorporated in this Agreement by reference.</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The Plan, this Agreement and the Grant Notice constitute the entire</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understanding between you and the Company regarding this award. Any</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prior agreements, commitments or negotiations concerning this award</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are superseded. This Agreement may be amended only by another</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written agreement between the parties.</w:t>
      </w:r>
    </w:p>
    <w:p>
      <w:pPr>
        <w:sectPr>
          <w:pgSz w:w="11900" w:h="16838" w:orient="portrait"/>
          <w:cols w:equalWidth="0" w:num="1">
            <w:col w:w="11000"/>
          </w:cols>
          <w:pgMar w:left="440" w:top="270" w:right="459" w:bottom="1440" w:gutter="0" w:footer="0" w:header="0"/>
          <w:type w:val="continuous"/>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ACCEPTING THIS RSU AWARD, YOU AGREE TO ALL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AND CONDITIONS DESCRIBED ABOVE AND IN THE PLAN.</w:t>
      </w:r>
    </w:p>
    <w:p>
      <w:pPr>
        <w:sectPr>
          <w:pgSz w:w="11900" w:h="16838" w:orient="portrait"/>
          <w:cols w:equalWidth="0" w:num="1">
            <w:col w:w="11000"/>
          </w:cols>
          <w:pgMar w:left="440" w:top="270" w:right="459" w:bottom="1440" w:gutter="0" w:footer="0" w:header="0"/>
          <w:type w:val="continuous"/>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rFonts w:ascii="Arial" w:cs="Arial" w:eastAsia="Arial" w:hAnsi="Arial"/>
          <w:sz w:val="14"/>
          <w:szCs w:val="14"/>
          <w:b w:val="1"/>
          <w:bCs w:val="1"/>
          <w:color w:val="auto"/>
        </w:rPr>
        <w:t>LYWIRE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G</w:t>
      </w:r>
      <w:r>
        <w:rPr>
          <w:rFonts w:ascii="Arial" w:cs="Arial" w:eastAsia="Arial" w:hAnsi="Arial"/>
          <w:sz w:val="14"/>
          <w:szCs w:val="14"/>
          <w:b w:val="1"/>
          <w:bCs w:val="1"/>
          <w:color w:val="auto"/>
        </w:rPr>
        <w:t>RANT</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You have been granted Restricted Stock Units (“RSUs”) representing Common Shares of Flywire Corporation (the “Company”) on the following terms:</w:t>
      </w:r>
    </w:p>
    <w:p>
      <w:pPr>
        <w:sectPr>
          <w:pgSz w:w="11900" w:h="16838" w:orient="portrait"/>
          <w:cols w:equalWidth="0" w:num="1">
            <w:col w:w="10980"/>
          </w:cols>
          <w:pgMar w:left="440" w:top="270" w:right="47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Name of Recipient: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4640"/>
        <w:spacing w:after="0"/>
        <w:rPr>
          <w:sz w:val="20"/>
          <w:szCs w:val="20"/>
          <w:color w:val="auto"/>
        </w:rPr>
      </w:pPr>
      <w:r>
        <w:rPr>
          <w:rFonts w:ascii="Arial" w:cs="Arial" w:eastAsia="Arial" w:hAnsi="Arial"/>
          <w:sz w:val="15"/>
          <w:szCs w:val="15"/>
          <w:color w:val="auto"/>
        </w:rPr>
        <w:t>«Name»</w:t>
      </w:r>
    </w:p>
    <w:p>
      <w:pPr>
        <w:spacing w:after="0" w:line="211"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Total Number of Units Granted: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«TotalRSUs»</w:t>
      </w:r>
    </w:p>
    <w:p>
      <w:pPr>
        <w:spacing w:after="0" w:line="200"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320"/>
        <w:spacing w:after="0"/>
        <w:rPr>
          <w:sz w:val="20"/>
          <w:szCs w:val="20"/>
          <w:color w:val="auto"/>
        </w:rPr>
      </w:pPr>
      <w:r>
        <w:rPr>
          <w:rFonts w:ascii="Arial" w:cs="Arial" w:eastAsia="Arial" w:hAnsi="Arial"/>
          <w:sz w:val="16"/>
          <w:szCs w:val="16"/>
          <w:color w:val="auto"/>
        </w:rPr>
        <w:t>«DateGrant»</w:t>
      </w:r>
    </w:p>
    <w:p>
      <w:pPr>
        <w:spacing w:after="0" w:line="200"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[Annual Grant: 100% of the units subject to this award will vest on the one year anniversary of the Date of Grant provided that your service as a director continues through such date.][Initial Grant: 1/3</w:t>
      </w:r>
      <w:r>
        <w:rPr>
          <w:rFonts w:ascii="Arial" w:cs="Arial" w:eastAsia="Arial" w:hAnsi="Arial"/>
          <w:sz w:val="15"/>
          <w:szCs w:val="15"/>
          <w:color w:val="auto"/>
        </w:rPr>
        <w:t>rd</w:t>
      </w:r>
      <w:r>
        <w:rPr>
          <w:rFonts w:ascii="Arial" w:cs="Arial" w:eastAsia="Arial" w:hAnsi="Arial"/>
          <w:sz w:val="18"/>
          <w:szCs w:val="18"/>
          <w:color w:val="auto"/>
        </w:rPr>
        <w:t xml:space="preserve"> of the units subject to this award will vest annually on each anniversary of the Date of Grant provided that your service as a director continues through such date.]</w:t>
      </w:r>
    </w:p>
    <w:p>
      <w:pPr>
        <w:spacing w:after="0" w:line="192"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ind w:right="480"/>
        <w:spacing w:after="0" w:line="342" w:lineRule="auto"/>
        <w:rPr>
          <w:sz w:val="20"/>
          <w:szCs w:val="20"/>
          <w:color w:val="auto"/>
        </w:rPr>
      </w:pPr>
      <w:r>
        <w:rPr>
          <w:rFonts w:ascii="Arial" w:cs="Arial" w:eastAsia="Arial" w:hAnsi="Arial"/>
          <w:sz w:val="16"/>
          <w:szCs w:val="16"/>
          <w:color w:val="auto"/>
        </w:rPr>
        <w:t>You and the Company agree that these RSUs are granted under and governed by the terms and conditions of the Flywire Corporation 2021 Equity Incentive Plan (the “Plan”) and the Restricted Stock Unit Award Agreement, both of which are attached to and made a part of this document.</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further agree to comply with the Company’s </w:t>
      </w:r>
      <w:r>
        <w:rPr>
          <w:rFonts w:ascii="Arial" w:cs="Arial" w:eastAsia="Arial" w:hAnsi="Arial"/>
          <w:sz w:val="18"/>
          <w:szCs w:val="18"/>
          <w:i w:val="1"/>
          <w:iCs w:val="1"/>
          <w:color w:val="auto"/>
        </w:rPr>
        <w:t>Insider Trading Policy</w:t>
      </w:r>
      <w:r>
        <w:rPr>
          <w:rFonts w:ascii="Arial" w:cs="Arial" w:eastAsia="Arial" w:hAnsi="Arial"/>
          <w:sz w:val="18"/>
          <w:szCs w:val="18"/>
          <w:color w:val="auto"/>
        </w:rPr>
        <w:t xml:space="preserve"> when selling shares of the Company’s common stock.</w:t>
      </w:r>
    </w:p>
    <w:p>
      <w:pPr>
        <w:spacing w:after="0" w:line="248"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ECIPIENT</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F</w:t>
      </w:r>
      <w:r>
        <w:rPr>
          <w:rFonts w:ascii="Arial" w:cs="Arial" w:eastAsia="Arial" w:hAnsi="Arial"/>
          <w:sz w:val="14"/>
          <w:szCs w:val="14"/>
          <w:b w:val="1"/>
          <w:bCs w:val="1"/>
          <w:color w:val="auto"/>
        </w:rPr>
        <w:t>LYWIRE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w:t>
      </w:r>
      <w:r>
        <w:rPr>
          <w:rFonts w:ascii="Arial" w:cs="Arial" w:eastAsia="Arial" w:hAnsi="Arial"/>
          <w:sz w:val="14"/>
          <w:szCs w:val="14"/>
          <w:b w:val="1"/>
          <w:bCs w:val="1"/>
          <w:color w:val="auto"/>
        </w:rPr>
        <w:t>LYWIRE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00"/>
          </w:cols>
          <w:pgMar w:left="440" w:top="270" w:right="4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 of RSUs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Subject to all of the terms and conditions set forth in the Notice of Restricted Stock Unit Award, this Restricted Stock Unit Award Agreement (this “Agreement”) and the Plan, the Company has granted to you the number of RSUs set forth in the Notice of Restricted Stock Unit Award.</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1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All capitalized terms used in this Agreement shall have the meanings</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assigned in this Agreement, the Notice of Restricted Stock Unit Award</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or the Plan.</w:t>
      </w:r>
    </w:p>
    <w:p>
      <w:pPr>
        <w:sectPr>
          <w:pgSz w:w="11900" w:h="16838" w:orient="portrait"/>
          <w:cols w:equalWidth="0" w:num="1">
            <w:col w:w="11000"/>
          </w:cols>
          <w:pgMar w:left="440" w:top="270" w:right="45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RSUs vest in accordance with the Vesting Schedule set forth in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Notice of Restricted Stock Unit Award. Except as otherwise provided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no additional RSUs vest after your service as a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terminates.</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3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Note that you will not receive any consideration in respect of your vested</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 xml:space="preserve">RSUs until they are settled in accordance with the </w:t>
      </w:r>
      <w:r>
        <w:rPr>
          <w:rFonts w:ascii="Arial" w:cs="Arial" w:eastAsia="Arial" w:hAnsi="Arial"/>
          <w:sz w:val="16"/>
          <w:szCs w:val="16"/>
          <w:i w:val="1"/>
          <w:iCs w:val="1"/>
          <w:color w:val="auto"/>
        </w:rPr>
        <w:t>Settlement of RSUs</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section below.</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 the event of a Change in Control, your death or your total and</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permanent disability and you are providing services to the Company as</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an Outside Director as of such date, then you will be fully vested in all</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outstanding, unvested RSUs.</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For all purposes under this Agreement, “total and permanent disability”</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means that you are unable to engage in any substantial gainful activity</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reason of any medically determinable physical or mental impairment</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which can be expected to result in death or which has lasted, or can be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expected to last, for a continuous period of not less than one year.</w:t>
      </w:r>
    </w:p>
    <w:p>
      <w:pPr>
        <w:sectPr>
          <w:pgSz w:w="11900" w:h="16838" w:orient="portrait"/>
          <w:cols w:equalWidth="0" w:num="1">
            <w:col w:w="11000"/>
          </w:cols>
          <w:pgMar w:left="440" w:top="270" w:right="459"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Forfeiture</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Except as otherwise provided herein, if your service as a director terminates for any reason, your then-unvested RSUs will be forfeited to the extent they have not vested before the termination date and do not vest as a result of the termination of your service. Accordingly, any RSUs that have not vested under this Agreement will be cancelled immediately. You will receive no payment for RSUs that are cancelled. The Company determines when your service as a director terminates for this purpose.</w:t>
      </w:r>
    </w:p>
    <w:p>
      <w:pPr>
        <w:spacing w:after="0" w:line="111"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00"/>
          </w:cols>
          <w:pgMar w:left="440" w:top="270" w:right="4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5"/>
          <w:szCs w:val="15"/>
          <w:b w:val="1"/>
          <w:bCs w:val="1"/>
          <w:color w:val="auto"/>
        </w:rPr>
        <w:t>Settlement of RSUs</w:t>
      </w:r>
    </w:p>
    <w:p>
      <w:pPr>
        <w:spacing w:after="0" w:line="20" w:lineRule="exact"/>
        <w:rPr>
          <w:sz w:val="20"/>
          <w:szCs w:val="20"/>
          <w:color w:val="auto"/>
        </w:rPr>
      </w:pPr>
      <w:r>
        <w:rPr>
          <w:sz w:val="20"/>
          <w:szCs w:val="20"/>
          <w:color w:val="auto"/>
        </w:rPr>
        <w:br w:type="column"/>
      </w:r>
    </w:p>
    <w:p>
      <w:pPr>
        <w:ind w:right="80"/>
        <w:spacing w:after="0" w:line="296" w:lineRule="auto"/>
        <w:rPr>
          <w:sz w:val="20"/>
          <w:szCs w:val="20"/>
          <w:color w:val="auto"/>
        </w:rPr>
      </w:pPr>
      <w:r>
        <w:rPr>
          <w:rFonts w:ascii="Arial" w:cs="Arial" w:eastAsia="Arial" w:hAnsi="Arial"/>
          <w:sz w:val="16"/>
          <w:szCs w:val="16"/>
          <w:color w:val="auto"/>
        </w:rPr>
        <w:t>The RSUs will be settled on the vesting date. At the time of settlement, you will receive one Common Share for each vested RSU. However, the Company retains the discretion to substitute an equivalent amount of cash for each underlying Common Share determined on the basis of the Fair Market Value of the Common Shares at the time an RSU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-805180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57" w:lineRule="exact"/>
        <w:rPr>
          <w:sz w:val="20"/>
          <w:szCs w:val="20"/>
          <w:color w:val="auto"/>
        </w:rPr>
      </w:pPr>
    </w:p>
    <w:p>
      <w:pPr>
        <w:sectPr>
          <w:pgSz w:w="11900" w:h="16838" w:orient="portrait"/>
          <w:cols w:equalWidth="0" w:num="2">
            <w:col w:w="5020" w:space="720"/>
            <w:col w:w="5280"/>
          </w:cols>
          <w:pgMar w:left="440" w:top="270" w:right="439" w:bottom="1440" w:gutter="0" w:footer="0" w:header="0"/>
        </w:sectPr>
      </w:pPr>
    </w:p>
    <w:p>
      <w:pPr>
        <w:spacing w:after="0"/>
        <w:rPr>
          <w:sz w:val="20"/>
          <w:szCs w:val="20"/>
          <w:color w:val="auto"/>
        </w:rPr>
      </w:pPr>
      <w:r>
        <w:rPr>
          <w:rFonts w:ascii="Arial" w:cs="Arial" w:eastAsia="Arial" w:hAnsi="Arial"/>
          <w:sz w:val="16"/>
          <w:szCs w:val="16"/>
          <w:b w:val="1"/>
          <w:bCs w:val="1"/>
          <w:color w:val="auto"/>
        </w:rPr>
        <w:t>Tax Matters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Regardless of any action the Company (or, if applicable, the Parent,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Subsidiary or Affiliate employing or retaining you (the “Employer”))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takes with respect to any or all income tax, social insurance, payroll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on account or other tax-related items related to the participation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Plan and legally applicable to you (“Tax-Related Items”), you</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acknowledge that the ultimate liability for all Tax-Related Items is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remains your responsibility and may exceed the amount actually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withheld by the Company and/or the Employer. You further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acknowledge that the Company and the Employer (1) make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representations or undertakings regarding the treatment of 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Tax-Related Items in connection with any aspect of the RSUs, including,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but not limited to, the grant or vesting of the RSUs, the issuance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shares upon vesting of the RSUs, the subsequent sale of shares acquired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pursuant to such vesting and the receipt of any dividends and/or 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dividend equivalents; and (2) do not commit to and are under no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obligation to structure the terms of the RSUs or any aspect of the RSUs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reduce or eliminate your liability for Tax-Related Items or achieve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particular tax result. Further, if you are subject to tax in more than one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jurisdiction, you acknowledge that the Company and/or the Employer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may be required to withhold or account for Tax-Related Items in more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than one jurisdiction.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 shares will be distributed to you unless you have made arrangements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satisfactory to the Company and/or the Employer for the payment of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Tax-Related Items that the Company and/or the Employer determine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must be withheld. In this regard, you authorize the Company, at its sole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discretion, to satisfy your Tax-Related Items by one or a combination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w:t>
      </w:r>
    </w:p>
    <w:p>
      <w:pPr>
        <w:spacing w:after="0" w:line="116" w:lineRule="exact"/>
        <w:rPr>
          <w:sz w:val="20"/>
          <w:szCs w:val="20"/>
          <w:color w:val="auto"/>
        </w:rPr>
      </w:pPr>
    </w:p>
    <w:p>
      <w:pPr>
        <w:sectPr>
          <w:pgSz w:w="11900" w:h="16838" w:orient="portrait"/>
          <w:cols w:equalWidth="0" w:num="2">
            <w:col w:w="5020" w:space="720"/>
            <w:col w:w="5280"/>
          </w:cols>
          <w:pgMar w:left="440" w:top="270" w:right="439" w:bottom="1440" w:gutter="0" w:footer="0" w:header="0"/>
          <w:type w:val="continuous"/>
        </w:sectPr>
      </w:pPr>
    </w:p>
    <w:p>
      <w:pPr>
        <w:ind w:left="6180"/>
        <w:spacing w:after="0"/>
        <w:tabs>
          <w:tab w:leader="none" w:pos="6420" w:val="left"/>
        </w:tabs>
        <w:rPr>
          <w:sz w:val="20"/>
          <w:szCs w:val="20"/>
          <w:color w:val="auto"/>
        </w:rPr>
      </w:pPr>
      <w:r>
        <w:rPr>
          <w:rFonts w:ascii="Arial" w:cs="Arial" w:eastAsia="Arial" w:hAnsi="Arial"/>
          <w:sz w:val="17"/>
          <w:szCs w:val="17"/>
          <w:color w:val="auto"/>
        </w:rPr>
        <w:t>•</w:t>
        <w:tab/>
        <w:t>Withholding the amount of any Tax-Related Items from your</w:t>
      </w:r>
    </w:p>
    <w:p>
      <w:pPr>
        <w:spacing w:after="0" w:line="3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wages or other cash compensation paid to you by the Company</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and/or the Employer.</w:t>
      </w:r>
    </w:p>
    <w:p>
      <w:pPr>
        <w:sectPr>
          <w:pgSz w:w="11900" w:h="16838" w:orient="portrait"/>
          <w:cols w:equalWidth="0" w:num="1">
            <w:col w:w="11020"/>
          </w:cols>
          <w:pgMar w:left="440" w:top="270" w:right="439" w:bottom="1440" w:gutter="0" w:footer="0" w:header="0"/>
          <w:type w:val="continuous"/>
        </w:sectPr>
      </w:pPr>
    </w:p>
    <w:p>
      <w:pPr>
        <w:spacing w:after="0" w:line="116"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80" w:hanging="15"/>
        <w:spacing w:after="0" w:line="287" w:lineRule="auto"/>
        <w:rPr>
          <w:sz w:val="20"/>
          <w:szCs w:val="20"/>
          <w:color w:val="auto"/>
        </w:rPr>
      </w:pPr>
      <w:r>
        <w:rPr>
          <w:rFonts w:ascii="Arial" w:cs="Arial" w:eastAsia="Arial" w:hAnsi="Arial"/>
          <w:sz w:val="16"/>
          <w:szCs w:val="16"/>
          <w:color w:val="auto"/>
        </w:rPr>
        <w:t>Instructing a brokerage firm selected by the Company for this purpose to sell on your behalf a number of whole shares of Company stock to be issued to you when the RSUs are settled that the Company determines are appropriate to generate cash proceeds sufficient to satisfy the Tax-Related Items. You acknowledge that the Company or its designee is under no obligation to arrange for such sale at any particular price. Regardless of whether the Company arranges for such sale, you will be responsible for all fees and other costs of sale, and you agree to indemnify and hold the Company harmless from any losses, costs, damages or expenses relating to any such sale.</w:t>
      </w:r>
    </w:p>
    <w:p>
      <w:pPr>
        <w:spacing w:after="0" w:line="114" w:lineRule="exact"/>
        <w:rPr>
          <w:sz w:val="20"/>
          <w:szCs w:val="20"/>
          <w:color w:val="auto"/>
        </w:rPr>
      </w:pPr>
    </w:p>
    <w:p>
      <w:pPr>
        <w:sectPr>
          <w:pgSz w:w="11900" w:h="16838" w:orient="portrait"/>
          <w:cols w:equalWidth="0" w:num="2">
            <w:col w:w="6240" w:space="220"/>
            <w:col w:w="4560"/>
          </w:cols>
          <w:pgMar w:left="440" w:top="270" w:right="439" w:bottom="1440" w:gutter="0" w:footer="0" w:header="0"/>
          <w:type w:val="continuous"/>
        </w:sectPr>
      </w:pPr>
    </w:p>
    <w:p>
      <w:pPr>
        <w:jc w:val="center"/>
        <w:ind w:right="2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020"/>
          </w:cols>
          <w:pgMar w:left="440" w:top="270" w:right="439" w:bottom="1440" w:gutter="0" w:footer="0" w:header="0"/>
          <w:type w:val="continuous"/>
        </w:sectPr>
      </w:pPr>
    </w:p>
    <w:bookmarkStart w:id="36" w:name="page37"/>
    <w:bookmarkEnd w:id="36"/>
    <w:p>
      <w:pPr>
        <w:ind w:left="6180"/>
        <w:spacing w:after="0"/>
        <w:tabs>
          <w:tab w:leader="none" w:pos="642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tab/>
        <w:t>Withholding shares of Company stock that would otherwise be</w:t>
      </w:r>
    </w:p>
    <w:p>
      <w:pPr>
        <w:spacing w:after="0" w:line="4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issued to you when the RSUs are settled equal in value to the</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Tax-Related Items. The fair market value of the withheld</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shares, determined as of the date when taxes otherwise would</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have been withheld in cash, will be applied to the Tax-Related</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Items.</w:t>
      </w:r>
    </w:p>
    <w:p>
      <w:pPr>
        <w:spacing w:after="0" w:line="116" w:lineRule="exact"/>
        <w:rPr>
          <w:sz w:val="20"/>
          <w:szCs w:val="20"/>
          <w:color w:val="auto"/>
        </w:rPr>
      </w:pPr>
    </w:p>
    <w:p>
      <w:pPr>
        <w:ind w:left="6180"/>
        <w:spacing w:after="0"/>
        <w:tabs>
          <w:tab w:leader="none" w:pos="6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Any other means approved by the Company.</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You agree to pay to the Company in cash any amount of Tax-Related</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Items that the Company does not elect to satisfy by the means described</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above. To the extent you fail to make satisfactory arrangements for the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payment of any required withholding taxes, you will permanently forfeit</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applicable RSUs.</w:t>
      </w:r>
    </w:p>
    <w:p>
      <w:pPr>
        <w:sectPr>
          <w:pgSz w:w="11900" w:h="16838" w:orient="portrait"/>
          <w:cols w:equalWidth="0" w:num="1">
            <w:col w:w="11000"/>
          </w:cols>
          <w:pgMar w:left="440" w:top="395" w:right="45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RSUs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No payment is required for the RSUs that you are receiving. Your RSUs are mere bookkeeping entries and represent the Company’s unfunded and unsecured promise to issue Common Shares or distribute cash to you on a future date. As a holder of RSUs, you have no rights other than the rights of a general creditor of the Company.</w:t>
      </w:r>
    </w:p>
    <w:p>
      <w:pPr>
        <w:spacing w:after="0" w:line="157" w:lineRule="exact"/>
        <w:rPr>
          <w:sz w:val="20"/>
          <w:szCs w:val="20"/>
          <w:color w:val="auto"/>
        </w:rPr>
      </w:pPr>
    </w:p>
    <w:p>
      <w:pPr>
        <w:sectPr>
          <w:pgSz w:w="11900" w:h="16838" w:orient="portrait"/>
          <w:cols w:equalWidth="0" w:num="2">
            <w:col w:w="5020" w:space="720"/>
            <w:col w:w="5260"/>
          </w:cols>
          <w:pgMar w:left="440" w:top="395"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 Voting Rights or Dividends</w:t>
      </w:r>
    </w:p>
    <w:p>
      <w:pPr>
        <w:spacing w:after="0" w:line="20" w:lineRule="exact"/>
        <w:rPr>
          <w:sz w:val="20"/>
          <w:szCs w:val="20"/>
          <w:color w:val="auto"/>
        </w:rPr>
      </w:pPr>
      <w:r>
        <w:rPr>
          <w:sz w:val="20"/>
          <w:szCs w:val="20"/>
          <w:color w:val="auto"/>
        </w:rPr>
        <w:br w:type="column"/>
      </w:r>
    </w:p>
    <w:p>
      <w:pPr>
        <w:ind w:right="120"/>
        <w:spacing w:after="0" w:line="286" w:lineRule="auto"/>
        <w:rPr>
          <w:sz w:val="20"/>
          <w:szCs w:val="20"/>
          <w:color w:val="auto"/>
        </w:rPr>
      </w:pPr>
      <w:r>
        <w:rPr>
          <w:rFonts w:ascii="Arial" w:cs="Arial" w:eastAsia="Arial" w:hAnsi="Arial"/>
          <w:sz w:val="17"/>
          <w:szCs w:val="17"/>
          <w:color w:val="auto"/>
        </w:rPr>
        <w:t>Your RSUs carry neither voting rights nor rights to cash dividends. You have no rights as a stockholder of the Company unless and until your RSUs are settled by issuing Common Shares.</w:t>
      </w:r>
    </w:p>
    <w:p>
      <w:pPr>
        <w:spacing w:after="0" w:line="161" w:lineRule="exact"/>
        <w:rPr>
          <w:sz w:val="20"/>
          <w:szCs w:val="20"/>
          <w:color w:val="auto"/>
        </w:rPr>
      </w:pPr>
    </w:p>
    <w:p>
      <w:pPr>
        <w:sectPr>
          <w:pgSz w:w="11900" w:h="16838" w:orient="portrait"/>
          <w:cols w:equalWidth="0" w:num="2">
            <w:col w:w="5020" w:space="720"/>
            <w:col w:w="5260"/>
          </w:cols>
          <w:pgMar w:left="440" w:top="395"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RSUs Nontransferable</w:t>
      </w:r>
    </w:p>
    <w:p>
      <w:pPr>
        <w:spacing w:after="0" w:line="20" w:lineRule="exact"/>
        <w:rPr>
          <w:sz w:val="20"/>
          <w:szCs w:val="20"/>
          <w:color w:val="auto"/>
        </w:rPr>
      </w:pPr>
      <w:r>
        <w:rPr>
          <w:sz w:val="20"/>
          <w:szCs w:val="20"/>
          <w:color w:val="auto"/>
        </w:rPr>
        <w:br w:type="column"/>
      </w:r>
    </w:p>
    <w:p>
      <w:pPr>
        <w:ind w:right="160"/>
        <w:spacing w:after="0" w:line="277" w:lineRule="auto"/>
        <w:rPr>
          <w:sz w:val="20"/>
          <w:szCs w:val="20"/>
          <w:color w:val="auto"/>
        </w:rPr>
      </w:pPr>
      <w:r>
        <w:rPr>
          <w:rFonts w:ascii="Arial" w:cs="Arial" w:eastAsia="Arial" w:hAnsi="Arial"/>
          <w:sz w:val="18"/>
          <w:szCs w:val="18"/>
          <w:color w:val="auto"/>
        </w:rPr>
        <w:t>Except as otherwise provided below, you may not sell, transfer, assign, pledge or otherwise dispose of any RSUs.</w:t>
      </w:r>
    </w:p>
    <w:p>
      <w:pPr>
        <w:spacing w:after="0" w:line="166" w:lineRule="exact"/>
        <w:rPr>
          <w:sz w:val="20"/>
          <w:szCs w:val="20"/>
          <w:color w:val="auto"/>
        </w:rPr>
      </w:pPr>
    </w:p>
    <w:p>
      <w:pPr>
        <w:sectPr>
          <w:pgSz w:w="11900" w:h="16838" w:orient="portrait"/>
          <w:cols w:equalWidth="0" w:num="2">
            <w:col w:w="5020" w:space="720"/>
            <w:col w:w="5260"/>
          </w:cols>
          <w:pgMar w:left="440" w:top="395"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Restrictions on Resale</w:t>
      </w:r>
    </w:p>
    <w:p>
      <w:pPr>
        <w:spacing w:after="0" w:line="20" w:lineRule="exact"/>
        <w:rPr>
          <w:sz w:val="20"/>
          <w:szCs w:val="20"/>
          <w:color w:val="auto"/>
        </w:rPr>
      </w:pPr>
      <w:r>
        <w:rPr>
          <w:sz w:val="20"/>
          <w:szCs w:val="20"/>
          <w:color w:val="auto"/>
        </w:rPr>
        <w:br w:type="column"/>
      </w:r>
    </w:p>
    <w:p>
      <w:pPr>
        <w:ind w:right="60"/>
        <w:spacing w:after="0" w:line="254" w:lineRule="auto"/>
        <w:rPr>
          <w:sz w:val="20"/>
          <w:szCs w:val="20"/>
          <w:color w:val="auto"/>
        </w:rPr>
      </w:pPr>
      <w:r>
        <w:rPr>
          <w:rFonts w:ascii="Arial" w:cs="Arial" w:eastAsia="Arial" w:hAnsi="Arial"/>
          <w:sz w:val="18"/>
          <w:szCs w:val="18"/>
          <w:color w:val="auto"/>
        </w:rPr>
        <w:t xml:space="preserve">You agree not to sell any Common Shares issued under the RSUs at a time when applicable laws, Company policies (including, without limitation, the Company’s </w:t>
      </w:r>
      <w:r>
        <w:rPr>
          <w:rFonts w:ascii="Arial" w:cs="Arial" w:eastAsia="Arial" w:hAnsi="Arial"/>
          <w:sz w:val="18"/>
          <w:szCs w:val="18"/>
          <w:i w:val="1"/>
          <w:iCs w:val="1"/>
          <w:color w:val="auto"/>
        </w:rPr>
        <w:t>Insider Trading Policy</w:t>
      </w:r>
      <w:r>
        <w:rPr>
          <w:rFonts w:ascii="Arial" w:cs="Arial" w:eastAsia="Arial" w:hAnsi="Arial"/>
          <w:sz w:val="18"/>
          <w:szCs w:val="18"/>
          <w:color w:val="auto"/>
        </w:rPr>
        <w:t>) or an agreement between the Company and its underwriters prohibit a sale. This restriction will apply as long as your service continues and for such period of time after the termination of your service as the Company may specify.</w:t>
      </w:r>
    </w:p>
    <w:p>
      <w:pPr>
        <w:spacing w:after="0" w:line="191" w:lineRule="exact"/>
        <w:rPr>
          <w:sz w:val="20"/>
          <w:szCs w:val="20"/>
          <w:color w:val="auto"/>
        </w:rPr>
      </w:pPr>
    </w:p>
    <w:p>
      <w:pPr>
        <w:sectPr>
          <w:pgSz w:w="11900" w:h="16838" w:orient="portrait"/>
          <w:cols w:equalWidth="0" w:num="2">
            <w:col w:w="5020" w:space="720"/>
            <w:col w:w="5260"/>
          </w:cols>
          <w:pgMar w:left="440" w:top="395"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Retention Rights</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Your RSUs do not give you the right to be retained by the Company or any of its Affiliates in any capacity.</w:t>
      </w:r>
    </w:p>
    <w:p>
      <w:pPr>
        <w:spacing w:after="0" w:line="103" w:lineRule="exact"/>
        <w:rPr>
          <w:sz w:val="20"/>
          <w:szCs w:val="20"/>
          <w:color w:val="auto"/>
        </w:rPr>
      </w:pPr>
    </w:p>
    <w:p>
      <w:pPr>
        <w:sectPr>
          <w:pgSz w:w="11900" w:h="16838" w:orient="portrait"/>
          <w:cols w:equalWidth="0" w:num="2">
            <w:col w:w="5020" w:space="720"/>
            <w:col w:w="5260"/>
          </w:cols>
          <w:pgMar w:left="440" w:top="395" w:right="45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000"/>
          </w:cols>
          <w:pgMar w:left="440" w:top="395" w:right="4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br w:type="column"/>
      </w:r>
    </w:p>
    <w:p>
      <w:pPr>
        <w:ind w:right="160"/>
        <w:spacing w:after="0" w:line="286" w:lineRule="auto"/>
        <w:rPr>
          <w:sz w:val="20"/>
          <w:szCs w:val="20"/>
          <w:color w:val="auto"/>
        </w:rPr>
      </w:pPr>
      <w:r>
        <w:rPr>
          <w:rFonts w:ascii="Arial" w:cs="Arial" w:eastAsia="Arial" w:hAnsi="Arial"/>
          <w:sz w:val="17"/>
          <w:szCs w:val="17"/>
          <w:color w:val="auto"/>
        </w:rPr>
        <w:t>In the event of a stock split, a stock dividend or a similar change in Company stock, the number of your units will be adjusted accordingly, as the Company may determine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-528320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5020" w:space="720"/>
            <w:col w:w="5260"/>
          </w:cols>
          <w:pgMar w:left="44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Beneficiary Designation</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You may dispose of your RSUs in a written beneficiary designation. A beneficiary designation must be filed with the Company on the proper form. It will be recognized only if it has been received at the Company’s headquarters before your death. If you file no beneficiary designation or if none of your designated beneficiaries survives you, then your estate will receive the proceeds from any vested RSUs that you hold at the time of your death.</w:t>
      </w:r>
    </w:p>
    <w:p>
      <w:pPr>
        <w:spacing w:after="0" w:line="173"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Severability</w:t>
      </w:r>
    </w:p>
    <w:p>
      <w:pPr>
        <w:spacing w:after="0" w:line="20" w:lineRule="exact"/>
        <w:rPr>
          <w:sz w:val="20"/>
          <w:szCs w:val="20"/>
          <w:color w:val="auto"/>
        </w:rPr>
      </w:pPr>
      <w:r>
        <w:rPr>
          <w:sz w:val="20"/>
          <w:szCs w:val="20"/>
          <w:color w:val="auto"/>
        </w:rPr>
        <w:br w:type="column"/>
      </w:r>
    </w:p>
    <w:p>
      <w:pPr>
        <w:ind w:right="100"/>
        <w:spacing w:after="0" w:line="253" w:lineRule="auto"/>
        <w:rPr>
          <w:sz w:val="20"/>
          <w:szCs w:val="20"/>
          <w:color w:val="auto"/>
        </w:rPr>
      </w:pPr>
      <w:r>
        <w:rPr>
          <w:rFonts w:ascii="Arial" w:cs="Arial" w:eastAsia="Arial" w:hAnsi="Arial"/>
          <w:sz w:val="18"/>
          <w:szCs w:val="18"/>
          <w:color w:val="auto"/>
        </w:rPr>
        <w:t>If one or more of the provisions of this Agreement are held invalid, illegal or unenforceable in any respect, the validity, legality and enforceability of the remaining provisions will not in any way be affected or impaired thereby and the invalid, illegal or unenforceable provision will be deemed null and void; however, to the extent permissible by law, any provisions that could be deemed null and void will first be construed, interpreted or revised retroactively to permit this Agreement to be construed so as to foster the intent of this Agreement and the Plan.</w:t>
      </w:r>
    </w:p>
    <w:p>
      <w:pPr>
        <w:spacing w:after="0" w:line="192"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Applicable Law</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This Agreement will be interpreted and enforced under the laws of the State of Delaware (without regard to their choice-of-law provisions).</w:t>
      </w:r>
    </w:p>
    <w:p>
      <w:pPr>
        <w:spacing w:after="0" w:line="12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text of the Plan is incorporated in this Agreement by reference.</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The Plan, this Agreement and the Notice of Restricted Stock Unit Award</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constitute the entire understanding between you and the Company</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regarding this award. Any prior agreements, commitments or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negotiations concerning this award are superseded. This Agreement may</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be amended only by written consent of the Company and you, unless the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amendment is not to the detriment of your rights under this Agreement.</w:t>
      </w:r>
    </w:p>
    <w:p>
      <w:pPr>
        <w:sectPr>
          <w:pgSz w:w="11900" w:h="16838" w:orient="portrait"/>
          <w:cols w:equalWidth="0" w:num="1">
            <w:col w:w="11000"/>
          </w:cols>
          <w:pgMar w:left="440" w:top="270" w:right="459" w:bottom="1440" w:gutter="0" w:footer="0" w:header="0"/>
          <w:type w:val="continuous"/>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Y SIGNING THE COVER SHEET OF THIS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YOU AGREE TO ALL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TERMS AND CONDITIONS DESCRIBED ABOVE AND IN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LAN</w:t>
      </w:r>
      <w:r>
        <w:rPr>
          <w:rFonts w:ascii="Arial" w:cs="Arial" w:eastAsia="Arial" w:hAnsi="Arial"/>
          <w:sz w:val="17"/>
          <w:szCs w:val="17"/>
          <w:b w:val="1"/>
          <w:bCs w:val="1"/>
          <w:color w:val="auto"/>
        </w:rPr>
        <w: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w:t>
      </w:r>
      <w:r>
        <w:rPr>
          <w:rFonts w:ascii="Arial" w:cs="Arial" w:eastAsia="Arial" w:hAnsi="Arial"/>
          <w:sz w:val="14"/>
          <w:szCs w:val="14"/>
          <w:b w:val="1"/>
          <w:bCs w:val="1"/>
          <w:color w:val="auto"/>
        </w:rPr>
        <w:t>LYWIRE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OTICE OF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RANT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You have been granted the following option to purchase shares of the common stock of Flywire Corporation (the “Company”):</w:t>
      </w:r>
    </w:p>
    <w:p>
      <w:pPr>
        <w:sectPr>
          <w:pgSz w:w="11900" w:h="16838" w:orient="portrait"/>
          <w:cols w:equalWidth="0" w:num="1">
            <w:col w:w="11000"/>
          </w:cols>
          <w:pgMar w:left="440" w:top="270" w:right="45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Name of Optionee: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4660"/>
        <w:spacing w:after="0"/>
        <w:rPr>
          <w:sz w:val="20"/>
          <w:szCs w:val="20"/>
          <w:color w:val="auto"/>
        </w:rPr>
      </w:pPr>
      <w:r>
        <w:rPr>
          <w:rFonts w:ascii="Arial" w:cs="Arial" w:eastAsia="Arial" w:hAnsi="Arial"/>
          <w:sz w:val="15"/>
          <w:szCs w:val="15"/>
          <w:color w:val="auto"/>
        </w:rPr>
        <w:t>«Name»</w:t>
      </w:r>
    </w:p>
    <w:p>
      <w:pPr>
        <w:spacing w:after="0" w:line="211"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Total Number of Shares: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4240"/>
        <w:spacing w:after="0"/>
        <w:rPr>
          <w:sz w:val="20"/>
          <w:szCs w:val="20"/>
          <w:color w:val="auto"/>
        </w:rPr>
      </w:pPr>
      <w:r>
        <w:rPr>
          <w:rFonts w:ascii="Arial" w:cs="Arial" w:eastAsia="Arial" w:hAnsi="Arial"/>
          <w:sz w:val="15"/>
          <w:szCs w:val="15"/>
          <w:color w:val="auto"/>
        </w:rPr>
        <w:t>«TotalShares»</w:t>
      </w:r>
    </w:p>
    <w:p>
      <w:pPr>
        <w:spacing w:after="0" w:line="211"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«ISO» Incentive Stock Option</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48"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«NSO» Nonstatutory Stock Option</w:t>
      </w:r>
    </w:p>
    <w:p>
      <w:pPr>
        <w:sectPr>
          <w:pgSz w:w="11900" w:h="16838" w:orient="portrait"/>
          <w:cols w:equalWidth="0" w:num="1">
            <w:col w:w="11000"/>
          </w:cols>
          <w:pgMar w:left="440" w:top="270" w:right="45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Exercise Price per Share: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3980"/>
        <w:spacing w:after="0"/>
        <w:rPr>
          <w:sz w:val="20"/>
          <w:szCs w:val="20"/>
          <w:color w:val="auto"/>
        </w:rPr>
      </w:pPr>
      <w:r>
        <w:rPr>
          <w:rFonts w:ascii="Arial" w:cs="Arial" w:eastAsia="Arial" w:hAnsi="Arial"/>
          <w:sz w:val="15"/>
          <w:szCs w:val="15"/>
          <w:color w:val="auto"/>
        </w:rPr>
        <w:t>$«PricePerShare»</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4340"/>
        <w:spacing w:after="0"/>
        <w:rPr>
          <w:sz w:val="20"/>
          <w:szCs w:val="20"/>
          <w:color w:val="auto"/>
        </w:rPr>
      </w:pPr>
      <w:r>
        <w:rPr>
          <w:rFonts w:ascii="Arial" w:cs="Arial" w:eastAsia="Arial" w:hAnsi="Arial"/>
          <w:sz w:val="16"/>
          <w:szCs w:val="16"/>
          <w:color w:val="auto"/>
        </w:rPr>
        <w:t>«DateGrant»</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«VestDay»</w:t>
      </w:r>
    </w:p>
    <w:p>
      <w:pPr>
        <w:spacing w:after="0" w:line="211"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This option shall vest and become exercisable with respect to the first «CliffPercent» of the shares subject to this option when you complete «CliffPeriod» months of continuous service as an [Employee or Consultant][Outside Director] (“Service”) after the Vesting Commencement Date. This option shall vest and become exercisable with respect to an additional «IncrementalPercent» of the shares subject to this option when you complete each additional month of continuous Service thereafter.</w:t>
      </w:r>
    </w:p>
    <w:p>
      <w:pPr>
        <w:spacing w:after="0" w:line="178"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ind w:right="20"/>
        <w:spacing w:after="0" w:line="291" w:lineRule="auto"/>
        <w:rPr>
          <w:sz w:val="20"/>
          <w:szCs w:val="20"/>
          <w:color w:val="auto"/>
        </w:rPr>
      </w:pPr>
      <w:r>
        <w:rPr>
          <w:rFonts w:ascii="Arial" w:cs="Arial" w:eastAsia="Arial" w:hAnsi="Arial"/>
          <w:sz w:val="16"/>
          <w:szCs w:val="16"/>
          <w:color w:val="auto"/>
        </w:rPr>
        <w:t>«ExpDate». This option expires earlier if your Service terminates earlier, as described in the Stock Option Agreement, and may terminate earlier</w:t>
      </w:r>
    </w:p>
    <w:p>
      <w:pPr>
        <w:spacing w:after="0" w:line="1"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ind w:left="5740"/>
        <w:spacing w:after="0"/>
        <w:rPr>
          <w:sz w:val="20"/>
          <w:szCs w:val="20"/>
          <w:color w:val="auto"/>
        </w:rPr>
      </w:pPr>
      <w:r>
        <w:rPr>
          <w:rFonts w:ascii="Arial" w:cs="Arial" w:eastAsia="Arial" w:hAnsi="Arial"/>
          <w:sz w:val="16"/>
          <w:szCs w:val="16"/>
          <w:color w:val="auto"/>
        </w:rPr>
        <w:t>in connection with certain corporate transactions as described in Article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9 of the Plan.</w:t>
      </w:r>
    </w:p>
    <w:p>
      <w:pPr>
        <w:spacing w:after="0" w:line="21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You and the Company agree that this option is granted under and governed by the terms and conditions of the Company’s 2021 Equity Incentive Plan (the “Plan”) and the Stock Option Agreement, both of which are attached to, and made a part of, this document. Capitalized terms not otherwise defined herein shall have the meanings assigned to such terms in the Plan.</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may, in its sole discretion, decide to deliver any documents related to options awarded under the Plan, future options that may be awarded under the Plan and all other documents that the Company is required to deliver to security holders (including annual reports and proxy statements) by email or other electronic means (including by posting them on a website maintained by the Company or a third party under contract with the Company). You hereby consent to receive such documents by electronic delivery and agree to participate in the Plan through any on-line or electronic system established and maintained by the Company or another third party designated by the Company. You acknowledge that you may incur costs in connection with any such delivery by means of electronic transmission, including the cost of accessing the Internet and printing fees, and that an interruption of Internet access may interfere with your ability to access the documents.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You further agree to comply with the Company’s </w:t>
      </w:r>
      <w:r>
        <w:rPr>
          <w:rFonts w:ascii="Arial" w:cs="Arial" w:eastAsia="Arial" w:hAnsi="Arial"/>
          <w:sz w:val="18"/>
          <w:szCs w:val="18"/>
          <w:i w:val="1"/>
          <w:iCs w:val="1"/>
          <w:color w:val="auto"/>
        </w:rPr>
        <w:t>Insider Trading Policy</w:t>
      </w:r>
      <w:r>
        <w:rPr>
          <w:rFonts w:ascii="Arial" w:cs="Arial" w:eastAsia="Arial" w:hAnsi="Arial"/>
          <w:sz w:val="18"/>
          <w:szCs w:val="18"/>
          <w:color w:val="auto"/>
        </w:rPr>
        <w:t xml:space="preserve"> when selling shares of the Company’s common stock.</w:t>
      </w:r>
    </w:p>
    <w:p>
      <w:pPr>
        <w:sectPr>
          <w:pgSz w:w="11900" w:h="16838" w:orient="portrait"/>
          <w:cols w:equalWidth="0" w:num="1">
            <w:col w:w="11000"/>
          </w:cols>
          <w:pgMar w:left="440" w:top="270" w:right="45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w:t>
      </w:r>
      <w:r>
        <w:rPr>
          <w:rFonts w:ascii="Arial" w:cs="Arial" w:eastAsia="Arial" w:hAnsi="Arial"/>
          <w:sz w:val="14"/>
          <w:szCs w:val="14"/>
          <w:b w:val="1"/>
          <w:bCs w:val="1"/>
          <w:color w:val="auto"/>
        </w:rPr>
        <w:t>LYWIRE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00"/>
          </w:cols>
          <w:pgMar w:left="440" w:top="270" w:right="45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 of Option</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Subject to all of the terms and conditions set forth in the Notice of Stock Option Grant (the “Grant Notice”), this Stock Option Agreement (the “Agreement”) and the Plan, the Company has granted you an option to purchase up to the total number of shares specified in the Grant Notice at the exercise price indicated in the Grant Notice.</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All capitalized terms used in this Agreement shall have the meanings</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assigned to them in this Agreement, the Grant Notice or the Plan.</w:t>
      </w:r>
    </w:p>
    <w:p>
      <w:pPr>
        <w:sectPr>
          <w:pgSz w:w="11900" w:h="16838" w:orient="portrait"/>
          <w:cols w:equalWidth="0" w:num="1">
            <w:col w:w="11000"/>
          </w:cols>
          <w:pgMar w:left="440" w:top="270" w:right="459"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Treatment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option is intended to be an incentive stock option under Section 422 of the Code or a nonstatutory stock option, as provided in the Grant Notice. However, even if this option is designated as an incentive stock option in the Grant Notice, it shall be deemed to be a nonstatutory stock option to the extent it does not qualify as an incentive stock option under federal tax law, including under the $100,000 annual limitation under Section 422(d) of the Code.</w:t>
      </w:r>
    </w:p>
    <w:p>
      <w:pPr>
        <w:spacing w:after="0" w:line="173"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option vests and becomes exercisable in accordance with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vesting schedule set forth in the Grant Notice.</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3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In no event will this option vest or become exercisable for additional</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shares after your Service has terminated for any reason unless expressly</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provided in a written agreement between you and the Company.</w:t>
      </w:r>
    </w:p>
    <w:p>
      <w:pPr>
        <w:sectPr>
          <w:pgSz w:w="11900" w:h="16838" w:orient="portrait"/>
          <w:cols w:equalWidth="0" w:num="1">
            <w:col w:w="11000"/>
          </w:cols>
          <w:pgMar w:left="440" w:top="270" w:right="45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of Option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This option expires in any event at the close of business at Company headquarters on the day before the 10th anniversary of the Date of Grant, as shown in the Grant Notice. (This option will expire earlier if your Service terminates earlier, as described below, and this option may be terminated earlier as provided in Article 9 of the Plan.)</w:t>
      </w:r>
    </w:p>
    <w:p>
      <w:pPr>
        <w:spacing w:after="0" w:line="172"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Termination of Service</w:t>
      </w:r>
    </w:p>
    <w:p>
      <w:pPr>
        <w:spacing w:after="0" w:line="20" w:lineRule="exact"/>
        <w:rPr>
          <w:sz w:val="20"/>
          <w:szCs w:val="20"/>
          <w:color w:val="auto"/>
        </w:rPr>
      </w:pPr>
      <w:r>
        <w:rPr>
          <w:sz w:val="20"/>
          <w:szCs w:val="20"/>
          <w:color w:val="auto"/>
        </w:rPr>
        <w:br w:type="column"/>
      </w:r>
    </w:p>
    <w:p>
      <w:pPr>
        <w:ind w:right="60"/>
        <w:spacing w:after="0" w:line="301" w:lineRule="auto"/>
        <w:rPr>
          <w:sz w:val="20"/>
          <w:szCs w:val="20"/>
          <w:color w:val="auto"/>
        </w:rPr>
      </w:pPr>
      <w:r>
        <w:rPr>
          <w:rFonts w:ascii="Arial" w:cs="Arial" w:eastAsia="Arial" w:hAnsi="Arial"/>
          <w:sz w:val="16"/>
          <w:szCs w:val="16"/>
          <w:color w:val="auto"/>
        </w:rPr>
        <w:t>If your Service terminates for any reason, this option will expire to the extent it is unvested as of your termination date and does not vest as a result of your termination of Service. The Company determines whether and when your Service terminates for all purposes of this option.</w:t>
      </w:r>
    </w:p>
    <w:p>
      <w:pPr>
        <w:spacing w:after="0" w:line="153"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Regular Termination</w:t>
      </w:r>
    </w:p>
    <w:p>
      <w:pPr>
        <w:spacing w:after="0" w:line="20" w:lineRule="exact"/>
        <w:rPr>
          <w:sz w:val="20"/>
          <w:szCs w:val="20"/>
          <w:color w:val="auto"/>
        </w:rPr>
      </w:pPr>
      <w:r>
        <w:rPr>
          <w:sz w:val="20"/>
          <w:szCs w:val="20"/>
          <w:color w:val="auto"/>
        </w:rPr>
        <w:br w:type="column"/>
      </w:r>
    </w:p>
    <w:p>
      <w:pPr>
        <w:ind w:right="340"/>
        <w:spacing w:after="0" w:line="301" w:lineRule="auto"/>
        <w:rPr>
          <w:sz w:val="20"/>
          <w:szCs w:val="20"/>
          <w:color w:val="auto"/>
        </w:rPr>
      </w:pPr>
      <w:r>
        <w:rPr>
          <w:rFonts w:ascii="Arial" w:cs="Arial" w:eastAsia="Arial" w:hAnsi="Arial"/>
          <w:sz w:val="16"/>
          <w:szCs w:val="16"/>
          <w:color w:val="auto"/>
        </w:rPr>
        <w:t>If your Service terminates for any reason except death or total and permanent disability, then this option, to the extent vested as of your termination date, will expire at the close of business at Company headquarters on the date three months after your termination date.</w:t>
      </w:r>
    </w:p>
    <w:p>
      <w:pPr>
        <w:sectPr>
          <w:pgSz w:w="11900" w:h="16838" w:orient="portrait"/>
          <w:cols w:equalWidth="0" w:num="2">
            <w:col w:w="5020" w:space="720"/>
            <w:col w:w="5260"/>
          </w:cols>
          <w:pgMar w:left="440" w:top="270" w:right="4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Death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If your Service terminates as a result of your death, then this option,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-201295</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extent vested as of the date of your death, will expire at the close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at Company headquarters on the date twelve months after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of death.</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Disability</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If your Service terminates because of your total and permanent disability, then this option, to the extent vested as of your termination date, will expire at the close of business at Company headquarters on the date six months after your termination date.</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14"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For all purposes under this Agreement, “total and permanent disability”</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means that you are unable to engage in any substantial gainful activity</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reason of any medically determinable physical or mental impairment</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which can be expected to result in death or which has lasted, or can be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expected to last, for a continuous period of not less than one year.</w:t>
      </w:r>
    </w:p>
    <w:p>
      <w:pPr>
        <w:sectPr>
          <w:pgSz w:w="11900" w:h="16838" w:orient="portrait"/>
          <w:cols w:equalWidth="0" w:num="1">
            <w:col w:w="11000"/>
          </w:cols>
          <w:pgMar w:left="440" w:top="270" w:right="459"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Leaves of Absence and Part-Time Work</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For purposes of this option, your Service does not terminate when you go on a military leave, a sick leave or another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leave of absence, if the leave was approved by the Company in writing, and if continued crediting of Service is required by applicable law, the Company’s leave of absence policy or the terms of your leave. However, your Service terminates when the approved leave ends, unless you immediately return to active work.</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If you go on a leave of absence, or if you commence working on a part-</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time basis, the Company may adjust the vesting schedule in accordance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with the Company’s leave of absence policy or the terms of your leave or</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so that the rate of vesting is commensurate with your reduced work</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schedule, as applicable.</w:t>
      </w:r>
    </w:p>
    <w:p>
      <w:pPr>
        <w:sectPr>
          <w:pgSz w:w="11900" w:h="16838" w:orient="portrait"/>
          <w:cols w:equalWidth="0" w:num="1">
            <w:col w:w="11000"/>
          </w:cols>
          <w:pgMar w:left="440" w:top="270" w:right="45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Restrictions on Exercise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Company will not permit you to exercise this option if the issuance of shares at that time would violate any law or regulation.</w:t>
      </w:r>
    </w:p>
    <w:p>
      <w:pPr>
        <w:spacing w:after="0" w:line="142"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Notice of Exercise</w:t>
      </w:r>
    </w:p>
    <w:p>
      <w:pPr>
        <w:spacing w:after="0" w:line="20" w:lineRule="exact"/>
        <w:rPr>
          <w:sz w:val="20"/>
          <w:szCs w:val="20"/>
          <w:color w:val="auto"/>
        </w:rPr>
      </w:pPr>
      <w:r>
        <w:rPr>
          <w:sz w:val="20"/>
          <w:szCs w:val="20"/>
          <w:color w:val="auto"/>
        </w:rPr>
        <w:br w:type="column"/>
      </w:r>
    </w:p>
    <w:p>
      <w:pPr>
        <w:ind w:right="40"/>
        <w:spacing w:after="0" w:line="293" w:lineRule="auto"/>
        <w:rPr>
          <w:sz w:val="20"/>
          <w:szCs w:val="20"/>
          <w:color w:val="auto"/>
        </w:rPr>
      </w:pPr>
      <w:r>
        <w:rPr>
          <w:rFonts w:ascii="Arial" w:cs="Arial" w:eastAsia="Arial" w:hAnsi="Arial"/>
          <w:sz w:val="16"/>
          <w:szCs w:val="16"/>
          <w:color w:val="auto"/>
        </w:rPr>
        <w:t>When you wish to exercise this option, you must notify the Company by filing the proper “Notice of Exercise” form at the address given on the form or, if the Company has designated a third party to administer the Plan, you must notify such third party in the manner such third party requires. Your notice must specify how many shares you wish to purchase. The notice will be effective when the Company receives it.</w:t>
      </w:r>
    </w:p>
    <w:p>
      <w:pPr>
        <w:spacing w:after="0" w:line="191"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ind w:left="5740"/>
        <w:spacing w:after="0"/>
        <w:rPr>
          <w:sz w:val="20"/>
          <w:szCs w:val="20"/>
          <w:color w:val="auto"/>
        </w:rPr>
      </w:pPr>
      <w:r>
        <w:rPr>
          <w:rFonts w:ascii="Arial" w:cs="Arial" w:eastAsia="Arial" w:hAnsi="Arial"/>
          <w:sz w:val="17"/>
          <w:szCs w:val="17"/>
          <w:color w:val="auto"/>
        </w:rPr>
        <w:t>However, if you wish to exercise this option by executing a same-day</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sale (as described below), you must follow the instructions of the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Company and the broker who will execute the sale.</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If someone else wants to exercise this option after your death, that</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person must prove to the Company’s satisfaction that he or she is entitled</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to do so.</w:t>
      </w:r>
    </w:p>
    <w:p>
      <w:pPr>
        <w:spacing w:after="0" w:line="23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You may only exercise your option for whole shares.</w:t>
      </w:r>
    </w:p>
    <w:p>
      <w:pPr>
        <w:sectPr>
          <w:pgSz w:w="11900" w:h="16838" w:orient="portrait"/>
          <w:cols w:equalWidth="0" w:num="1">
            <w:col w:w="11000"/>
          </w:cols>
          <w:pgMar w:left="440" w:top="270" w:right="4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Form of Payment</w:t>
      </w:r>
    </w:p>
    <w:p>
      <w:pPr>
        <w:spacing w:after="0" w:line="20" w:lineRule="exact"/>
        <w:rPr>
          <w:sz w:val="20"/>
          <w:szCs w:val="20"/>
          <w:color w:val="auto"/>
        </w:rPr>
      </w:pPr>
      <w:r>
        <w:rPr>
          <w:sz w:val="20"/>
          <w:szCs w:val="20"/>
          <w:color w:val="auto"/>
        </w:rPr>
        <w:br w:type="column"/>
      </w:r>
    </w:p>
    <w:p>
      <w:pPr>
        <w:ind w:right="80"/>
        <w:spacing w:after="0" w:line="301" w:lineRule="auto"/>
        <w:rPr>
          <w:sz w:val="20"/>
          <w:szCs w:val="20"/>
          <w:color w:val="auto"/>
        </w:rPr>
      </w:pPr>
      <w:r>
        <w:rPr>
          <w:rFonts w:ascii="Arial" w:cs="Arial" w:eastAsia="Arial" w:hAnsi="Arial"/>
          <w:sz w:val="16"/>
          <w:szCs w:val="16"/>
          <w:color w:val="auto"/>
        </w:rPr>
        <w:t>When you submit your notice of exercise, you must make arrangements for the payment of the option exercise price for the shares that you are purchasing. To the extent permitted by applicable law, payment may be made in one (or a combination of two or more) of the following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-670560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020" w:space="720"/>
            <w:col w:w="5240"/>
          </w:cols>
          <w:pgMar w:left="440" w:top="270" w:right="479" w:bottom="1440" w:gutter="0" w:footer="0" w:header="0"/>
        </w:sectPr>
      </w:pPr>
    </w:p>
    <w:p>
      <w:pPr>
        <w:ind w:left="58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380" w:hanging="15"/>
        <w:spacing w:after="0" w:line="342" w:lineRule="auto"/>
        <w:rPr>
          <w:sz w:val="20"/>
          <w:szCs w:val="20"/>
          <w:color w:val="auto"/>
        </w:rPr>
      </w:pPr>
      <w:r>
        <w:rPr>
          <w:rFonts w:ascii="Arial" w:cs="Arial" w:eastAsia="Arial" w:hAnsi="Arial"/>
          <w:sz w:val="16"/>
          <w:szCs w:val="16"/>
          <w:color w:val="auto"/>
        </w:rPr>
        <w:t>By delivering to the Company your personal check, a cashier’s check or a money order, or arranging for a wire transfer.</w:t>
      </w:r>
    </w:p>
    <w:p>
      <w:pPr>
        <w:spacing w:after="0" w:line="29" w:lineRule="exact"/>
        <w:rPr>
          <w:sz w:val="20"/>
          <w:szCs w:val="20"/>
          <w:color w:val="auto"/>
        </w:rPr>
      </w:pPr>
    </w:p>
    <w:p>
      <w:pPr>
        <w:sectPr>
          <w:pgSz w:w="11900" w:h="16838" w:orient="portrait"/>
          <w:cols w:equalWidth="0" w:num="2">
            <w:col w:w="5880" w:space="220"/>
            <w:col w:w="4880"/>
          </w:cols>
          <w:pgMar w:left="440" w:top="270" w:right="479" w:bottom="1440" w:gutter="0" w:footer="0" w:header="0"/>
          <w:type w:val="continuous"/>
        </w:sectPr>
      </w:pPr>
    </w:p>
    <w:p>
      <w:pPr>
        <w:ind w:left="58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40" w:hanging="15"/>
        <w:spacing w:after="0" w:line="290" w:lineRule="auto"/>
        <w:rPr>
          <w:sz w:val="20"/>
          <w:szCs w:val="20"/>
          <w:color w:val="auto"/>
        </w:rPr>
      </w:pPr>
      <w:r>
        <w:rPr>
          <w:rFonts w:ascii="Arial" w:cs="Arial" w:eastAsia="Arial" w:hAnsi="Arial"/>
          <w:sz w:val="16"/>
          <w:szCs w:val="16"/>
          <w:color w:val="auto"/>
        </w:rPr>
        <w:t>By giving to a securities broker approved by the Company irrevocable directions to sell all or part of your option shares and to deliver to the Company, from the sale proceeds, an amount sufficient to pay the option exercise price and any Tax-Related Items (as defined below). (The balance of the sale proceeds, if any, will be delivered to you.) The directions must be given in accordance with the instructions of the Company and the broker. This exercise method is sometimes called a “same-day sale.”</w:t>
      </w:r>
    </w:p>
    <w:p>
      <w:pPr>
        <w:spacing w:after="0" w:line="192" w:lineRule="exact"/>
        <w:rPr>
          <w:sz w:val="20"/>
          <w:szCs w:val="20"/>
          <w:color w:val="auto"/>
        </w:rPr>
      </w:pPr>
    </w:p>
    <w:p>
      <w:pPr>
        <w:sectPr>
          <w:pgSz w:w="11900" w:h="16838" w:orient="portrait"/>
          <w:cols w:equalWidth="0" w:num="2">
            <w:col w:w="5880" w:space="220"/>
            <w:col w:w="4880"/>
          </w:cols>
          <w:pgMar w:left="440" w:top="270" w:right="479" w:bottom="1440" w:gutter="0" w:footer="0" w:header="0"/>
          <w:type w:val="continuous"/>
        </w:sectPr>
      </w:pPr>
    </w:p>
    <w:p>
      <w:pPr>
        <w:ind w:left="5740"/>
        <w:spacing w:after="0"/>
        <w:rPr>
          <w:sz w:val="20"/>
          <w:szCs w:val="20"/>
          <w:color w:val="auto"/>
        </w:rPr>
      </w:pPr>
      <w:r>
        <w:rPr>
          <w:rFonts w:ascii="Arial" w:cs="Arial" w:eastAsia="Arial" w:hAnsi="Arial"/>
          <w:sz w:val="16"/>
          <w:szCs w:val="16"/>
          <w:color w:val="auto"/>
        </w:rPr>
        <w:t>The Company may permit other forms of payment in its discretion to the</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extent permitted by the Plan.</w:t>
      </w:r>
    </w:p>
    <w:p>
      <w:pPr>
        <w:sectPr>
          <w:pgSz w:w="11900" w:h="16838" w:orient="portrait"/>
          <w:cols w:equalWidth="0" w:num="1">
            <w:col w:w="10980"/>
          </w:cols>
          <w:pgMar w:left="440" w:top="270" w:right="47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Withholding Taxes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Regardless of any action the Company (or, if applicable, the Parent, Subsidiary or Affiliate employing or retaining you (the “Employer”)) takes with respect to any or all income tax, social insurance, payroll tax, payment on account or other tax-related items related to the participation in the Plan and legally applicable to you (“Tax-Related Items”), you acknowledge that the ultimate liability for all Tax-Related Items is and remains your responsibility and may exceed the amount actually withheld by the Company and/or the Employer. You further acknowledge that the Company and the Employer (1) make no representations or undertakings regarding the treatment of any Tax-Related Items in connection with any aspect of the options, including, but not limited to, the grant, vesting or exercise of the option, the issuance of shares upon exercise of the option, the subsequent sale of shares acquired pursuant to such exercise and the receipt of any dividends and/or any dividend equivalents; and (2) do not commit to and are under no obligation to structure the terms of the option or any aspect of the option to reduce or eliminate your liability for Tax-Related Items or achieve any particular tax result. Further, if you are subject to tax in more than one jurisdiction, you acknowledge that the Company and/or the Employer may be required to withhold or account for Tax-Related Items in more than one jurisdiction.</w:t>
      </w:r>
    </w:p>
    <w:p>
      <w:pPr>
        <w:spacing w:after="0" w:line="200" w:lineRule="exact"/>
        <w:rPr>
          <w:sz w:val="20"/>
          <w:szCs w:val="20"/>
          <w:color w:val="auto"/>
        </w:rPr>
      </w:pPr>
    </w:p>
    <w:p>
      <w:pPr>
        <w:sectPr>
          <w:pgSz w:w="11900" w:h="16838" w:orient="portrait"/>
          <w:cols w:equalWidth="0" w:num="2">
            <w:col w:w="5020" w:space="720"/>
            <w:col w:w="5240"/>
          </w:cols>
          <w:pgMar w:left="440" w:top="270" w:right="479" w:bottom="1440" w:gutter="0" w:footer="0" w:header="0"/>
          <w:type w:val="continuous"/>
        </w:sectPr>
      </w:pPr>
    </w:p>
    <w:p>
      <w:pPr>
        <w:spacing w:after="0" w:line="1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You will not be allowed to exercise this option unless you make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arrangements acceptable to the Company and/or the Employer to pay</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any Tax-Related Items that the Company and/or the Employer determine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must be withheld. These arrangements include payment in cash or via</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the same-day sale procedure described above. With the Company’s</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consent, these</w:t>
      </w:r>
    </w:p>
    <w:p>
      <w:pPr>
        <w:sectPr>
          <w:pgSz w:w="11900" w:h="16838" w:orient="portrait"/>
          <w:cols w:equalWidth="0" w:num="1">
            <w:col w:w="10980"/>
          </w:cols>
          <w:pgMar w:left="440" w:top="270" w:right="479" w:bottom="1440" w:gutter="0" w:footer="0" w:header="0"/>
          <w:type w:val="continuous"/>
        </w:sectPr>
      </w:pPr>
    </w:p>
    <w:bookmarkStart w:id="42" w:name="page43"/>
    <w:bookmarkEnd w:id="42"/>
    <w:p>
      <w:pPr>
        <w:ind w:left="57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arrangements may also include (a) withholding shares of Company stock</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that otherwise would be issued to you when you exercise this option with</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 value equal to withholding taxes, (b) surrendering shares that you</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previously acquired with a value equal to the withholding taxes, or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(c) withholding cash from other compensation. The value of withheld or</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surrendered shares, determined as of the date when taxes otherwise</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would have been withheld in cash, will be applied to the Tax-Related</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Items.</w:t>
      </w:r>
    </w:p>
    <w:p>
      <w:pPr>
        <w:sectPr>
          <w:pgSz w:w="11900" w:h="16838" w:orient="portrait"/>
          <w:cols w:equalWidth="0" w:num="1">
            <w:col w:w="11020"/>
          </w:cols>
          <w:pgMar w:left="440" w:top="274" w:right="4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You agree not to sell any option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172"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Transfer of Option</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6"/>
          <w:szCs w:val="16"/>
          <w:color w:val="auto"/>
        </w:rPr>
        <w:t>Prior to your death, only you may exercise this option. You cannot transfer or assign this option. For instance, you may not sell this option or use it as security for a loan. If you attempt to do any of these things, this option will immediately become invalid. You may, however, dispose of this option in your will or by means of a written beneficiary designation (if authorized by the Company and to the extent such beneficiary designation is valid under applicable law) which must be filed with the Company on the proper form; provided, however, that your beneficiary or a representative of your estate acknowledges and agrees in writing in a form reasonably acceptable to the Company, to be bound by the provisions of this Agreement and the Plan as if such beneficiary or representative of the estate were you.</w:t>
      </w:r>
    </w:p>
    <w:p>
      <w:pPr>
        <w:spacing w:after="0" w:line="20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line="21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Regardless of any marital property settlement agreement, the Company</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is not obligated to honor a notice of exercise from your former spouse,</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nor is the Company obligated to recognize your former spouse’s interest</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in your option in any other way.</w:t>
      </w:r>
    </w:p>
    <w:p>
      <w:pPr>
        <w:sectPr>
          <w:pgSz w:w="11900" w:h="16838" w:orient="portrait"/>
          <w:cols w:equalWidth="0" w:num="1">
            <w:col w:w="11020"/>
          </w:cols>
          <w:pgMar w:left="440" w:top="274" w:right="43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Retention Rights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You understand that neither this option nor this Agreement alters the at-will nature of your relationship with the Company. Your option or this Agreement does not give you the right to be retained by the Company, a Parent, Subsidiary, or an Affiliate in any capacity. The Company and its Parents, Subsidiaries, and Affiliates reserve the right to terminate your Service at any time, with or without cause.</w:t>
      </w:r>
    </w:p>
    <w:p>
      <w:pPr>
        <w:spacing w:after="0" w:line="174"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Stockholder Rights</w:t>
      </w:r>
    </w:p>
    <w:p>
      <w:pPr>
        <w:spacing w:after="0" w:line="20" w:lineRule="exact"/>
        <w:rPr>
          <w:sz w:val="20"/>
          <w:szCs w:val="20"/>
          <w:color w:val="auto"/>
        </w:rPr>
      </w:pPr>
      <w:r>
        <w:rPr>
          <w:sz w:val="20"/>
          <w:szCs w:val="20"/>
          <w:color w:val="auto"/>
        </w:rPr>
        <w:br w:type="column"/>
      </w:r>
    </w:p>
    <w:p>
      <w:pPr>
        <w:ind w:right="80"/>
        <w:spacing w:after="0" w:line="273" w:lineRule="auto"/>
        <w:rPr>
          <w:sz w:val="20"/>
          <w:szCs w:val="20"/>
          <w:color w:val="auto"/>
        </w:rPr>
      </w:pPr>
      <w:r>
        <w:rPr>
          <w:rFonts w:ascii="Arial" w:cs="Arial" w:eastAsia="Arial" w:hAnsi="Arial"/>
          <w:sz w:val="17"/>
          <w:szCs w:val="17"/>
          <w:color w:val="auto"/>
        </w:rPr>
        <w:t>You, or your estate or heirs, have no rights as a stockholder of the Company until you have exercised this option by giving the required notice to the Company, paying the exercise price, and satisfying any applicable Tax-Related Items. No adjustments are made for dividends or other rights if the applicable record date occurs before you exercise this option, except as described in the Plan.</w:t>
      </w:r>
    </w:p>
    <w:p>
      <w:pPr>
        <w:sectPr>
          <w:pgSz w:w="11900" w:h="16838" w:orient="portrait"/>
          <w:cols w:equalWidth="0" w:num="2">
            <w:col w:w="5020" w:space="720"/>
            <w:col w:w="5280"/>
          </w:cols>
          <w:pgMar w:left="440" w:top="274" w:right="4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5"/>
          <w:szCs w:val="15"/>
          <w:b w:val="1"/>
          <w:bCs w:val="1"/>
          <w:color w:val="auto"/>
        </w:rPr>
        <w:t>Recoupment Policy</w:t>
      </w:r>
    </w:p>
    <w:p>
      <w:pPr>
        <w:spacing w:after="0" w:line="20" w:lineRule="exact"/>
        <w:rPr>
          <w:sz w:val="20"/>
          <w:szCs w:val="20"/>
          <w:color w:val="auto"/>
        </w:rPr>
      </w:pPr>
      <w:r>
        <w:rPr>
          <w:sz w:val="20"/>
          <w:szCs w:val="20"/>
          <w:color w:val="auto"/>
        </w:rPr>
        <w:br w:type="column"/>
      </w:r>
    </w:p>
    <w:p>
      <w:pPr>
        <w:ind w:right="200"/>
        <w:spacing w:after="0" w:line="263" w:lineRule="auto"/>
        <w:rPr>
          <w:sz w:val="20"/>
          <w:szCs w:val="20"/>
          <w:color w:val="auto"/>
        </w:rPr>
      </w:pPr>
      <w:r>
        <w:rPr>
          <w:rFonts w:ascii="Arial" w:cs="Arial" w:eastAsia="Arial" w:hAnsi="Arial"/>
          <w:sz w:val="18"/>
          <w:szCs w:val="18"/>
          <w:color w:val="auto"/>
        </w:rPr>
        <w:t>This option, and the shares acquired upon exercise of this option, shall be subject to any Company recoupment or clawback policy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-516890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5020" w:space="720"/>
            <w:col w:w="5260"/>
          </w:cols>
          <w:pgMar w:left="44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br w:type="column"/>
      </w:r>
    </w:p>
    <w:p>
      <w:pPr>
        <w:ind w:right="220"/>
        <w:spacing w:after="0" w:line="311" w:lineRule="auto"/>
        <w:rPr>
          <w:sz w:val="20"/>
          <w:szCs w:val="20"/>
          <w:color w:val="auto"/>
        </w:rPr>
      </w:pPr>
      <w:r>
        <w:rPr>
          <w:rFonts w:ascii="Arial" w:cs="Arial" w:eastAsia="Arial" w:hAnsi="Arial"/>
          <w:sz w:val="16"/>
          <w:szCs w:val="16"/>
          <w:color w:val="auto"/>
        </w:rPr>
        <w:t>In the event of a stock split, a stock dividend or a similar change in Company common stock, the number of shares covered by this option and the exercise price per share will be adjusted pursuant to the Plan.</w:t>
      </w:r>
    </w:p>
    <w:p>
      <w:pPr>
        <w:spacing w:after="0" w:line="145"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Effect of Significant Corporate Transactions</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If the Company is a party to a merger, consolidation, or certain change in control transactions, then this option will be subject to the applicable provisions of Article 9 of the Plan.</w:t>
      </w:r>
    </w:p>
    <w:p>
      <w:pPr>
        <w:spacing w:after="0" w:line="18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Applicable Law</w:t>
      </w:r>
    </w:p>
    <w:p>
      <w:pPr>
        <w:spacing w:after="0" w:line="20" w:lineRule="exact"/>
        <w:rPr>
          <w:sz w:val="20"/>
          <w:szCs w:val="20"/>
          <w:color w:val="auto"/>
        </w:rPr>
      </w:pPr>
      <w:r>
        <w:rPr>
          <w:sz w:val="20"/>
          <w:szCs w:val="20"/>
          <w:color w:val="auto"/>
        </w:rPr>
        <w:br w:type="column"/>
      </w:r>
    </w:p>
    <w:p>
      <w:pPr>
        <w:ind w:right="200"/>
        <w:spacing w:after="0" w:line="342" w:lineRule="auto"/>
        <w:rPr>
          <w:sz w:val="20"/>
          <w:szCs w:val="20"/>
          <w:color w:val="auto"/>
        </w:rPr>
      </w:pPr>
      <w:r>
        <w:rPr>
          <w:rFonts w:ascii="Arial" w:cs="Arial" w:eastAsia="Arial" w:hAnsi="Arial"/>
          <w:sz w:val="16"/>
          <w:szCs w:val="16"/>
          <w:color w:val="auto"/>
        </w:rPr>
        <w:t>This Agreement will be interpreted and enforced under the laws of the State of Delaware (without regard to its choice-of-law provisions).</w:t>
      </w:r>
    </w:p>
    <w:p>
      <w:pPr>
        <w:spacing w:after="0" w:line="12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text of the Plan is incorporated in this Agreement by reference.</w:t>
      </w:r>
    </w:p>
    <w:p>
      <w:pPr>
        <w:spacing w:after="0" w:line="20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line="75"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This Plan, this Agreement and the Grant Notice constitute the entire</w:t>
      </w:r>
    </w:p>
    <w:p>
      <w:pPr>
        <w:spacing w:after="0" w:line="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understanding between you and the Company regarding this option. Any</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prior agreements, commitments or negotiations concerning this option</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are superseded. This Agreement may be amended only by another</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written agreement between the parties.</w:t>
      </w:r>
    </w:p>
    <w:p>
      <w:pPr>
        <w:sectPr>
          <w:pgSz w:w="11900" w:h="16838" w:orient="portrait"/>
          <w:cols w:equalWidth="0" w:num="1">
            <w:col w:w="11000"/>
          </w:cols>
          <w:pgMar w:left="440" w:top="270" w:right="459" w:bottom="1440" w:gutter="0" w:footer="0" w:header="0"/>
          <w:type w:val="continuous"/>
        </w:sect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ACCEPTING THIS OPTION GRANT, YOU AGREE TO ALL OF THE TERMS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CONDITIONS DESCRIBED ABOVE AND IN THE PLAN.</w:t>
      </w:r>
    </w:p>
    <w:sectPr>
      <w:pgSz w:w="11900" w:h="16838" w:orient="portrait"/>
      <w:cols w:equalWidth="0" w:num="1">
        <w:col w:w="11000"/>
      </w:cols>
      <w:pgMar w:left="440" w:top="270"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lowerRoman"/>
      <w:start w:val="1"/>
    </w:lvl>
    <w:lvl w:ilvl="1">
      <w:lvlJc w:val="left"/>
      <w:lvlText w:val="(%2)"/>
      <w:numFmt w:val="decimal"/>
      <w:start w:val="1"/>
    </w:lvl>
  </w:abstractNum>
  <w:abstractNum w:abstractNumId="4">
    <w:nsid w:val="1F16E9E8"/>
    <w:multiLevelType w:val="hybridMultilevel"/>
    <w:lvl w:ilvl="0">
      <w:lvlJc w:val="left"/>
      <w:lvlText w:val="(%1)"/>
      <w:numFmt w:val="lowerRoman"/>
      <w:start w:val="1"/>
    </w:lvl>
    <w:lvl w:ilvl="1">
      <w:lvlJc w:val="left"/>
      <w:lvlText w:val="(%2)"/>
      <w:numFmt w:val="decimal"/>
      <w:start w:val="2"/>
    </w:lvl>
  </w:abstractNum>
  <w:abstractNum w:abstractNumId="5">
    <w:nsid w:val="1190CDE7"/>
    <w:multiLevelType w:val="hybridMultilevel"/>
    <w:lvl w:ilvl="0">
      <w:lvlJc w:val="left"/>
      <w:lvlText w:val="(%1)"/>
      <w:numFmt w:val="lowerRoman"/>
      <w:start w:val="2"/>
    </w:lvl>
  </w:abstractNum>
  <w:abstractNum w:abstractNumId="6">
    <w:nsid w:val="66EF438D"/>
    <w:multiLevelType w:val="hybridMultilevel"/>
    <w:lvl w:ilvl="0">
      <w:lvlJc w:val="left"/>
      <w:lvlText w:val="(%1)"/>
      <w:numFmt w:val="lowerLetter"/>
      <w:start w:val="4"/>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2"/>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5"/>
    </w:lvl>
  </w:abstractNum>
  <w:abstractNum w:abstractNumId="13">
    <w:nsid w:val="41A7C4C9"/>
    <w:multiLevelType w:val="hybridMultilevel"/>
    <w:lvl w:ilvl="0">
      <w:lvlJc w:val="left"/>
      <w:lvlText w:val="(%1)"/>
      <w:numFmt w:val="lowerLetter"/>
      <w:start w:val="2"/>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3"/>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4" Type="http://schemas.openxmlformats.org/officeDocument/2006/relationships/image" Target="media/image13.png"/><Relationship Id="rId28"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20" Type="http://schemas.openxmlformats.org/officeDocument/2006/relationships/hyperlink" Target="http://www.sec.gov/Archives/edgar/data/1580560/000119312521173668/d469729d424b4.htm" TargetMode="External"/><Relationship Id="rId21" Type="http://schemas.openxmlformats.org/officeDocument/2006/relationships/hyperlink" Target="http://www.sec.gov/Archives/edgar/data/1580560/000119312521164506/d469729ds1a.htm" TargetMode="External"/><Relationship Id="rId22" Type="http://schemas.openxmlformats.org/officeDocument/2006/relationships/hyperlink" Target="http://www.sec.gov/Archives/edgar/data/1580560/000119312521146481/d469729ds1.htm" TargetMode="External"/><Relationship Id="rId23" Type="http://schemas.openxmlformats.org/officeDocument/2006/relationships/hyperlink" Target="http://www.sec.gov/Archives/edgar/data/1580560/000119312521169294/d140633d8a12b.htm" TargetMode="External"/><Relationship Id="rId25" Type="http://schemas.openxmlformats.org/officeDocument/2006/relationships/hyperlink" Target="http://www.sec.gov/Archives/edgar/data/1580560/000119312521178711/d109060dex31.htm" TargetMode="External"/><Relationship Id="rId26" Type="http://schemas.openxmlformats.org/officeDocument/2006/relationships/hyperlink" Target="http://www.sec.gov/Archives/edgar/data/1580560/000119312521178711/d109060dex32.htm" TargetMode="External"/><Relationship Id="rId27" Type="http://schemas.openxmlformats.org/officeDocument/2006/relationships/hyperlink" Target="http://www.sec.gov/Archives/edgar/data/1580560/000119312521164506/d469729dex102.htm" TargetMode="External"/><Relationship Id="rId29" Type="http://schemas.openxmlformats.org/officeDocument/2006/relationships/hyperlink" Target="http://www.sec.gov/Archives/edgar/data/1580560/000119312521164506/d469729dex103.htm" TargetMode="External"/><Relationship Id="rId30" Type="http://schemas.openxmlformats.org/officeDocument/2006/relationships/hyperlink" Target="http://www.sec.gov/Archives/edgar/data/1580560/000119312521146481/d469729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2021-06-02T05:15:36Z</dcterms:created>
  <dcterms:modified xsi:type="dcterms:W3CDTF">2021-06-02T05:15:36Z</dcterms:modified>
</cp:coreProperties>
</file>